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2.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96C46" w14:textId="77777777" w:rsidR="00A75E40" w:rsidRPr="000A3A2C" w:rsidRDefault="00016992" w:rsidP="00E67696">
      <w:pPr>
        <w:rPr>
          <w:lang w:eastAsia="ar-SA"/>
        </w:rPr>
        <w:sectPr w:rsidR="00A75E40" w:rsidRPr="000A3A2C" w:rsidSect="0085114D">
          <w:pgSz w:w="11906" w:h="16838" w:code="9"/>
          <w:pgMar w:top="1134" w:right="1134" w:bottom="1418" w:left="1134" w:header="709" w:footer="709" w:gutter="0"/>
          <w:pgNumType w:start="1"/>
          <w:cols w:space="708"/>
          <w:docGrid w:linePitch="360"/>
        </w:sectPr>
      </w:pPr>
      <w:r>
        <w:rPr>
          <w:noProof/>
        </w:rPr>
        <mc:AlternateContent>
          <mc:Choice Requires="wpg">
            <w:drawing>
              <wp:anchor distT="0" distB="0" distL="114300" distR="114300" simplePos="0" relativeHeight="251657728" behindDoc="0" locked="1" layoutInCell="1" allowOverlap="1" wp14:anchorId="6DC652F8" wp14:editId="6C69D87F">
                <wp:simplePos x="0" y="0"/>
                <wp:positionH relativeFrom="page">
                  <wp:posOffset>571500</wp:posOffset>
                </wp:positionH>
                <wp:positionV relativeFrom="page">
                  <wp:posOffset>466725</wp:posOffset>
                </wp:positionV>
                <wp:extent cx="2249805" cy="554355"/>
                <wp:effectExtent l="0" t="0" r="0" b="0"/>
                <wp:wrapSquare wrapText="bothSides"/>
                <wp:docPr id="5"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49805" cy="554355"/>
                          <a:chOff x="567" y="851"/>
                          <a:chExt cx="2714" cy="667"/>
                        </a:xfrm>
                      </wpg:grpSpPr>
                      <wps:wsp>
                        <wps:cNvPr id="6" name="Rectangle 9"/>
                        <wps:cNvSpPr>
                          <a:spLocks noChangeAspect="1" noChangeArrowheads="1"/>
                        </wps:cNvSpPr>
                        <wps:spPr bwMode="auto">
                          <a:xfrm>
                            <a:off x="1215" y="901"/>
                            <a:ext cx="676" cy="154"/>
                          </a:xfrm>
                          <a:prstGeom prst="rect">
                            <a:avLst/>
                          </a:prstGeom>
                          <a:solidFill>
                            <a:srgbClr val="0071B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spect="1" noChangeArrowheads="1"/>
                        </wps:cNvSpPr>
                        <wps:spPr bwMode="auto">
                          <a:xfrm>
                            <a:off x="567" y="1131"/>
                            <a:ext cx="1324" cy="154"/>
                          </a:xfrm>
                          <a:prstGeom prst="rect">
                            <a:avLst/>
                          </a:prstGeom>
                          <a:solidFill>
                            <a:srgbClr val="0071B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spect="1" noChangeArrowheads="1"/>
                        </wps:cNvSpPr>
                        <wps:spPr bwMode="auto">
                          <a:xfrm>
                            <a:off x="1288" y="1361"/>
                            <a:ext cx="603" cy="153"/>
                          </a:xfrm>
                          <a:prstGeom prst="rect">
                            <a:avLst/>
                          </a:prstGeom>
                          <a:solidFill>
                            <a:srgbClr val="0071B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2"/>
                        <wps:cNvSpPr>
                          <a:spLocks noChangeAspect="1" noEditPoints="1"/>
                        </wps:cNvSpPr>
                        <wps:spPr bwMode="auto">
                          <a:xfrm>
                            <a:off x="1969" y="1311"/>
                            <a:ext cx="600" cy="207"/>
                          </a:xfrm>
                          <a:custGeom>
                            <a:avLst/>
                            <a:gdLst>
                              <a:gd name="T0" fmla="*/ 520 w 1200"/>
                              <a:gd name="T1" fmla="*/ 84 h 415"/>
                              <a:gd name="T2" fmla="*/ 537 w 1200"/>
                              <a:gd name="T3" fmla="*/ 88 h 415"/>
                              <a:gd name="T4" fmla="*/ 550 w 1200"/>
                              <a:gd name="T5" fmla="*/ 100 h 415"/>
                              <a:gd name="T6" fmla="*/ 557 w 1200"/>
                              <a:gd name="T7" fmla="*/ 114 h 415"/>
                              <a:gd name="T8" fmla="*/ 559 w 1200"/>
                              <a:gd name="T9" fmla="*/ 131 h 415"/>
                              <a:gd name="T10" fmla="*/ 554 w 1200"/>
                              <a:gd name="T11" fmla="*/ 147 h 415"/>
                              <a:gd name="T12" fmla="*/ 544 w 1200"/>
                              <a:gd name="T13" fmla="*/ 160 h 415"/>
                              <a:gd name="T14" fmla="*/ 530 w 1200"/>
                              <a:gd name="T15" fmla="*/ 168 h 415"/>
                              <a:gd name="T16" fmla="*/ 506 w 1200"/>
                              <a:gd name="T17" fmla="*/ 170 h 415"/>
                              <a:gd name="T18" fmla="*/ 540 w 1200"/>
                              <a:gd name="T19" fmla="*/ 202 h 415"/>
                              <a:gd name="T20" fmla="*/ 567 w 1200"/>
                              <a:gd name="T21" fmla="*/ 190 h 415"/>
                              <a:gd name="T22" fmla="*/ 587 w 1200"/>
                              <a:gd name="T23" fmla="*/ 169 h 415"/>
                              <a:gd name="T24" fmla="*/ 599 w 1200"/>
                              <a:gd name="T25" fmla="*/ 142 h 415"/>
                              <a:gd name="T26" fmla="*/ 599 w 1200"/>
                              <a:gd name="T27" fmla="*/ 111 h 415"/>
                              <a:gd name="T28" fmla="*/ 587 w 1200"/>
                              <a:gd name="T29" fmla="*/ 84 h 415"/>
                              <a:gd name="T30" fmla="*/ 567 w 1200"/>
                              <a:gd name="T31" fmla="*/ 63 h 415"/>
                              <a:gd name="T32" fmla="*/ 540 w 1200"/>
                              <a:gd name="T33" fmla="*/ 51 h 415"/>
                              <a:gd name="T34" fmla="*/ 466 w 1200"/>
                              <a:gd name="T35" fmla="*/ 204 h 415"/>
                              <a:gd name="T36" fmla="*/ 388 w 1200"/>
                              <a:gd name="T37" fmla="*/ 146 h 415"/>
                              <a:gd name="T38" fmla="*/ 393 w 1200"/>
                              <a:gd name="T39" fmla="*/ 50 h 415"/>
                              <a:gd name="T40" fmla="*/ 343 w 1200"/>
                              <a:gd name="T41" fmla="*/ 177 h 415"/>
                              <a:gd name="T42" fmla="*/ 257 w 1200"/>
                              <a:gd name="T43" fmla="*/ 18 h 415"/>
                              <a:gd name="T44" fmla="*/ 174 w 1200"/>
                              <a:gd name="T45" fmla="*/ 18 h 415"/>
                              <a:gd name="T46" fmla="*/ 216 w 1200"/>
                              <a:gd name="T47" fmla="*/ 81 h 415"/>
                              <a:gd name="T48" fmla="*/ 231 w 1200"/>
                              <a:gd name="T49" fmla="*/ 88 h 415"/>
                              <a:gd name="T50" fmla="*/ 235 w 1200"/>
                              <a:gd name="T51" fmla="*/ 104 h 415"/>
                              <a:gd name="T52" fmla="*/ 225 w 1200"/>
                              <a:gd name="T53" fmla="*/ 116 h 415"/>
                              <a:gd name="T54" fmla="*/ 204 w 1200"/>
                              <a:gd name="T55" fmla="*/ 119 h 415"/>
                              <a:gd name="T56" fmla="*/ 258 w 1200"/>
                              <a:gd name="T57" fmla="*/ 135 h 415"/>
                              <a:gd name="T58" fmla="*/ 271 w 1200"/>
                              <a:gd name="T59" fmla="*/ 121 h 415"/>
                              <a:gd name="T60" fmla="*/ 276 w 1200"/>
                              <a:gd name="T61" fmla="*/ 102 h 415"/>
                              <a:gd name="T62" fmla="*/ 275 w 1200"/>
                              <a:gd name="T63" fmla="*/ 83 h 415"/>
                              <a:gd name="T64" fmla="*/ 266 w 1200"/>
                              <a:gd name="T65" fmla="*/ 67 h 415"/>
                              <a:gd name="T66" fmla="*/ 252 w 1200"/>
                              <a:gd name="T67" fmla="*/ 55 h 415"/>
                              <a:gd name="T68" fmla="*/ 232 w 1200"/>
                              <a:gd name="T69" fmla="*/ 50 h 415"/>
                              <a:gd name="T70" fmla="*/ 204 w 1200"/>
                              <a:gd name="T71" fmla="*/ 204 h 415"/>
                              <a:gd name="T72" fmla="*/ 243 w 1200"/>
                              <a:gd name="T73" fmla="*/ 141 h 415"/>
                              <a:gd name="T74" fmla="*/ 67 w 1200"/>
                              <a:gd name="T75" fmla="*/ 42 h 415"/>
                              <a:gd name="T76" fmla="*/ 0 w 1200"/>
                              <a:gd name="T77" fmla="*/ 139 h 415"/>
                              <a:gd name="T78" fmla="*/ 3 w 1200"/>
                              <a:gd name="T79" fmla="*/ 166 h 415"/>
                              <a:gd name="T80" fmla="*/ 12 w 1200"/>
                              <a:gd name="T81" fmla="*/ 184 h 415"/>
                              <a:gd name="T82" fmla="*/ 34 w 1200"/>
                              <a:gd name="T83" fmla="*/ 201 h 415"/>
                              <a:gd name="T84" fmla="*/ 67 w 1200"/>
                              <a:gd name="T85" fmla="*/ 207 h 415"/>
                              <a:gd name="T86" fmla="*/ 96 w 1200"/>
                              <a:gd name="T87" fmla="*/ 202 h 415"/>
                              <a:gd name="T88" fmla="*/ 119 w 1200"/>
                              <a:gd name="T89" fmla="*/ 186 h 415"/>
                              <a:gd name="T90" fmla="*/ 131 w 1200"/>
                              <a:gd name="T91" fmla="*/ 166 h 415"/>
                              <a:gd name="T92" fmla="*/ 134 w 1200"/>
                              <a:gd name="T93" fmla="*/ 139 h 415"/>
                              <a:gd name="T94" fmla="*/ 95 w 1200"/>
                              <a:gd name="T95" fmla="*/ 143 h 415"/>
                              <a:gd name="T96" fmla="*/ 89 w 1200"/>
                              <a:gd name="T97" fmla="*/ 163 h 415"/>
                              <a:gd name="T98" fmla="*/ 78 w 1200"/>
                              <a:gd name="T99" fmla="*/ 170 h 415"/>
                              <a:gd name="T100" fmla="*/ 63 w 1200"/>
                              <a:gd name="T101" fmla="*/ 172 h 415"/>
                              <a:gd name="T102" fmla="*/ 52 w 1200"/>
                              <a:gd name="T103" fmla="*/ 168 h 415"/>
                              <a:gd name="T104" fmla="*/ 42 w 1200"/>
                              <a:gd name="T105" fmla="*/ 156 h 415"/>
                              <a:gd name="T106" fmla="*/ 40 w 1200"/>
                              <a:gd name="T107" fmla="*/ 50 h 41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ChangeAspect="1" noEditPoints="1"/>
                        </wps:cNvSpPr>
                        <wps:spPr bwMode="auto">
                          <a:xfrm>
                            <a:off x="1962" y="1081"/>
                            <a:ext cx="1319" cy="208"/>
                          </a:xfrm>
                          <a:custGeom>
                            <a:avLst/>
                            <a:gdLst>
                              <a:gd name="T0" fmla="*/ 1221 w 2637"/>
                              <a:gd name="T1" fmla="*/ 204 h 416"/>
                              <a:gd name="T2" fmla="*/ 1166 w 2637"/>
                              <a:gd name="T3" fmla="*/ 50 h 416"/>
                              <a:gd name="T4" fmla="*/ 1072 w 2637"/>
                              <a:gd name="T5" fmla="*/ 137 h 416"/>
                              <a:gd name="T6" fmla="*/ 1004 w 2637"/>
                              <a:gd name="T7" fmla="*/ 54 h 416"/>
                              <a:gd name="T8" fmla="*/ 943 w 2637"/>
                              <a:gd name="T9" fmla="*/ 51 h 416"/>
                              <a:gd name="T10" fmla="*/ 900 w 2637"/>
                              <a:gd name="T11" fmla="*/ 82 h 416"/>
                              <a:gd name="T12" fmla="*/ 887 w 2637"/>
                              <a:gd name="T13" fmla="*/ 136 h 416"/>
                              <a:gd name="T14" fmla="*/ 907 w 2637"/>
                              <a:gd name="T15" fmla="*/ 181 h 416"/>
                              <a:gd name="T16" fmla="*/ 959 w 2637"/>
                              <a:gd name="T17" fmla="*/ 208 h 416"/>
                              <a:gd name="T18" fmla="*/ 1000 w 2637"/>
                              <a:gd name="T19" fmla="*/ 157 h 416"/>
                              <a:gd name="T20" fmla="*/ 969 w 2637"/>
                              <a:gd name="T21" fmla="*/ 169 h 416"/>
                              <a:gd name="T22" fmla="*/ 945 w 2637"/>
                              <a:gd name="T23" fmla="*/ 161 h 416"/>
                              <a:gd name="T24" fmla="*/ 929 w 2637"/>
                              <a:gd name="T25" fmla="*/ 137 h 416"/>
                              <a:gd name="T26" fmla="*/ 933 w 2637"/>
                              <a:gd name="T27" fmla="*/ 107 h 416"/>
                              <a:gd name="T28" fmla="*/ 953 w 2637"/>
                              <a:gd name="T29" fmla="*/ 89 h 416"/>
                              <a:gd name="T30" fmla="*/ 984 w 2637"/>
                              <a:gd name="T31" fmla="*/ 88 h 416"/>
                              <a:gd name="T32" fmla="*/ 864 w 2637"/>
                              <a:gd name="T33" fmla="*/ 50 h 416"/>
                              <a:gd name="T34" fmla="*/ 802 w 2637"/>
                              <a:gd name="T35" fmla="*/ 50 h 416"/>
                              <a:gd name="T36" fmla="*/ 680 w 2637"/>
                              <a:gd name="T37" fmla="*/ 59 h 416"/>
                              <a:gd name="T38" fmla="*/ 638 w 2637"/>
                              <a:gd name="T39" fmla="*/ 46 h 416"/>
                              <a:gd name="T40" fmla="*/ 602 w 2637"/>
                              <a:gd name="T41" fmla="*/ 54 h 416"/>
                              <a:gd name="T42" fmla="*/ 581 w 2637"/>
                              <a:gd name="T43" fmla="*/ 82 h 416"/>
                              <a:gd name="T44" fmla="*/ 583 w 2637"/>
                              <a:gd name="T45" fmla="*/ 116 h 416"/>
                              <a:gd name="T46" fmla="*/ 610 w 2637"/>
                              <a:gd name="T47" fmla="*/ 138 h 416"/>
                              <a:gd name="T48" fmla="*/ 644 w 2637"/>
                              <a:gd name="T49" fmla="*/ 153 h 416"/>
                              <a:gd name="T50" fmla="*/ 637 w 2637"/>
                              <a:gd name="T51" fmla="*/ 171 h 416"/>
                              <a:gd name="T52" fmla="*/ 608 w 2637"/>
                              <a:gd name="T53" fmla="*/ 170 h 416"/>
                              <a:gd name="T54" fmla="*/ 586 w 2637"/>
                              <a:gd name="T55" fmla="*/ 198 h 416"/>
                              <a:gd name="T56" fmla="*/ 633 w 2637"/>
                              <a:gd name="T57" fmla="*/ 208 h 416"/>
                              <a:gd name="T58" fmla="*/ 671 w 2637"/>
                              <a:gd name="T59" fmla="*/ 193 h 416"/>
                              <a:gd name="T60" fmla="*/ 687 w 2637"/>
                              <a:gd name="T61" fmla="*/ 160 h 416"/>
                              <a:gd name="T62" fmla="*/ 678 w 2637"/>
                              <a:gd name="T63" fmla="*/ 126 h 416"/>
                              <a:gd name="T64" fmla="*/ 638 w 2637"/>
                              <a:gd name="T65" fmla="*/ 107 h 416"/>
                              <a:gd name="T66" fmla="*/ 621 w 2637"/>
                              <a:gd name="T67" fmla="*/ 93 h 416"/>
                              <a:gd name="T68" fmla="*/ 635 w 2637"/>
                              <a:gd name="T69" fmla="*/ 80 h 416"/>
                              <a:gd name="T70" fmla="*/ 665 w 2637"/>
                              <a:gd name="T71" fmla="*/ 90 h 416"/>
                              <a:gd name="T72" fmla="*/ 452 w 2637"/>
                              <a:gd name="T73" fmla="*/ 84 h 416"/>
                              <a:gd name="T74" fmla="*/ 452 w 2637"/>
                              <a:gd name="T75" fmla="*/ 204 h 416"/>
                              <a:gd name="T76" fmla="*/ 343 w 2637"/>
                              <a:gd name="T77" fmla="*/ 204 h 416"/>
                              <a:gd name="T78" fmla="*/ 333 w 2637"/>
                              <a:gd name="T79" fmla="*/ 177 h 416"/>
                              <a:gd name="T80" fmla="*/ 158 w 2637"/>
                              <a:gd name="T81" fmla="*/ 204 h 416"/>
                              <a:gd name="T82" fmla="*/ 84 w 2637"/>
                              <a:gd name="T83" fmla="*/ 49 h 416"/>
                              <a:gd name="T84" fmla="*/ 42 w 2637"/>
                              <a:gd name="T85" fmla="*/ 48 h 416"/>
                              <a:gd name="T86" fmla="*/ 14 w 2637"/>
                              <a:gd name="T87" fmla="*/ 68 h 416"/>
                              <a:gd name="T88" fmla="*/ 6 w 2637"/>
                              <a:gd name="T89" fmla="*/ 103 h 416"/>
                              <a:gd name="T90" fmla="*/ 19 w 2637"/>
                              <a:gd name="T91" fmla="*/ 128 h 416"/>
                              <a:gd name="T92" fmla="*/ 64 w 2637"/>
                              <a:gd name="T93" fmla="*/ 147 h 416"/>
                              <a:gd name="T94" fmla="*/ 71 w 2637"/>
                              <a:gd name="T95" fmla="*/ 165 h 416"/>
                              <a:gd name="T96" fmla="*/ 48 w 2637"/>
                              <a:gd name="T97" fmla="*/ 174 h 416"/>
                              <a:gd name="T98" fmla="*/ 17 w 2637"/>
                              <a:gd name="T99" fmla="*/ 158 h 416"/>
                              <a:gd name="T100" fmla="*/ 40 w 2637"/>
                              <a:gd name="T101" fmla="*/ 207 h 416"/>
                              <a:gd name="T102" fmla="*/ 84 w 2637"/>
                              <a:gd name="T103" fmla="*/ 202 h 416"/>
                              <a:gd name="T104" fmla="*/ 110 w 2637"/>
                              <a:gd name="T105" fmla="*/ 176 h 416"/>
                              <a:gd name="T106" fmla="*/ 110 w 2637"/>
                              <a:gd name="T107" fmla="*/ 135 h 416"/>
                              <a:gd name="T108" fmla="*/ 93 w 2637"/>
                              <a:gd name="T109" fmla="*/ 117 h 416"/>
                              <a:gd name="T110" fmla="*/ 50 w 2637"/>
                              <a:gd name="T111" fmla="*/ 99 h 416"/>
                              <a:gd name="T112" fmla="*/ 53 w 2637"/>
                              <a:gd name="T113" fmla="*/ 84 h 416"/>
                              <a:gd name="T114" fmla="*/ 76 w 2637"/>
                              <a:gd name="T115" fmla="*/ 81 h 41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ChangeAspect="1" noEditPoints="1"/>
                        </wps:cNvSpPr>
                        <wps:spPr bwMode="auto">
                          <a:xfrm>
                            <a:off x="1962" y="851"/>
                            <a:ext cx="679" cy="208"/>
                          </a:xfrm>
                          <a:custGeom>
                            <a:avLst/>
                            <a:gdLst>
                              <a:gd name="T0" fmla="*/ 641 w 1358"/>
                              <a:gd name="T1" fmla="*/ 18 h 416"/>
                              <a:gd name="T2" fmla="*/ 679 w 1358"/>
                              <a:gd name="T3" fmla="*/ 50 h 416"/>
                              <a:gd name="T4" fmla="*/ 581 w 1358"/>
                              <a:gd name="T5" fmla="*/ 130 h 416"/>
                              <a:gd name="T6" fmla="*/ 432 w 1358"/>
                              <a:gd name="T7" fmla="*/ 204 h 416"/>
                              <a:gd name="T8" fmla="*/ 530 w 1358"/>
                              <a:gd name="T9" fmla="*/ 50 h 416"/>
                              <a:gd name="T10" fmla="*/ 349 w 1358"/>
                              <a:gd name="T11" fmla="*/ 54 h 416"/>
                              <a:gd name="T12" fmla="*/ 318 w 1358"/>
                              <a:gd name="T13" fmla="*/ 46 h 416"/>
                              <a:gd name="T14" fmla="*/ 290 w 1358"/>
                              <a:gd name="T15" fmla="*/ 50 h 416"/>
                              <a:gd name="T16" fmla="*/ 271 w 1358"/>
                              <a:gd name="T17" fmla="*/ 64 h 416"/>
                              <a:gd name="T18" fmla="*/ 261 w 1358"/>
                              <a:gd name="T19" fmla="*/ 87 h 416"/>
                              <a:gd name="T20" fmla="*/ 261 w 1358"/>
                              <a:gd name="T21" fmla="*/ 112 h 416"/>
                              <a:gd name="T22" fmla="*/ 272 w 1358"/>
                              <a:gd name="T23" fmla="*/ 129 h 416"/>
                              <a:gd name="T24" fmla="*/ 307 w 1358"/>
                              <a:gd name="T25" fmla="*/ 144 h 416"/>
                              <a:gd name="T26" fmla="*/ 324 w 1358"/>
                              <a:gd name="T27" fmla="*/ 153 h 416"/>
                              <a:gd name="T28" fmla="*/ 322 w 1358"/>
                              <a:gd name="T29" fmla="*/ 168 h 416"/>
                              <a:gd name="T30" fmla="*/ 306 w 1358"/>
                              <a:gd name="T31" fmla="*/ 174 h 416"/>
                              <a:gd name="T32" fmla="*/ 284 w 1358"/>
                              <a:gd name="T33" fmla="*/ 168 h 416"/>
                              <a:gd name="T34" fmla="*/ 260 w 1358"/>
                              <a:gd name="T35" fmla="*/ 195 h 416"/>
                              <a:gd name="T36" fmla="*/ 293 w 1358"/>
                              <a:gd name="T37" fmla="*/ 207 h 416"/>
                              <a:gd name="T38" fmla="*/ 326 w 1358"/>
                              <a:gd name="T39" fmla="*/ 206 h 416"/>
                              <a:gd name="T40" fmla="*/ 351 w 1358"/>
                              <a:gd name="T41" fmla="*/ 193 h 416"/>
                              <a:gd name="T42" fmla="*/ 365 w 1358"/>
                              <a:gd name="T43" fmla="*/ 172 h 416"/>
                              <a:gd name="T44" fmla="*/ 365 w 1358"/>
                              <a:gd name="T45" fmla="*/ 138 h 416"/>
                              <a:gd name="T46" fmla="*/ 356 w 1358"/>
                              <a:gd name="T47" fmla="*/ 124 h 416"/>
                              <a:gd name="T48" fmla="*/ 329 w 1358"/>
                              <a:gd name="T49" fmla="*/ 111 h 416"/>
                              <a:gd name="T50" fmla="*/ 304 w 1358"/>
                              <a:gd name="T51" fmla="*/ 99 h 416"/>
                              <a:gd name="T52" fmla="*/ 303 w 1358"/>
                              <a:gd name="T53" fmla="*/ 87 h 416"/>
                              <a:gd name="T54" fmla="*/ 315 w 1358"/>
                              <a:gd name="T55" fmla="*/ 80 h 416"/>
                              <a:gd name="T56" fmla="*/ 332 w 1358"/>
                              <a:gd name="T57" fmla="*/ 82 h 416"/>
                              <a:gd name="T58" fmla="*/ 232 w 1358"/>
                              <a:gd name="T59" fmla="*/ 50 h 416"/>
                              <a:gd name="T60" fmla="*/ 185 w 1358"/>
                              <a:gd name="T61" fmla="*/ 170 h 416"/>
                              <a:gd name="T62" fmla="*/ 185 w 1358"/>
                              <a:gd name="T63" fmla="*/ 84 h 416"/>
                              <a:gd name="T64" fmla="*/ 105 w 1358"/>
                              <a:gd name="T65" fmla="*/ 1 h 416"/>
                              <a:gd name="T66" fmla="*/ 108 w 1358"/>
                              <a:gd name="T67" fmla="*/ 51 h 416"/>
                              <a:gd name="T68" fmla="*/ 65 w 1358"/>
                              <a:gd name="T69" fmla="*/ 48 h 416"/>
                              <a:gd name="T70" fmla="*/ 29 w 1358"/>
                              <a:gd name="T71" fmla="*/ 65 h 416"/>
                              <a:gd name="T72" fmla="*/ 6 w 1358"/>
                              <a:gd name="T73" fmla="*/ 96 h 416"/>
                              <a:gd name="T74" fmla="*/ 0 w 1358"/>
                              <a:gd name="T75" fmla="*/ 136 h 416"/>
                              <a:gd name="T76" fmla="*/ 11 w 1358"/>
                              <a:gd name="T77" fmla="*/ 170 h 416"/>
                              <a:gd name="T78" fmla="*/ 41 w 1358"/>
                              <a:gd name="T79" fmla="*/ 197 h 416"/>
                              <a:gd name="T80" fmla="*/ 82 w 1358"/>
                              <a:gd name="T81" fmla="*/ 208 h 416"/>
                              <a:gd name="T82" fmla="*/ 118 w 1358"/>
                              <a:gd name="T83" fmla="*/ 153 h 416"/>
                              <a:gd name="T84" fmla="*/ 97 w 1358"/>
                              <a:gd name="T85" fmla="*/ 167 h 416"/>
                              <a:gd name="T86" fmla="*/ 76 w 1358"/>
                              <a:gd name="T87" fmla="*/ 168 h 416"/>
                              <a:gd name="T88" fmla="*/ 59 w 1358"/>
                              <a:gd name="T89" fmla="*/ 162 h 416"/>
                              <a:gd name="T90" fmla="*/ 45 w 1358"/>
                              <a:gd name="T91" fmla="*/ 146 h 416"/>
                              <a:gd name="T92" fmla="*/ 42 w 1358"/>
                              <a:gd name="T93" fmla="*/ 124 h 416"/>
                              <a:gd name="T94" fmla="*/ 49 w 1358"/>
                              <a:gd name="T95" fmla="*/ 104 h 416"/>
                              <a:gd name="T96" fmla="*/ 63 w 1358"/>
                              <a:gd name="T97" fmla="*/ 91 h 416"/>
                              <a:gd name="T98" fmla="*/ 83 w 1358"/>
                              <a:gd name="T99" fmla="*/ 86 h 416"/>
                              <a:gd name="T100" fmla="*/ 107 w 1358"/>
                              <a:gd name="T101" fmla="*/ 92 h 41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8B3B9" id="Group 24" o:spid="_x0000_s1026" style="position:absolute;margin-left:45pt;margin-top:36.75pt;width:177.15pt;height:43.65pt;z-index:251657728;mso-position-horizontal-relative:page;mso-position-vertical-relative:page" coordorigin="567,851" coordsize="27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">
                <o:lock v:ext="edit" aspectratio="t"/>
                <v:rect id="Rectangle 9" o:spid="_x0000_s1027" style="position:absolute;left:1215;top:901;width:67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o:lock v:ext="edit" aspectratio="t"/>
                </v:rect>
                <v:rect id="Rectangle 10" o:spid="_x0000_s1028" style="position:absolute;left:567;top:1131;width:132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o:lock v:ext="edit" aspectratio="t"/>
                </v:rect>
                <v:rect id="Rectangle 11" o:spid="_x0000_s1029" style="position:absolute;left:1288;top:1361;width:60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" fillcolor="#0071bc" stroked="f">
                  <o:lock v:ext="edit" aspectratio="t"/>
                </v:rect>
                <v:shape id="Freeform 12" o:spid="_x0000_s1030" style="position:absolute;left:1969;top:1311;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260,42;269,44;275,50;279,57;280,65;277,73;272,80;265,84;253,85;270,101;284,95;294,84;300,71;300,55;294,42;284,31;270,25;233,102;194,73;197,25;172,88;129,9;87,9;108,40;116,44;118,52;113,58;102,59;129,67;136,60;138,51;138,41;133,33;126,27;116,25;102,102;122,70;34,21;0,69;2,83;6,92;17,100;34,103;48,101;60,93;66,83;67,69;48,71;45,81;39,85;32,86;26,84;21,78;20,25" o:connectangles="0,0,0,0,0,0,0,0,0,0,0,0,0,0,0,0,0,0,0,0,0,0,0,0,0,0,0,0,0,0,0,0,0,0,0,0,0,0,0,0,0,0,0,0,0,0,0,0,0,0,0,0,0,0"/>
                  <o:lock v:ext="edit" aspectratio="t" verticies="t"/>
                </v:shape>
                <v:shape id="Freeform 13" o:spid="_x0000_s1031" style="position:absolute;left:1962;top:1081;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611,102;583,25;536,69;502,27;472,26;450,41;444,68;454,91;480,104;500,79;485,85;473,81;465,69;467,54;477,45;492,44;432,25;401,25;340,30;319,23;301,27;291,41;292,58;305,69;322,77;319,86;304,85;293,99;317,104;336,97;344,80;339,63;319,54;311,47;318,40;333,45;226,42;226,102;172,102;167,89;79,102;42,25;21,24;7,34;3,52;10,64;32,74;36,83;24,87;9,79;20,104;42,101;55,88;55,68;47,59;25,50;27,42;38,41" o:connectangles="0,0,0,0,0,0,0,0,0,0,0,0,0,0,0,0,0,0,0,0,0,0,0,0,0,0,0,0,0,0,0,0,0,0,0,0,0,0,0,0,0,0,0,0,0,0,0,0,0,0,0,0,0,0,0,0,0,0"/>
                  <o:lock v:ext="edit" aspectratio="t" verticies="t"/>
                </v:shape>
                <v:shape id="Freeform 14" o:spid="_x0000_s1032" style="position:absolute;left:1962;top:851;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321,9;340,25;291,65;216,102;265,25;175,27;159,23;145,25;136,32;131,44;131,56;136,65;154,72;162,77;161,84;153,87;142,84;130,98;147,104;163,103;176,97;183,86;183,69;178,62;165,56;152,50;152,44;158,40;166,41;116,25;93,85;93,42;53,1;54,26;33,24;15,33;3,48;0,68;6,85;21,99;41,104;59,77;49,84;38,84;30,81;23,73;21,62;25,52;32,46;42,43;54,46" o:connectangles="0,0,0,0,0,0,0,0,0,0,0,0,0,0,0,0,0,0,0,0,0,0,0,0,0,0,0,0,0,0,0,0,0,0,0,0,0,0,0,0,0,0,0,0,0,0,0,0,0,0,0"/>
                  <o:lock v:ext="edit" aspectratio="t" verticies="t"/>
                </v:shape>
                <w10:wrap type="square" anchorx="page" anchory="page"/>
                <w10:anchorlock/>
              </v:group>
            </w:pict>
          </mc:Fallback>
        </mc:AlternateContent>
      </w:r>
      <w:r>
        <w:rPr>
          <w:noProof/>
        </w:rPr>
        <mc:AlternateContent>
          <mc:Choice Requires="wps">
            <w:drawing>
              <wp:anchor distT="0" distB="0" distL="114300" distR="114300" simplePos="0" relativeHeight="251656704" behindDoc="0" locked="1" layoutInCell="1" allowOverlap="1" wp14:anchorId="33A36943" wp14:editId="1F0A0330">
                <wp:simplePos x="0" y="0"/>
                <wp:positionH relativeFrom="page">
                  <wp:posOffset>1705610</wp:posOffset>
                </wp:positionH>
                <wp:positionV relativeFrom="page">
                  <wp:posOffset>8173085</wp:posOffset>
                </wp:positionV>
                <wp:extent cx="5130165" cy="925195"/>
                <wp:effectExtent l="381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9251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D9111B" w14:textId="77777777" w:rsidR="00EA74DB" w:rsidRPr="006C5577" w:rsidRDefault="00EA74DB" w:rsidP="00774CE9">
                            <w:r>
                              <w:t>Z</w:t>
                            </w:r>
                            <w:r w:rsidRPr="006C5577">
                              <w:t xml:space="preserve">pracoval: Odbor </w:t>
                            </w:r>
                            <w:r>
                              <w:t>statistik rozvoje společnosti</w:t>
                            </w:r>
                          </w:p>
                          <w:p w14:paraId="5971FCFE" w14:textId="77777777" w:rsidR="00EA74DB" w:rsidRPr="006C5577" w:rsidRDefault="00EA74DB" w:rsidP="004924DC">
                            <w:r w:rsidRPr="006C5577">
                              <w:t xml:space="preserve">Ředitel odboru: </w:t>
                            </w:r>
                            <w:r>
                              <w:t>Ing. Martin Mana</w:t>
                            </w:r>
                          </w:p>
                          <w:p w14:paraId="0503815B" w14:textId="77777777" w:rsidR="00EA74DB" w:rsidRPr="006C5577" w:rsidRDefault="00EA74DB" w:rsidP="004924DC">
                            <w:r w:rsidRPr="006C5577">
                              <w:t xml:space="preserve">Kontaktní osoba: </w:t>
                            </w:r>
                            <w:r>
                              <w:t>Ing. Alena Hykyšová</w:t>
                            </w:r>
                            <w:r w:rsidRPr="006C5577">
                              <w:t>,</w:t>
                            </w:r>
                            <w:r>
                              <w:t xml:space="preserve"> e-mail: alena.hykysova@czso.cz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A36943" id="_x0000_t202" coordsize="21600,21600" o:spt="202" path="m,l,21600r21600,l21600,xe">
                <v:stroke joinstyle="miter"/>
                <v:path gradientshapeok="t" o:connecttype="rect"/>
              </v:shapetype>
              <v:shape id="Textové pole 2" o:spid="_x0000_s1026" type="#_x0000_t202" style="position:absolute;margin-left:134.3pt;margin-top:643.55pt;width:403.95pt;height:7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" filled="f" stroked="f">
                <v:textbox inset="0,0,0,0">
                  <w:txbxContent>
                    <w:p w14:paraId="23D9111B" w14:textId="77777777" w:rsidR="00EA74DB" w:rsidRPr="006C5577" w:rsidRDefault="00EA74DB" w:rsidP="00774CE9">
                      <w:r>
                        <w:t>Z</w:t>
                      </w:r>
                      <w:r w:rsidRPr="006C5577">
                        <w:t xml:space="preserve">pracoval: Odbor </w:t>
                      </w:r>
                      <w:r>
                        <w:t>statistik rozvoje společnosti</w:t>
                      </w:r>
                    </w:p>
                    <w:p w14:paraId="5971FCFE" w14:textId="77777777" w:rsidR="00EA74DB" w:rsidRPr="006C5577" w:rsidRDefault="00EA74DB" w:rsidP="004924DC">
                      <w:r w:rsidRPr="006C5577">
                        <w:t xml:space="preserve">Ředitel odboru: </w:t>
                      </w:r>
                      <w:r>
                        <w:t>Ing. Martin Mana</w:t>
                      </w:r>
                    </w:p>
                    <w:p w14:paraId="0503815B" w14:textId="77777777" w:rsidR="00EA74DB" w:rsidRPr="006C5577" w:rsidRDefault="00EA74DB" w:rsidP="004924DC">
                      <w:r w:rsidRPr="006C5577">
                        <w:t xml:space="preserve">Kontaktní osoba: </w:t>
                      </w:r>
                      <w:r>
                        <w:t>Ing. Alena Hykyšová</w:t>
                      </w:r>
                      <w:r w:rsidRPr="006C5577">
                        <w:t>,</w:t>
                      </w:r>
                      <w:r>
                        <w:t xml:space="preserve"> e-mail: alena.hykysova@czso.cz</w:t>
                      </w: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5E2905BA" wp14:editId="66CDA0BC">
                <wp:simplePos x="0" y="0"/>
                <wp:positionH relativeFrom="page">
                  <wp:posOffset>1710055</wp:posOffset>
                </wp:positionH>
                <wp:positionV relativeFrom="page">
                  <wp:posOffset>4680585</wp:posOffset>
                </wp:positionV>
                <wp:extent cx="5129530" cy="1686560"/>
                <wp:effectExtent l="0" t="0" r="1270" b="15240"/>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6865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A4BE3F" w14:textId="29FC7B0E" w:rsidR="00EA74DB" w:rsidRPr="004924DC" w:rsidRDefault="00EA74DB" w:rsidP="00774CE9">
                            <w:pPr>
                              <w:pStyle w:val="TLIdentifikace-sted"/>
                            </w:pPr>
                            <w:r>
                              <w:t>Zdraví</w:t>
                            </w:r>
                          </w:p>
                          <w:p w14:paraId="482330A8" w14:textId="77777777" w:rsidR="00EA74DB" w:rsidRPr="004924DC" w:rsidRDefault="00EA74DB" w:rsidP="00774CE9">
                            <w:pPr>
                              <w:pStyle w:val="TLIdentifikace-sted"/>
                            </w:pPr>
                            <w:r>
                              <w:t>Praha</w:t>
                            </w:r>
                            <w:r w:rsidRPr="004924DC">
                              <w:t xml:space="preserve">, </w:t>
                            </w:r>
                            <w:r>
                              <w:t>31. 5. 2024</w:t>
                            </w:r>
                          </w:p>
                          <w:p w14:paraId="090E7899" w14:textId="77777777" w:rsidR="00EA74DB" w:rsidRPr="004924DC" w:rsidRDefault="00EA74DB" w:rsidP="00774CE9">
                            <w:pPr>
                              <w:pStyle w:val="TLIdentifikace-sted"/>
                            </w:pPr>
                            <w:r w:rsidRPr="004924DC">
                              <w:t xml:space="preserve">Kód publikace: </w:t>
                            </w:r>
                            <w:r>
                              <w:rPr>
                                <w:rStyle w:val="content"/>
                                <w:rFonts w:eastAsia="MS Gothic"/>
                              </w:rPr>
                              <w:t>260004-23</w:t>
                            </w:r>
                          </w:p>
                          <w:p w14:paraId="0B3537B6" w14:textId="4E5AE8B2" w:rsidR="00EA74DB" w:rsidRPr="004924DC" w:rsidRDefault="00EA74DB" w:rsidP="004924DC">
                            <w:pPr>
                              <w:pStyle w:val="TLIdentifikace-sted"/>
                            </w:pPr>
                            <w:r w:rsidRPr="00C8357C">
                              <w:t>Č. j.: CSU-006524/2024</w:t>
                            </w:r>
                          </w:p>
                          <w:p w14:paraId="13A70874" w14:textId="77777777" w:rsidR="00EA74DB" w:rsidRPr="004924DC" w:rsidRDefault="00EA74DB" w:rsidP="004924DC">
                            <w:pPr>
                              <w:pStyle w:val="TLIdentifikace-sted"/>
                            </w:pPr>
                            <w:r>
                              <w:t>Pořadové číslo v roce: 2</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E2905BA" id="_x0000_s1027" type="#_x0000_t202" style="position:absolute;margin-left:134.65pt;margin-top:368.55pt;width:403.9pt;height:132.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" filled="f" stroked="f">
                <v:textbox style="mso-fit-shape-to-text:t" inset="0,0,0,0">
                  <w:txbxContent>
                    <w:p w14:paraId="21A4BE3F" w14:textId="29FC7B0E" w:rsidR="00EA74DB" w:rsidRPr="004924DC" w:rsidRDefault="00EA74DB" w:rsidP="00774CE9">
                      <w:pPr>
                        <w:pStyle w:val="TLIdentifikace-sted"/>
                      </w:pPr>
                      <w:r>
                        <w:t>Zdraví</w:t>
                      </w:r>
                    </w:p>
                    <w:p w14:paraId="482330A8" w14:textId="77777777" w:rsidR="00EA74DB" w:rsidRPr="004924DC" w:rsidRDefault="00EA74DB" w:rsidP="00774CE9">
                      <w:pPr>
                        <w:pStyle w:val="TLIdentifikace-sted"/>
                      </w:pPr>
                      <w:r>
                        <w:t>Praha</w:t>
                      </w:r>
                      <w:r w:rsidRPr="004924DC">
                        <w:t xml:space="preserve">, </w:t>
                      </w:r>
                      <w:r>
                        <w:t>31. 5. 2024</w:t>
                      </w:r>
                    </w:p>
                    <w:p w14:paraId="090E7899" w14:textId="77777777" w:rsidR="00EA74DB" w:rsidRPr="004924DC" w:rsidRDefault="00EA74DB" w:rsidP="00774CE9">
                      <w:pPr>
                        <w:pStyle w:val="TLIdentifikace-sted"/>
                      </w:pPr>
                      <w:r w:rsidRPr="004924DC">
                        <w:t xml:space="preserve">Kód publikace: </w:t>
                      </w:r>
                      <w:r>
                        <w:rPr>
                          <w:rStyle w:val="content"/>
                          <w:rFonts w:eastAsia="MS Gothic"/>
                        </w:rPr>
                        <w:t>260004-23</w:t>
                      </w:r>
                    </w:p>
                    <w:p w14:paraId="0B3537B6" w14:textId="4E5AE8B2" w:rsidR="00EA74DB" w:rsidRPr="004924DC" w:rsidRDefault="00EA74DB" w:rsidP="004924DC">
                      <w:pPr>
                        <w:pStyle w:val="TLIdentifikace-sted"/>
                      </w:pPr>
                      <w:r w:rsidRPr="00C8357C">
                        <w:t>Č. j.: CSU-006524/2024</w:t>
                      </w:r>
                    </w:p>
                    <w:p w14:paraId="13A70874" w14:textId="77777777" w:rsidR="00EA74DB" w:rsidRPr="004924DC" w:rsidRDefault="00EA74DB" w:rsidP="004924DC">
                      <w:pPr>
                        <w:pStyle w:val="TLIdentifikace-sted"/>
                      </w:pPr>
                      <w:r>
                        <w:t>Pořadové číslo v roce: 2</w:t>
                      </w:r>
                    </w:p>
                  </w:txbxContent>
                </v:textbox>
                <w10:wrap anchorx="page" anchory="page"/>
                <w10:anchorlock/>
              </v:shape>
            </w:pict>
          </mc:Fallback>
        </mc:AlternateContent>
      </w:r>
      <w:r>
        <w:rPr>
          <w:noProof/>
        </w:rPr>
        <mc:AlternateContent>
          <mc:Choice Requires="wps">
            <w:drawing>
              <wp:anchor distT="0" distB="0" distL="114300" distR="114300" simplePos="0" relativeHeight="251654656" behindDoc="0" locked="1" layoutInCell="1" allowOverlap="1" wp14:anchorId="799C4946" wp14:editId="7BB401BB">
                <wp:simplePos x="0" y="0"/>
                <wp:positionH relativeFrom="page">
                  <wp:posOffset>1710055</wp:posOffset>
                </wp:positionH>
                <wp:positionV relativeFrom="page">
                  <wp:posOffset>1476375</wp:posOffset>
                </wp:positionV>
                <wp:extent cx="5129530" cy="2207895"/>
                <wp:effectExtent l="0" t="0" r="1270" b="1905"/>
                <wp:wrapNone/>
                <wp:docPr id="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22078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CA6D3F" w14:textId="77777777" w:rsidR="00EA74DB" w:rsidRPr="000E6FBD" w:rsidRDefault="00EA74DB" w:rsidP="00774CE9">
                            <w:pPr>
                              <w:pStyle w:val="Nzev"/>
                            </w:pPr>
                            <w:r>
                              <w:t>Pracovní neschopnost pro nemoc a úraz v české republice</w:t>
                            </w:r>
                          </w:p>
                          <w:p w14:paraId="4ACDC84D" w14:textId="77777777" w:rsidR="00EA74DB" w:rsidRPr="0012192F" w:rsidRDefault="00EA74DB" w:rsidP="0012192F">
                            <w:pPr>
                              <w:pStyle w:val="Podnadpis"/>
                            </w:pPr>
                          </w:p>
                          <w:p w14:paraId="538A1793" w14:textId="77777777" w:rsidR="00EA74DB" w:rsidRPr="0012192F" w:rsidRDefault="00EA74DB" w:rsidP="00774CE9">
                            <w:pPr>
                              <w:pStyle w:val="Podnadpis"/>
                            </w:pPr>
                            <w:r>
                              <w:t>za rok 2023</w:t>
                            </w:r>
                          </w:p>
                          <w:p w14:paraId="73B747ED" w14:textId="77777777" w:rsidR="00EA74DB" w:rsidRPr="0012192F" w:rsidRDefault="00EA74DB" w:rsidP="0012192F">
                            <w:pPr>
                              <w:pStyle w:val="Podnadpi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99C4946" id="_x0000_s1028" type="#_x0000_t202" style="position:absolute;margin-left:134.65pt;margin-top:116.25pt;width:403.9pt;height:17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" filled="f" stroked="f">
                <v:textbox style="mso-fit-shape-to-text:t" inset="0,0,0,0">
                  <w:txbxContent>
                    <w:p w14:paraId="22CA6D3F" w14:textId="77777777" w:rsidR="00EA74DB" w:rsidRPr="000E6FBD" w:rsidRDefault="00EA74DB" w:rsidP="00774CE9">
                      <w:pPr>
                        <w:pStyle w:val="Nzev"/>
                      </w:pPr>
                      <w:r>
                        <w:t>Pracovní neschopnost pro nemoc a úraz v české republice</w:t>
                      </w:r>
                    </w:p>
                    <w:p w14:paraId="4ACDC84D" w14:textId="77777777" w:rsidR="00EA74DB" w:rsidRPr="0012192F" w:rsidRDefault="00EA74DB" w:rsidP="0012192F">
                      <w:pPr>
                        <w:pStyle w:val="Podnadpis"/>
                      </w:pPr>
                    </w:p>
                    <w:p w14:paraId="538A1793" w14:textId="77777777" w:rsidR="00EA74DB" w:rsidRPr="0012192F" w:rsidRDefault="00EA74DB" w:rsidP="00774CE9">
                      <w:pPr>
                        <w:pStyle w:val="Podnadpis"/>
                      </w:pPr>
                      <w:r>
                        <w:t>za rok 2023</w:t>
                      </w:r>
                    </w:p>
                    <w:p w14:paraId="73B747ED" w14:textId="77777777" w:rsidR="00EA74DB" w:rsidRPr="0012192F" w:rsidRDefault="00EA74DB" w:rsidP="0012192F">
                      <w:pPr>
                        <w:pStyle w:val="Podnadpis"/>
                      </w:pPr>
                    </w:p>
                  </w:txbxContent>
                </v:textbox>
                <w10:wrap anchorx="page" anchory="page"/>
                <w10:anchorlock/>
              </v:shape>
            </w:pict>
          </mc:Fallback>
        </mc:AlternateContent>
      </w:r>
      <w:r>
        <w:rPr>
          <w:noProof/>
        </w:rPr>
        <mc:AlternateContent>
          <mc:Choice Requires="wps">
            <w:drawing>
              <wp:anchor distT="0" distB="0" distL="114300" distR="114300" simplePos="0" relativeHeight="251658752" behindDoc="0" locked="1" layoutInCell="1" allowOverlap="1" wp14:anchorId="43B35426" wp14:editId="51B02153">
                <wp:simplePos x="0" y="0"/>
                <wp:positionH relativeFrom="page">
                  <wp:posOffset>1710055</wp:posOffset>
                </wp:positionH>
                <wp:positionV relativeFrom="page">
                  <wp:posOffset>9649460</wp:posOffset>
                </wp:positionV>
                <wp:extent cx="5130165" cy="179705"/>
                <wp:effectExtent l="0" t="0" r="5080" b="63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1797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5726A5" w14:textId="77777777" w:rsidR="00EA74DB" w:rsidRPr="004924DC" w:rsidRDefault="00EA74DB" w:rsidP="00774CE9">
                            <w:r w:rsidRPr="004924DC">
                              <w:t xml:space="preserve">© Český statistický úřad, </w:t>
                            </w:r>
                            <w:r>
                              <w:t>Praha</w:t>
                            </w:r>
                            <w:r w:rsidRPr="004924DC">
                              <w:t xml:space="preserve">, </w:t>
                            </w:r>
                            <w:r>
                              <w:t>2024</w:t>
                            </w:r>
                          </w:p>
                          <w:p w14:paraId="5172782F" w14:textId="77777777" w:rsidR="00EA74DB" w:rsidRPr="005251DD" w:rsidRDefault="00EA74DB" w:rsidP="00665BA4"/>
                          <w:p w14:paraId="2F7980A9" w14:textId="77777777" w:rsidR="00EA74DB" w:rsidRPr="005251DD" w:rsidRDefault="00EA74DB" w:rsidP="00FC684B"/>
                          <w:p w14:paraId="6349A836" w14:textId="77777777" w:rsidR="00EA74DB" w:rsidRDefault="00EA74DB"/>
                          <w:p w14:paraId="1BC71123" w14:textId="77777777" w:rsidR="00EA74DB" w:rsidRPr="00097407" w:rsidRDefault="00EA74DB"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14:paraId="3EE9264F" w14:textId="77777777" w:rsidR="00EA74DB" w:rsidRPr="005251DD" w:rsidRDefault="00EA74DB" w:rsidP="00665BA4"/>
                          <w:p w14:paraId="116F8031" w14:textId="77777777" w:rsidR="00EA74DB" w:rsidRPr="005251DD" w:rsidRDefault="00EA74DB" w:rsidP="00FC684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B35426" id="_x0000_s1029" type="#_x0000_t202" style="position:absolute;margin-left:134.65pt;margin-top:759.8pt;width:403.9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" filled="f" stroked="f">
                <v:textbox inset="0,0,0,0">
                  <w:txbxContent>
                    <w:p w14:paraId="535726A5" w14:textId="77777777" w:rsidR="00EA74DB" w:rsidRPr="004924DC" w:rsidRDefault="00EA74DB" w:rsidP="00774CE9">
                      <w:r w:rsidRPr="004924DC">
                        <w:t xml:space="preserve">© Český statistický úřad, </w:t>
                      </w:r>
                      <w:r>
                        <w:t>Praha</w:t>
                      </w:r>
                      <w:r w:rsidRPr="004924DC">
                        <w:t xml:space="preserve">, </w:t>
                      </w:r>
                      <w:r>
                        <w:t>2024</w:t>
                      </w:r>
                    </w:p>
                    <w:p w14:paraId="5172782F" w14:textId="77777777" w:rsidR="00EA74DB" w:rsidRPr="005251DD" w:rsidRDefault="00EA74DB" w:rsidP="00665BA4"/>
                    <w:p w14:paraId="2F7980A9" w14:textId="77777777" w:rsidR="00EA74DB" w:rsidRPr="005251DD" w:rsidRDefault="00EA74DB" w:rsidP="00FC684B"/>
                    <w:p w14:paraId="6349A836" w14:textId="77777777" w:rsidR="00EA74DB" w:rsidRDefault="00EA74DB"/>
                    <w:p w14:paraId="1BC71123" w14:textId="77777777" w:rsidR="00EA74DB" w:rsidRPr="00097407" w:rsidRDefault="00EA74DB"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14:paraId="3EE9264F" w14:textId="77777777" w:rsidR="00EA74DB" w:rsidRPr="005251DD" w:rsidRDefault="00EA74DB" w:rsidP="00665BA4"/>
                    <w:p w14:paraId="116F8031" w14:textId="77777777" w:rsidR="00EA74DB" w:rsidRPr="005251DD" w:rsidRDefault="00EA74DB" w:rsidP="00FC684B"/>
                  </w:txbxContent>
                </v:textbox>
                <w10:wrap anchorx="page" anchory="page"/>
                <w10:anchorlock/>
              </v:shape>
            </w:pict>
          </mc:Fallback>
        </mc:AlternateContent>
      </w:r>
      <w:r>
        <w:rPr>
          <w:noProof/>
        </w:rPr>
        <mc:AlternateContent>
          <mc:Choice Requires="wps">
            <w:drawing>
              <wp:anchor distT="4294967294" distB="4294967294" distL="114300" distR="114300" simplePos="0" relativeHeight="251653632" behindDoc="0" locked="1" layoutInCell="0" allowOverlap="1" wp14:anchorId="6CFB6017" wp14:editId="02A244A0">
                <wp:simplePos x="0" y="0"/>
                <wp:positionH relativeFrom="page">
                  <wp:posOffset>1710055</wp:posOffset>
                </wp:positionH>
                <wp:positionV relativeFrom="page">
                  <wp:posOffset>9361169</wp:posOffset>
                </wp:positionV>
                <wp:extent cx="5130165" cy="0"/>
                <wp:effectExtent l="0" t="0" r="26035" b="25400"/>
                <wp:wrapNone/>
                <wp:docPr id="33" name="Přímá spojnic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16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1F7350" id="Přímá spojnice 33" o:spid="_x0000_s1026" style="position:absolute;z-index:25165363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C/3IlB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mc:Fallback>
        </mc:AlternateContent>
      </w:r>
      <w:r w:rsidR="00F63FB7">
        <w:br w:type="page"/>
      </w:r>
      <w:r>
        <w:lastRenderedPageBreak/>
        <w:br w:type="page"/>
      </w:r>
      <w:r>
        <w:rPr>
          <w:noProof/>
        </w:rPr>
        <mc:AlternateContent>
          <mc:Choice Requires="wps">
            <w:drawing>
              <wp:anchor distT="0" distB="0" distL="114300" distR="114300" simplePos="0" relativeHeight="251659776" behindDoc="0" locked="1" layoutInCell="1" allowOverlap="1" wp14:anchorId="262F61C1" wp14:editId="02C5E25D">
                <wp:simplePos x="0" y="0"/>
                <wp:positionH relativeFrom="page">
                  <wp:posOffset>723900</wp:posOffset>
                </wp:positionH>
                <wp:positionV relativeFrom="page">
                  <wp:posOffset>1440180</wp:posOffset>
                </wp:positionV>
                <wp:extent cx="6119495" cy="7690485"/>
                <wp:effectExtent l="0" t="5080" r="1905"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76904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CDE2D1" w14:textId="77777777" w:rsidR="00EA74DB" w:rsidRPr="006F5416" w:rsidRDefault="00EA74DB" w:rsidP="000B30FA">
                            <w:pPr>
                              <w:pStyle w:val="TLKontaktyerven"/>
                            </w:pPr>
                            <w:r w:rsidRPr="006F5416">
                              <w:t>KONTAKTY V ÚSTŘEDÍ</w:t>
                            </w:r>
                          </w:p>
                          <w:p w14:paraId="548368D5" w14:textId="77777777" w:rsidR="00EA74DB" w:rsidRPr="007D40DF" w:rsidRDefault="00EA74DB" w:rsidP="000B30FA">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14:paraId="5059856D" w14:textId="77777777" w:rsidR="00EA74DB" w:rsidRPr="00D235B7" w:rsidRDefault="00EA74DB" w:rsidP="000B30FA">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274 052 304, 274 052 451 | e-mail: infoservis@czso.cz</w:t>
                            </w:r>
                          </w:p>
                          <w:p w14:paraId="15607C78" w14:textId="77777777" w:rsidR="00EA74DB" w:rsidRPr="00D235B7" w:rsidRDefault="00EA74DB" w:rsidP="000B30FA">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274 052 361 | e-mail: prodejna@czso.cz</w:t>
                            </w:r>
                          </w:p>
                          <w:p w14:paraId="3193C137" w14:textId="77777777" w:rsidR="00EA74DB" w:rsidRPr="00D235B7" w:rsidRDefault="00EA74DB" w:rsidP="000B30FA">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274 052 347, 274 052 757 | e-mail: esds@czso.cz</w:t>
                            </w:r>
                          </w:p>
                          <w:p w14:paraId="0C68289C" w14:textId="77777777" w:rsidR="00EA74DB" w:rsidRPr="00D235B7" w:rsidRDefault="00EA74DB" w:rsidP="000B30FA">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274 052 361 | e-mail: knihovna@czso.cz</w:t>
                            </w:r>
                          </w:p>
                          <w:p w14:paraId="12EAA30B" w14:textId="77777777" w:rsidR="00EA74DB" w:rsidRPr="004A61C5" w:rsidRDefault="00EA74DB" w:rsidP="000B30FA">
                            <w:pPr>
                              <w:pStyle w:val="TLKontakty"/>
                              <w:spacing w:after="80" w:line="240" w:lineRule="auto"/>
                              <w:contextualSpacing w:val="0"/>
                              <w:rPr>
                                <w:color w:val="auto"/>
                              </w:rPr>
                            </w:pPr>
                          </w:p>
                          <w:p w14:paraId="4E7DA394" w14:textId="77777777" w:rsidR="00EA74DB" w:rsidRPr="00D66223" w:rsidRDefault="00EA74DB" w:rsidP="000B30FA">
                            <w:pPr>
                              <w:pStyle w:val="TLKontaktyerven"/>
                            </w:pPr>
                            <w:r w:rsidRPr="00D66223">
                              <w:t>INFORMAČNÍ SLUŽBY V REGIONECH</w:t>
                            </w:r>
                          </w:p>
                          <w:p w14:paraId="44F942A7" w14:textId="77777777" w:rsidR="00EA74DB" w:rsidRPr="00992CF3" w:rsidRDefault="00EA74DB" w:rsidP="000B30FA">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274 054 223</w:t>
                            </w:r>
                          </w:p>
                          <w:p w14:paraId="297ECB00" w14:textId="77777777" w:rsidR="00EA74DB" w:rsidRPr="00992CF3" w:rsidRDefault="00EA74DB" w:rsidP="000B30FA">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003E79AC" w14:textId="77777777" w:rsidR="00EA74DB" w:rsidRPr="004A61C5" w:rsidRDefault="00EA74DB" w:rsidP="000B30FA">
                            <w:pPr>
                              <w:pStyle w:val="TLKontakty"/>
                              <w:spacing w:after="80" w:line="240" w:lineRule="auto"/>
                              <w:rPr>
                                <w:color w:val="auto"/>
                              </w:rPr>
                            </w:pPr>
                          </w:p>
                          <w:p w14:paraId="77CE7793" w14:textId="77777777" w:rsidR="00EA74DB" w:rsidRPr="00992CF3" w:rsidRDefault="00EA74DB" w:rsidP="000B30FA">
                            <w:pPr>
                              <w:pStyle w:val="TLKontakty"/>
                              <w:spacing w:after="80" w:line="240" w:lineRule="auto"/>
                              <w:rPr>
                                <w:b w:val="0"/>
                                <w:color w:val="auto"/>
                              </w:rPr>
                            </w:pPr>
                            <w:r w:rsidRPr="00D66223">
                              <w:t>Středočeský kraj</w:t>
                            </w:r>
                            <w:r w:rsidRPr="00992CF3">
                              <w:rPr>
                                <w:b w:val="0"/>
                                <w:color w:val="auto"/>
                              </w:rPr>
                              <w:t xml:space="preserve"> | Na padesátém 81, 100 82 Praha 10, tel.</w:t>
                            </w:r>
                            <w:r>
                              <w:rPr>
                                <w:b w:val="0"/>
                                <w:color w:val="auto"/>
                              </w:rPr>
                              <w:t xml:space="preserve">: </w:t>
                            </w:r>
                            <w:r w:rsidRPr="00992CF3">
                              <w:rPr>
                                <w:b w:val="0"/>
                                <w:color w:val="auto"/>
                              </w:rPr>
                              <w:t>274 054 175</w:t>
                            </w:r>
                          </w:p>
                          <w:p w14:paraId="46CE362B" w14:textId="77777777" w:rsidR="00EA74DB" w:rsidRPr="00992CF3" w:rsidRDefault="00EA74DB" w:rsidP="000B30FA">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7000E9E8" w14:textId="77777777" w:rsidR="00EA74DB" w:rsidRPr="004A61C5" w:rsidRDefault="00EA74DB" w:rsidP="000B30FA">
                            <w:pPr>
                              <w:pStyle w:val="TLKontakty"/>
                              <w:spacing w:after="80" w:line="240" w:lineRule="auto"/>
                              <w:rPr>
                                <w:color w:val="auto"/>
                              </w:rPr>
                            </w:pPr>
                          </w:p>
                          <w:p w14:paraId="6E1A64C3" w14:textId="7F4549BC" w:rsidR="00EA74DB" w:rsidRPr="00992CF3" w:rsidRDefault="00EA74DB" w:rsidP="000B30FA">
                            <w:pPr>
                              <w:pStyle w:val="TLKontakty"/>
                              <w:spacing w:after="80" w:line="240" w:lineRule="auto"/>
                              <w:rPr>
                                <w:b w:val="0"/>
                                <w:color w:val="auto"/>
                              </w:rPr>
                            </w:pPr>
                            <w:r w:rsidRPr="00D66223">
                              <w:t>České Budějovice</w:t>
                            </w:r>
                            <w:r w:rsidRPr="00992CF3">
                              <w:rPr>
                                <w:b w:val="0"/>
                                <w:color w:val="auto"/>
                              </w:rPr>
                              <w:t xml:space="preserve"> | Žižkova 1</w:t>
                            </w:r>
                            <w:r>
                              <w:rPr>
                                <w:b w:val="0"/>
                                <w:color w:val="auto"/>
                              </w:rPr>
                              <w:t>914/1a</w:t>
                            </w:r>
                            <w:r w:rsidRPr="00992CF3">
                              <w:rPr>
                                <w:b w:val="0"/>
                                <w:color w:val="auto"/>
                              </w:rPr>
                              <w:t>, 370 77 České Budějovice</w:t>
                            </w:r>
                            <w:r>
                              <w:rPr>
                                <w:b w:val="0"/>
                                <w:color w:val="auto"/>
                              </w:rPr>
                              <w:t xml:space="preserve">, </w:t>
                            </w:r>
                            <w:r w:rsidRPr="00992CF3">
                              <w:rPr>
                                <w:b w:val="0"/>
                                <w:color w:val="auto"/>
                              </w:rPr>
                              <w:t>tel.</w:t>
                            </w:r>
                            <w:r>
                              <w:rPr>
                                <w:b w:val="0"/>
                                <w:color w:val="auto"/>
                              </w:rPr>
                              <w:t xml:space="preserve">: </w:t>
                            </w:r>
                            <w:r w:rsidRPr="00C0751E">
                              <w:rPr>
                                <w:b w:val="0"/>
                                <w:color w:val="auto"/>
                              </w:rPr>
                              <w:t>386 718 111</w:t>
                            </w:r>
                          </w:p>
                          <w:p w14:paraId="059873DF" w14:textId="77777777" w:rsidR="00EA74DB" w:rsidRPr="00992CF3" w:rsidRDefault="00EA74DB" w:rsidP="000B30FA">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44A1DC32" w14:textId="77777777" w:rsidR="00EA74DB" w:rsidRPr="004A61C5" w:rsidRDefault="00EA74DB" w:rsidP="000B30FA">
                            <w:pPr>
                              <w:pStyle w:val="TLKontakty"/>
                              <w:spacing w:after="80" w:line="240" w:lineRule="auto"/>
                              <w:rPr>
                                <w:color w:val="auto"/>
                              </w:rPr>
                            </w:pPr>
                          </w:p>
                          <w:p w14:paraId="10894E1F" w14:textId="77777777" w:rsidR="00EA74DB" w:rsidRPr="00BC731E" w:rsidRDefault="00EA74DB" w:rsidP="000B30FA">
                            <w:pPr>
                              <w:pStyle w:val="TLKontakty"/>
                              <w:spacing w:after="80" w:line="240" w:lineRule="auto"/>
                              <w:rPr>
                                <w:b w:val="0"/>
                                <w:color w:val="auto"/>
                              </w:rPr>
                            </w:pPr>
                            <w:r w:rsidRPr="00D66223">
                              <w:t>Plzeň</w:t>
                            </w:r>
                            <w:r w:rsidRPr="004A61C5">
                              <w:rPr>
                                <w:b w:val="0"/>
                                <w:color w:val="auto"/>
                              </w:rPr>
                              <w:t xml:space="preserve"> | Slovanská alej 36, 326 64 Plzeň</w:t>
                            </w:r>
                            <w:r>
                              <w:rPr>
                                <w:b w:val="0"/>
                                <w:color w:val="auto"/>
                              </w:rPr>
                              <w:t xml:space="preserve">, </w:t>
                            </w:r>
                            <w:r w:rsidRPr="004A61C5">
                              <w:rPr>
                                <w:b w:val="0"/>
                                <w:color w:val="auto"/>
                              </w:rPr>
                              <w:t>tel.</w:t>
                            </w:r>
                            <w:r>
                              <w:rPr>
                                <w:b w:val="0"/>
                                <w:color w:val="auto"/>
                              </w:rPr>
                              <w:t xml:space="preserve">: </w:t>
                            </w:r>
                            <w:r w:rsidRPr="004A61C5">
                              <w:rPr>
                                <w:b w:val="0"/>
                                <w:color w:val="auto"/>
                              </w:rPr>
                              <w:t>377 612 108</w:t>
                            </w:r>
                            <w:r w:rsidRPr="00BC731E">
                              <w:rPr>
                                <w:b w:val="0"/>
                                <w:color w:val="auto"/>
                              </w:rPr>
                              <w:t>, 377 612 145</w:t>
                            </w:r>
                          </w:p>
                          <w:p w14:paraId="7E86BA93" w14:textId="77777777" w:rsidR="00EA74DB" w:rsidRPr="004A61C5" w:rsidRDefault="00EA74DB" w:rsidP="000B30FA">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11B085E7" w14:textId="77777777" w:rsidR="00EA74DB" w:rsidRPr="004A61C5" w:rsidRDefault="00EA74DB" w:rsidP="000B30FA">
                            <w:pPr>
                              <w:pStyle w:val="TLKontakty"/>
                              <w:spacing w:after="80" w:line="240" w:lineRule="auto"/>
                              <w:rPr>
                                <w:color w:val="auto"/>
                              </w:rPr>
                            </w:pPr>
                          </w:p>
                          <w:p w14:paraId="3C0DA2FE" w14:textId="77777777" w:rsidR="00EA74DB" w:rsidRPr="004A61C5" w:rsidRDefault="00EA74DB" w:rsidP="000B30FA">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 360/94, 360 06 Karlovy Vary</w:t>
                            </w:r>
                            <w:r w:rsidRPr="004A61C5">
                              <w:rPr>
                                <w:b w:val="0"/>
                                <w:color w:val="auto"/>
                              </w:rPr>
                              <w:t>, tel.</w:t>
                            </w:r>
                            <w:r>
                              <w:rPr>
                                <w:b w:val="0"/>
                                <w:color w:val="auto"/>
                              </w:rPr>
                              <w:t xml:space="preserve">: </w:t>
                            </w:r>
                            <w:r w:rsidRPr="004A61C5">
                              <w:rPr>
                                <w:b w:val="0"/>
                                <w:color w:val="auto"/>
                              </w:rPr>
                              <w:t>353 114 529, 353 114 525</w:t>
                            </w:r>
                          </w:p>
                          <w:p w14:paraId="7232CD53" w14:textId="77777777" w:rsidR="00EA74DB" w:rsidRPr="004A61C5" w:rsidRDefault="00EA74DB" w:rsidP="000B30FA">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21FBEE4D" w14:textId="77777777" w:rsidR="00EA74DB" w:rsidRPr="004A61C5" w:rsidRDefault="00EA74DB" w:rsidP="000B30FA">
                            <w:pPr>
                              <w:pStyle w:val="TLKontakty"/>
                              <w:spacing w:after="80" w:line="240" w:lineRule="auto"/>
                              <w:rPr>
                                <w:color w:val="auto"/>
                              </w:rPr>
                            </w:pPr>
                          </w:p>
                          <w:p w14:paraId="58F1D145" w14:textId="77777777" w:rsidR="00EA74DB" w:rsidRPr="004A61C5" w:rsidRDefault="00EA74DB" w:rsidP="000B30FA">
                            <w:pPr>
                              <w:pStyle w:val="TLKontakty"/>
                              <w:spacing w:after="80" w:line="240" w:lineRule="auto"/>
                              <w:rPr>
                                <w:b w:val="0"/>
                                <w:color w:val="auto"/>
                              </w:rPr>
                            </w:pPr>
                            <w:r w:rsidRPr="00D66223">
                              <w:t>Ústí nad Labem</w:t>
                            </w:r>
                            <w:r w:rsidRPr="004A61C5">
                              <w:rPr>
                                <w:b w:val="0"/>
                                <w:color w:val="auto"/>
                              </w:rPr>
                              <w:t xml:space="preserve"> | Špálova 2684, 400 11 Ústí nad Labem</w:t>
                            </w:r>
                            <w:r>
                              <w:rPr>
                                <w:b w:val="0"/>
                                <w:color w:val="auto"/>
                              </w:rPr>
                              <w:t xml:space="preserve">, </w:t>
                            </w:r>
                            <w:r w:rsidRPr="004A61C5">
                              <w:rPr>
                                <w:b w:val="0"/>
                                <w:color w:val="auto"/>
                              </w:rPr>
                              <w:t>tel.</w:t>
                            </w:r>
                            <w:r>
                              <w:rPr>
                                <w:b w:val="0"/>
                                <w:color w:val="auto"/>
                              </w:rPr>
                              <w:t xml:space="preserve">: </w:t>
                            </w:r>
                            <w:r w:rsidRPr="004A61C5">
                              <w:rPr>
                                <w:b w:val="0"/>
                                <w:color w:val="auto"/>
                              </w:rPr>
                              <w:t>472 706 176,</w:t>
                            </w:r>
                            <w:r>
                              <w:rPr>
                                <w:b w:val="0"/>
                                <w:color w:val="auto"/>
                              </w:rPr>
                              <w:t xml:space="preserve"> </w:t>
                            </w:r>
                            <w:r w:rsidRPr="004A61C5">
                              <w:rPr>
                                <w:b w:val="0"/>
                                <w:color w:val="auto"/>
                              </w:rPr>
                              <w:t>472 706 121</w:t>
                            </w:r>
                          </w:p>
                          <w:p w14:paraId="4FF620FA" w14:textId="77777777" w:rsidR="00EA74DB" w:rsidRPr="004A61C5" w:rsidRDefault="00EA74DB" w:rsidP="000B30FA">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305BF9A7" w14:textId="77777777" w:rsidR="00EA74DB" w:rsidRPr="004A61C5" w:rsidRDefault="00EA74DB" w:rsidP="000B30FA">
                            <w:pPr>
                              <w:pStyle w:val="TLKontakty"/>
                              <w:spacing w:after="80" w:line="240" w:lineRule="auto"/>
                              <w:rPr>
                                <w:color w:val="auto"/>
                              </w:rPr>
                            </w:pPr>
                          </w:p>
                          <w:p w14:paraId="5385458C" w14:textId="77777777" w:rsidR="00EA74DB" w:rsidRPr="004A61C5" w:rsidRDefault="00EA74DB" w:rsidP="000B30FA">
                            <w:pPr>
                              <w:pStyle w:val="TLKontakty"/>
                              <w:spacing w:after="80" w:line="240" w:lineRule="auto"/>
                              <w:rPr>
                                <w:b w:val="0"/>
                                <w:color w:val="auto"/>
                              </w:rPr>
                            </w:pPr>
                            <w:r w:rsidRPr="00D66223">
                              <w:t>Liberec</w:t>
                            </w:r>
                            <w:r w:rsidRPr="004A61C5">
                              <w:rPr>
                                <w:b w:val="0"/>
                                <w:color w:val="auto"/>
                              </w:rPr>
                              <w:t xml:space="preserve"> | Nám. Dr. Edvarda Beneše 585/26, 460 01 Liberec 1, tel.</w:t>
                            </w:r>
                            <w:r>
                              <w:rPr>
                                <w:b w:val="0"/>
                                <w:color w:val="auto"/>
                              </w:rPr>
                              <w:t xml:space="preserve">: </w:t>
                            </w:r>
                            <w:r w:rsidRPr="004A61C5">
                              <w:rPr>
                                <w:b w:val="0"/>
                                <w:color w:val="auto"/>
                              </w:rPr>
                              <w:t>485 238 811</w:t>
                            </w:r>
                          </w:p>
                          <w:p w14:paraId="3AC9E972" w14:textId="77777777" w:rsidR="00EA74DB" w:rsidRPr="004A61C5" w:rsidRDefault="00EA74DB" w:rsidP="000B30FA">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6F0D8F3B" w14:textId="77777777" w:rsidR="00EA74DB" w:rsidRPr="004A61C5" w:rsidRDefault="00EA74DB" w:rsidP="000B30FA">
                            <w:pPr>
                              <w:pStyle w:val="TLKontakty"/>
                              <w:spacing w:after="80" w:line="240" w:lineRule="auto"/>
                              <w:rPr>
                                <w:b w:val="0"/>
                                <w:color w:val="auto"/>
                              </w:rPr>
                            </w:pPr>
                          </w:p>
                          <w:p w14:paraId="763CBBF2" w14:textId="77777777" w:rsidR="00EA74DB" w:rsidRPr="004A61C5" w:rsidRDefault="00EA74DB" w:rsidP="000B30FA">
                            <w:pPr>
                              <w:pStyle w:val="TLKontakty"/>
                              <w:spacing w:after="80" w:line="240" w:lineRule="auto"/>
                              <w:rPr>
                                <w:b w:val="0"/>
                                <w:color w:val="auto"/>
                              </w:rPr>
                            </w:pPr>
                            <w:r w:rsidRPr="00D66223">
                              <w:t>Hradec Králové</w:t>
                            </w:r>
                            <w:r w:rsidRPr="004A61C5">
                              <w:rPr>
                                <w:b w:val="0"/>
                                <w:color w:val="auto"/>
                              </w:rPr>
                              <w:t xml:space="preserve"> | Myslivečkova 914, 500 03 Hradec Králové 3, </w:t>
                            </w:r>
                            <w:r>
                              <w:rPr>
                                <w:b w:val="0"/>
                                <w:color w:val="auto"/>
                              </w:rPr>
                              <w:t>tel.</w:t>
                            </w:r>
                            <w:r w:rsidRPr="007D40DF">
                              <w:rPr>
                                <w:b w:val="0"/>
                                <w:color w:val="auto"/>
                              </w:rPr>
                              <w:t>:</w:t>
                            </w:r>
                            <w:r>
                              <w:rPr>
                                <w:b w:val="0"/>
                                <w:color w:val="auto"/>
                              </w:rPr>
                              <w:t xml:space="preserve"> </w:t>
                            </w:r>
                            <w:r w:rsidRPr="004A61C5">
                              <w:rPr>
                                <w:b w:val="0"/>
                                <w:color w:val="auto"/>
                              </w:rPr>
                              <w:t>495 762 322,</w:t>
                            </w:r>
                            <w:r>
                              <w:rPr>
                                <w:b w:val="0"/>
                                <w:color w:val="auto"/>
                              </w:rPr>
                              <w:t xml:space="preserve"> </w:t>
                            </w:r>
                            <w:r w:rsidRPr="004A61C5">
                              <w:rPr>
                                <w:b w:val="0"/>
                                <w:color w:val="auto"/>
                              </w:rPr>
                              <w:t>495 762 317</w:t>
                            </w:r>
                          </w:p>
                          <w:p w14:paraId="13033A50" w14:textId="77777777" w:rsidR="00EA74DB" w:rsidRPr="004A61C5" w:rsidRDefault="00EA74DB" w:rsidP="000B30FA">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7DE0CB3A" w14:textId="77777777" w:rsidR="00EA74DB" w:rsidRPr="004A61C5" w:rsidRDefault="00EA74DB" w:rsidP="000B30FA">
                            <w:pPr>
                              <w:pStyle w:val="TLKontakty"/>
                              <w:spacing w:after="80" w:line="240" w:lineRule="auto"/>
                              <w:rPr>
                                <w:color w:val="auto"/>
                              </w:rPr>
                            </w:pPr>
                          </w:p>
                          <w:p w14:paraId="33E16ACE" w14:textId="77777777" w:rsidR="00EA74DB" w:rsidRPr="004A61C5" w:rsidRDefault="00EA74DB" w:rsidP="000B30FA">
                            <w:pPr>
                              <w:pStyle w:val="TLKontakty"/>
                              <w:spacing w:after="80" w:line="240" w:lineRule="auto"/>
                              <w:rPr>
                                <w:b w:val="0"/>
                                <w:color w:val="auto"/>
                              </w:rPr>
                            </w:pPr>
                            <w:r w:rsidRPr="00D66223">
                              <w:t>Pardubice</w:t>
                            </w:r>
                            <w:r w:rsidRPr="004A61C5">
                              <w:rPr>
                                <w:b w:val="0"/>
                                <w:color w:val="auto"/>
                              </w:rPr>
                              <w:t xml:space="preserve"> | V Ráji 872, 531 53 Pardubice</w:t>
                            </w:r>
                            <w:r>
                              <w:rPr>
                                <w:b w:val="0"/>
                                <w:color w:val="auto"/>
                              </w:rPr>
                              <w:t xml:space="preserve">, </w:t>
                            </w:r>
                            <w:r w:rsidRPr="004A61C5">
                              <w:rPr>
                                <w:b w:val="0"/>
                                <w:color w:val="auto"/>
                              </w:rPr>
                              <w:t>tel.</w:t>
                            </w:r>
                            <w:r>
                              <w:rPr>
                                <w:b w:val="0"/>
                                <w:color w:val="auto"/>
                              </w:rPr>
                              <w:t>:</w:t>
                            </w:r>
                            <w:r w:rsidRPr="004A61C5">
                              <w:rPr>
                                <w:b w:val="0"/>
                                <w:color w:val="auto"/>
                              </w:rPr>
                              <w:t xml:space="preserve"> 466 743 480, 466 743 418</w:t>
                            </w:r>
                          </w:p>
                          <w:p w14:paraId="69CB28B1" w14:textId="77777777" w:rsidR="00EA74DB" w:rsidRPr="004A61C5" w:rsidRDefault="00EA74DB" w:rsidP="000B30FA">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31E4EF8F" w14:textId="77777777" w:rsidR="00EA74DB" w:rsidRPr="004A61C5" w:rsidRDefault="00EA74DB" w:rsidP="000B30FA">
                            <w:pPr>
                              <w:pStyle w:val="TLKontakty"/>
                              <w:spacing w:after="80" w:line="240" w:lineRule="auto"/>
                              <w:rPr>
                                <w:b w:val="0"/>
                                <w:color w:val="auto"/>
                              </w:rPr>
                            </w:pPr>
                          </w:p>
                          <w:p w14:paraId="36C711F3" w14:textId="77777777" w:rsidR="00EA74DB" w:rsidRPr="004A61C5" w:rsidRDefault="00EA74DB" w:rsidP="000B30FA">
                            <w:pPr>
                              <w:pStyle w:val="TLKontakty"/>
                              <w:spacing w:after="80" w:line="240" w:lineRule="auto"/>
                              <w:rPr>
                                <w:b w:val="0"/>
                                <w:color w:val="auto"/>
                              </w:rPr>
                            </w:pPr>
                            <w:r w:rsidRPr="00D66223">
                              <w:t>Jihlava</w:t>
                            </w:r>
                            <w:r w:rsidRPr="004A61C5">
                              <w:rPr>
                                <w:b w:val="0"/>
                                <w:color w:val="auto"/>
                              </w:rPr>
                              <w:t xml:space="preserve"> | Ke Skalce 30,</w:t>
                            </w:r>
                            <w:r>
                              <w:rPr>
                                <w:b w:val="0"/>
                                <w:color w:val="auto"/>
                              </w:rPr>
                              <w:t xml:space="preserve"> 586 01 Jihlava, tel.: </w:t>
                            </w:r>
                            <w:r w:rsidRPr="004A61C5">
                              <w:rPr>
                                <w:b w:val="0"/>
                                <w:color w:val="auto"/>
                              </w:rPr>
                              <w:t xml:space="preserve">567 109 </w:t>
                            </w:r>
                            <w:r w:rsidRPr="00BC731E">
                              <w:rPr>
                                <w:b w:val="0"/>
                                <w:color w:val="auto"/>
                              </w:rPr>
                              <w:t>062, 567 109 073</w:t>
                            </w:r>
                          </w:p>
                          <w:p w14:paraId="0E085852" w14:textId="77777777" w:rsidR="00EA74DB" w:rsidRPr="004A61C5" w:rsidRDefault="00EA74DB" w:rsidP="000B30FA">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7130E860" w14:textId="77777777" w:rsidR="00EA74DB" w:rsidRDefault="00EA74DB" w:rsidP="000B30FA">
                            <w:pPr>
                              <w:pStyle w:val="TLKontakty"/>
                              <w:spacing w:after="80" w:line="240" w:lineRule="auto"/>
                            </w:pPr>
                          </w:p>
                          <w:p w14:paraId="7C4F999E" w14:textId="77777777" w:rsidR="00EA74DB" w:rsidRPr="00BC731E" w:rsidRDefault="00EA74DB" w:rsidP="000B30FA">
                            <w:pPr>
                              <w:pStyle w:val="TLKontakty"/>
                              <w:spacing w:after="80" w:line="240" w:lineRule="auto"/>
                              <w:rPr>
                                <w:b w:val="0"/>
                                <w:color w:val="auto"/>
                              </w:rPr>
                            </w:pPr>
                            <w:r w:rsidRPr="00D66223">
                              <w:t>Brno</w:t>
                            </w:r>
                            <w:r w:rsidRPr="004A61C5">
                              <w:rPr>
                                <w:b w:val="0"/>
                                <w:color w:val="auto"/>
                              </w:rPr>
                              <w:t xml:space="preserve"> | Jezuitská 2, 601 59 Brno, </w:t>
                            </w:r>
                            <w:r>
                              <w:rPr>
                                <w:b w:val="0"/>
                                <w:color w:val="auto"/>
                              </w:rPr>
                              <w:t xml:space="preserve">tel: </w:t>
                            </w:r>
                            <w:r w:rsidRPr="004A61C5">
                              <w:rPr>
                                <w:b w:val="0"/>
                                <w:color w:val="auto"/>
                              </w:rPr>
                              <w:t xml:space="preserve">542 528 </w:t>
                            </w:r>
                            <w:r w:rsidRPr="00BC731E">
                              <w:rPr>
                                <w:b w:val="0"/>
                                <w:color w:val="auto"/>
                              </w:rPr>
                              <w:t>115, 542 528 200</w:t>
                            </w:r>
                          </w:p>
                          <w:p w14:paraId="14C52E39" w14:textId="77777777" w:rsidR="00EA74DB" w:rsidRPr="004A61C5" w:rsidRDefault="00EA74DB" w:rsidP="000B30FA">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6B8B02DE" w14:textId="77777777" w:rsidR="00EA74DB" w:rsidRPr="004A61C5" w:rsidRDefault="00EA74DB" w:rsidP="000B30FA">
                            <w:pPr>
                              <w:pStyle w:val="TLKontakty"/>
                              <w:spacing w:after="80" w:line="240" w:lineRule="auto"/>
                              <w:rPr>
                                <w:b w:val="0"/>
                                <w:color w:val="auto"/>
                              </w:rPr>
                            </w:pPr>
                          </w:p>
                          <w:p w14:paraId="4EF9E766" w14:textId="77777777" w:rsidR="00EA74DB" w:rsidRPr="005E7C78" w:rsidRDefault="00EA74DB" w:rsidP="000B30FA">
                            <w:pPr>
                              <w:pStyle w:val="TLKontakty"/>
                              <w:spacing w:after="80" w:line="240" w:lineRule="auto"/>
                              <w:rPr>
                                <w:b w:val="0"/>
                                <w:color w:val="auto"/>
                              </w:rPr>
                            </w:pPr>
                            <w:r w:rsidRPr="00D66223">
                              <w:t>Olomouc</w:t>
                            </w:r>
                            <w:r w:rsidRPr="005E7C78">
                              <w:rPr>
                                <w:b w:val="0"/>
                                <w:color w:val="auto"/>
                              </w:rPr>
                              <w:t xml:space="preserve"> | Jeremenkova 1142/42, 772 11 Olomouc, </w:t>
                            </w:r>
                            <w:r>
                              <w:rPr>
                                <w:b w:val="0"/>
                                <w:color w:val="auto"/>
                              </w:rPr>
                              <w:t xml:space="preserve">tel.: </w:t>
                            </w:r>
                            <w:r w:rsidRPr="005E7C78">
                              <w:rPr>
                                <w:b w:val="0"/>
                                <w:color w:val="auto"/>
                              </w:rPr>
                              <w:t xml:space="preserve">585 731 </w:t>
                            </w:r>
                            <w:r w:rsidRPr="00BC731E">
                              <w:rPr>
                                <w:b w:val="0"/>
                                <w:color w:val="auto"/>
                              </w:rPr>
                              <w:t>516, 585 731 511</w:t>
                            </w:r>
                          </w:p>
                          <w:p w14:paraId="642F0B7E" w14:textId="77777777" w:rsidR="00EA74DB" w:rsidRPr="005E7C78" w:rsidRDefault="00EA74DB" w:rsidP="000B30FA">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7BD8E000" w14:textId="77777777" w:rsidR="00EA74DB" w:rsidRPr="005E7C78" w:rsidRDefault="00EA74DB" w:rsidP="000B30FA">
                            <w:pPr>
                              <w:pStyle w:val="TLKontakty"/>
                              <w:spacing w:after="80" w:line="240" w:lineRule="auto"/>
                              <w:rPr>
                                <w:b w:val="0"/>
                                <w:color w:val="auto"/>
                              </w:rPr>
                            </w:pPr>
                          </w:p>
                          <w:p w14:paraId="4A164A2C" w14:textId="77777777" w:rsidR="00EA74DB" w:rsidRPr="005E7C78" w:rsidRDefault="00EA74DB" w:rsidP="000B30FA">
                            <w:pPr>
                              <w:pStyle w:val="TLKontakty"/>
                              <w:spacing w:after="80" w:line="240" w:lineRule="auto"/>
                              <w:rPr>
                                <w:b w:val="0"/>
                                <w:color w:val="auto"/>
                              </w:rPr>
                            </w:pPr>
                            <w:r w:rsidRPr="00D66223">
                              <w:t>Zlín</w:t>
                            </w:r>
                            <w:r w:rsidRPr="005E7C78">
                              <w:rPr>
                                <w:b w:val="0"/>
                                <w:color w:val="auto"/>
                              </w:rPr>
                              <w:t xml:space="preserve"> | tř. Tomáše Bati 1565, 761 76 Zlín, </w:t>
                            </w:r>
                            <w:r w:rsidRPr="00BC731E">
                              <w:rPr>
                                <w:b w:val="0"/>
                                <w:color w:val="auto"/>
                              </w:rPr>
                              <w:t>tel.: 577 004 932, 5</w:t>
                            </w:r>
                            <w:r w:rsidRPr="005E7C78">
                              <w:rPr>
                                <w:b w:val="0"/>
                                <w:color w:val="auto"/>
                              </w:rPr>
                              <w:t>77 004 935</w:t>
                            </w:r>
                          </w:p>
                          <w:p w14:paraId="542862A9" w14:textId="77777777" w:rsidR="00EA74DB" w:rsidRDefault="00EA74DB" w:rsidP="000B30FA">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2C5DBDB8" w14:textId="77777777" w:rsidR="00EA74DB" w:rsidRPr="005E7C78" w:rsidRDefault="00EA74DB" w:rsidP="000B30FA">
                            <w:pPr>
                              <w:pStyle w:val="TLKontakty"/>
                              <w:spacing w:after="80" w:line="240" w:lineRule="auto"/>
                              <w:rPr>
                                <w:b w:val="0"/>
                                <w:color w:val="auto"/>
                              </w:rPr>
                            </w:pPr>
                          </w:p>
                          <w:p w14:paraId="23440AE5" w14:textId="77777777" w:rsidR="00EA74DB" w:rsidRPr="005E7C78" w:rsidRDefault="00EA74DB" w:rsidP="000B30FA">
                            <w:pPr>
                              <w:pStyle w:val="TLKontakty"/>
                              <w:spacing w:after="80" w:line="240" w:lineRule="auto"/>
                              <w:rPr>
                                <w:b w:val="0"/>
                                <w:color w:val="auto"/>
                              </w:rPr>
                            </w:pPr>
                            <w:r w:rsidRPr="00D66223">
                              <w:t>Ostrava</w:t>
                            </w:r>
                            <w:r w:rsidRPr="005E7C78">
                              <w:rPr>
                                <w:b w:val="0"/>
                                <w:color w:val="auto"/>
                              </w:rPr>
                              <w:t xml:space="preserve"> | Repinova 17, 702 03 Ostrava,</w:t>
                            </w:r>
                            <w:r>
                              <w:rPr>
                                <w:b w:val="0"/>
                                <w:color w:val="auto"/>
                              </w:rPr>
                              <w:t xml:space="preserve"> tel: </w:t>
                            </w:r>
                            <w:r w:rsidRPr="005E7C78">
                              <w:rPr>
                                <w:b w:val="0"/>
                                <w:color w:val="auto"/>
                              </w:rPr>
                              <w:t>595 131 230, 595 131 232</w:t>
                            </w:r>
                          </w:p>
                          <w:p w14:paraId="0462BEDF" w14:textId="77777777" w:rsidR="00EA74DB" w:rsidRPr="0010437D" w:rsidRDefault="00EA74DB"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62F61C1" id="_x0000_s1030" type="#_x0000_t202" style="position:absolute;margin-left:57pt;margin-top:113.4pt;width:481.85pt;height:605.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" filled="f" stroked="f">
                <v:textbox style="mso-fit-shape-to-text:t" inset="0,0,0,0">
                  <w:txbxContent>
                    <w:p w14:paraId="6BCDE2D1" w14:textId="77777777" w:rsidR="00EA74DB" w:rsidRPr="006F5416" w:rsidRDefault="00EA74DB" w:rsidP="000B30FA">
                      <w:pPr>
                        <w:pStyle w:val="TLKontaktyerven"/>
                      </w:pPr>
                      <w:r w:rsidRPr="006F5416">
                        <w:t>KONTAKTY V ÚSTŘEDÍ</w:t>
                      </w:r>
                    </w:p>
                    <w:p w14:paraId="548368D5" w14:textId="77777777" w:rsidR="00EA74DB" w:rsidRPr="007D40DF" w:rsidRDefault="00EA74DB" w:rsidP="000B30FA">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14:paraId="5059856D" w14:textId="77777777" w:rsidR="00EA74DB" w:rsidRPr="00D235B7" w:rsidRDefault="00EA74DB" w:rsidP="000B30FA">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274 052 304, 274 052 451 | e-mail: infoservis@czso.cz</w:t>
                      </w:r>
                    </w:p>
                    <w:p w14:paraId="15607C78" w14:textId="77777777" w:rsidR="00EA74DB" w:rsidRPr="00D235B7" w:rsidRDefault="00EA74DB" w:rsidP="000B30FA">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274 052 361 | e-mail: prodejna@czso.cz</w:t>
                      </w:r>
                    </w:p>
                    <w:p w14:paraId="3193C137" w14:textId="77777777" w:rsidR="00EA74DB" w:rsidRPr="00D235B7" w:rsidRDefault="00EA74DB" w:rsidP="000B30FA">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274 052 347, 274 052 757 | e-mail: esds@czso.cz</w:t>
                      </w:r>
                    </w:p>
                    <w:p w14:paraId="0C68289C" w14:textId="77777777" w:rsidR="00EA74DB" w:rsidRPr="00D235B7" w:rsidRDefault="00EA74DB" w:rsidP="000B30FA">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274 052 361 | e-mail: knihovna@czso.cz</w:t>
                      </w:r>
                    </w:p>
                    <w:p w14:paraId="12EAA30B" w14:textId="77777777" w:rsidR="00EA74DB" w:rsidRPr="004A61C5" w:rsidRDefault="00EA74DB" w:rsidP="000B30FA">
                      <w:pPr>
                        <w:pStyle w:val="TLKontakty"/>
                        <w:spacing w:after="80" w:line="240" w:lineRule="auto"/>
                        <w:contextualSpacing w:val="0"/>
                        <w:rPr>
                          <w:color w:val="auto"/>
                        </w:rPr>
                      </w:pPr>
                    </w:p>
                    <w:p w14:paraId="4E7DA394" w14:textId="77777777" w:rsidR="00EA74DB" w:rsidRPr="00D66223" w:rsidRDefault="00EA74DB" w:rsidP="000B30FA">
                      <w:pPr>
                        <w:pStyle w:val="TLKontaktyerven"/>
                      </w:pPr>
                      <w:r w:rsidRPr="00D66223">
                        <w:t>INFORMAČNÍ SLUŽBY V REGIONECH</w:t>
                      </w:r>
                    </w:p>
                    <w:p w14:paraId="44F942A7" w14:textId="77777777" w:rsidR="00EA74DB" w:rsidRPr="00992CF3" w:rsidRDefault="00EA74DB" w:rsidP="000B30FA">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274 054 223</w:t>
                      </w:r>
                    </w:p>
                    <w:p w14:paraId="297ECB00" w14:textId="77777777" w:rsidR="00EA74DB" w:rsidRPr="00992CF3" w:rsidRDefault="00EA74DB" w:rsidP="000B30FA">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003E79AC" w14:textId="77777777" w:rsidR="00EA74DB" w:rsidRPr="004A61C5" w:rsidRDefault="00EA74DB" w:rsidP="000B30FA">
                      <w:pPr>
                        <w:pStyle w:val="TLKontakty"/>
                        <w:spacing w:after="80" w:line="240" w:lineRule="auto"/>
                        <w:rPr>
                          <w:color w:val="auto"/>
                        </w:rPr>
                      </w:pPr>
                    </w:p>
                    <w:p w14:paraId="77CE7793" w14:textId="77777777" w:rsidR="00EA74DB" w:rsidRPr="00992CF3" w:rsidRDefault="00EA74DB" w:rsidP="000B30FA">
                      <w:pPr>
                        <w:pStyle w:val="TLKontakty"/>
                        <w:spacing w:after="80" w:line="240" w:lineRule="auto"/>
                        <w:rPr>
                          <w:b w:val="0"/>
                          <w:color w:val="auto"/>
                        </w:rPr>
                      </w:pPr>
                      <w:r w:rsidRPr="00D66223">
                        <w:t>Středočeský kraj</w:t>
                      </w:r>
                      <w:r w:rsidRPr="00992CF3">
                        <w:rPr>
                          <w:b w:val="0"/>
                          <w:color w:val="auto"/>
                        </w:rPr>
                        <w:t xml:space="preserve"> | Na padesátém 81, 100 82 Praha 10, tel.</w:t>
                      </w:r>
                      <w:r>
                        <w:rPr>
                          <w:b w:val="0"/>
                          <w:color w:val="auto"/>
                        </w:rPr>
                        <w:t xml:space="preserve">: </w:t>
                      </w:r>
                      <w:r w:rsidRPr="00992CF3">
                        <w:rPr>
                          <w:b w:val="0"/>
                          <w:color w:val="auto"/>
                        </w:rPr>
                        <w:t>274 054 175</w:t>
                      </w:r>
                    </w:p>
                    <w:p w14:paraId="46CE362B" w14:textId="77777777" w:rsidR="00EA74DB" w:rsidRPr="00992CF3" w:rsidRDefault="00EA74DB" w:rsidP="000B30FA">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7000E9E8" w14:textId="77777777" w:rsidR="00EA74DB" w:rsidRPr="004A61C5" w:rsidRDefault="00EA74DB" w:rsidP="000B30FA">
                      <w:pPr>
                        <w:pStyle w:val="TLKontakty"/>
                        <w:spacing w:after="80" w:line="240" w:lineRule="auto"/>
                        <w:rPr>
                          <w:color w:val="auto"/>
                        </w:rPr>
                      </w:pPr>
                    </w:p>
                    <w:p w14:paraId="6E1A64C3" w14:textId="7F4549BC" w:rsidR="00EA74DB" w:rsidRPr="00992CF3" w:rsidRDefault="00EA74DB" w:rsidP="000B30FA">
                      <w:pPr>
                        <w:pStyle w:val="TLKontakty"/>
                        <w:spacing w:after="80" w:line="240" w:lineRule="auto"/>
                        <w:rPr>
                          <w:b w:val="0"/>
                          <w:color w:val="auto"/>
                        </w:rPr>
                      </w:pPr>
                      <w:r w:rsidRPr="00D66223">
                        <w:t>České Budějovice</w:t>
                      </w:r>
                      <w:r w:rsidRPr="00992CF3">
                        <w:rPr>
                          <w:b w:val="0"/>
                          <w:color w:val="auto"/>
                        </w:rPr>
                        <w:t xml:space="preserve"> | Žižkova 1</w:t>
                      </w:r>
                      <w:r>
                        <w:rPr>
                          <w:b w:val="0"/>
                          <w:color w:val="auto"/>
                        </w:rPr>
                        <w:t>914/1a</w:t>
                      </w:r>
                      <w:r w:rsidRPr="00992CF3">
                        <w:rPr>
                          <w:b w:val="0"/>
                          <w:color w:val="auto"/>
                        </w:rPr>
                        <w:t>, 370 77 České Budějovice</w:t>
                      </w:r>
                      <w:r>
                        <w:rPr>
                          <w:b w:val="0"/>
                          <w:color w:val="auto"/>
                        </w:rPr>
                        <w:t xml:space="preserve">, </w:t>
                      </w:r>
                      <w:r w:rsidRPr="00992CF3">
                        <w:rPr>
                          <w:b w:val="0"/>
                          <w:color w:val="auto"/>
                        </w:rPr>
                        <w:t>tel.</w:t>
                      </w:r>
                      <w:r>
                        <w:rPr>
                          <w:b w:val="0"/>
                          <w:color w:val="auto"/>
                        </w:rPr>
                        <w:t xml:space="preserve">: </w:t>
                      </w:r>
                      <w:r w:rsidRPr="00C0751E">
                        <w:rPr>
                          <w:b w:val="0"/>
                          <w:color w:val="auto"/>
                        </w:rPr>
                        <w:t>386 718 111</w:t>
                      </w:r>
                    </w:p>
                    <w:p w14:paraId="059873DF" w14:textId="77777777" w:rsidR="00EA74DB" w:rsidRPr="00992CF3" w:rsidRDefault="00EA74DB" w:rsidP="000B30FA">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44A1DC32" w14:textId="77777777" w:rsidR="00EA74DB" w:rsidRPr="004A61C5" w:rsidRDefault="00EA74DB" w:rsidP="000B30FA">
                      <w:pPr>
                        <w:pStyle w:val="TLKontakty"/>
                        <w:spacing w:after="80" w:line="240" w:lineRule="auto"/>
                        <w:rPr>
                          <w:color w:val="auto"/>
                        </w:rPr>
                      </w:pPr>
                    </w:p>
                    <w:p w14:paraId="10894E1F" w14:textId="77777777" w:rsidR="00EA74DB" w:rsidRPr="00BC731E" w:rsidRDefault="00EA74DB" w:rsidP="000B30FA">
                      <w:pPr>
                        <w:pStyle w:val="TLKontakty"/>
                        <w:spacing w:after="80" w:line="240" w:lineRule="auto"/>
                        <w:rPr>
                          <w:b w:val="0"/>
                          <w:color w:val="auto"/>
                        </w:rPr>
                      </w:pPr>
                      <w:r w:rsidRPr="00D66223">
                        <w:t>Plzeň</w:t>
                      </w:r>
                      <w:r w:rsidRPr="004A61C5">
                        <w:rPr>
                          <w:b w:val="0"/>
                          <w:color w:val="auto"/>
                        </w:rPr>
                        <w:t xml:space="preserve"> | Slovanská alej 36, 326 64 Plzeň</w:t>
                      </w:r>
                      <w:r>
                        <w:rPr>
                          <w:b w:val="0"/>
                          <w:color w:val="auto"/>
                        </w:rPr>
                        <w:t xml:space="preserve">, </w:t>
                      </w:r>
                      <w:r w:rsidRPr="004A61C5">
                        <w:rPr>
                          <w:b w:val="0"/>
                          <w:color w:val="auto"/>
                        </w:rPr>
                        <w:t>tel.</w:t>
                      </w:r>
                      <w:r>
                        <w:rPr>
                          <w:b w:val="0"/>
                          <w:color w:val="auto"/>
                        </w:rPr>
                        <w:t xml:space="preserve">: </w:t>
                      </w:r>
                      <w:r w:rsidRPr="004A61C5">
                        <w:rPr>
                          <w:b w:val="0"/>
                          <w:color w:val="auto"/>
                        </w:rPr>
                        <w:t>377 612 108</w:t>
                      </w:r>
                      <w:r w:rsidRPr="00BC731E">
                        <w:rPr>
                          <w:b w:val="0"/>
                          <w:color w:val="auto"/>
                        </w:rPr>
                        <w:t>, 377 612 145</w:t>
                      </w:r>
                    </w:p>
                    <w:p w14:paraId="7E86BA93" w14:textId="77777777" w:rsidR="00EA74DB" w:rsidRPr="004A61C5" w:rsidRDefault="00EA74DB" w:rsidP="000B30FA">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11B085E7" w14:textId="77777777" w:rsidR="00EA74DB" w:rsidRPr="004A61C5" w:rsidRDefault="00EA74DB" w:rsidP="000B30FA">
                      <w:pPr>
                        <w:pStyle w:val="TLKontakty"/>
                        <w:spacing w:after="80" w:line="240" w:lineRule="auto"/>
                        <w:rPr>
                          <w:color w:val="auto"/>
                        </w:rPr>
                      </w:pPr>
                    </w:p>
                    <w:p w14:paraId="3C0DA2FE" w14:textId="77777777" w:rsidR="00EA74DB" w:rsidRPr="004A61C5" w:rsidRDefault="00EA74DB" w:rsidP="000B30FA">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 360/94, 360 06 Karlovy Vary</w:t>
                      </w:r>
                      <w:r w:rsidRPr="004A61C5">
                        <w:rPr>
                          <w:b w:val="0"/>
                          <w:color w:val="auto"/>
                        </w:rPr>
                        <w:t>, tel.</w:t>
                      </w:r>
                      <w:r>
                        <w:rPr>
                          <w:b w:val="0"/>
                          <w:color w:val="auto"/>
                        </w:rPr>
                        <w:t xml:space="preserve">: </w:t>
                      </w:r>
                      <w:r w:rsidRPr="004A61C5">
                        <w:rPr>
                          <w:b w:val="0"/>
                          <w:color w:val="auto"/>
                        </w:rPr>
                        <w:t>353 114 529, 353 114 525</w:t>
                      </w:r>
                    </w:p>
                    <w:p w14:paraId="7232CD53" w14:textId="77777777" w:rsidR="00EA74DB" w:rsidRPr="004A61C5" w:rsidRDefault="00EA74DB" w:rsidP="000B30FA">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21FBEE4D" w14:textId="77777777" w:rsidR="00EA74DB" w:rsidRPr="004A61C5" w:rsidRDefault="00EA74DB" w:rsidP="000B30FA">
                      <w:pPr>
                        <w:pStyle w:val="TLKontakty"/>
                        <w:spacing w:after="80" w:line="240" w:lineRule="auto"/>
                        <w:rPr>
                          <w:color w:val="auto"/>
                        </w:rPr>
                      </w:pPr>
                    </w:p>
                    <w:p w14:paraId="58F1D145" w14:textId="77777777" w:rsidR="00EA74DB" w:rsidRPr="004A61C5" w:rsidRDefault="00EA74DB" w:rsidP="000B30FA">
                      <w:pPr>
                        <w:pStyle w:val="TLKontakty"/>
                        <w:spacing w:after="80" w:line="240" w:lineRule="auto"/>
                        <w:rPr>
                          <w:b w:val="0"/>
                          <w:color w:val="auto"/>
                        </w:rPr>
                      </w:pPr>
                      <w:r w:rsidRPr="00D66223">
                        <w:t>Ústí nad Labem</w:t>
                      </w:r>
                      <w:r w:rsidRPr="004A61C5">
                        <w:rPr>
                          <w:b w:val="0"/>
                          <w:color w:val="auto"/>
                        </w:rPr>
                        <w:t xml:space="preserve"> | Špálova 2684, 400 11 Ústí nad Labem</w:t>
                      </w:r>
                      <w:r>
                        <w:rPr>
                          <w:b w:val="0"/>
                          <w:color w:val="auto"/>
                        </w:rPr>
                        <w:t xml:space="preserve">, </w:t>
                      </w:r>
                      <w:r w:rsidRPr="004A61C5">
                        <w:rPr>
                          <w:b w:val="0"/>
                          <w:color w:val="auto"/>
                        </w:rPr>
                        <w:t>tel.</w:t>
                      </w:r>
                      <w:r>
                        <w:rPr>
                          <w:b w:val="0"/>
                          <w:color w:val="auto"/>
                        </w:rPr>
                        <w:t xml:space="preserve">: </w:t>
                      </w:r>
                      <w:r w:rsidRPr="004A61C5">
                        <w:rPr>
                          <w:b w:val="0"/>
                          <w:color w:val="auto"/>
                        </w:rPr>
                        <w:t>472 706 176,</w:t>
                      </w:r>
                      <w:r>
                        <w:rPr>
                          <w:b w:val="0"/>
                          <w:color w:val="auto"/>
                        </w:rPr>
                        <w:t xml:space="preserve"> </w:t>
                      </w:r>
                      <w:r w:rsidRPr="004A61C5">
                        <w:rPr>
                          <w:b w:val="0"/>
                          <w:color w:val="auto"/>
                        </w:rPr>
                        <w:t>472 706 121</w:t>
                      </w:r>
                    </w:p>
                    <w:p w14:paraId="4FF620FA" w14:textId="77777777" w:rsidR="00EA74DB" w:rsidRPr="004A61C5" w:rsidRDefault="00EA74DB" w:rsidP="000B30FA">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305BF9A7" w14:textId="77777777" w:rsidR="00EA74DB" w:rsidRPr="004A61C5" w:rsidRDefault="00EA74DB" w:rsidP="000B30FA">
                      <w:pPr>
                        <w:pStyle w:val="TLKontakty"/>
                        <w:spacing w:after="80" w:line="240" w:lineRule="auto"/>
                        <w:rPr>
                          <w:color w:val="auto"/>
                        </w:rPr>
                      </w:pPr>
                    </w:p>
                    <w:p w14:paraId="5385458C" w14:textId="77777777" w:rsidR="00EA74DB" w:rsidRPr="004A61C5" w:rsidRDefault="00EA74DB" w:rsidP="000B30FA">
                      <w:pPr>
                        <w:pStyle w:val="TLKontakty"/>
                        <w:spacing w:after="80" w:line="240" w:lineRule="auto"/>
                        <w:rPr>
                          <w:b w:val="0"/>
                          <w:color w:val="auto"/>
                        </w:rPr>
                      </w:pPr>
                      <w:r w:rsidRPr="00D66223">
                        <w:t>Liberec</w:t>
                      </w:r>
                      <w:r w:rsidRPr="004A61C5">
                        <w:rPr>
                          <w:b w:val="0"/>
                          <w:color w:val="auto"/>
                        </w:rPr>
                        <w:t xml:space="preserve"> | Nám. Dr. Edvarda Beneše 585/26, 460 01 Liberec 1, tel.</w:t>
                      </w:r>
                      <w:r>
                        <w:rPr>
                          <w:b w:val="0"/>
                          <w:color w:val="auto"/>
                        </w:rPr>
                        <w:t xml:space="preserve">: </w:t>
                      </w:r>
                      <w:r w:rsidRPr="004A61C5">
                        <w:rPr>
                          <w:b w:val="0"/>
                          <w:color w:val="auto"/>
                        </w:rPr>
                        <w:t>485 238 811</w:t>
                      </w:r>
                    </w:p>
                    <w:p w14:paraId="3AC9E972" w14:textId="77777777" w:rsidR="00EA74DB" w:rsidRPr="004A61C5" w:rsidRDefault="00EA74DB" w:rsidP="000B30FA">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6F0D8F3B" w14:textId="77777777" w:rsidR="00EA74DB" w:rsidRPr="004A61C5" w:rsidRDefault="00EA74DB" w:rsidP="000B30FA">
                      <w:pPr>
                        <w:pStyle w:val="TLKontakty"/>
                        <w:spacing w:after="80" w:line="240" w:lineRule="auto"/>
                        <w:rPr>
                          <w:b w:val="0"/>
                          <w:color w:val="auto"/>
                        </w:rPr>
                      </w:pPr>
                    </w:p>
                    <w:p w14:paraId="763CBBF2" w14:textId="77777777" w:rsidR="00EA74DB" w:rsidRPr="004A61C5" w:rsidRDefault="00EA74DB" w:rsidP="000B30FA">
                      <w:pPr>
                        <w:pStyle w:val="TLKontakty"/>
                        <w:spacing w:after="80" w:line="240" w:lineRule="auto"/>
                        <w:rPr>
                          <w:b w:val="0"/>
                          <w:color w:val="auto"/>
                        </w:rPr>
                      </w:pPr>
                      <w:r w:rsidRPr="00D66223">
                        <w:t>Hradec Králové</w:t>
                      </w:r>
                      <w:r w:rsidRPr="004A61C5">
                        <w:rPr>
                          <w:b w:val="0"/>
                          <w:color w:val="auto"/>
                        </w:rPr>
                        <w:t xml:space="preserve"> | Myslivečkova 914, 500 03 Hradec Králové 3, </w:t>
                      </w:r>
                      <w:r>
                        <w:rPr>
                          <w:b w:val="0"/>
                          <w:color w:val="auto"/>
                        </w:rPr>
                        <w:t>tel.</w:t>
                      </w:r>
                      <w:r w:rsidRPr="007D40DF">
                        <w:rPr>
                          <w:b w:val="0"/>
                          <w:color w:val="auto"/>
                        </w:rPr>
                        <w:t>:</w:t>
                      </w:r>
                      <w:r>
                        <w:rPr>
                          <w:b w:val="0"/>
                          <w:color w:val="auto"/>
                        </w:rPr>
                        <w:t xml:space="preserve"> </w:t>
                      </w:r>
                      <w:r w:rsidRPr="004A61C5">
                        <w:rPr>
                          <w:b w:val="0"/>
                          <w:color w:val="auto"/>
                        </w:rPr>
                        <w:t>495 762 322,</w:t>
                      </w:r>
                      <w:r>
                        <w:rPr>
                          <w:b w:val="0"/>
                          <w:color w:val="auto"/>
                        </w:rPr>
                        <w:t xml:space="preserve"> </w:t>
                      </w:r>
                      <w:r w:rsidRPr="004A61C5">
                        <w:rPr>
                          <w:b w:val="0"/>
                          <w:color w:val="auto"/>
                        </w:rPr>
                        <w:t>495 762 317</w:t>
                      </w:r>
                    </w:p>
                    <w:p w14:paraId="13033A50" w14:textId="77777777" w:rsidR="00EA74DB" w:rsidRPr="004A61C5" w:rsidRDefault="00EA74DB" w:rsidP="000B30FA">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7DE0CB3A" w14:textId="77777777" w:rsidR="00EA74DB" w:rsidRPr="004A61C5" w:rsidRDefault="00EA74DB" w:rsidP="000B30FA">
                      <w:pPr>
                        <w:pStyle w:val="TLKontakty"/>
                        <w:spacing w:after="80" w:line="240" w:lineRule="auto"/>
                        <w:rPr>
                          <w:color w:val="auto"/>
                        </w:rPr>
                      </w:pPr>
                    </w:p>
                    <w:p w14:paraId="33E16ACE" w14:textId="77777777" w:rsidR="00EA74DB" w:rsidRPr="004A61C5" w:rsidRDefault="00EA74DB" w:rsidP="000B30FA">
                      <w:pPr>
                        <w:pStyle w:val="TLKontakty"/>
                        <w:spacing w:after="80" w:line="240" w:lineRule="auto"/>
                        <w:rPr>
                          <w:b w:val="0"/>
                          <w:color w:val="auto"/>
                        </w:rPr>
                      </w:pPr>
                      <w:r w:rsidRPr="00D66223">
                        <w:t>Pardubice</w:t>
                      </w:r>
                      <w:r w:rsidRPr="004A61C5">
                        <w:rPr>
                          <w:b w:val="0"/>
                          <w:color w:val="auto"/>
                        </w:rPr>
                        <w:t xml:space="preserve"> | V Ráji 872, 531 53 Pardubice</w:t>
                      </w:r>
                      <w:r>
                        <w:rPr>
                          <w:b w:val="0"/>
                          <w:color w:val="auto"/>
                        </w:rPr>
                        <w:t xml:space="preserve">, </w:t>
                      </w:r>
                      <w:r w:rsidRPr="004A61C5">
                        <w:rPr>
                          <w:b w:val="0"/>
                          <w:color w:val="auto"/>
                        </w:rPr>
                        <w:t>tel.</w:t>
                      </w:r>
                      <w:r>
                        <w:rPr>
                          <w:b w:val="0"/>
                          <w:color w:val="auto"/>
                        </w:rPr>
                        <w:t>:</w:t>
                      </w:r>
                      <w:r w:rsidRPr="004A61C5">
                        <w:rPr>
                          <w:b w:val="0"/>
                          <w:color w:val="auto"/>
                        </w:rPr>
                        <w:t xml:space="preserve"> 466 743 480, 466 743 418</w:t>
                      </w:r>
                    </w:p>
                    <w:p w14:paraId="69CB28B1" w14:textId="77777777" w:rsidR="00EA74DB" w:rsidRPr="004A61C5" w:rsidRDefault="00EA74DB" w:rsidP="000B30FA">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31E4EF8F" w14:textId="77777777" w:rsidR="00EA74DB" w:rsidRPr="004A61C5" w:rsidRDefault="00EA74DB" w:rsidP="000B30FA">
                      <w:pPr>
                        <w:pStyle w:val="TLKontakty"/>
                        <w:spacing w:after="80" w:line="240" w:lineRule="auto"/>
                        <w:rPr>
                          <w:b w:val="0"/>
                          <w:color w:val="auto"/>
                        </w:rPr>
                      </w:pPr>
                    </w:p>
                    <w:p w14:paraId="36C711F3" w14:textId="77777777" w:rsidR="00EA74DB" w:rsidRPr="004A61C5" w:rsidRDefault="00EA74DB" w:rsidP="000B30FA">
                      <w:pPr>
                        <w:pStyle w:val="TLKontakty"/>
                        <w:spacing w:after="80" w:line="240" w:lineRule="auto"/>
                        <w:rPr>
                          <w:b w:val="0"/>
                          <w:color w:val="auto"/>
                        </w:rPr>
                      </w:pPr>
                      <w:r w:rsidRPr="00D66223">
                        <w:t>Jihlava</w:t>
                      </w:r>
                      <w:r w:rsidRPr="004A61C5">
                        <w:rPr>
                          <w:b w:val="0"/>
                          <w:color w:val="auto"/>
                        </w:rPr>
                        <w:t xml:space="preserve"> | Ke Skalce 30,</w:t>
                      </w:r>
                      <w:r>
                        <w:rPr>
                          <w:b w:val="0"/>
                          <w:color w:val="auto"/>
                        </w:rPr>
                        <w:t xml:space="preserve"> 586 01 Jihlava, tel.: </w:t>
                      </w:r>
                      <w:r w:rsidRPr="004A61C5">
                        <w:rPr>
                          <w:b w:val="0"/>
                          <w:color w:val="auto"/>
                        </w:rPr>
                        <w:t xml:space="preserve">567 109 </w:t>
                      </w:r>
                      <w:r w:rsidRPr="00BC731E">
                        <w:rPr>
                          <w:b w:val="0"/>
                          <w:color w:val="auto"/>
                        </w:rPr>
                        <w:t>062, 567 109 073</w:t>
                      </w:r>
                    </w:p>
                    <w:p w14:paraId="0E085852" w14:textId="77777777" w:rsidR="00EA74DB" w:rsidRPr="004A61C5" w:rsidRDefault="00EA74DB" w:rsidP="000B30FA">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7130E860" w14:textId="77777777" w:rsidR="00EA74DB" w:rsidRDefault="00EA74DB" w:rsidP="000B30FA">
                      <w:pPr>
                        <w:pStyle w:val="TLKontakty"/>
                        <w:spacing w:after="80" w:line="240" w:lineRule="auto"/>
                      </w:pPr>
                    </w:p>
                    <w:p w14:paraId="7C4F999E" w14:textId="77777777" w:rsidR="00EA74DB" w:rsidRPr="00BC731E" w:rsidRDefault="00EA74DB" w:rsidP="000B30FA">
                      <w:pPr>
                        <w:pStyle w:val="TLKontakty"/>
                        <w:spacing w:after="80" w:line="240" w:lineRule="auto"/>
                        <w:rPr>
                          <w:b w:val="0"/>
                          <w:color w:val="auto"/>
                        </w:rPr>
                      </w:pPr>
                      <w:r w:rsidRPr="00D66223">
                        <w:t>Brno</w:t>
                      </w:r>
                      <w:r w:rsidRPr="004A61C5">
                        <w:rPr>
                          <w:b w:val="0"/>
                          <w:color w:val="auto"/>
                        </w:rPr>
                        <w:t xml:space="preserve"> | Jezuitská 2, 601 59 Brno, </w:t>
                      </w:r>
                      <w:r>
                        <w:rPr>
                          <w:b w:val="0"/>
                          <w:color w:val="auto"/>
                        </w:rPr>
                        <w:t xml:space="preserve">tel: </w:t>
                      </w:r>
                      <w:r w:rsidRPr="004A61C5">
                        <w:rPr>
                          <w:b w:val="0"/>
                          <w:color w:val="auto"/>
                        </w:rPr>
                        <w:t xml:space="preserve">542 528 </w:t>
                      </w:r>
                      <w:r w:rsidRPr="00BC731E">
                        <w:rPr>
                          <w:b w:val="0"/>
                          <w:color w:val="auto"/>
                        </w:rPr>
                        <w:t>115, 542 528 200</w:t>
                      </w:r>
                    </w:p>
                    <w:p w14:paraId="14C52E39" w14:textId="77777777" w:rsidR="00EA74DB" w:rsidRPr="004A61C5" w:rsidRDefault="00EA74DB" w:rsidP="000B30FA">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6B8B02DE" w14:textId="77777777" w:rsidR="00EA74DB" w:rsidRPr="004A61C5" w:rsidRDefault="00EA74DB" w:rsidP="000B30FA">
                      <w:pPr>
                        <w:pStyle w:val="TLKontakty"/>
                        <w:spacing w:after="80" w:line="240" w:lineRule="auto"/>
                        <w:rPr>
                          <w:b w:val="0"/>
                          <w:color w:val="auto"/>
                        </w:rPr>
                      </w:pPr>
                    </w:p>
                    <w:p w14:paraId="4EF9E766" w14:textId="77777777" w:rsidR="00EA74DB" w:rsidRPr="005E7C78" w:rsidRDefault="00EA74DB" w:rsidP="000B30FA">
                      <w:pPr>
                        <w:pStyle w:val="TLKontakty"/>
                        <w:spacing w:after="80" w:line="240" w:lineRule="auto"/>
                        <w:rPr>
                          <w:b w:val="0"/>
                          <w:color w:val="auto"/>
                        </w:rPr>
                      </w:pPr>
                      <w:r w:rsidRPr="00D66223">
                        <w:t>Olomouc</w:t>
                      </w:r>
                      <w:r w:rsidRPr="005E7C78">
                        <w:rPr>
                          <w:b w:val="0"/>
                          <w:color w:val="auto"/>
                        </w:rPr>
                        <w:t xml:space="preserve"> | Jeremenkova 1142/42, 772 11 Olomouc, </w:t>
                      </w:r>
                      <w:r>
                        <w:rPr>
                          <w:b w:val="0"/>
                          <w:color w:val="auto"/>
                        </w:rPr>
                        <w:t xml:space="preserve">tel.: </w:t>
                      </w:r>
                      <w:r w:rsidRPr="005E7C78">
                        <w:rPr>
                          <w:b w:val="0"/>
                          <w:color w:val="auto"/>
                        </w:rPr>
                        <w:t xml:space="preserve">585 731 </w:t>
                      </w:r>
                      <w:r w:rsidRPr="00BC731E">
                        <w:rPr>
                          <w:b w:val="0"/>
                          <w:color w:val="auto"/>
                        </w:rPr>
                        <w:t>516, 585 731 511</w:t>
                      </w:r>
                    </w:p>
                    <w:p w14:paraId="642F0B7E" w14:textId="77777777" w:rsidR="00EA74DB" w:rsidRPr="005E7C78" w:rsidRDefault="00EA74DB" w:rsidP="000B30FA">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7BD8E000" w14:textId="77777777" w:rsidR="00EA74DB" w:rsidRPr="005E7C78" w:rsidRDefault="00EA74DB" w:rsidP="000B30FA">
                      <w:pPr>
                        <w:pStyle w:val="TLKontakty"/>
                        <w:spacing w:after="80" w:line="240" w:lineRule="auto"/>
                        <w:rPr>
                          <w:b w:val="0"/>
                          <w:color w:val="auto"/>
                        </w:rPr>
                      </w:pPr>
                    </w:p>
                    <w:p w14:paraId="4A164A2C" w14:textId="77777777" w:rsidR="00EA74DB" w:rsidRPr="005E7C78" w:rsidRDefault="00EA74DB" w:rsidP="000B30FA">
                      <w:pPr>
                        <w:pStyle w:val="TLKontakty"/>
                        <w:spacing w:after="80" w:line="240" w:lineRule="auto"/>
                        <w:rPr>
                          <w:b w:val="0"/>
                          <w:color w:val="auto"/>
                        </w:rPr>
                      </w:pPr>
                      <w:r w:rsidRPr="00D66223">
                        <w:t>Zlín</w:t>
                      </w:r>
                      <w:r w:rsidRPr="005E7C78">
                        <w:rPr>
                          <w:b w:val="0"/>
                          <w:color w:val="auto"/>
                        </w:rPr>
                        <w:t xml:space="preserve"> | tř. Tomáše Bati 1565, 761 76 Zlín, </w:t>
                      </w:r>
                      <w:r w:rsidRPr="00BC731E">
                        <w:rPr>
                          <w:b w:val="0"/>
                          <w:color w:val="auto"/>
                        </w:rPr>
                        <w:t>tel.: 577 004 932, 5</w:t>
                      </w:r>
                      <w:r w:rsidRPr="005E7C78">
                        <w:rPr>
                          <w:b w:val="0"/>
                          <w:color w:val="auto"/>
                        </w:rPr>
                        <w:t>77 004 935</w:t>
                      </w:r>
                    </w:p>
                    <w:p w14:paraId="542862A9" w14:textId="77777777" w:rsidR="00EA74DB" w:rsidRDefault="00EA74DB" w:rsidP="000B30FA">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2C5DBDB8" w14:textId="77777777" w:rsidR="00EA74DB" w:rsidRPr="005E7C78" w:rsidRDefault="00EA74DB" w:rsidP="000B30FA">
                      <w:pPr>
                        <w:pStyle w:val="TLKontakty"/>
                        <w:spacing w:after="80" w:line="240" w:lineRule="auto"/>
                        <w:rPr>
                          <w:b w:val="0"/>
                          <w:color w:val="auto"/>
                        </w:rPr>
                      </w:pPr>
                    </w:p>
                    <w:p w14:paraId="23440AE5" w14:textId="77777777" w:rsidR="00EA74DB" w:rsidRPr="005E7C78" w:rsidRDefault="00EA74DB" w:rsidP="000B30FA">
                      <w:pPr>
                        <w:pStyle w:val="TLKontakty"/>
                        <w:spacing w:after="80" w:line="240" w:lineRule="auto"/>
                        <w:rPr>
                          <w:b w:val="0"/>
                          <w:color w:val="auto"/>
                        </w:rPr>
                      </w:pPr>
                      <w:r w:rsidRPr="00D66223">
                        <w:t>Ostrava</w:t>
                      </w:r>
                      <w:r w:rsidRPr="005E7C78">
                        <w:rPr>
                          <w:b w:val="0"/>
                          <w:color w:val="auto"/>
                        </w:rPr>
                        <w:t xml:space="preserve"> | Repinova 17, 702 03 Ostrava,</w:t>
                      </w:r>
                      <w:r>
                        <w:rPr>
                          <w:b w:val="0"/>
                          <w:color w:val="auto"/>
                        </w:rPr>
                        <w:t xml:space="preserve"> tel: </w:t>
                      </w:r>
                      <w:r w:rsidRPr="005E7C78">
                        <w:rPr>
                          <w:b w:val="0"/>
                          <w:color w:val="auto"/>
                        </w:rPr>
                        <w:t>595 131 230, 595 131 232</w:t>
                      </w:r>
                    </w:p>
                    <w:p w14:paraId="0462BEDF" w14:textId="77777777" w:rsidR="00EA74DB" w:rsidRPr="0010437D" w:rsidRDefault="00EA74DB"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v:textbox>
                <w10:wrap anchorx="page" anchory="page"/>
                <w10:anchorlock/>
              </v:shape>
            </w:pict>
          </mc:Fallback>
        </mc:AlternateContent>
      </w:r>
      <w:r>
        <w:rPr>
          <w:noProof/>
        </w:rPr>
        <mc:AlternateContent>
          <mc:Choice Requires="wps">
            <w:drawing>
              <wp:anchor distT="0" distB="0" distL="114300" distR="114300" simplePos="0" relativeHeight="251661824" behindDoc="0" locked="1" layoutInCell="1" allowOverlap="1" wp14:anchorId="7C89CB92" wp14:editId="4D538C50">
                <wp:simplePos x="0" y="0"/>
                <wp:positionH relativeFrom="page">
                  <wp:posOffset>720090</wp:posOffset>
                </wp:positionH>
                <wp:positionV relativeFrom="page">
                  <wp:posOffset>9486900</wp:posOffset>
                </wp:positionV>
                <wp:extent cx="6120130" cy="360045"/>
                <wp:effectExtent l="0" t="0" r="1270" b="20955"/>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C242D1" w14:textId="77777777" w:rsidR="00EA74DB" w:rsidRPr="004924DC" w:rsidRDefault="00EA74DB" w:rsidP="00774CE9">
                            <w:r w:rsidRPr="00321924">
                              <w:br/>
                            </w:r>
                            <w:r w:rsidRPr="004924DC">
                              <w:t xml:space="preserve">© Český statistický úřad, </w:t>
                            </w:r>
                            <w:r>
                              <w:t>Praha</w:t>
                            </w:r>
                            <w:r w:rsidRPr="004924DC">
                              <w:t xml:space="preserve">, </w:t>
                            </w:r>
                            <w:r>
                              <w:t>2024</w:t>
                            </w:r>
                          </w:p>
                          <w:p w14:paraId="0A8A4670" w14:textId="77777777" w:rsidR="00EA74DB" w:rsidRPr="00321924" w:rsidRDefault="00EA74DB" w:rsidP="008F029B"/>
                          <w:p w14:paraId="75BCE990" w14:textId="77777777" w:rsidR="00EA74DB" w:rsidRDefault="00EA74DB"/>
                          <w:p w14:paraId="6B591FF6" w14:textId="77777777" w:rsidR="00EA74DB" w:rsidRPr="00841D9F" w:rsidRDefault="00EA74DB" w:rsidP="000A3A2C">
                            <w:r w:rsidRPr="00841D9F">
                              <w:rPr>
                                <w:szCs w:val="26"/>
                              </w:rPr>
                              <w:t xml:space="preserve">ISBN XX-XXXX-XXX-X  </w:t>
                            </w:r>
                            <w:r w:rsidRPr="00841D9F">
                              <w:t>(pouze u nepravidelných a ročních publikací)</w:t>
                            </w:r>
                          </w:p>
                          <w:p w14:paraId="552C1AE0" w14:textId="77777777" w:rsidR="00EA74DB" w:rsidRPr="00AF2852" w:rsidRDefault="00EA74DB" w:rsidP="000A3A2C">
                            <w:r w:rsidRPr="00841D9F">
                              <w:t>© Český sta</w:t>
                            </w:r>
                            <w:r>
                              <w:t xml:space="preserve">tistický úřad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89CB92" id="_x0000_s1031" type="#_x0000_t202" style="position:absolute;margin-left:56.7pt;margin-top:747pt;width:481.9pt;height:28.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" filled="f" stroked="f">
                <v:textbox inset="0,0,0,0">
                  <w:txbxContent>
                    <w:p w14:paraId="6FC242D1" w14:textId="77777777" w:rsidR="00EA74DB" w:rsidRPr="004924DC" w:rsidRDefault="00EA74DB" w:rsidP="00774CE9">
                      <w:r w:rsidRPr="00321924">
                        <w:br/>
                      </w:r>
                      <w:r w:rsidRPr="004924DC">
                        <w:t xml:space="preserve">© Český statistický úřad, </w:t>
                      </w:r>
                      <w:r>
                        <w:t>Praha</w:t>
                      </w:r>
                      <w:r w:rsidRPr="004924DC">
                        <w:t xml:space="preserve">, </w:t>
                      </w:r>
                      <w:r>
                        <w:t>2024</w:t>
                      </w:r>
                    </w:p>
                    <w:p w14:paraId="0A8A4670" w14:textId="77777777" w:rsidR="00EA74DB" w:rsidRPr="00321924" w:rsidRDefault="00EA74DB" w:rsidP="008F029B"/>
                    <w:p w14:paraId="75BCE990" w14:textId="77777777" w:rsidR="00EA74DB" w:rsidRDefault="00EA74DB"/>
                    <w:p w14:paraId="6B591FF6" w14:textId="77777777" w:rsidR="00EA74DB" w:rsidRPr="00841D9F" w:rsidRDefault="00EA74DB" w:rsidP="000A3A2C">
                      <w:r w:rsidRPr="00841D9F">
                        <w:rPr>
                          <w:szCs w:val="26"/>
                        </w:rPr>
                        <w:t xml:space="preserve">ISBN XX-XXXX-XXX-X  </w:t>
                      </w:r>
                      <w:r w:rsidRPr="00841D9F">
                        <w:t>(pouze u nepravidelných a ročních publikací)</w:t>
                      </w:r>
                    </w:p>
                    <w:p w14:paraId="552C1AE0" w14:textId="77777777" w:rsidR="00EA74DB" w:rsidRPr="00AF2852" w:rsidRDefault="00EA74DB" w:rsidP="000A3A2C">
                      <w:r w:rsidRPr="00841D9F">
                        <w:t>© Český sta</w:t>
                      </w:r>
                      <w:r>
                        <w:t xml:space="preserve">tistický úřad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v:textbox>
                <w10:wrap anchorx="page" anchory="page"/>
                <w10:anchorlock/>
              </v:shape>
            </w:pict>
          </mc:Fallback>
        </mc:AlternateContent>
      </w:r>
      <w:r>
        <w:rPr>
          <w:noProof/>
        </w:rPr>
        <mc:AlternateContent>
          <mc:Choice Requires="wps">
            <w:drawing>
              <wp:anchor distT="0" distB="0" distL="114300" distR="114300" simplePos="0" relativeHeight="251660800" behindDoc="0" locked="1" layoutInCell="1" allowOverlap="1" wp14:anchorId="193AB59A" wp14:editId="7C5594EE">
                <wp:simplePos x="0" y="0"/>
                <wp:positionH relativeFrom="page">
                  <wp:posOffset>723265</wp:posOffset>
                </wp:positionH>
                <wp:positionV relativeFrom="page">
                  <wp:posOffset>723265</wp:posOffset>
                </wp:positionV>
                <wp:extent cx="6119495" cy="572770"/>
                <wp:effectExtent l="0" t="0" r="254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727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8F59B0" w14:textId="77777777" w:rsidR="00EA74DB" w:rsidRPr="009A1902" w:rsidRDefault="00EA74DB" w:rsidP="000A3A2C">
                            <w:pPr>
                              <w:rPr>
                                <w:b/>
                                <w:bCs/>
                                <w:i/>
                                <w:sz w:val="24"/>
                              </w:rPr>
                            </w:pPr>
                            <w:r w:rsidRPr="00B95F50">
                              <w:rPr>
                                <w:b/>
                                <w:color w:val="0071BC"/>
                                <w:sz w:val="24"/>
                              </w:rPr>
                              <w:t xml:space="preserve">Zajímají Vás nejnovější údaje o inflaci, HDP, obyvatelstvu, průměrných mzdách </w:t>
                            </w:r>
                            <w:r>
                              <w:rPr>
                                <w:b/>
                                <w:color w:val="0071BC"/>
                                <w:sz w:val="24"/>
                              </w:rPr>
                              <w:br/>
                            </w:r>
                            <w:r w:rsidRPr="00B95F50">
                              <w:rPr>
                                <w:b/>
                                <w:color w:val="0071BC"/>
                                <w:sz w:val="24"/>
                              </w:rPr>
                              <w:t xml:space="preserve">a mnohé další? Najdete je na stránkách ČSÚ na internetu: </w:t>
                            </w:r>
                            <w:r>
                              <w:rPr>
                                <w:b/>
                                <w:bCs/>
                                <w:sz w:val="24"/>
                              </w:rPr>
                              <w:t>www.czso.cz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3AB59A" id="_x0000_s1032" type="#_x0000_t202" style="position:absolute;margin-left:56.95pt;margin-top:56.95pt;width:481.85pt;height:45.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" filled="f" stroked="f">
                <v:textbox style="mso-fit-shape-to-text:t" inset="0,0,0,0">
                  <w:txbxContent>
                    <w:p w14:paraId="338F59B0" w14:textId="77777777" w:rsidR="00EA74DB" w:rsidRPr="009A1902" w:rsidRDefault="00EA74DB" w:rsidP="000A3A2C">
                      <w:pPr>
                        <w:rPr>
                          <w:b/>
                          <w:bCs/>
                          <w:i/>
                          <w:sz w:val="24"/>
                        </w:rPr>
                      </w:pPr>
                      <w:r w:rsidRPr="00B95F50">
                        <w:rPr>
                          <w:b/>
                          <w:color w:val="0071BC"/>
                          <w:sz w:val="24"/>
                        </w:rPr>
                        <w:t xml:space="preserve">Zajímají Vás nejnovější údaje o inflaci, HDP, obyvatelstvu, průměrných mzdách </w:t>
                      </w:r>
                      <w:r>
                        <w:rPr>
                          <w:b/>
                          <w:color w:val="0071BC"/>
                          <w:sz w:val="24"/>
                        </w:rPr>
                        <w:br/>
                      </w:r>
                      <w:r w:rsidRPr="00B95F50">
                        <w:rPr>
                          <w:b/>
                          <w:color w:val="0071BC"/>
                          <w:sz w:val="24"/>
                        </w:rPr>
                        <w:t xml:space="preserve">a mnohé další? Najdete je na stránkách ČSÚ na internetu: </w:t>
                      </w:r>
                      <w:r>
                        <w:rPr>
                          <w:b/>
                          <w:bCs/>
                          <w:sz w:val="24"/>
                        </w:rPr>
                        <w:t>www.czso.cz</w:t>
                      </w:r>
                    </w:p>
                  </w:txbxContent>
                </v:textbox>
                <w10:wrap anchorx="page" anchory="page"/>
                <w10:anchorlock/>
              </v:shape>
            </w:pict>
          </mc:Fallback>
        </mc:AlternateContent>
      </w:r>
    </w:p>
    <w:p w14:paraId="337B6856" w14:textId="77777777" w:rsidR="00EE4B1B" w:rsidRPr="006F5416" w:rsidRDefault="00EE4B1B" w:rsidP="006F5416">
      <w:pPr>
        <w:pStyle w:val="Obsah"/>
      </w:pPr>
      <w:r w:rsidRPr="006F5416">
        <w:lastRenderedPageBreak/>
        <w:t>Obsah</w:t>
      </w:r>
    </w:p>
    <w:p w14:paraId="681C5819" w14:textId="73A8AE8D" w:rsidR="00EE7CF4" w:rsidRDefault="007A5557">
      <w:pPr>
        <w:pStyle w:val="Obsah2"/>
        <w:rPr>
          <w:rFonts w:asciiTheme="minorHAnsi" w:eastAsiaTheme="minorEastAsia" w:hAnsiTheme="minorHAnsi" w:cstheme="minorBidi"/>
          <w:noProof/>
          <w:sz w:val="22"/>
          <w:szCs w:val="22"/>
        </w:rPr>
      </w:pPr>
      <w:r>
        <w:rPr>
          <w:b/>
        </w:rPr>
        <w:fldChar w:fldCharType="begin"/>
      </w:r>
      <w:r>
        <w:rPr>
          <w:b/>
        </w:rPr>
        <w:instrText xml:space="preserve"> TOC \o "1-4" \h \z \u </w:instrText>
      </w:r>
      <w:r>
        <w:rPr>
          <w:b/>
        </w:rPr>
        <w:fldChar w:fldCharType="separate"/>
      </w:r>
      <w:hyperlink w:anchor="_Toc167965214" w:history="1">
        <w:r w:rsidR="00EE7CF4" w:rsidRPr="00B21203">
          <w:rPr>
            <w:rStyle w:val="Hypertextovodkaz"/>
            <w:noProof/>
          </w:rPr>
          <w:t>1. Úvod</w:t>
        </w:r>
        <w:r w:rsidR="00EE7CF4">
          <w:rPr>
            <w:noProof/>
            <w:webHidden/>
          </w:rPr>
          <w:tab/>
        </w:r>
        <w:r w:rsidR="00EE7CF4">
          <w:rPr>
            <w:noProof/>
            <w:webHidden/>
          </w:rPr>
          <w:fldChar w:fldCharType="begin"/>
        </w:r>
        <w:r w:rsidR="00EE7CF4">
          <w:rPr>
            <w:noProof/>
            <w:webHidden/>
          </w:rPr>
          <w:instrText xml:space="preserve"> PAGEREF _Toc167965214 \h </w:instrText>
        </w:r>
        <w:r w:rsidR="00EE7CF4">
          <w:rPr>
            <w:noProof/>
            <w:webHidden/>
          </w:rPr>
        </w:r>
        <w:r w:rsidR="00EE7CF4">
          <w:rPr>
            <w:noProof/>
            <w:webHidden/>
          </w:rPr>
          <w:fldChar w:fldCharType="separate"/>
        </w:r>
        <w:r w:rsidR="00EE7CF4">
          <w:rPr>
            <w:noProof/>
            <w:webHidden/>
          </w:rPr>
          <w:t>4</w:t>
        </w:r>
        <w:r w:rsidR="00EE7CF4">
          <w:rPr>
            <w:noProof/>
            <w:webHidden/>
          </w:rPr>
          <w:fldChar w:fldCharType="end"/>
        </w:r>
      </w:hyperlink>
    </w:p>
    <w:p w14:paraId="226CB616" w14:textId="5972A54A" w:rsidR="00EE7CF4" w:rsidRDefault="00EE7CF4">
      <w:pPr>
        <w:pStyle w:val="Obsah2"/>
        <w:rPr>
          <w:rFonts w:asciiTheme="minorHAnsi" w:eastAsiaTheme="minorEastAsia" w:hAnsiTheme="minorHAnsi" w:cstheme="minorBidi"/>
          <w:noProof/>
          <w:sz w:val="22"/>
          <w:szCs w:val="22"/>
        </w:rPr>
      </w:pPr>
      <w:hyperlink w:anchor="_Toc167965215" w:history="1">
        <w:r w:rsidRPr="00B21203">
          <w:rPr>
            <w:rStyle w:val="Hypertextovodkaz"/>
            <w:noProof/>
          </w:rPr>
          <w:t>2. Legislativní úprava nemocenského pojištění</w:t>
        </w:r>
        <w:r>
          <w:rPr>
            <w:noProof/>
            <w:webHidden/>
          </w:rPr>
          <w:tab/>
        </w:r>
        <w:r>
          <w:rPr>
            <w:noProof/>
            <w:webHidden/>
          </w:rPr>
          <w:fldChar w:fldCharType="begin"/>
        </w:r>
        <w:r>
          <w:rPr>
            <w:noProof/>
            <w:webHidden/>
          </w:rPr>
          <w:instrText xml:space="preserve"> PAGEREF _Toc167965215 \h </w:instrText>
        </w:r>
        <w:r>
          <w:rPr>
            <w:noProof/>
            <w:webHidden/>
          </w:rPr>
        </w:r>
        <w:r>
          <w:rPr>
            <w:noProof/>
            <w:webHidden/>
          </w:rPr>
          <w:fldChar w:fldCharType="separate"/>
        </w:r>
        <w:r>
          <w:rPr>
            <w:noProof/>
            <w:webHidden/>
          </w:rPr>
          <w:t>6</w:t>
        </w:r>
        <w:r>
          <w:rPr>
            <w:noProof/>
            <w:webHidden/>
          </w:rPr>
          <w:fldChar w:fldCharType="end"/>
        </w:r>
      </w:hyperlink>
    </w:p>
    <w:p w14:paraId="3F923F43" w14:textId="0D95D625" w:rsidR="00EE7CF4" w:rsidRDefault="00EE7CF4">
      <w:pPr>
        <w:pStyle w:val="Obsah3"/>
        <w:rPr>
          <w:rFonts w:asciiTheme="minorHAnsi" w:eastAsiaTheme="minorEastAsia" w:hAnsiTheme="minorHAnsi" w:cstheme="minorBidi"/>
          <w:noProof/>
          <w:sz w:val="22"/>
          <w:szCs w:val="22"/>
        </w:rPr>
      </w:pPr>
      <w:hyperlink w:anchor="_Toc167965216" w:history="1">
        <w:r w:rsidRPr="00B21203">
          <w:rPr>
            <w:rStyle w:val="Hypertextovodkaz"/>
            <w:noProof/>
          </w:rPr>
          <w:t>2.1 Účast na nemocenském pojištění</w:t>
        </w:r>
        <w:r>
          <w:rPr>
            <w:noProof/>
            <w:webHidden/>
          </w:rPr>
          <w:tab/>
        </w:r>
        <w:r>
          <w:rPr>
            <w:noProof/>
            <w:webHidden/>
          </w:rPr>
          <w:fldChar w:fldCharType="begin"/>
        </w:r>
        <w:r>
          <w:rPr>
            <w:noProof/>
            <w:webHidden/>
          </w:rPr>
          <w:instrText xml:space="preserve"> PAGEREF _Toc167965216 \h </w:instrText>
        </w:r>
        <w:r>
          <w:rPr>
            <w:noProof/>
            <w:webHidden/>
          </w:rPr>
        </w:r>
        <w:r>
          <w:rPr>
            <w:noProof/>
            <w:webHidden/>
          </w:rPr>
          <w:fldChar w:fldCharType="separate"/>
        </w:r>
        <w:r>
          <w:rPr>
            <w:noProof/>
            <w:webHidden/>
          </w:rPr>
          <w:t>6</w:t>
        </w:r>
        <w:r>
          <w:rPr>
            <w:noProof/>
            <w:webHidden/>
          </w:rPr>
          <w:fldChar w:fldCharType="end"/>
        </w:r>
      </w:hyperlink>
    </w:p>
    <w:p w14:paraId="6891BBF0" w14:textId="74987C31" w:rsidR="00EE7CF4" w:rsidRDefault="00EE7CF4">
      <w:pPr>
        <w:pStyle w:val="Obsah3"/>
        <w:rPr>
          <w:rFonts w:asciiTheme="minorHAnsi" w:eastAsiaTheme="minorEastAsia" w:hAnsiTheme="minorHAnsi" w:cstheme="minorBidi"/>
          <w:noProof/>
          <w:sz w:val="22"/>
          <w:szCs w:val="22"/>
        </w:rPr>
      </w:pPr>
      <w:hyperlink w:anchor="_Toc167965217" w:history="1">
        <w:r w:rsidRPr="00B21203">
          <w:rPr>
            <w:rStyle w:val="Hypertextovodkaz"/>
            <w:noProof/>
          </w:rPr>
          <w:t>2.2 Nemocenské</w:t>
        </w:r>
        <w:r>
          <w:rPr>
            <w:noProof/>
            <w:webHidden/>
          </w:rPr>
          <w:tab/>
        </w:r>
        <w:r>
          <w:rPr>
            <w:noProof/>
            <w:webHidden/>
          </w:rPr>
          <w:fldChar w:fldCharType="begin"/>
        </w:r>
        <w:r>
          <w:rPr>
            <w:noProof/>
            <w:webHidden/>
          </w:rPr>
          <w:instrText xml:space="preserve"> PAGEREF _Toc167965217 \h </w:instrText>
        </w:r>
        <w:r>
          <w:rPr>
            <w:noProof/>
            <w:webHidden/>
          </w:rPr>
        </w:r>
        <w:r>
          <w:rPr>
            <w:noProof/>
            <w:webHidden/>
          </w:rPr>
          <w:fldChar w:fldCharType="separate"/>
        </w:r>
        <w:r>
          <w:rPr>
            <w:noProof/>
            <w:webHidden/>
          </w:rPr>
          <w:t>7</w:t>
        </w:r>
        <w:r>
          <w:rPr>
            <w:noProof/>
            <w:webHidden/>
          </w:rPr>
          <w:fldChar w:fldCharType="end"/>
        </w:r>
      </w:hyperlink>
    </w:p>
    <w:p w14:paraId="39E3D4C8" w14:textId="54C6BC0E" w:rsidR="00EE7CF4" w:rsidRDefault="00EE7CF4">
      <w:pPr>
        <w:pStyle w:val="Obsah3"/>
        <w:rPr>
          <w:rFonts w:asciiTheme="minorHAnsi" w:eastAsiaTheme="minorEastAsia" w:hAnsiTheme="minorHAnsi" w:cstheme="minorBidi"/>
          <w:noProof/>
          <w:sz w:val="22"/>
          <w:szCs w:val="22"/>
        </w:rPr>
      </w:pPr>
      <w:hyperlink w:anchor="_Toc167965218" w:history="1">
        <w:r w:rsidRPr="00B21203">
          <w:rPr>
            <w:rStyle w:val="Hypertextovodkaz"/>
            <w:noProof/>
          </w:rPr>
          <w:t>2.3 Uplatnění nároku na dávku nemocenského</w:t>
        </w:r>
        <w:r>
          <w:rPr>
            <w:noProof/>
            <w:webHidden/>
          </w:rPr>
          <w:tab/>
        </w:r>
        <w:r>
          <w:rPr>
            <w:noProof/>
            <w:webHidden/>
          </w:rPr>
          <w:fldChar w:fldCharType="begin"/>
        </w:r>
        <w:r>
          <w:rPr>
            <w:noProof/>
            <w:webHidden/>
          </w:rPr>
          <w:instrText xml:space="preserve"> PAGEREF _Toc167965218 \h </w:instrText>
        </w:r>
        <w:r>
          <w:rPr>
            <w:noProof/>
            <w:webHidden/>
          </w:rPr>
        </w:r>
        <w:r>
          <w:rPr>
            <w:noProof/>
            <w:webHidden/>
          </w:rPr>
          <w:fldChar w:fldCharType="separate"/>
        </w:r>
        <w:r>
          <w:rPr>
            <w:noProof/>
            <w:webHidden/>
          </w:rPr>
          <w:t>8</w:t>
        </w:r>
        <w:r>
          <w:rPr>
            <w:noProof/>
            <w:webHidden/>
          </w:rPr>
          <w:fldChar w:fldCharType="end"/>
        </w:r>
      </w:hyperlink>
    </w:p>
    <w:p w14:paraId="7466DA63" w14:textId="5BDD08F0" w:rsidR="00EE7CF4" w:rsidRDefault="00EE7CF4">
      <w:pPr>
        <w:pStyle w:val="Obsah3"/>
        <w:rPr>
          <w:rFonts w:asciiTheme="minorHAnsi" w:eastAsiaTheme="minorEastAsia" w:hAnsiTheme="minorHAnsi" w:cstheme="minorBidi"/>
          <w:noProof/>
          <w:sz w:val="22"/>
          <w:szCs w:val="22"/>
        </w:rPr>
      </w:pPr>
      <w:hyperlink w:anchor="_Toc167965219" w:history="1">
        <w:r w:rsidRPr="00B21203">
          <w:rPr>
            <w:rStyle w:val="Hypertextovodkaz"/>
            <w:noProof/>
          </w:rPr>
          <w:t>2.4 Výpočet dávky nemocenského</w:t>
        </w:r>
        <w:r>
          <w:rPr>
            <w:noProof/>
            <w:webHidden/>
          </w:rPr>
          <w:tab/>
        </w:r>
        <w:r>
          <w:rPr>
            <w:noProof/>
            <w:webHidden/>
          </w:rPr>
          <w:fldChar w:fldCharType="begin"/>
        </w:r>
        <w:r>
          <w:rPr>
            <w:noProof/>
            <w:webHidden/>
          </w:rPr>
          <w:instrText xml:space="preserve"> PAGEREF _Toc167965219 \h </w:instrText>
        </w:r>
        <w:r>
          <w:rPr>
            <w:noProof/>
            <w:webHidden/>
          </w:rPr>
        </w:r>
        <w:r>
          <w:rPr>
            <w:noProof/>
            <w:webHidden/>
          </w:rPr>
          <w:fldChar w:fldCharType="separate"/>
        </w:r>
        <w:r>
          <w:rPr>
            <w:noProof/>
            <w:webHidden/>
          </w:rPr>
          <w:t>9</w:t>
        </w:r>
        <w:r>
          <w:rPr>
            <w:noProof/>
            <w:webHidden/>
          </w:rPr>
          <w:fldChar w:fldCharType="end"/>
        </w:r>
      </w:hyperlink>
    </w:p>
    <w:p w14:paraId="28D51116" w14:textId="62767472" w:rsidR="00EE7CF4" w:rsidRDefault="00EE7CF4">
      <w:pPr>
        <w:pStyle w:val="Obsah3"/>
        <w:rPr>
          <w:rFonts w:asciiTheme="minorHAnsi" w:eastAsiaTheme="minorEastAsia" w:hAnsiTheme="minorHAnsi" w:cstheme="minorBidi"/>
          <w:noProof/>
          <w:sz w:val="22"/>
          <w:szCs w:val="22"/>
        </w:rPr>
      </w:pPr>
      <w:hyperlink w:anchor="_Toc167965220" w:history="1">
        <w:r w:rsidRPr="00B21203">
          <w:rPr>
            <w:rStyle w:val="Hypertextovodkaz"/>
            <w:noProof/>
          </w:rPr>
          <w:t>2.5 Nejvýznamnější legislativní změny v oblasti nemocenského pojištění</w:t>
        </w:r>
        <w:r>
          <w:rPr>
            <w:noProof/>
            <w:webHidden/>
          </w:rPr>
          <w:tab/>
        </w:r>
        <w:r>
          <w:rPr>
            <w:noProof/>
            <w:webHidden/>
          </w:rPr>
          <w:fldChar w:fldCharType="begin"/>
        </w:r>
        <w:r>
          <w:rPr>
            <w:noProof/>
            <w:webHidden/>
          </w:rPr>
          <w:instrText xml:space="preserve"> PAGEREF _Toc167965220 \h </w:instrText>
        </w:r>
        <w:r>
          <w:rPr>
            <w:noProof/>
            <w:webHidden/>
          </w:rPr>
        </w:r>
        <w:r>
          <w:rPr>
            <w:noProof/>
            <w:webHidden/>
          </w:rPr>
          <w:fldChar w:fldCharType="separate"/>
        </w:r>
        <w:r>
          <w:rPr>
            <w:noProof/>
            <w:webHidden/>
          </w:rPr>
          <w:t>9</w:t>
        </w:r>
        <w:r>
          <w:rPr>
            <w:noProof/>
            <w:webHidden/>
          </w:rPr>
          <w:fldChar w:fldCharType="end"/>
        </w:r>
      </w:hyperlink>
    </w:p>
    <w:p w14:paraId="10FD3C0E" w14:textId="18A322FD" w:rsidR="00EE7CF4" w:rsidRDefault="00EE7CF4">
      <w:pPr>
        <w:pStyle w:val="Obsah2"/>
        <w:rPr>
          <w:rFonts w:asciiTheme="minorHAnsi" w:eastAsiaTheme="minorEastAsia" w:hAnsiTheme="minorHAnsi" w:cstheme="minorBidi"/>
          <w:noProof/>
          <w:sz w:val="22"/>
          <w:szCs w:val="22"/>
        </w:rPr>
      </w:pPr>
      <w:hyperlink w:anchor="_Toc167965221" w:history="1">
        <w:r w:rsidRPr="00B21203">
          <w:rPr>
            <w:rStyle w:val="Hypertextovodkaz"/>
            <w:noProof/>
          </w:rPr>
          <w:t>3. Metodika a zdroje dat</w:t>
        </w:r>
        <w:r>
          <w:rPr>
            <w:noProof/>
            <w:webHidden/>
          </w:rPr>
          <w:tab/>
        </w:r>
        <w:r>
          <w:rPr>
            <w:noProof/>
            <w:webHidden/>
          </w:rPr>
          <w:fldChar w:fldCharType="begin"/>
        </w:r>
        <w:r>
          <w:rPr>
            <w:noProof/>
            <w:webHidden/>
          </w:rPr>
          <w:instrText xml:space="preserve"> PAGEREF _Toc167965221 \h </w:instrText>
        </w:r>
        <w:r>
          <w:rPr>
            <w:noProof/>
            <w:webHidden/>
          </w:rPr>
        </w:r>
        <w:r>
          <w:rPr>
            <w:noProof/>
            <w:webHidden/>
          </w:rPr>
          <w:fldChar w:fldCharType="separate"/>
        </w:r>
        <w:r>
          <w:rPr>
            <w:noProof/>
            <w:webHidden/>
          </w:rPr>
          <w:t>11</w:t>
        </w:r>
        <w:r>
          <w:rPr>
            <w:noProof/>
            <w:webHidden/>
          </w:rPr>
          <w:fldChar w:fldCharType="end"/>
        </w:r>
      </w:hyperlink>
    </w:p>
    <w:p w14:paraId="5DF5AE5D" w14:textId="42CED28F" w:rsidR="00EE7CF4" w:rsidRDefault="00EE7CF4">
      <w:pPr>
        <w:pStyle w:val="Obsah2"/>
        <w:rPr>
          <w:rFonts w:asciiTheme="minorHAnsi" w:eastAsiaTheme="minorEastAsia" w:hAnsiTheme="minorHAnsi" w:cstheme="minorBidi"/>
          <w:noProof/>
          <w:sz w:val="22"/>
          <w:szCs w:val="22"/>
        </w:rPr>
      </w:pPr>
      <w:hyperlink w:anchor="_Toc167965222" w:history="1">
        <w:r w:rsidRPr="00B21203">
          <w:rPr>
            <w:rStyle w:val="Hypertextovodkaz"/>
            <w:noProof/>
          </w:rPr>
          <w:t>4. Analytická část</w:t>
        </w:r>
        <w:r>
          <w:rPr>
            <w:noProof/>
            <w:webHidden/>
          </w:rPr>
          <w:tab/>
        </w:r>
        <w:r>
          <w:rPr>
            <w:noProof/>
            <w:webHidden/>
          </w:rPr>
          <w:fldChar w:fldCharType="begin"/>
        </w:r>
        <w:r>
          <w:rPr>
            <w:noProof/>
            <w:webHidden/>
          </w:rPr>
          <w:instrText xml:space="preserve"> PAGEREF _Toc167965222 \h </w:instrText>
        </w:r>
        <w:r>
          <w:rPr>
            <w:noProof/>
            <w:webHidden/>
          </w:rPr>
        </w:r>
        <w:r>
          <w:rPr>
            <w:noProof/>
            <w:webHidden/>
          </w:rPr>
          <w:fldChar w:fldCharType="separate"/>
        </w:r>
        <w:r>
          <w:rPr>
            <w:noProof/>
            <w:webHidden/>
          </w:rPr>
          <w:t>14</w:t>
        </w:r>
        <w:r>
          <w:rPr>
            <w:noProof/>
            <w:webHidden/>
          </w:rPr>
          <w:fldChar w:fldCharType="end"/>
        </w:r>
      </w:hyperlink>
    </w:p>
    <w:p w14:paraId="352F185A" w14:textId="108CBBC3" w:rsidR="00EE7CF4" w:rsidRDefault="00EE7CF4">
      <w:pPr>
        <w:pStyle w:val="Obsah3"/>
        <w:rPr>
          <w:rFonts w:asciiTheme="minorHAnsi" w:eastAsiaTheme="minorEastAsia" w:hAnsiTheme="minorHAnsi" w:cstheme="minorBidi"/>
          <w:noProof/>
          <w:sz w:val="22"/>
          <w:szCs w:val="22"/>
        </w:rPr>
      </w:pPr>
      <w:hyperlink w:anchor="_Toc167965223" w:history="1">
        <w:r w:rsidRPr="00B21203">
          <w:rPr>
            <w:rStyle w:val="Hypertextovodkaz"/>
            <w:noProof/>
          </w:rPr>
          <w:t>4.1 Nemocensky pojištěné osoby</w:t>
        </w:r>
        <w:r>
          <w:rPr>
            <w:noProof/>
            <w:webHidden/>
          </w:rPr>
          <w:tab/>
        </w:r>
        <w:r>
          <w:rPr>
            <w:noProof/>
            <w:webHidden/>
          </w:rPr>
          <w:fldChar w:fldCharType="begin"/>
        </w:r>
        <w:r>
          <w:rPr>
            <w:noProof/>
            <w:webHidden/>
          </w:rPr>
          <w:instrText xml:space="preserve"> PAGEREF _Toc167965223 \h </w:instrText>
        </w:r>
        <w:r>
          <w:rPr>
            <w:noProof/>
            <w:webHidden/>
          </w:rPr>
        </w:r>
        <w:r>
          <w:rPr>
            <w:noProof/>
            <w:webHidden/>
          </w:rPr>
          <w:fldChar w:fldCharType="separate"/>
        </w:r>
        <w:r>
          <w:rPr>
            <w:noProof/>
            <w:webHidden/>
          </w:rPr>
          <w:t>14</w:t>
        </w:r>
        <w:r>
          <w:rPr>
            <w:noProof/>
            <w:webHidden/>
          </w:rPr>
          <w:fldChar w:fldCharType="end"/>
        </w:r>
      </w:hyperlink>
    </w:p>
    <w:p w14:paraId="6AC6041E" w14:textId="70391E18" w:rsidR="00EE7CF4" w:rsidRDefault="00EE7CF4">
      <w:pPr>
        <w:pStyle w:val="Obsah3"/>
        <w:rPr>
          <w:rFonts w:asciiTheme="minorHAnsi" w:eastAsiaTheme="minorEastAsia" w:hAnsiTheme="minorHAnsi" w:cstheme="minorBidi"/>
          <w:noProof/>
          <w:sz w:val="22"/>
          <w:szCs w:val="22"/>
        </w:rPr>
      </w:pPr>
      <w:hyperlink w:anchor="_Toc167965224" w:history="1">
        <w:r w:rsidRPr="00B21203">
          <w:rPr>
            <w:rStyle w:val="Hypertextovodkaz"/>
            <w:noProof/>
          </w:rPr>
          <w:t>4.2 Nově hlášené případy dočasné pracovní neschopnosti</w:t>
        </w:r>
        <w:r>
          <w:rPr>
            <w:noProof/>
            <w:webHidden/>
          </w:rPr>
          <w:tab/>
        </w:r>
        <w:r>
          <w:rPr>
            <w:noProof/>
            <w:webHidden/>
          </w:rPr>
          <w:fldChar w:fldCharType="begin"/>
        </w:r>
        <w:r>
          <w:rPr>
            <w:noProof/>
            <w:webHidden/>
          </w:rPr>
          <w:instrText xml:space="preserve"> PAGEREF _Toc167965224 \h </w:instrText>
        </w:r>
        <w:r>
          <w:rPr>
            <w:noProof/>
            <w:webHidden/>
          </w:rPr>
        </w:r>
        <w:r>
          <w:rPr>
            <w:noProof/>
            <w:webHidden/>
          </w:rPr>
          <w:fldChar w:fldCharType="separate"/>
        </w:r>
        <w:r>
          <w:rPr>
            <w:noProof/>
            <w:webHidden/>
          </w:rPr>
          <w:t>17</w:t>
        </w:r>
        <w:r>
          <w:rPr>
            <w:noProof/>
            <w:webHidden/>
          </w:rPr>
          <w:fldChar w:fldCharType="end"/>
        </w:r>
      </w:hyperlink>
    </w:p>
    <w:p w14:paraId="4998E16B" w14:textId="390900B8" w:rsidR="00EE7CF4" w:rsidRDefault="00EE7CF4">
      <w:pPr>
        <w:pStyle w:val="Obsah4"/>
        <w:rPr>
          <w:rFonts w:asciiTheme="minorHAnsi" w:eastAsiaTheme="minorEastAsia" w:hAnsiTheme="minorHAnsi" w:cstheme="minorBidi"/>
          <w:noProof/>
          <w:sz w:val="22"/>
          <w:szCs w:val="22"/>
        </w:rPr>
      </w:pPr>
      <w:hyperlink w:anchor="_Toc167965225" w:history="1">
        <w:r w:rsidRPr="00B21203">
          <w:rPr>
            <w:rStyle w:val="Hypertextovodkaz"/>
            <w:noProof/>
          </w:rPr>
          <w:t>4.2.1 Počet případů dočasné pracovní neschopnosti</w:t>
        </w:r>
        <w:r>
          <w:rPr>
            <w:noProof/>
            <w:webHidden/>
          </w:rPr>
          <w:tab/>
        </w:r>
        <w:r>
          <w:rPr>
            <w:noProof/>
            <w:webHidden/>
          </w:rPr>
          <w:fldChar w:fldCharType="begin"/>
        </w:r>
        <w:r>
          <w:rPr>
            <w:noProof/>
            <w:webHidden/>
          </w:rPr>
          <w:instrText xml:space="preserve"> PAGEREF _Toc167965225 \h </w:instrText>
        </w:r>
        <w:r>
          <w:rPr>
            <w:noProof/>
            <w:webHidden/>
          </w:rPr>
        </w:r>
        <w:r>
          <w:rPr>
            <w:noProof/>
            <w:webHidden/>
          </w:rPr>
          <w:fldChar w:fldCharType="separate"/>
        </w:r>
        <w:r>
          <w:rPr>
            <w:noProof/>
            <w:webHidden/>
          </w:rPr>
          <w:t>17</w:t>
        </w:r>
        <w:r>
          <w:rPr>
            <w:noProof/>
            <w:webHidden/>
          </w:rPr>
          <w:fldChar w:fldCharType="end"/>
        </w:r>
      </w:hyperlink>
    </w:p>
    <w:p w14:paraId="090C9CB7" w14:textId="59D2284C" w:rsidR="00EE7CF4" w:rsidRDefault="00EE7CF4">
      <w:pPr>
        <w:pStyle w:val="Obsah4"/>
        <w:rPr>
          <w:rFonts w:asciiTheme="minorHAnsi" w:eastAsiaTheme="minorEastAsia" w:hAnsiTheme="minorHAnsi" w:cstheme="minorBidi"/>
          <w:noProof/>
          <w:sz w:val="22"/>
          <w:szCs w:val="22"/>
        </w:rPr>
      </w:pPr>
      <w:hyperlink w:anchor="_Toc167965226" w:history="1">
        <w:r w:rsidRPr="00B21203">
          <w:rPr>
            <w:rStyle w:val="Hypertextovodkaz"/>
            <w:noProof/>
          </w:rPr>
          <w:t>4.2.2 Délka trvání dočasné pracovní neschopnosti</w:t>
        </w:r>
        <w:r>
          <w:rPr>
            <w:noProof/>
            <w:webHidden/>
          </w:rPr>
          <w:tab/>
        </w:r>
        <w:r>
          <w:rPr>
            <w:noProof/>
            <w:webHidden/>
          </w:rPr>
          <w:fldChar w:fldCharType="begin"/>
        </w:r>
        <w:r>
          <w:rPr>
            <w:noProof/>
            <w:webHidden/>
          </w:rPr>
          <w:instrText xml:space="preserve"> PAGEREF _Toc167965226 \h </w:instrText>
        </w:r>
        <w:r>
          <w:rPr>
            <w:noProof/>
            <w:webHidden/>
          </w:rPr>
        </w:r>
        <w:r>
          <w:rPr>
            <w:noProof/>
            <w:webHidden/>
          </w:rPr>
          <w:fldChar w:fldCharType="separate"/>
        </w:r>
        <w:r>
          <w:rPr>
            <w:noProof/>
            <w:webHidden/>
          </w:rPr>
          <w:t>25</w:t>
        </w:r>
        <w:r>
          <w:rPr>
            <w:noProof/>
            <w:webHidden/>
          </w:rPr>
          <w:fldChar w:fldCharType="end"/>
        </w:r>
      </w:hyperlink>
    </w:p>
    <w:p w14:paraId="43E4DFF6" w14:textId="1DD9AF1A" w:rsidR="00EE7CF4" w:rsidRDefault="00EE7CF4">
      <w:pPr>
        <w:pStyle w:val="Obsah4"/>
        <w:rPr>
          <w:rFonts w:asciiTheme="minorHAnsi" w:eastAsiaTheme="minorEastAsia" w:hAnsiTheme="minorHAnsi" w:cstheme="minorBidi"/>
          <w:noProof/>
          <w:sz w:val="22"/>
          <w:szCs w:val="22"/>
        </w:rPr>
      </w:pPr>
      <w:hyperlink w:anchor="_Toc167965227" w:history="1">
        <w:r w:rsidRPr="00B21203">
          <w:rPr>
            <w:rStyle w:val="Hypertextovodkaz"/>
            <w:noProof/>
          </w:rPr>
          <w:t>4.2.3 Průměrné procento dočasné pracovní neschopnosti a průměrný denní stav dočasně práce neschopných</w:t>
        </w:r>
        <w:r>
          <w:rPr>
            <w:noProof/>
            <w:webHidden/>
          </w:rPr>
          <w:tab/>
        </w:r>
        <w:r>
          <w:rPr>
            <w:noProof/>
            <w:webHidden/>
          </w:rPr>
          <w:fldChar w:fldCharType="begin"/>
        </w:r>
        <w:r>
          <w:rPr>
            <w:noProof/>
            <w:webHidden/>
          </w:rPr>
          <w:instrText xml:space="preserve"> PAGEREF _Toc167965227 \h </w:instrText>
        </w:r>
        <w:r>
          <w:rPr>
            <w:noProof/>
            <w:webHidden/>
          </w:rPr>
        </w:r>
        <w:r>
          <w:rPr>
            <w:noProof/>
            <w:webHidden/>
          </w:rPr>
          <w:fldChar w:fldCharType="separate"/>
        </w:r>
        <w:r>
          <w:rPr>
            <w:noProof/>
            <w:webHidden/>
          </w:rPr>
          <w:t>30</w:t>
        </w:r>
        <w:r>
          <w:rPr>
            <w:noProof/>
            <w:webHidden/>
          </w:rPr>
          <w:fldChar w:fldCharType="end"/>
        </w:r>
      </w:hyperlink>
    </w:p>
    <w:p w14:paraId="3E70C525" w14:textId="653E1625" w:rsidR="00EE7CF4" w:rsidRDefault="00EE7CF4">
      <w:pPr>
        <w:pStyle w:val="Obsah3"/>
        <w:rPr>
          <w:rFonts w:asciiTheme="minorHAnsi" w:eastAsiaTheme="minorEastAsia" w:hAnsiTheme="minorHAnsi" w:cstheme="minorBidi"/>
          <w:noProof/>
          <w:sz w:val="22"/>
          <w:szCs w:val="22"/>
        </w:rPr>
      </w:pPr>
      <w:hyperlink w:anchor="_Toc167965228" w:history="1">
        <w:r w:rsidRPr="00B21203">
          <w:rPr>
            <w:rStyle w:val="Hypertextovodkaz"/>
            <w:noProof/>
          </w:rPr>
          <w:t>4.3 Ukončené případy dočasné pracovní neschopnosti</w:t>
        </w:r>
        <w:r>
          <w:rPr>
            <w:noProof/>
            <w:webHidden/>
          </w:rPr>
          <w:tab/>
        </w:r>
        <w:r>
          <w:rPr>
            <w:noProof/>
            <w:webHidden/>
          </w:rPr>
          <w:fldChar w:fldCharType="begin"/>
        </w:r>
        <w:r>
          <w:rPr>
            <w:noProof/>
            <w:webHidden/>
          </w:rPr>
          <w:instrText xml:space="preserve"> PAGEREF _Toc167965228 \h </w:instrText>
        </w:r>
        <w:r>
          <w:rPr>
            <w:noProof/>
            <w:webHidden/>
          </w:rPr>
        </w:r>
        <w:r>
          <w:rPr>
            <w:noProof/>
            <w:webHidden/>
          </w:rPr>
          <w:fldChar w:fldCharType="separate"/>
        </w:r>
        <w:r>
          <w:rPr>
            <w:noProof/>
            <w:webHidden/>
          </w:rPr>
          <w:t>32</w:t>
        </w:r>
        <w:r>
          <w:rPr>
            <w:noProof/>
            <w:webHidden/>
          </w:rPr>
          <w:fldChar w:fldCharType="end"/>
        </w:r>
      </w:hyperlink>
    </w:p>
    <w:p w14:paraId="0748020C" w14:textId="63599DC3" w:rsidR="00EE7CF4" w:rsidRDefault="00EE7CF4">
      <w:pPr>
        <w:pStyle w:val="Obsah3"/>
        <w:rPr>
          <w:rFonts w:asciiTheme="minorHAnsi" w:eastAsiaTheme="minorEastAsia" w:hAnsiTheme="minorHAnsi" w:cstheme="minorBidi"/>
          <w:noProof/>
          <w:sz w:val="22"/>
          <w:szCs w:val="22"/>
        </w:rPr>
      </w:pPr>
      <w:hyperlink w:anchor="_Toc167965229" w:history="1">
        <w:r w:rsidRPr="00B21203">
          <w:rPr>
            <w:rStyle w:val="Hypertextovodkaz"/>
            <w:noProof/>
          </w:rPr>
          <w:t>4.4 Výdaje na dávky nemocenského pojištění</w:t>
        </w:r>
        <w:r>
          <w:rPr>
            <w:noProof/>
            <w:webHidden/>
          </w:rPr>
          <w:tab/>
        </w:r>
        <w:r>
          <w:rPr>
            <w:noProof/>
            <w:webHidden/>
          </w:rPr>
          <w:fldChar w:fldCharType="begin"/>
        </w:r>
        <w:r>
          <w:rPr>
            <w:noProof/>
            <w:webHidden/>
          </w:rPr>
          <w:instrText xml:space="preserve"> PAGEREF _Toc167965229 \h </w:instrText>
        </w:r>
        <w:r>
          <w:rPr>
            <w:noProof/>
            <w:webHidden/>
          </w:rPr>
        </w:r>
        <w:r>
          <w:rPr>
            <w:noProof/>
            <w:webHidden/>
          </w:rPr>
          <w:fldChar w:fldCharType="separate"/>
        </w:r>
        <w:r>
          <w:rPr>
            <w:noProof/>
            <w:webHidden/>
          </w:rPr>
          <w:t>36</w:t>
        </w:r>
        <w:r>
          <w:rPr>
            <w:noProof/>
            <w:webHidden/>
          </w:rPr>
          <w:fldChar w:fldCharType="end"/>
        </w:r>
      </w:hyperlink>
    </w:p>
    <w:p w14:paraId="70834585" w14:textId="434307BA" w:rsidR="00EE7CF4" w:rsidRDefault="00EE7CF4">
      <w:pPr>
        <w:pStyle w:val="Obsah3"/>
        <w:rPr>
          <w:rFonts w:asciiTheme="minorHAnsi" w:eastAsiaTheme="minorEastAsia" w:hAnsiTheme="minorHAnsi" w:cstheme="minorBidi"/>
          <w:noProof/>
          <w:sz w:val="22"/>
          <w:szCs w:val="22"/>
        </w:rPr>
      </w:pPr>
      <w:hyperlink w:anchor="_Toc167965230" w:history="1">
        <w:r w:rsidRPr="00B21203">
          <w:rPr>
            <w:rStyle w:val="Hypertextovodkaz"/>
            <w:noProof/>
          </w:rPr>
          <w:t>4.5 Pracovní úrazy</w:t>
        </w:r>
        <w:r>
          <w:rPr>
            <w:noProof/>
            <w:webHidden/>
          </w:rPr>
          <w:tab/>
        </w:r>
        <w:r>
          <w:rPr>
            <w:noProof/>
            <w:webHidden/>
          </w:rPr>
          <w:fldChar w:fldCharType="begin"/>
        </w:r>
        <w:r>
          <w:rPr>
            <w:noProof/>
            <w:webHidden/>
          </w:rPr>
          <w:instrText xml:space="preserve"> PAGEREF _Toc167965230 \h </w:instrText>
        </w:r>
        <w:r>
          <w:rPr>
            <w:noProof/>
            <w:webHidden/>
          </w:rPr>
        </w:r>
        <w:r>
          <w:rPr>
            <w:noProof/>
            <w:webHidden/>
          </w:rPr>
          <w:fldChar w:fldCharType="separate"/>
        </w:r>
        <w:r>
          <w:rPr>
            <w:noProof/>
            <w:webHidden/>
          </w:rPr>
          <w:t>38</w:t>
        </w:r>
        <w:r>
          <w:rPr>
            <w:noProof/>
            <w:webHidden/>
          </w:rPr>
          <w:fldChar w:fldCharType="end"/>
        </w:r>
      </w:hyperlink>
    </w:p>
    <w:p w14:paraId="770F043C" w14:textId="066CD202" w:rsidR="00EE7CF4" w:rsidRDefault="00EE7CF4">
      <w:pPr>
        <w:pStyle w:val="Obsah3"/>
        <w:rPr>
          <w:rFonts w:asciiTheme="minorHAnsi" w:eastAsiaTheme="minorEastAsia" w:hAnsiTheme="minorHAnsi" w:cstheme="minorBidi"/>
          <w:noProof/>
          <w:sz w:val="22"/>
          <w:szCs w:val="22"/>
        </w:rPr>
      </w:pPr>
      <w:hyperlink w:anchor="_Toc167965231" w:history="1">
        <w:r w:rsidRPr="00B21203">
          <w:rPr>
            <w:rStyle w:val="Hypertextovodkaz"/>
            <w:noProof/>
          </w:rPr>
          <w:t>4.6 Evropská statistika pracovních úrazů (ESAW)</w:t>
        </w:r>
        <w:r>
          <w:rPr>
            <w:noProof/>
            <w:webHidden/>
          </w:rPr>
          <w:tab/>
        </w:r>
        <w:r>
          <w:rPr>
            <w:noProof/>
            <w:webHidden/>
          </w:rPr>
          <w:fldChar w:fldCharType="begin"/>
        </w:r>
        <w:r>
          <w:rPr>
            <w:noProof/>
            <w:webHidden/>
          </w:rPr>
          <w:instrText xml:space="preserve"> PAGEREF _Toc167965231 \h </w:instrText>
        </w:r>
        <w:r>
          <w:rPr>
            <w:noProof/>
            <w:webHidden/>
          </w:rPr>
        </w:r>
        <w:r>
          <w:rPr>
            <w:noProof/>
            <w:webHidden/>
          </w:rPr>
          <w:fldChar w:fldCharType="separate"/>
        </w:r>
        <w:r>
          <w:rPr>
            <w:noProof/>
            <w:webHidden/>
          </w:rPr>
          <w:t>41</w:t>
        </w:r>
        <w:r>
          <w:rPr>
            <w:noProof/>
            <w:webHidden/>
          </w:rPr>
          <w:fldChar w:fldCharType="end"/>
        </w:r>
      </w:hyperlink>
    </w:p>
    <w:p w14:paraId="16227AFE" w14:textId="3A3AD4AE" w:rsidR="00EE7CF4" w:rsidRDefault="00EE7CF4">
      <w:pPr>
        <w:pStyle w:val="Obsah3"/>
        <w:rPr>
          <w:rFonts w:asciiTheme="minorHAnsi" w:eastAsiaTheme="minorEastAsia" w:hAnsiTheme="minorHAnsi" w:cstheme="minorBidi"/>
          <w:noProof/>
          <w:sz w:val="22"/>
          <w:szCs w:val="22"/>
        </w:rPr>
      </w:pPr>
      <w:hyperlink w:anchor="_Toc167965232" w:history="1">
        <w:r w:rsidRPr="00B21203">
          <w:rPr>
            <w:rStyle w:val="Hypertextovodkaz"/>
            <w:noProof/>
          </w:rPr>
          <w:t>4.7 Závěrečné shrnutí</w:t>
        </w:r>
        <w:r>
          <w:rPr>
            <w:noProof/>
            <w:webHidden/>
          </w:rPr>
          <w:tab/>
        </w:r>
        <w:r>
          <w:rPr>
            <w:noProof/>
            <w:webHidden/>
          </w:rPr>
          <w:fldChar w:fldCharType="begin"/>
        </w:r>
        <w:r>
          <w:rPr>
            <w:noProof/>
            <w:webHidden/>
          </w:rPr>
          <w:instrText xml:space="preserve"> PAGEREF _Toc167965232 \h </w:instrText>
        </w:r>
        <w:r>
          <w:rPr>
            <w:noProof/>
            <w:webHidden/>
          </w:rPr>
        </w:r>
        <w:r>
          <w:rPr>
            <w:noProof/>
            <w:webHidden/>
          </w:rPr>
          <w:fldChar w:fldCharType="separate"/>
        </w:r>
        <w:r>
          <w:rPr>
            <w:noProof/>
            <w:webHidden/>
          </w:rPr>
          <w:t>47</w:t>
        </w:r>
        <w:r>
          <w:rPr>
            <w:noProof/>
            <w:webHidden/>
          </w:rPr>
          <w:fldChar w:fldCharType="end"/>
        </w:r>
      </w:hyperlink>
    </w:p>
    <w:p w14:paraId="43D52C3A" w14:textId="475B826D" w:rsidR="00EE7CF4" w:rsidRDefault="00EE7CF4">
      <w:pPr>
        <w:pStyle w:val="Obsah2"/>
        <w:rPr>
          <w:rFonts w:asciiTheme="minorHAnsi" w:eastAsiaTheme="minorEastAsia" w:hAnsiTheme="minorHAnsi" w:cstheme="minorBidi"/>
          <w:noProof/>
          <w:sz w:val="22"/>
          <w:szCs w:val="22"/>
        </w:rPr>
      </w:pPr>
      <w:hyperlink w:anchor="_Toc167965233" w:history="1">
        <w:r w:rsidRPr="00B21203">
          <w:rPr>
            <w:rStyle w:val="Hypertextovodkaz"/>
            <w:noProof/>
          </w:rPr>
          <w:t>5. Použité zkratky a značky</w:t>
        </w:r>
        <w:r>
          <w:rPr>
            <w:noProof/>
            <w:webHidden/>
          </w:rPr>
          <w:tab/>
        </w:r>
        <w:r>
          <w:rPr>
            <w:noProof/>
            <w:webHidden/>
          </w:rPr>
          <w:fldChar w:fldCharType="begin"/>
        </w:r>
        <w:r>
          <w:rPr>
            <w:noProof/>
            <w:webHidden/>
          </w:rPr>
          <w:instrText xml:space="preserve"> PAGEREF _Toc167965233 \h </w:instrText>
        </w:r>
        <w:r>
          <w:rPr>
            <w:noProof/>
            <w:webHidden/>
          </w:rPr>
        </w:r>
        <w:r>
          <w:rPr>
            <w:noProof/>
            <w:webHidden/>
          </w:rPr>
          <w:fldChar w:fldCharType="separate"/>
        </w:r>
        <w:r>
          <w:rPr>
            <w:noProof/>
            <w:webHidden/>
          </w:rPr>
          <w:t>48</w:t>
        </w:r>
        <w:r>
          <w:rPr>
            <w:noProof/>
            <w:webHidden/>
          </w:rPr>
          <w:fldChar w:fldCharType="end"/>
        </w:r>
      </w:hyperlink>
    </w:p>
    <w:p w14:paraId="640E919F" w14:textId="13E78794" w:rsidR="00EE7CF4" w:rsidRDefault="00EE7CF4">
      <w:pPr>
        <w:pStyle w:val="Obsah2"/>
        <w:rPr>
          <w:rFonts w:asciiTheme="minorHAnsi" w:eastAsiaTheme="minorEastAsia" w:hAnsiTheme="minorHAnsi" w:cstheme="minorBidi"/>
          <w:noProof/>
          <w:sz w:val="22"/>
          <w:szCs w:val="22"/>
        </w:rPr>
      </w:pPr>
      <w:hyperlink w:anchor="_Toc167965234" w:history="1">
        <w:r w:rsidRPr="00B21203">
          <w:rPr>
            <w:rStyle w:val="Hypertextovodkaz"/>
            <w:noProof/>
          </w:rPr>
          <w:t>6. Tabulková část – seznam tabulek</w:t>
        </w:r>
        <w:r>
          <w:rPr>
            <w:noProof/>
            <w:webHidden/>
          </w:rPr>
          <w:tab/>
        </w:r>
        <w:r>
          <w:rPr>
            <w:noProof/>
            <w:webHidden/>
          </w:rPr>
          <w:fldChar w:fldCharType="begin"/>
        </w:r>
        <w:r>
          <w:rPr>
            <w:noProof/>
            <w:webHidden/>
          </w:rPr>
          <w:instrText xml:space="preserve"> PAGEREF _Toc167965234 \h </w:instrText>
        </w:r>
        <w:r>
          <w:rPr>
            <w:noProof/>
            <w:webHidden/>
          </w:rPr>
        </w:r>
        <w:r>
          <w:rPr>
            <w:noProof/>
            <w:webHidden/>
          </w:rPr>
          <w:fldChar w:fldCharType="separate"/>
        </w:r>
        <w:r>
          <w:rPr>
            <w:noProof/>
            <w:webHidden/>
          </w:rPr>
          <w:t>49</w:t>
        </w:r>
        <w:r>
          <w:rPr>
            <w:noProof/>
            <w:webHidden/>
          </w:rPr>
          <w:fldChar w:fldCharType="end"/>
        </w:r>
      </w:hyperlink>
    </w:p>
    <w:p w14:paraId="205E79D8" w14:textId="74C94300" w:rsidR="00924AC8" w:rsidRPr="00912A92" w:rsidRDefault="007A5557" w:rsidP="00924AC8">
      <w:pPr>
        <w:pStyle w:val="Obsahpoloky"/>
      </w:pPr>
      <w:r>
        <w:rPr>
          <w:b/>
        </w:rPr>
        <w:fldChar w:fldCharType="end"/>
      </w:r>
    </w:p>
    <w:p w14:paraId="63751BB3" w14:textId="62F786A9" w:rsidR="008E2C57" w:rsidRPr="006F5416" w:rsidRDefault="00087F2B" w:rsidP="006F5416">
      <w:pPr>
        <w:pStyle w:val="Obsahpoloky"/>
      </w:pPr>
      <w:r w:rsidRPr="006F5416">
        <w:br w:type="page"/>
      </w:r>
    </w:p>
    <w:p w14:paraId="1EB47FC4" w14:textId="041BFFAD" w:rsidR="00774CE9" w:rsidRDefault="00774CE9" w:rsidP="00774CE9">
      <w:pPr>
        <w:pStyle w:val="Nadpis2"/>
      </w:pPr>
      <w:bookmarkStart w:id="0" w:name="_Toc136412138"/>
      <w:bookmarkStart w:id="1" w:name="_Toc444112495"/>
      <w:bookmarkStart w:id="2" w:name="_Toc167965214"/>
      <w:r w:rsidRPr="00BD6D2F">
        <w:lastRenderedPageBreak/>
        <w:t>1. Úvod</w:t>
      </w:r>
      <w:bookmarkEnd w:id="0"/>
      <w:bookmarkEnd w:id="2"/>
    </w:p>
    <w:p w14:paraId="0D963E99" w14:textId="77777777" w:rsidR="00774CE9" w:rsidRPr="00251BF8" w:rsidRDefault="00774CE9" w:rsidP="00774CE9">
      <w:pPr>
        <w:pStyle w:val="Odstavecseseznamem"/>
        <w:spacing w:before="60"/>
        <w:ind w:left="0"/>
        <w:jc w:val="both"/>
        <w:rPr>
          <w:rFonts w:cs="Arial"/>
        </w:rPr>
      </w:pPr>
      <w:r w:rsidRPr="00251BF8">
        <w:rPr>
          <w:rFonts w:cs="Arial"/>
          <w:b/>
        </w:rPr>
        <w:t>Problematika pracovní neschopnosti pro nemoc a úraz</w:t>
      </w:r>
      <w:r w:rsidRPr="00251BF8">
        <w:rPr>
          <w:rFonts w:cs="Arial"/>
        </w:rPr>
        <w:t xml:space="preserve"> je závažná a z pohledu hodnocení vývoje v čase také zajímavá nejméně ze dvou následujících důvodů. </w:t>
      </w:r>
    </w:p>
    <w:p w14:paraId="57EC367E" w14:textId="77777777" w:rsidR="00774CE9" w:rsidRPr="00251BF8" w:rsidRDefault="00774CE9" w:rsidP="00774CE9">
      <w:pPr>
        <w:pStyle w:val="Odstavecseseznamem"/>
        <w:numPr>
          <w:ilvl w:val="0"/>
          <w:numId w:val="16"/>
        </w:numPr>
        <w:spacing w:before="60"/>
        <w:jc w:val="both"/>
        <w:rPr>
          <w:rFonts w:cs="Arial"/>
        </w:rPr>
      </w:pPr>
      <w:r w:rsidRPr="00251BF8">
        <w:rPr>
          <w:rFonts w:cs="Arial"/>
          <w:b/>
        </w:rPr>
        <w:t xml:space="preserve">ze zdravotního </w:t>
      </w:r>
      <w:r w:rsidRPr="00251BF8">
        <w:rPr>
          <w:rFonts w:cs="Arial"/>
        </w:rPr>
        <w:t xml:space="preserve">– souvisí se zdravotním stavem zaměstnanců v návaznosti na určitou pracovní činnost, prostředí, pracovní podmínky, používanou techniku a technologii, bezpečnost a hygienu práce apod. </w:t>
      </w:r>
    </w:p>
    <w:p w14:paraId="1BF3617C" w14:textId="77777777" w:rsidR="00774CE9" w:rsidRPr="00251BF8" w:rsidRDefault="00774CE9" w:rsidP="00774CE9">
      <w:pPr>
        <w:pStyle w:val="Odstavecseseznamem"/>
        <w:numPr>
          <w:ilvl w:val="0"/>
          <w:numId w:val="16"/>
        </w:numPr>
        <w:spacing w:before="60" w:after="120"/>
        <w:ind w:left="714" w:hanging="357"/>
        <w:jc w:val="both"/>
        <w:rPr>
          <w:rFonts w:cs="Arial"/>
        </w:rPr>
      </w:pPr>
      <w:r w:rsidRPr="00251BF8">
        <w:rPr>
          <w:rFonts w:cs="Arial"/>
          <w:b/>
        </w:rPr>
        <w:t xml:space="preserve">z ekonomického </w:t>
      </w:r>
      <w:r w:rsidRPr="00251BF8">
        <w:rPr>
          <w:rFonts w:cs="Arial"/>
        </w:rPr>
        <w:t>– vztahuje se totiž k důsledkům nepřítomnosti dočasně práce neschopných v zaměstnání, ke snížení tvorby zdrojů, k čerpání fondu nemocenského pojištění a v neposlední řadě i k vyvolaným nákladům zdravotní péče.</w:t>
      </w:r>
    </w:p>
    <w:p w14:paraId="62EF8020" w14:textId="77777777" w:rsidR="00774CE9" w:rsidRPr="00251BF8" w:rsidRDefault="00774CE9" w:rsidP="00774CE9">
      <w:pPr>
        <w:spacing w:before="60" w:after="120"/>
        <w:jc w:val="both"/>
        <w:rPr>
          <w:rFonts w:cs="Arial"/>
        </w:rPr>
      </w:pPr>
      <w:r w:rsidRPr="00251BF8">
        <w:rPr>
          <w:rFonts w:cs="Arial"/>
        </w:rPr>
        <w:t xml:space="preserve">Statistiky pracovní neschopnosti sice nabízí dlouhodobé časové řady, které ukazují mnohé souvislosti a trendy, nicméně je třeba si dobře uvědomit faktory, které zde působí. Zjednodušeně lze říci, že v průběhu času dochází ke změnám dvojího druhu. Jedny jsou projevem „přirozeného“ vývoje, zatímco druhé vycházejí z určitého vědomého rozhodnutí. Oba tyto druhy změn v různé míře ovlivňují hodnoty ukazatelů pracovní neschopnosti a je nutné k nim při analytickém hodnocení přihlížet. </w:t>
      </w:r>
    </w:p>
    <w:p w14:paraId="191340AA" w14:textId="77777777" w:rsidR="00774CE9" w:rsidRPr="00251BF8" w:rsidRDefault="00774CE9" w:rsidP="00774CE9">
      <w:pPr>
        <w:pStyle w:val="Odstavecseseznamem"/>
        <w:numPr>
          <w:ilvl w:val="0"/>
          <w:numId w:val="17"/>
        </w:numPr>
        <w:spacing w:before="60" w:after="120"/>
        <w:jc w:val="both"/>
        <w:rPr>
          <w:rFonts w:cs="Arial"/>
        </w:rPr>
      </w:pPr>
      <w:r w:rsidRPr="00251BF8">
        <w:rPr>
          <w:rFonts w:cs="Arial"/>
        </w:rPr>
        <w:t xml:space="preserve">Přirozené vlivy jsou např. změny </w:t>
      </w:r>
      <w:r w:rsidRPr="00251BF8">
        <w:rPr>
          <w:rFonts w:cs="Arial"/>
          <w:b/>
        </w:rPr>
        <w:t>demografické</w:t>
      </w:r>
      <w:r w:rsidRPr="00251BF8">
        <w:rPr>
          <w:rFonts w:cs="Arial"/>
        </w:rPr>
        <w:t xml:space="preserve"> (změny počtu </w:t>
      </w:r>
      <w:proofErr w:type="spellStart"/>
      <w:r w:rsidRPr="00251BF8">
        <w:rPr>
          <w:rFonts w:cs="Arial"/>
        </w:rPr>
        <w:t>nemocensky</w:t>
      </w:r>
      <w:proofErr w:type="spellEnd"/>
      <w:r w:rsidRPr="00251BF8">
        <w:rPr>
          <w:rFonts w:cs="Arial"/>
        </w:rPr>
        <w:t xml:space="preserve"> pojištěných, stárnutí obyvatelstva) či </w:t>
      </w:r>
      <w:r w:rsidRPr="00251BF8">
        <w:rPr>
          <w:rFonts w:cs="Arial"/>
          <w:b/>
        </w:rPr>
        <w:t>ekonomické</w:t>
      </w:r>
      <w:r w:rsidRPr="00251BF8">
        <w:rPr>
          <w:rFonts w:cs="Arial"/>
        </w:rPr>
        <w:t xml:space="preserve"> (vývoj nezaměstnanosti, inflace), podobně jako technický a technologický rozvoj (mající dopad na bezpečnost a náročnost práce). </w:t>
      </w:r>
    </w:p>
    <w:p w14:paraId="12A488F6" w14:textId="1BD7E500" w:rsidR="00774CE9" w:rsidRPr="00251BF8" w:rsidRDefault="00774CE9" w:rsidP="00774CE9">
      <w:pPr>
        <w:pStyle w:val="Odstavecseseznamem"/>
        <w:numPr>
          <w:ilvl w:val="0"/>
          <w:numId w:val="17"/>
        </w:numPr>
        <w:spacing w:after="120"/>
        <w:ind w:left="714" w:hanging="357"/>
        <w:jc w:val="both"/>
        <w:rPr>
          <w:rFonts w:cs="Arial"/>
        </w:rPr>
      </w:pPr>
      <w:r w:rsidRPr="00251BF8">
        <w:rPr>
          <w:rFonts w:cs="Arial"/>
        </w:rPr>
        <w:t xml:space="preserve">Vedle toho působí i </w:t>
      </w:r>
      <w:r w:rsidR="00EA74DB" w:rsidRPr="00251BF8">
        <w:rPr>
          <w:rFonts w:cs="Arial"/>
        </w:rPr>
        <w:t xml:space="preserve">opatření </w:t>
      </w:r>
      <w:r w:rsidRPr="00251BF8">
        <w:rPr>
          <w:rFonts w:cs="Arial"/>
        </w:rPr>
        <w:t xml:space="preserve">prováděná v oblasti </w:t>
      </w:r>
      <w:r w:rsidRPr="00251BF8">
        <w:rPr>
          <w:rFonts w:cs="Arial"/>
          <w:b/>
        </w:rPr>
        <w:t xml:space="preserve">legislativy </w:t>
      </w:r>
      <w:r w:rsidRPr="00251BF8">
        <w:rPr>
          <w:rFonts w:cs="Arial"/>
        </w:rPr>
        <w:t xml:space="preserve">(např. změny výše dávek a jiných nároků, úpravy pojištění apod.), ale rovněž změny </w:t>
      </w:r>
      <w:r w:rsidRPr="00251BF8">
        <w:rPr>
          <w:rFonts w:cs="Arial"/>
          <w:b/>
        </w:rPr>
        <w:t>metodické</w:t>
      </w:r>
      <w:r w:rsidRPr="00251BF8">
        <w:rPr>
          <w:rFonts w:cs="Arial"/>
        </w:rPr>
        <w:t xml:space="preserve"> (způsob sběru dat, změny klasifikací).</w:t>
      </w:r>
    </w:p>
    <w:p w14:paraId="4D26F89E" w14:textId="77777777" w:rsidR="00774CE9" w:rsidRPr="00251BF8" w:rsidRDefault="00774CE9" w:rsidP="00774CE9">
      <w:pPr>
        <w:autoSpaceDE w:val="0"/>
        <w:autoSpaceDN w:val="0"/>
        <w:adjustRightInd w:val="0"/>
        <w:spacing w:after="120"/>
        <w:jc w:val="both"/>
        <w:rPr>
          <w:rFonts w:cs="Arial"/>
        </w:rPr>
      </w:pPr>
      <w:r w:rsidRPr="00251BF8">
        <w:rPr>
          <w:rFonts w:cs="Arial"/>
        </w:rPr>
        <w:t>Údaje o pracovní neschopnosti pro nemoc a úraz vycházejí ze společného zpracování dat</w:t>
      </w:r>
      <w:r w:rsidRPr="00251BF8">
        <w:rPr>
          <w:rFonts w:cs="Arial"/>
          <w:b/>
        </w:rPr>
        <w:t xml:space="preserve"> České správy sociálního zabezpečení </w:t>
      </w:r>
      <w:r w:rsidRPr="00251BF8">
        <w:rPr>
          <w:rFonts w:cs="Arial"/>
        </w:rPr>
        <w:t>(ČSSZ)</w:t>
      </w:r>
      <w:r w:rsidRPr="00251BF8">
        <w:rPr>
          <w:rFonts w:cs="Arial"/>
          <w:b/>
        </w:rPr>
        <w:t xml:space="preserve"> </w:t>
      </w:r>
      <w:r w:rsidRPr="00251BF8">
        <w:rPr>
          <w:rFonts w:cs="Arial"/>
        </w:rPr>
        <w:t>a</w:t>
      </w:r>
      <w:r w:rsidRPr="00251BF8">
        <w:rPr>
          <w:rFonts w:cs="Arial"/>
          <w:b/>
        </w:rPr>
        <w:t xml:space="preserve"> Českého statistického úřadu </w:t>
      </w:r>
      <w:r w:rsidRPr="00251BF8">
        <w:rPr>
          <w:rFonts w:cs="Arial"/>
        </w:rPr>
        <w:t>(ČSÚ) a jsou publikovány vždy za 1. pololetí (na konci října sledovaného roku)</w:t>
      </w:r>
      <w:r w:rsidRPr="00251BF8">
        <w:rPr>
          <w:rFonts w:cs="Arial"/>
          <w:vertAlign w:val="superscript"/>
        </w:rPr>
        <w:t xml:space="preserve"> </w:t>
      </w:r>
      <w:r w:rsidRPr="00251BF8">
        <w:rPr>
          <w:rFonts w:cs="Arial"/>
        </w:rPr>
        <w:t>a za celý rok (na konci května následujícího roku)</w:t>
      </w:r>
      <w:r w:rsidRPr="00251BF8">
        <w:rPr>
          <w:rStyle w:val="Znakapoznpodarou"/>
          <w:rFonts w:cs="Arial"/>
        </w:rPr>
        <w:footnoteReference w:id="1"/>
      </w:r>
      <w:r w:rsidRPr="00251BF8">
        <w:rPr>
          <w:rFonts w:cs="Arial"/>
        </w:rPr>
        <w:t>.</w:t>
      </w:r>
    </w:p>
    <w:p w14:paraId="6B1CA887" w14:textId="77777777" w:rsidR="00774CE9" w:rsidRPr="00251BF8" w:rsidRDefault="00774CE9" w:rsidP="00774CE9">
      <w:pPr>
        <w:spacing w:after="120"/>
        <w:jc w:val="both"/>
      </w:pPr>
      <w:r w:rsidRPr="00251BF8">
        <w:t xml:space="preserve">Tato publikace přináší základní údaje o dočasné pracovní neschopnosti pracujících obyvatel ČR z důvodu nemoci či úrazu </w:t>
      </w:r>
      <w:r w:rsidRPr="00251BF8">
        <w:rPr>
          <w:b/>
        </w:rPr>
        <w:t>v roce 202</w:t>
      </w:r>
      <w:r w:rsidR="004832B5" w:rsidRPr="00251BF8">
        <w:rPr>
          <w:b/>
        </w:rPr>
        <w:t>3</w:t>
      </w:r>
      <w:r w:rsidRPr="00251BF8">
        <w:t xml:space="preserve"> a u vybraných ukazatelů jejich vývoj v delší </w:t>
      </w:r>
      <w:r w:rsidRPr="00251BF8">
        <w:rPr>
          <w:b/>
        </w:rPr>
        <w:t>časové řadě (201</w:t>
      </w:r>
      <w:r w:rsidR="004832B5" w:rsidRPr="00251BF8">
        <w:rPr>
          <w:b/>
        </w:rPr>
        <w:t>3</w:t>
      </w:r>
      <w:r w:rsidRPr="00251BF8">
        <w:rPr>
          <w:b/>
        </w:rPr>
        <w:t>–202</w:t>
      </w:r>
      <w:r w:rsidR="004832B5" w:rsidRPr="00251BF8">
        <w:rPr>
          <w:b/>
        </w:rPr>
        <w:t>3</w:t>
      </w:r>
      <w:r w:rsidRPr="00251BF8">
        <w:rPr>
          <w:b/>
        </w:rPr>
        <w:t>).</w:t>
      </w:r>
    </w:p>
    <w:p w14:paraId="457A28CC" w14:textId="4A9D8E9F" w:rsidR="00774CE9" w:rsidRPr="00251BF8" w:rsidRDefault="00774CE9" w:rsidP="00774CE9">
      <w:pPr>
        <w:autoSpaceDE w:val="0"/>
        <w:autoSpaceDN w:val="0"/>
        <w:adjustRightInd w:val="0"/>
        <w:spacing w:after="120"/>
        <w:jc w:val="both"/>
        <w:rPr>
          <w:rFonts w:cs="Arial"/>
        </w:rPr>
      </w:pPr>
      <w:r w:rsidRPr="00251BF8">
        <w:rPr>
          <w:rFonts w:cs="Arial"/>
        </w:rPr>
        <w:t xml:space="preserve">Publikace je členěna na textovou a tabulkovou část. </w:t>
      </w:r>
      <w:r w:rsidRPr="00251BF8">
        <w:rPr>
          <w:rFonts w:cs="Arial"/>
          <w:b/>
        </w:rPr>
        <w:t>Textová část</w:t>
      </w:r>
      <w:r w:rsidRPr="00251BF8">
        <w:rPr>
          <w:rFonts w:cs="Arial"/>
        </w:rPr>
        <w:t xml:space="preserve"> nejprve obsahuje stručné seznámení s legislativní úpravou nemocenského pojištění, vč. významných legislativních změn ovlivňujících podstatným způsobem vývoj ukazatelů pracovní neschopnosti. Dále textová část pokračuje popisem metodiky zpracování dat dočasné pracovní neschopnosti prostřednictvím systémů ČSSZ a ČSÚ a výčtem dalších možných zdrojů dat v oblasti statistiky nemocnosti a úrazovosti. Stěžejní část tvoří </w:t>
      </w:r>
      <w:r w:rsidRPr="00251BF8">
        <w:rPr>
          <w:rFonts w:cs="Arial"/>
          <w:b/>
        </w:rPr>
        <w:t>analýza</w:t>
      </w:r>
      <w:r w:rsidRPr="00251BF8">
        <w:rPr>
          <w:rFonts w:cs="Arial"/>
        </w:rPr>
        <w:t>, která přináší rozbor vývoje a intenzity základních ukazatelů dočasné pracovní neschopnosti pro nemoc a úraz v ČR včetně definic sledovaných indikátorů. Je doplněna i daty z jiných dostupných zdrojů. Data z ČSSZ dokreslují pohled na tuto oblast statistiky pomocí ukončených případů</w:t>
      </w:r>
      <w:r w:rsidR="006A65FC" w:rsidRPr="00251BF8">
        <w:rPr>
          <w:rFonts w:cs="Arial"/>
        </w:rPr>
        <w:t xml:space="preserve"> dočasné pracovní neschopnosti </w:t>
      </w:r>
      <w:r w:rsidRPr="00251BF8">
        <w:rPr>
          <w:rFonts w:cs="Arial"/>
        </w:rPr>
        <w:t>a výdajů na dávky nemocenského pojištění. Údaje ze Státního úřadu inspekce práce (SÚIP) a </w:t>
      </w:r>
      <w:proofErr w:type="spellStart"/>
      <w:r w:rsidRPr="00251BF8">
        <w:rPr>
          <w:rFonts w:cs="Arial"/>
        </w:rPr>
        <w:t>Eurostatu</w:t>
      </w:r>
      <w:proofErr w:type="spellEnd"/>
      <w:r w:rsidRPr="00251BF8">
        <w:rPr>
          <w:rFonts w:cs="Arial"/>
        </w:rPr>
        <w:t xml:space="preserve"> popisují pracovní úrazovost.</w:t>
      </w:r>
    </w:p>
    <w:p w14:paraId="7A7BE75B" w14:textId="77777777" w:rsidR="00774CE9" w:rsidRPr="00251BF8" w:rsidRDefault="00774CE9" w:rsidP="00774CE9">
      <w:pPr>
        <w:autoSpaceDE w:val="0"/>
        <w:autoSpaceDN w:val="0"/>
        <w:adjustRightInd w:val="0"/>
        <w:spacing w:after="60"/>
        <w:jc w:val="both"/>
        <w:rPr>
          <w:rFonts w:cs="Arial"/>
        </w:rPr>
      </w:pPr>
      <w:r w:rsidRPr="00251BF8">
        <w:rPr>
          <w:rFonts w:cs="Arial"/>
        </w:rPr>
        <w:t xml:space="preserve">Publikace nabízí zejména údaje o </w:t>
      </w:r>
      <w:r w:rsidRPr="00251BF8">
        <w:rPr>
          <w:rFonts w:cs="Arial"/>
          <w:b/>
        </w:rPr>
        <w:t>nově hlášených případech dočasné pracovní neschopnosti pro nemoc a úraz</w:t>
      </w:r>
      <w:r w:rsidRPr="00251BF8">
        <w:rPr>
          <w:rFonts w:cs="Arial"/>
        </w:rPr>
        <w:t xml:space="preserve"> (kapitola 4.2) a související ukazatele:</w:t>
      </w:r>
    </w:p>
    <w:p w14:paraId="7E6798AC" w14:textId="77777777" w:rsidR="00774CE9" w:rsidRPr="00251BF8" w:rsidRDefault="00774CE9" w:rsidP="00774CE9">
      <w:pPr>
        <w:pStyle w:val="Odstavecseseznamem"/>
        <w:numPr>
          <w:ilvl w:val="0"/>
          <w:numId w:val="14"/>
        </w:numPr>
        <w:autoSpaceDE w:val="0"/>
        <w:autoSpaceDN w:val="0"/>
        <w:adjustRightInd w:val="0"/>
        <w:jc w:val="both"/>
        <w:rPr>
          <w:rFonts w:cs="Arial"/>
        </w:rPr>
      </w:pPr>
      <w:r w:rsidRPr="00251BF8">
        <w:rPr>
          <w:rFonts w:cs="Arial"/>
        </w:rPr>
        <w:t xml:space="preserve">průměrný počet </w:t>
      </w:r>
      <w:proofErr w:type="spellStart"/>
      <w:r w:rsidRPr="00251BF8">
        <w:rPr>
          <w:rFonts w:cs="Arial"/>
        </w:rPr>
        <w:t>nemocensky</w:t>
      </w:r>
      <w:proofErr w:type="spellEnd"/>
      <w:r w:rsidRPr="00251BF8">
        <w:rPr>
          <w:rFonts w:cs="Arial"/>
        </w:rPr>
        <w:t xml:space="preserve"> pojištěných osob,</w:t>
      </w:r>
    </w:p>
    <w:p w14:paraId="6759002F" w14:textId="77777777" w:rsidR="00774CE9" w:rsidRPr="00251BF8" w:rsidRDefault="00774CE9" w:rsidP="00774CE9">
      <w:pPr>
        <w:pStyle w:val="Odstavecseseznamem"/>
        <w:numPr>
          <w:ilvl w:val="0"/>
          <w:numId w:val="14"/>
        </w:numPr>
        <w:autoSpaceDE w:val="0"/>
        <w:autoSpaceDN w:val="0"/>
        <w:adjustRightInd w:val="0"/>
        <w:jc w:val="both"/>
        <w:rPr>
          <w:rFonts w:cs="Arial"/>
        </w:rPr>
      </w:pPr>
      <w:r w:rsidRPr="00251BF8">
        <w:rPr>
          <w:rFonts w:cs="Arial"/>
        </w:rPr>
        <w:t xml:space="preserve">počet nově hlášených případů pracovní neschopnosti na 100 </w:t>
      </w:r>
      <w:proofErr w:type="spellStart"/>
      <w:r w:rsidRPr="00251BF8">
        <w:rPr>
          <w:rFonts w:cs="Arial"/>
        </w:rPr>
        <w:t>nemocensky</w:t>
      </w:r>
      <w:proofErr w:type="spellEnd"/>
      <w:r w:rsidRPr="00251BF8">
        <w:rPr>
          <w:rFonts w:cs="Arial"/>
        </w:rPr>
        <w:t xml:space="preserve"> pojištěných osob,</w:t>
      </w:r>
    </w:p>
    <w:p w14:paraId="5C68F519" w14:textId="77777777" w:rsidR="00774CE9" w:rsidRPr="00251BF8" w:rsidRDefault="00774CE9" w:rsidP="00774CE9">
      <w:pPr>
        <w:pStyle w:val="Odstavecseseznamem"/>
        <w:numPr>
          <w:ilvl w:val="0"/>
          <w:numId w:val="14"/>
        </w:numPr>
        <w:autoSpaceDE w:val="0"/>
        <w:autoSpaceDN w:val="0"/>
        <w:adjustRightInd w:val="0"/>
        <w:jc w:val="both"/>
        <w:rPr>
          <w:rFonts w:cs="Arial"/>
        </w:rPr>
      </w:pPr>
      <w:r w:rsidRPr="00251BF8">
        <w:rPr>
          <w:rFonts w:cs="Arial"/>
        </w:rPr>
        <w:t>počet kalendářních dnů pracovní neschopnosti,</w:t>
      </w:r>
    </w:p>
    <w:p w14:paraId="418F9ABF" w14:textId="77777777" w:rsidR="00774CE9" w:rsidRPr="00251BF8" w:rsidRDefault="00774CE9" w:rsidP="00774CE9">
      <w:pPr>
        <w:pStyle w:val="Odstavecseseznamem"/>
        <w:numPr>
          <w:ilvl w:val="0"/>
          <w:numId w:val="14"/>
        </w:numPr>
        <w:autoSpaceDE w:val="0"/>
        <w:autoSpaceDN w:val="0"/>
        <w:adjustRightInd w:val="0"/>
        <w:jc w:val="both"/>
        <w:rPr>
          <w:rFonts w:cs="Arial"/>
        </w:rPr>
      </w:pPr>
      <w:r w:rsidRPr="00251BF8">
        <w:rPr>
          <w:rFonts w:cs="Arial"/>
        </w:rPr>
        <w:t>průměrná délka trvání jednoho případu pracovní neschopnosti,</w:t>
      </w:r>
    </w:p>
    <w:p w14:paraId="3D3062FC" w14:textId="77777777" w:rsidR="00774CE9" w:rsidRPr="00251BF8" w:rsidRDefault="00774CE9" w:rsidP="00774CE9">
      <w:pPr>
        <w:pStyle w:val="Odstavecseseznamem"/>
        <w:numPr>
          <w:ilvl w:val="0"/>
          <w:numId w:val="14"/>
        </w:numPr>
        <w:autoSpaceDE w:val="0"/>
        <w:autoSpaceDN w:val="0"/>
        <w:adjustRightInd w:val="0"/>
        <w:jc w:val="both"/>
        <w:rPr>
          <w:rFonts w:cs="Arial"/>
        </w:rPr>
      </w:pPr>
      <w:r w:rsidRPr="00251BF8">
        <w:rPr>
          <w:rFonts w:cs="Arial"/>
        </w:rPr>
        <w:t>průměrné procento pracovní neschopnosti,</w:t>
      </w:r>
    </w:p>
    <w:p w14:paraId="04522FF9" w14:textId="77777777" w:rsidR="00774CE9" w:rsidRPr="00251BF8" w:rsidRDefault="00774CE9" w:rsidP="00774CE9">
      <w:pPr>
        <w:pStyle w:val="Odstavecseseznamem"/>
        <w:numPr>
          <w:ilvl w:val="0"/>
          <w:numId w:val="14"/>
        </w:numPr>
        <w:autoSpaceDE w:val="0"/>
        <w:autoSpaceDN w:val="0"/>
        <w:adjustRightInd w:val="0"/>
        <w:jc w:val="both"/>
        <w:rPr>
          <w:rFonts w:cs="Arial"/>
        </w:rPr>
      </w:pPr>
      <w:r w:rsidRPr="00251BF8">
        <w:rPr>
          <w:rFonts w:cs="Arial"/>
        </w:rPr>
        <w:t>průměrný denní stav dočasně práce neschopných,</w:t>
      </w:r>
    </w:p>
    <w:p w14:paraId="60070F70" w14:textId="77777777" w:rsidR="00774CE9" w:rsidRPr="00251BF8" w:rsidRDefault="00774CE9" w:rsidP="00774CE9">
      <w:pPr>
        <w:pStyle w:val="Odstavecseseznamem"/>
        <w:numPr>
          <w:ilvl w:val="0"/>
          <w:numId w:val="14"/>
        </w:numPr>
        <w:autoSpaceDE w:val="0"/>
        <w:autoSpaceDN w:val="0"/>
        <w:adjustRightInd w:val="0"/>
        <w:spacing w:after="120"/>
        <w:ind w:left="714" w:hanging="357"/>
        <w:jc w:val="both"/>
        <w:rPr>
          <w:rFonts w:cs="Arial"/>
        </w:rPr>
      </w:pPr>
      <w:r w:rsidRPr="00251BF8">
        <w:rPr>
          <w:rFonts w:cs="Arial"/>
        </w:rPr>
        <w:t>počet pracovních úrazů s pracovní neschopností delší než 3 dny (kap. 4.5).</w:t>
      </w:r>
    </w:p>
    <w:p w14:paraId="09E82D6F" w14:textId="75DC0BAB" w:rsidR="00774CE9" w:rsidRPr="00D92E20" w:rsidRDefault="00774CE9" w:rsidP="00774CE9">
      <w:pPr>
        <w:autoSpaceDE w:val="0"/>
        <w:autoSpaceDN w:val="0"/>
        <w:adjustRightInd w:val="0"/>
        <w:spacing w:after="120"/>
        <w:jc w:val="both"/>
        <w:rPr>
          <w:rFonts w:cs="Arial"/>
          <w:szCs w:val="20"/>
        </w:rPr>
      </w:pPr>
      <w:r w:rsidRPr="00D92E20">
        <w:rPr>
          <w:rFonts w:cs="Arial"/>
          <w:szCs w:val="20"/>
        </w:rPr>
        <w:lastRenderedPageBreak/>
        <w:t>Předkládané ukazatele jsou k dispozici v celé řadě třídění</w:t>
      </w:r>
      <w:r>
        <w:rPr>
          <w:rFonts w:cs="Arial"/>
          <w:szCs w:val="20"/>
        </w:rPr>
        <w:t>:</w:t>
      </w:r>
      <w:r w:rsidRPr="00D92E20">
        <w:rPr>
          <w:rFonts w:cs="Arial"/>
          <w:szCs w:val="20"/>
        </w:rPr>
        <w:t xml:space="preserve"> např. podle velikosti podniku, převažující ekonomické činnosti a sektoru zaměstnavatele </w:t>
      </w:r>
      <w:proofErr w:type="spellStart"/>
      <w:r w:rsidRPr="00D92E20">
        <w:rPr>
          <w:rFonts w:cs="Arial"/>
          <w:szCs w:val="20"/>
        </w:rPr>
        <w:t>nemocensky</w:t>
      </w:r>
      <w:proofErr w:type="spellEnd"/>
      <w:r w:rsidRPr="00D92E20">
        <w:rPr>
          <w:rFonts w:cs="Arial"/>
          <w:szCs w:val="20"/>
        </w:rPr>
        <w:t xml:space="preserve"> pojištěných osob. </w:t>
      </w:r>
      <w:r w:rsidR="004832B5" w:rsidRPr="00D92E20">
        <w:rPr>
          <w:rFonts w:cs="Arial"/>
          <w:szCs w:val="20"/>
        </w:rPr>
        <w:t xml:space="preserve">Vedle údajů o zaměstnancích publikace poskytuje také data o </w:t>
      </w:r>
      <w:proofErr w:type="spellStart"/>
      <w:r w:rsidR="004832B5" w:rsidRPr="00D92E20">
        <w:rPr>
          <w:rFonts w:cs="Arial"/>
          <w:szCs w:val="20"/>
        </w:rPr>
        <w:t>nemocensky</w:t>
      </w:r>
      <w:proofErr w:type="spellEnd"/>
      <w:r w:rsidR="004832B5" w:rsidRPr="00D92E20">
        <w:rPr>
          <w:rFonts w:cs="Arial"/>
          <w:szCs w:val="20"/>
        </w:rPr>
        <w:t xml:space="preserve"> pojištěných osobách samostatně výdělečně činných (OSVČ).</w:t>
      </w:r>
      <w:r w:rsidR="004832B5">
        <w:rPr>
          <w:rFonts w:cs="Arial"/>
          <w:szCs w:val="20"/>
        </w:rPr>
        <w:t xml:space="preserve"> </w:t>
      </w:r>
      <w:r w:rsidR="00F97C4B" w:rsidRPr="00EA74DB">
        <w:rPr>
          <w:rFonts w:cs="Arial"/>
          <w:b/>
          <w:szCs w:val="20"/>
        </w:rPr>
        <w:t xml:space="preserve">Členění do krajů a okresů počínaje daty za rok 2023 </w:t>
      </w:r>
      <w:r w:rsidR="004832B5" w:rsidRPr="00EA74DB">
        <w:rPr>
          <w:rFonts w:cs="Arial"/>
          <w:b/>
          <w:szCs w:val="20"/>
        </w:rPr>
        <w:t>není možné</w:t>
      </w:r>
      <w:r w:rsidR="004832B5" w:rsidRPr="00386D4F">
        <w:rPr>
          <w:rFonts w:cs="Arial"/>
          <w:szCs w:val="20"/>
        </w:rPr>
        <w:t xml:space="preserve"> z důvodu rostoucí </w:t>
      </w:r>
      <w:r w:rsidR="004832B5" w:rsidRPr="00EA74DB">
        <w:rPr>
          <w:rFonts w:cs="Arial"/>
          <w:b/>
          <w:szCs w:val="20"/>
        </w:rPr>
        <w:t>míry centralizace mzdových účtáren větších zaměstnavatelů</w:t>
      </w:r>
      <w:r w:rsidR="004832B5" w:rsidRPr="00386D4F">
        <w:rPr>
          <w:rFonts w:cs="Arial"/>
          <w:szCs w:val="20"/>
        </w:rPr>
        <w:t xml:space="preserve"> mimo okres skutečného výkonu práce či sídla </w:t>
      </w:r>
      <w:r w:rsidR="00FC2CD8" w:rsidRPr="00386D4F">
        <w:rPr>
          <w:rFonts w:cs="Arial"/>
          <w:szCs w:val="20"/>
        </w:rPr>
        <w:t>podniku</w:t>
      </w:r>
      <w:r w:rsidR="00853C74" w:rsidRPr="00386D4F">
        <w:rPr>
          <w:rFonts w:cs="Arial"/>
          <w:szCs w:val="20"/>
        </w:rPr>
        <w:t xml:space="preserve">. </w:t>
      </w:r>
      <w:r w:rsidR="00B01B3E" w:rsidRPr="00386D4F">
        <w:rPr>
          <w:rFonts w:cs="Arial"/>
          <w:szCs w:val="20"/>
        </w:rPr>
        <w:t>V</w:t>
      </w:r>
      <w:r w:rsidR="004C0C7C" w:rsidRPr="00386D4F">
        <w:rPr>
          <w:rFonts w:cs="Arial"/>
          <w:szCs w:val="20"/>
        </w:rPr>
        <w:t>livem</w:t>
      </w:r>
      <w:r w:rsidR="004832B5" w:rsidRPr="00386D4F">
        <w:rPr>
          <w:rFonts w:cs="Arial"/>
          <w:szCs w:val="20"/>
        </w:rPr>
        <w:t xml:space="preserve"> zvýšené</w:t>
      </w:r>
      <w:r w:rsidR="004C0C7C" w:rsidRPr="00386D4F">
        <w:rPr>
          <w:rFonts w:cs="Arial"/>
          <w:szCs w:val="20"/>
        </w:rPr>
        <w:t>ho</w:t>
      </w:r>
      <w:r w:rsidR="00853C74" w:rsidRPr="00386D4F">
        <w:rPr>
          <w:rFonts w:cs="Arial"/>
          <w:szCs w:val="20"/>
        </w:rPr>
        <w:t xml:space="preserve"> využívání institutu delegování </w:t>
      </w:r>
      <w:r w:rsidR="00B01B3E" w:rsidRPr="00386D4F">
        <w:rPr>
          <w:rFonts w:cs="Arial"/>
          <w:szCs w:val="20"/>
        </w:rPr>
        <w:t xml:space="preserve">rovněž </w:t>
      </w:r>
      <w:r w:rsidR="00853C74" w:rsidRPr="00EA74DB">
        <w:rPr>
          <w:rFonts w:cs="Arial"/>
          <w:b/>
          <w:szCs w:val="20"/>
        </w:rPr>
        <w:t>došlo k přesunu místní příslušnosti některých zaměstnavatelů</w:t>
      </w:r>
      <w:r w:rsidR="004C0C7C" w:rsidRPr="00EA74DB">
        <w:rPr>
          <w:rFonts w:cs="Arial"/>
          <w:b/>
          <w:szCs w:val="20"/>
        </w:rPr>
        <w:t xml:space="preserve"> pod jinou </w:t>
      </w:r>
      <w:r w:rsidR="006A65FC" w:rsidRPr="00EA74DB">
        <w:rPr>
          <w:rFonts w:cs="Arial"/>
          <w:b/>
          <w:szCs w:val="20"/>
        </w:rPr>
        <w:t>Okresní správu sociálního zabezpečení</w:t>
      </w:r>
      <w:r w:rsidR="006A65FC" w:rsidRPr="00386D4F">
        <w:rPr>
          <w:rFonts w:cs="Arial"/>
          <w:szCs w:val="20"/>
        </w:rPr>
        <w:t xml:space="preserve"> (</w:t>
      </w:r>
      <w:r w:rsidR="004C0C7C" w:rsidRPr="00386D4F">
        <w:rPr>
          <w:rFonts w:cs="Arial"/>
          <w:szCs w:val="20"/>
        </w:rPr>
        <w:t>OSSZ</w:t>
      </w:r>
      <w:r w:rsidR="006A65FC" w:rsidRPr="00386D4F">
        <w:rPr>
          <w:rFonts w:cs="Arial"/>
          <w:szCs w:val="20"/>
        </w:rPr>
        <w:t>)</w:t>
      </w:r>
      <w:r w:rsidR="00853C74" w:rsidRPr="00386D4F">
        <w:rPr>
          <w:rFonts w:cs="Arial"/>
          <w:szCs w:val="20"/>
        </w:rPr>
        <w:t>.</w:t>
      </w:r>
      <w:r w:rsidR="004832B5" w:rsidRPr="00386D4F">
        <w:rPr>
          <w:rFonts w:cs="Arial"/>
          <w:szCs w:val="20"/>
        </w:rPr>
        <w:t xml:space="preserve"> </w:t>
      </w:r>
    </w:p>
    <w:p w14:paraId="2B23A476" w14:textId="77777777" w:rsidR="00774CE9" w:rsidRPr="00D92E20" w:rsidRDefault="00774CE9" w:rsidP="00774CE9">
      <w:pPr>
        <w:autoSpaceDE w:val="0"/>
        <w:autoSpaceDN w:val="0"/>
        <w:adjustRightInd w:val="0"/>
        <w:spacing w:after="120"/>
        <w:jc w:val="both"/>
        <w:rPr>
          <w:rFonts w:cs="Arial"/>
          <w:szCs w:val="20"/>
        </w:rPr>
      </w:pPr>
      <w:r w:rsidRPr="00D92E20">
        <w:rPr>
          <w:rFonts w:cs="Arial"/>
          <w:szCs w:val="20"/>
        </w:rPr>
        <w:t xml:space="preserve">Kromě podrobných dat o nově hlášených případech, přináší publikace v kapitole 4.3 i údaje o </w:t>
      </w:r>
      <w:r w:rsidRPr="00D92E20">
        <w:rPr>
          <w:rFonts w:cs="Arial"/>
          <w:b/>
          <w:szCs w:val="20"/>
        </w:rPr>
        <w:t>ukončených případech</w:t>
      </w:r>
      <w:r w:rsidRPr="00D92E20">
        <w:rPr>
          <w:rFonts w:cs="Arial"/>
          <w:szCs w:val="20"/>
        </w:rPr>
        <w:t xml:space="preserve"> podle pohlaví a věku osob dočasně práce neschopných. Počty ukončených případů jsou dostupné také podle příčiny pracovní neschopnosti dle </w:t>
      </w:r>
      <w:r>
        <w:rPr>
          <w:rFonts w:cs="Arial"/>
          <w:szCs w:val="20"/>
        </w:rPr>
        <w:t>skupin</w:t>
      </w:r>
      <w:r w:rsidRPr="00D92E20">
        <w:rPr>
          <w:rFonts w:cs="Arial"/>
          <w:szCs w:val="20"/>
        </w:rPr>
        <w:t xml:space="preserve"> diagnóz či délky jejího trvání.</w:t>
      </w:r>
    </w:p>
    <w:p w14:paraId="116911FF" w14:textId="77777777" w:rsidR="00774CE9" w:rsidRPr="00D92E20" w:rsidRDefault="00774CE9" w:rsidP="00774CE9">
      <w:pPr>
        <w:autoSpaceDE w:val="0"/>
        <w:autoSpaceDN w:val="0"/>
        <w:adjustRightInd w:val="0"/>
        <w:spacing w:after="120"/>
        <w:jc w:val="both"/>
        <w:rPr>
          <w:rFonts w:cs="Arial"/>
          <w:szCs w:val="20"/>
        </w:rPr>
      </w:pPr>
      <w:r w:rsidRPr="00D92E20">
        <w:rPr>
          <w:rFonts w:cs="Arial"/>
          <w:szCs w:val="20"/>
        </w:rPr>
        <w:t xml:space="preserve">Kapitola 4.4 je věnována výši výdajů na jednotlivé dávky placené z nemocenského pojištění. Následuje kapitola </w:t>
      </w:r>
      <w:r>
        <w:rPr>
          <w:rFonts w:cs="Arial"/>
          <w:szCs w:val="20"/>
        </w:rPr>
        <w:t xml:space="preserve">4.5 </w:t>
      </w:r>
      <w:r w:rsidRPr="00D92E20">
        <w:rPr>
          <w:rFonts w:cs="Arial"/>
          <w:szCs w:val="20"/>
        </w:rPr>
        <w:t>o pracovních úrazech.</w:t>
      </w:r>
      <w:r>
        <w:rPr>
          <w:rFonts w:cs="Arial"/>
          <w:szCs w:val="20"/>
        </w:rPr>
        <w:t xml:space="preserve"> Nejprve v národním pojetí, poté v evropském srovnání.</w:t>
      </w:r>
    </w:p>
    <w:p w14:paraId="06E40FEC" w14:textId="77777777" w:rsidR="00774CE9" w:rsidRPr="00D92E20" w:rsidRDefault="00774CE9" w:rsidP="00774CE9">
      <w:pPr>
        <w:autoSpaceDE w:val="0"/>
        <w:autoSpaceDN w:val="0"/>
        <w:adjustRightInd w:val="0"/>
        <w:spacing w:after="60"/>
        <w:jc w:val="both"/>
        <w:rPr>
          <w:rFonts w:cs="Arial"/>
          <w:szCs w:val="20"/>
        </w:rPr>
      </w:pPr>
      <w:r w:rsidRPr="00D92E20">
        <w:rPr>
          <w:rFonts w:cs="Arial"/>
          <w:b/>
          <w:szCs w:val="20"/>
        </w:rPr>
        <w:t>Tabulková část</w:t>
      </w:r>
      <w:r w:rsidRPr="00D92E20">
        <w:rPr>
          <w:rFonts w:cs="Arial"/>
          <w:szCs w:val="20"/>
        </w:rPr>
        <w:t xml:space="preserve"> publikace obsahuje datové výstupy ze zpracování nově hlášených případů dočasné pracovní neschopnosti zaměstnanců a OSVČ v členění dle:</w:t>
      </w:r>
    </w:p>
    <w:p w14:paraId="7643919F" w14:textId="77777777" w:rsidR="00774CE9" w:rsidRPr="00D92E20" w:rsidRDefault="00774CE9" w:rsidP="00774CE9">
      <w:pPr>
        <w:pStyle w:val="Odstavecseseznamem"/>
        <w:numPr>
          <w:ilvl w:val="0"/>
          <w:numId w:val="15"/>
        </w:numPr>
        <w:autoSpaceDE w:val="0"/>
        <w:autoSpaceDN w:val="0"/>
        <w:adjustRightInd w:val="0"/>
        <w:jc w:val="both"/>
        <w:rPr>
          <w:rFonts w:cs="Arial"/>
          <w:szCs w:val="20"/>
        </w:rPr>
      </w:pPr>
      <w:r w:rsidRPr="00D92E20">
        <w:rPr>
          <w:rFonts w:cs="Arial"/>
          <w:szCs w:val="20"/>
        </w:rPr>
        <w:t xml:space="preserve">pohlaví </w:t>
      </w:r>
      <w:proofErr w:type="spellStart"/>
      <w:r w:rsidRPr="00D92E20">
        <w:rPr>
          <w:rFonts w:cs="Arial"/>
          <w:szCs w:val="20"/>
        </w:rPr>
        <w:t>nemocensky</w:t>
      </w:r>
      <w:proofErr w:type="spellEnd"/>
      <w:r w:rsidRPr="00D92E20">
        <w:rPr>
          <w:rFonts w:cs="Arial"/>
          <w:szCs w:val="20"/>
        </w:rPr>
        <w:t xml:space="preserve"> pojištěných osob,</w:t>
      </w:r>
    </w:p>
    <w:p w14:paraId="19366624" w14:textId="77777777" w:rsidR="00774CE9" w:rsidRPr="00D92E20" w:rsidRDefault="00774CE9" w:rsidP="00774CE9">
      <w:pPr>
        <w:pStyle w:val="Odstavecseseznamem"/>
        <w:numPr>
          <w:ilvl w:val="0"/>
          <w:numId w:val="15"/>
        </w:numPr>
        <w:autoSpaceDE w:val="0"/>
        <w:autoSpaceDN w:val="0"/>
        <w:adjustRightInd w:val="0"/>
        <w:jc w:val="both"/>
        <w:rPr>
          <w:rFonts w:cs="Arial"/>
          <w:szCs w:val="20"/>
        </w:rPr>
      </w:pPr>
      <w:r w:rsidRPr="00D92E20">
        <w:rPr>
          <w:rFonts w:cs="Arial"/>
          <w:szCs w:val="20"/>
        </w:rPr>
        <w:t xml:space="preserve">postavení v zaměstnání </w:t>
      </w:r>
      <w:proofErr w:type="spellStart"/>
      <w:r w:rsidRPr="00D92E20">
        <w:rPr>
          <w:rFonts w:cs="Arial"/>
          <w:szCs w:val="20"/>
        </w:rPr>
        <w:t>nemocensky</w:t>
      </w:r>
      <w:proofErr w:type="spellEnd"/>
      <w:r w:rsidRPr="00D92E20">
        <w:rPr>
          <w:rFonts w:cs="Arial"/>
          <w:szCs w:val="20"/>
        </w:rPr>
        <w:t xml:space="preserve"> pojištěných osob (zaměstnanci, OSVČ),</w:t>
      </w:r>
    </w:p>
    <w:p w14:paraId="56F943C6" w14:textId="77777777" w:rsidR="00774CE9" w:rsidRPr="00D92E20" w:rsidRDefault="00774CE9" w:rsidP="00774CE9">
      <w:pPr>
        <w:pStyle w:val="Odstavecseseznamem"/>
        <w:numPr>
          <w:ilvl w:val="0"/>
          <w:numId w:val="15"/>
        </w:numPr>
        <w:autoSpaceDE w:val="0"/>
        <w:autoSpaceDN w:val="0"/>
        <w:adjustRightInd w:val="0"/>
        <w:jc w:val="both"/>
        <w:rPr>
          <w:rFonts w:cs="Arial"/>
          <w:szCs w:val="20"/>
        </w:rPr>
      </w:pPr>
      <w:r w:rsidRPr="00D92E20">
        <w:rPr>
          <w:rFonts w:cs="Arial"/>
          <w:szCs w:val="20"/>
        </w:rPr>
        <w:t>velikosti ekonomického subjektu (dle počtu zaměstnanců),</w:t>
      </w:r>
    </w:p>
    <w:p w14:paraId="33A9F4D2" w14:textId="77777777" w:rsidR="00774CE9" w:rsidRPr="00D92E20" w:rsidRDefault="00774CE9" w:rsidP="00774CE9">
      <w:pPr>
        <w:pStyle w:val="Odstavecseseznamem"/>
        <w:numPr>
          <w:ilvl w:val="0"/>
          <w:numId w:val="15"/>
        </w:numPr>
        <w:autoSpaceDE w:val="0"/>
        <w:autoSpaceDN w:val="0"/>
        <w:adjustRightInd w:val="0"/>
        <w:jc w:val="both"/>
        <w:rPr>
          <w:rFonts w:cs="Arial"/>
          <w:szCs w:val="20"/>
        </w:rPr>
      </w:pPr>
      <w:r w:rsidRPr="00D92E20">
        <w:rPr>
          <w:rFonts w:cs="Arial"/>
          <w:szCs w:val="20"/>
        </w:rPr>
        <w:t xml:space="preserve">sektoru zaměstnavatele (dle klasifikace institucionálních sektorů a </w:t>
      </w:r>
      <w:proofErr w:type="spellStart"/>
      <w:r w:rsidRPr="00D92E20">
        <w:rPr>
          <w:rFonts w:cs="Arial"/>
          <w:szCs w:val="20"/>
        </w:rPr>
        <w:t>subsektorů</w:t>
      </w:r>
      <w:proofErr w:type="spellEnd"/>
      <w:r w:rsidRPr="00D92E20">
        <w:rPr>
          <w:rFonts w:cs="Arial"/>
          <w:szCs w:val="20"/>
        </w:rPr>
        <w:t xml:space="preserve"> ESA 2010),</w:t>
      </w:r>
    </w:p>
    <w:p w14:paraId="1A21F9BA" w14:textId="77777777" w:rsidR="00774CE9" w:rsidRPr="00D92E20" w:rsidRDefault="00774CE9" w:rsidP="00774CE9">
      <w:pPr>
        <w:pStyle w:val="Odstavecseseznamem"/>
        <w:numPr>
          <w:ilvl w:val="0"/>
          <w:numId w:val="15"/>
        </w:numPr>
        <w:autoSpaceDE w:val="0"/>
        <w:autoSpaceDN w:val="0"/>
        <w:adjustRightInd w:val="0"/>
        <w:spacing w:after="120"/>
        <w:ind w:left="714" w:hanging="357"/>
        <w:jc w:val="both"/>
        <w:rPr>
          <w:rFonts w:cs="Arial"/>
          <w:szCs w:val="20"/>
        </w:rPr>
      </w:pPr>
      <w:r w:rsidRPr="00D92E20">
        <w:rPr>
          <w:rFonts w:cs="Arial"/>
          <w:szCs w:val="20"/>
        </w:rPr>
        <w:t>převažující ekonomické činnosti (na úrovni sekcí</w:t>
      </w:r>
      <w:r w:rsidR="004832B5">
        <w:rPr>
          <w:rFonts w:cs="Arial"/>
          <w:szCs w:val="20"/>
        </w:rPr>
        <w:t xml:space="preserve"> či oddílů klasifikace CZ-NACE).</w:t>
      </w:r>
    </w:p>
    <w:p w14:paraId="24761B74" w14:textId="77777777" w:rsidR="00774CE9" w:rsidRDefault="00774CE9" w:rsidP="00774CE9">
      <w:pPr>
        <w:autoSpaceDE w:val="0"/>
        <w:autoSpaceDN w:val="0"/>
        <w:adjustRightInd w:val="0"/>
        <w:spacing w:after="120"/>
        <w:jc w:val="both"/>
        <w:rPr>
          <w:rFonts w:cs="Arial"/>
          <w:szCs w:val="20"/>
        </w:rPr>
      </w:pPr>
      <w:r w:rsidRPr="00D92E20">
        <w:rPr>
          <w:rFonts w:cs="Arial"/>
          <w:szCs w:val="20"/>
        </w:rPr>
        <w:t xml:space="preserve">Tabulková část dále obsahuje data o pracovní úrazovosti s dočasnou pracovní neschopností delší než 3 dny, se samostatným výstupem o pracovní úrazovosti mladistvých (tj. </w:t>
      </w:r>
      <w:proofErr w:type="spellStart"/>
      <w:r w:rsidRPr="00D92E20">
        <w:rPr>
          <w:rFonts w:cs="Arial"/>
          <w:szCs w:val="20"/>
        </w:rPr>
        <w:t>nemocensky</w:t>
      </w:r>
      <w:proofErr w:type="spellEnd"/>
      <w:r w:rsidRPr="00D92E20">
        <w:rPr>
          <w:rFonts w:cs="Arial"/>
          <w:szCs w:val="20"/>
        </w:rPr>
        <w:t xml:space="preserve"> pojištěných osob do 18 let).</w:t>
      </w:r>
    </w:p>
    <w:p w14:paraId="62080489" w14:textId="77777777" w:rsidR="00200903" w:rsidRDefault="00200903">
      <w:pPr>
        <w:spacing w:after="0" w:line="240" w:lineRule="auto"/>
        <w:rPr>
          <w:rFonts w:eastAsia="MS Gothic"/>
          <w:b/>
          <w:bCs/>
          <w:color w:val="BC091B"/>
          <w:sz w:val="28"/>
          <w:szCs w:val="26"/>
        </w:rPr>
      </w:pPr>
      <w:bookmarkStart w:id="3" w:name="_Toc136412139"/>
      <w:r>
        <w:br w:type="page"/>
      </w:r>
    </w:p>
    <w:p w14:paraId="68A2DBFA" w14:textId="77777777" w:rsidR="00CE086E" w:rsidRPr="00323E10" w:rsidRDefault="00CE086E" w:rsidP="00CE086E">
      <w:pPr>
        <w:pStyle w:val="Nadpis2"/>
      </w:pPr>
      <w:bookmarkStart w:id="4" w:name="_Toc167965215"/>
      <w:r w:rsidRPr="00323E10">
        <w:lastRenderedPageBreak/>
        <w:t>2. Legislativní úprava nemocenského pojištění</w:t>
      </w:r>
      <w:bookmarkEnd w:id="3"/>
      <w:bookmarkEnd w:id="4"/>
    </w:p>
    <w:p w14:paraId="4ADDE85A" w14:textId="77777777" w:rsidR="00CE086E" w:rsidRPr="00166BEB" w:rsidRDefault="00CE086E" w:rsidP="00CE086E">
      <w:pPr>
        <w:spacing w:after="120"/>
        <w:jc w:val="both"/>
      </w:pPr>
      <w:r w:rsidRPr="00166BEB">
        <w:t>Systém nemocenského pojištění je určen pro výdělečně činné osoby, které při ztrátě příjmu v případech tzv. krátkodobých sociálních událostí (dočasné pracovní neschopnosti z důvodu nemoci nebo úrazu či karantény, ošetřování člena rodiny, těhotenství a mateřství, péče o dítě) zabezpečuje peněžitými dávkami nemocenského pojištění.</w:t>
      </w:r>
    </w:p>
    <w:p w14:paraId="3E279911" w14:textId="77777777" w:rsidR="00CE086E" w:rsidRPr="00166BEB" w:rsidRDefault="00CE086E" w:rsidP="00CE086E">
      <w:pPr>
        <w:spacing w:after="120"/>
        <w:jc w:val="both"/>
      </w:pPr>
      <w:r w:rsidRPr="00166BEB">
        <w:t xml:space="preserve">Od 1. ledna 2009 je nemocenské pojištění upraveno </w:t>
      </w:r>
      <w:r w:rsidRPr="00166BEB">
        <w:rPr>
          <w:b/>
          <w:bCs/>
        </w:rPr>
        <w:t>zákonem č. 187/2006 Sb., o nemocenském pojištění</w:t>
      </w:r>
      <w:r w:rsidRPr="00166BEB">
        <w:t>, ve znění pozdějších předpisů (dále též „zákon o nemocenském pojištění“). Jde o komplexní úpravu nemocenského pojištění, která zahrnuje jak okruh osob účastných nemocenského pojištění, jejich nároky z tohoto pojištění a stanovení výše poskytovaných dávek, posuzování zdravotního stavu pro účely nemocenského pojištění, tak organizační uspořádání nemocenského pojištění, jakož i řízení v tomto pojištění.</w:t>
      </w:r>
    </w:p>
    <w:p w14:paraId="1027E8E3" w14:textId="77777777" w:rsidR="00CE086E" w:rsidRPr="00166BEB" w:rsidRDefault="00CE086E" w:rsidP="00CE086E">
      <w:pPr>
        <w:pStyle w:val="Seznam"/>
        <w:spacing w:after="60"/>
        <w:jc w:val="both"/>
        <w:rPr>
          <w:b/>
          <w:bCs/>
        </w:rPr>
      </w:pPr>
      <w:r w:rsidRPr="00166BEB">
        <w:t>K oblasti nemocenského pojištění se kromě zákona o nemocenském pojištění dále vztahují následující právní předpisy:</w:t>
      </w:r>
    </w:p>
    <w:p w14:paraId="661DF96B" w14:textId="77777777" w:rsidR="00CE086E" w:rsidRPr="00166BEB" w:rsidRDefault="00CE086E" w:rsidP="00CE086E">
      <w:pPr>
        <w:pStyle w:val="Seznam"/>
        <w:numPr>
          <w:ilvl w:val="0"/>
          <w:numId w:val="18"/>
        </w:numPr>
        <w:jc w:val="both"/>
      </w:pPr>
      <w:r w:rsidRPr="00166BEB">
        <w:t>zákon č. 589/1992 Sb., o pojistném na sociální zabezpečení a příspěvku na státní politiku zaměstnanosti, ve znění pozdějších předpisů (upravuje pojistné na nemocenské pojištění),</w:t>
      </w:r>
    </w:p>
    <w:p w14:paraId="26F67D7A" w14:textId="77777777" w:rsidR="00CE086E" w:rsidRPr="00166BEB" w:rsidRDefault="00CE086E" w:rsidP="00CE086E">
      <w:pPr>
        <w:pStyle w:val="Seznam"/>
        <w:numPr>
          <w:ilvl w:val="0"/>
          <w:numId w:val="18"/>
        </w:numPr>
        <w:jc w:val="both"/>
      </w:pPr>
      <w:r w:rsidRPr="00166BEB">
        <w:t>zákon č. 262/2006 Sb., zákoník práce, ve znění pozdějších předpisů (upravuje náhradu mzdy nebo platu při pracovní neschopnosti),</w:t>
      </w:r>
    </w:p>
    <w:p w14:paraId="5938719C" w14:textId="77777777" w:rsidR="00CE086E" w:rsidRPr="00166BEB" w:rsidRDefault="00CE086E" w:rsidP="00CE086E">
      <w:pPr>
        <w:pStyle w:val="Seznam"/>
        <w:numPr>
          <w:ilvl w:val="0"/>
          <w:numId w:val="18"/>
        </w:numPr>
        <w:jc w:val="both"/>
      </w:pPr>
      <w:r w:rsidRPr="00166BEB">
        <w:t>zákon č. 234/2014 Sb., o státní službě, ve znění pozdějších předpisů (upravuje náhradu platu při dočasné neschopnosti k výkonu služby),</w:t>
      </w:r>
    </w:p>
    <w:p w14:paraId="656B41AA" w14:textId="77777777" w:rsidR="00CE086E" w:rsidRPr="00214BDC" w:rsidRDefault="00CE086E" w:rsidP="00CE086E">
      <w:pPr>
        <w:pStyle w:val="Seznam"/>
        <w:numPr>
          <w:ilvl w:val="0"/>
          <w:numId w:val="18"/>
        </w:numPr>
        <w:jc w:val="both"/>
      </w:pPr>
      <w:r w:rsidRPr="00214BDC">
        <w:rPr>
          <w:bCs/>
        </w:rPr>
        <w:t xml:space="preserve">nařízení vlády </w:t>
      </w:r>
      <w:r w:rsidRPr="00CE086E">
        <w:rPr>
          <w:bCs/>
        </w:rPr>
        <w:t>č. 290/2022 Sb</w:t>
      </w:r>
      <w:r w:rsidRPr="00214BDC">
        <w:rPr>
          <w:bCs/>
        </w:rPr>
        <w:t>., o výši všeobecného vyměřovacího základu za rok 202</w:t>
      </w:r>
      <w:r>
        <w:rPr>
          <w:bCs/>
        </w:rPr>
        <w:t>1</w:t>
      </w:r>
      <w:r w:rsidRPr="00214BDC">
        <w:rPr>
          <w:bCs/>
        </w:rPr>
        <w:t>, přepočítacího koeficientu pro úpravu všeobecného vyměřovacího základu za rok 202</w:t>
      </w:r>
      <w:r>
        <w:rPr>
          <w:bCs/>
        </w:rPr>
        <w:t>1</w:t>
      </w:r>
      <w:r w:rsidRPr="00214BDC">
        <w:rPr>
          <w:bCs/>
        </w:rPr>
        <w:t>, redukčních hranic pro stanovení výpočtového základu pro rok 202</w:t>
      </w:r>
      <w:r>
        <w:rPr>
          <w:bCs/>
        </w:rPr>
        <w:t>3</w:t>
      </w:r>
      <w:r w:rsidRPr="00214BDC">
        <w:rPr>
          <w:bCs/>
        </w:rPr>
        <w:t xml:space="preserve"> a základní výměry důchodu stanovené pro rok 202</w:t>
      </w:r>
      <w:r>
        <w:rPr>
          <w:bCs/>
        </w:rPr>
        <w:t>3</w:t>
      </w:r>
      <w:r w:rsidRPr="00214BDC">
        <w:rPr>
          <w:bCs/>
        </w:rPr>
        <w:t xml:space="preserve"> a o zvýšení důchodů v roce 202</w:t>
      </w:r>
      <w:r>
        <w:rPr>
          <w:bCs/>
        </w:rPr>
        <w:t>3</w:t>
      </w:r>
      <w:r w:rsidRPr="00214BDC">
        <w:rPr>
          <w:bCs/>
        </w:rPr>
        <w:t>,</w:t>
      </w:r>
    </w:p>
    <w:p w14:paraId="5EC30859" w14:textId="77777777" w:rsidR="00CE086E" w:rsidRPr="00214BDC" w:rsidRDefault="00CE086E" w:rsidP="00CE086E">
      <w:pPr>
        <w:pStyle w:val="Seznam"/>
        <w:numPr>
          <w:ilvl w:val="0"/>
          <w:numId w:val="18"/>
        </w:numPr>
        <w:spacing w:after="120"/>
        <w:jc w:val="both"/>
        <w:rPr>
          <w:i/>
        </w:rPr>
      </w:pPr>
      <w:r w:rsidRPr="00214BDC">
        <w:rPr>
          <w:bCs/>
        </w:rPr>
        <w:t>sdělení Ministerstva práce a sociálních věcí č. 3</w:t>
      </w:r>
      <w:r>
        <w:rPr>
          <w:bCs/>
        </w:rPr>
        <w:t>19</w:t>
      </w:r>
      <w:r w:rsidRPr="00214BDC">
        <w:rPr>
          <w:bCs/>
        </w:rPr>
        <w:t>/202</w:t>
      </w:r>
      <w:r>
        <w:rPr>
          <w:bCs/>
        </w:rPr>
        <w:t xml:space="preserve">2 </w:t>
      </w:r>
      <w:r w:rsidRPr="00214BDC">
        <w:rPr>
          <w:bCs/>
        </w:rPr>
        <w:t>Sb., kterým se vyhlašuje pro účely nemocenského pojištění výše redukčních hranic pro úpravu denního vyměřovacího základu platných v roce 202</w:t>
      </w:r>
      <w:r>
        <w:rPr>
          <w:bCs/>
        </w:rPr>
        <w:t>3</w:t>
      </w:r>
      <w:r w:rsidRPr="00214BDC">
        <w:rPr>
          <w:bCs/>
        </w:rPr>
        <w:t>,</w:t>
      </w:r>
    </w:p>
    <w:p w14:paraId="7B242641" w14:textId="77777777" w:rsidR="00CE086E" w:rsidRPr="005669FF" w:rsidRDefault="00CE086E" w:rsidP="00200903">
      <w:pPr>
        <w:pStyle w:val="Seznam"/>
        <w:numPr>
          <w:ilvl w:val="0"/>
          <w:numId w:val="18"/>
        </w:numPr>
        <w:spacing w:after="120"/>
        <w:jc w:val="both"/>
      </w:pPr>
      <w:r w:rsidRPr="005669FF">
        <w:t xml:space="preserve">sdělení Ministerstva práce a sociálních věcí č. </w:t>
      </w:r>
      <w:r w:rsidR="00200903" w:rsidRPr="00200903">
        <w:t>320/2022</w:t>
      </w:r>
      <w:r w:rsidRPr="005669FF">
        <w:t xml:space="preserve"> Sb., kterým se vyhlašuje zvýšení částky rozhodné pro účast zaměstnanců na nemocenském pojištění.</w:t>
      </w:r>
    </w:p>
    <w:p w14:paraId="34DC8958" w14:textId="77777777" w:rsidR="00200903" w:rsidRPr="00EE02F9" w:rsidRDefault="00200903" w:rsidP="00200903">
      <w:pPr>
        <w:pStyle w:val="Nadpis3"/>
      </w:pPr>
      <w:bookmarkStart w:id="5" w:name="_Toc136412140"/>
      <w:bookmarkStart w:id="6" w:name="_Toc167965216"/>
      <w:r w:rsidRPr="00EE02F9">
        <w:t>2.1 Účast na nemocenském pojištění</w:t>
      </w:r>
      <w:bookmarkEnd w:id="5"/>
      <w:bookmarkEnd w:id="6"/>
    </w:p>
    <w:p w14:paraId="0B8DC705" w14:textId="77777777" w:rsidR="00200903" w:rsidRPr="00214BDC" w:rsidRDefault="00200903" w:rsidP="00200903">
      <w:pPr>
        <w:spacing w:after="120"/>
        <w:jc w:val="both"/>
      </w:pPr>
      <w:r w:rsidRPr="00214BDC">
        <w:t xml:space="preserve">Nemocenského pojištění jsou účastni </w:t>
      </w:r>
      <w:r w:rsidRPr="00214BDC">
        <w:rPr>
          <w:b/>
        </w:rPr>
        <w:t xml:space="preserve">zaměstnanci </w:t>
      </w:r>
      <w:r w:rsidRPr="00214BDC">
        <w:t>(bližší určení viz § 5 zákona o nemocenském pojištění) a </w:t>
      </w:r>
      <w:r w:rsidRPr="00214BDC">
        <w:rPr>
          <w:b/>
        </w:rPr>
        <w:t>osoby samostatně výdělečně činné</w:t>
      </w:r>
      <w:r w:rsidRPr="00214BDC">
        <w:t xml:space="preserve"> (dále též „OSVČ“). </w:t>
      </w:r>
      <w:r w:rsidRPr="00214BDC">
        <w:rPr>
          <w:b/>
        </w:rPr>
        <w:t>Zaměstnanci</w:t>
      </w:r>
      <w:r w:rsidRPr="00214BDC">
        <w:t xml:space="preserve"> jsou </w:t>
      </w:r>
      <w:r w:rsidRPr="00214BDC">
        <w:rPr>
          <w:b/>
        </w:rPr>
        <w:t>povinně</w:t>
      </w:r>
      <w:r w:rsidRPr="00214BDC">
        <w:t xml:space="preserve"> účastni nemocenského pojištění, na rozdíl od </w:t>
      </w:r>
      <w:r w:rsidRPr="00214BDC">
        <w:rPr>
          <w:b/>
        </w:rPr>
        <w:t>OSVČ</w:t>
      </w:r>
      <w:r w:rsidRPr="00214BDC">
        <w:t xml:space="preserve">, jejichž nemocenské pojištění je </w:t>
      </w:r>
      <w:r w:rsidRPr="00214BDC">
        <w:rPr>
          <w:b/>
        </w:rPr>
        <w:t>dobrovolné</w:t>
      </w:r>
      <w:r w:rsidRPr="00214BDC">
        <w:t>.</w:t>
      </w:r>
    </w:p>
    <w:p w14:paraId="5918BA52" w14:textId="77777777" w:rsidR="00200903" w:rsidRPr="00152E88" w:rsidRDefault="00200903" w:rsidP="00200903">
      <w:pPr>
        <w:spacing w:after="120"/>
        <w:jc w:val="both"/>
      </w:pPr>
      <w:r w:rsidRPr="00152E88">
        <w:t xml:space="preserve">Za </w:t>
      </w:r>
      <w:r w:rsidRPr="00152E88">
        <w:rPr>
          <w:b/>
        </w:rPr>
        <w:t>zaměstnání</w:t>
      </w:r>
      <w:r w:rsidRPr="00152E88">
        <w:t xml:space="preserve"> se pro účely nemocenského pojištění považuje činnost zaměstnance pro zaměstnavatele, z níž mu plynou nebo by mohly plynout od zaměstnavatele příjmy ze závislé činnosti bez ohledu na druh pracovního vztahu.</w:t>
      </w:r>
    </w:p>
    <w:p w14:paraId="24B0BBC6" w14:textId="77777777" w:rsidR="00200903" w:rsidRPr="00152E88" w:rsidRDefault="00200903" w:rsidP="00200903">
      <w:pPr>
        <w:spacing w:after="120"/>
        <w:jc w:val="both"/>
      </w:pPr>
      <w:r w:rsidRPr="00152E88">
        <w:rPr>
          <w:b/>
        </w:rPr>
        <w:t>Povinná účast na nemocenském pojištění</w:t>
      </w:r>
      <w:r w:rsidRPr="00152E88">
        <w:t xml:space="preserve"> vzniká u zaměstnance (s výjimkou zaměstnance činného na základě dohody o provedení práce), pokud splňuje podmínky stanovené zákonem o nemocenském pojištění.</w:t>
      </w:r>
    </w:p>
    <w:p w14:paraId="2B20688F" w14:textId="77777777" w:rsidR="00200903" w:rsidRPr="00152E88" w:rsidRDefault="00200903" w:rsidP="00200903">
      <w:pPr>
        <w:spacing w:after="60"/>
        <w:jc w:val="both"/>
      </w:pPr>
      <w:r w:rsidRPr="00152E88">
        <w:t>Jedná se o dvě základní podmínky, a to o:</w:t>
      </w:r>
    </w:p>
    <w:p w14:paraId="1557F052" w14:textId="77777777" w:rsidR="00200903" w:rsidRPr="00152E88" w:rsidRDefault="00200903" w:rsidP="00200903">
      <w:pPr>
        <w:pStyle w:val="Odstavecseseznamem"/>
        <w:numPr>
          <w:ilvl w:val="0"/>
          <w:numId w:val="20"/>
        </w:numPr>
        <w:jc w:val="both"/>
      </w:pPr>
      <w:r w:rsidRPr="00152E88">
        <w:rPr>
          <w:b/>
        </w:rPr>
        <w:t>výkon práce</w:t>
      </w:r>
      <w:r w:rsidRPr="00152E88">
        <w:t xml:space="preserve"> na území České republiky (dále též „ČR“) v zaměstnání vykonávaném v </w:t>
      </w:r>
      <w:r w:rsidRPr="00152E88">
        <w:rPr>
          <w:b/>
          <w:bCs/>
        </w:rPr>
        <w:t>pracovním vztahu</w:t>
      </w:r>
      <w:r w:rsidRPr="00152E88">
        <w:t>, který může účast na nemocenském pojištění založit,</w:t>
      </w:r>
    </w:p>
    <w:p w14:paraId="69AB405F" w14:textId="77777777" w:rsidR="00200903" w:rsidRPr="00152E88" w:rsidRDefault="00200903" w:rsidP="00200903">
      <w:pPr>
        <w:pStyle w:val="Odstavecseseznamem"/>
        <w:numPr>
          <w:ilvl w:val="0"/>
          <w:numId w:val="19"/>
        </w:numPr>
        <w:spacing w:after="120"/>
        <w:ind w:left="714" w:hanging="357"/>
        <w:jc w:val="both"/>
      </w:pPr>
      <w:r w:rsidRPr="00152E88">
        <w:rPr>
          <w:b/>
        </w:rPr>
        <w:t>minimální výši sjednaného příjmu</w:t>
      </w:r>
      <w:r w:rsidRPr="00152E88">
        <w:t xml:space="preserve"> (jedná se o tzv. rozhodný příjem, jehož hranice byla od 1. 1. 202</w:t>
      </w:r>
      <w:r>
        <w:t>3</w:t>
      </w:r>
      <w:r w:rsidRPr="00152E88">
        <w:t xml:space="preserve"> stanovena na</w:t>
      </w:r>
      <w:r w:rsidRPr="00152E88">
        <w:rPr>
          <w:b/>
        </w:rPr>
        <w:t xml:space="preserve"> </w:t>
      </w:r>
      <w:r>
        <w:rPr>
          <w:b/>
        </w:rPr>
        <w:t>4 0</w:t>
      </w:r>
      <w:r w:rsidRPr="00152E88">
        <w:rPr>
          <w:b/>
        </w:rPr>
        <w:t>00 Kč</w:t>
      </w:r>
      <w:r w:rsidRPr="00152E88">
        <w:t>/kalendářní měsíc)</w:t>
      </w:r>
      <w:r>
        <w:t>.</w:t>
      </w:r>
    </w:p>
    <w:p w14:paraId="69D15A65" w14:textId="77777777" w:rsidR="00200903" w:rsidRPr="00152E88" w:rsidRDefault="00200903" w:rsidP="00200903">
      <w:pPr>
        <w:spacing w:after="120"/>
        <w:jc w:val="both"/>
      </w:pPr>
      <w:r w:rsidRPr="00152E88">
        <w:rPr>
          <w:rFonts w:cs="Arial"/>
          <w:szCs w:val="20"/>
        </w:rPr>
        <w:t xml:space="preserve">Zvláštní podmínky účasti zaměstnanců na nemocenském pojištění jsou stanoveny při výkonu </w:t>
      </w:r>
      <w:r w:rsidRPr="00152E88">
        <w:rPr>
          <w:rFonts w:cs="Arial"/>
          <w:b/>
          <w:bCs/>
          <w:szCs w:val="20"/>
        </w:rPr>
        <w:t>zaměstnání malého rozsahu</w:t>
      </w:r>
      <w:r w:rsidRPr="00152E88">
        <w:rPr>
          <w:rFonts w:cs="Arial"/>
          <w:szCs w:val="20"/>
        </w:rPr>
        <w:t>. Zaměstnáním malého rozsahu se rozumí zaměstnání, v němž jsou splněny podmínky výkonu zaměstnání na území ČR, avšak není splněna podmínka sjednání příjmu ze zaměstnání ve stanovené výši. Jde o situace, kdy je sjednaná měsíční částka započitatelného příjmu nižší než rozhodný příjem, anebo měsíční příjem nebyl sjednán vůbec. Při výkonu zaměstnání malého rozsahu je zaměstnanec pojištěn jen v těch kalendářních měsících, v nichž dosáhl příjmu alespoň v příslušné rozhodné výši.</w:t>
      </w:r>
    </w:p>
    <w:p w14:paraId="1F85C563" w14:textId="77777777" w:rsidR="00200903" w:rsidRPr="00152E88" w:rsidRDefault="00200903" w:rsidP="00200903">
      <w:pPr>
        <w:pStyle w:val="Seznam"/>
        <w:jc w:val="both"/>
      </w:pPr>
      <w:r w:rsidRPr="00152E88">
        <w:lastRenderedPageBreak/>
        <w:t xml:space="preserve">U zaměstnance činného na základě </w:t>
      </w:r>
      <w:r w:rsidRPr="00152E88">
        <w:rPr>
          <w:b/>
          <w:bCs/>
        </w:rPr>
        <w:t>dohody o provedení práce</w:t>
      </w:r>
      <w:r w:rsidRPr="00152E88">
        <w:t xml:space="preserve"> vzniká povinná účast na nemocenském pojištění, pokud splňuje dvě podmínky, a to:</w:t>
      </w:r>
    </w:p>
    <w:p w14:paraId="69F221A2" w14:textId="77777777" w:rsidR="00200903" w:rsidRPr="00152E88" w:rsidRDefault="00200903" w:rsidP="00200903">
      <w:pPr>
        <w:pStyle w:val="Seznam"/>
        <w:numPr>
          <w:ilvl w:val="0"/>
          <w:numId w:val="21"/>
        </w:numPr>
        <w:jc w:val="both"/>
      </w:pPr>
      <w:r w:rsidRPr="00152E88">
        <w:t>výkon práce na území ČR a</w:t>
      </w:r>
    </w:p>
    <w:p w14:paraId="09012650" w14:textId="77777777" w:rsidR="00200903" w:rsidRPr="00152E88" w:rsidRDefault="00200903" w:rsidP="00200903">
      <w:pPr>
        <w:pStyle w:val="Seznam"/>
        <w:numPr>
          <w:ilvl w:val="0"/>
          <w:numId w:val="21"/>
        </w:numPr>
        <w:spacing w:after="120"/>
        <w:ind w:left="714" w:hanging="357"/>
        <w:jc w:val="both"/>
      </w:pPr>
      <w:r w:rsidRPr="00152E88">
        <w:t>v kalendářním měsíci, v němž dohoda o provedení práce trvá, dosáhl započitatelného příjmu v částce vyšší než 10 000 Kč.</w:t>
      </w:r>
    </w:p>
    <w:p w14:paraId="0C27721B" w14:textId="77777777" w:rsidR="00200903" w:rsidRPr="00152E88" w:rsidRDefault="00200903" w:rsidP="00200903">
      <w:pPr>
        <w:spacing w:after="120"/>
        <w:jc w:val="both"/>
      </w:pPr>
      <w:r w:rsidRPr="00152E88">
        <w:t xml:space="preserve">Účast </w:t>
      </w:r>
      <w:r w:rsidRPr="00152E88">
        <w:rPr>
          <w:b/>
        </w:rPr>
        <w:t>OSVČ</w:t>
      </w:r>
      <w:r w:rsidRPr="00152E88">
        <w:t xml:space="preserve"> na nemocenském pojištění vzniká na základě přihlášky k nemocenskému pojištění a zaplacením pojistného na nemocenské pojištění.</w:t>
      </w:r>
    </w:p>
    <w:p w14:paraId="60511B45" w14:textId="584A4D8D" w:rsidR="00200903" w:rsidRPr="00152E88" w:rsidRDefault="00200903" w:rsidP="00200903">
      <w:pPr>
        <w:pStyle w:val="Normlnweb"/>
        <w:spacing w:before="120" w:beforeAutospacing="0" w:after="120" w:afterAutospacing="0" w:line="288" w:lineRule="auto"/>
        <w:jc w:val="both"/>
        <w:rPr>
          <w:rFonts w:ascii="Arial" w:hAnsi="Arial"/>
          <w:sz w:val="20"/>
        </w:rPr>
      </w:pPr>
      <w:r w:rsidRPr="00152E88">
        <w:rPr>
          <w:rFonts w:ascii="Arial" w:hAnsi="Arial" w:cs="Arial"/>
          <w:sz w:val="20"/>
          <w:szCs w:val="20"/>
        </w:rPr>
        <w:t>Minimální měsíční základ, který si může OSVČ určit pro placení pojistného na nemocenské pojištění od 1. 1. 2021</w:t>
      </w:r>
      <w:r w:rsidR="006A65FC">
        <w:rPr>
          <w:rFonts w:ascii="Arial" w:hAnsi="Arial" w:cs="Arial"/>
          <w:sz w:val="20"/>
          <w:szCs w:val="20"/>
        </w:rPr>
        <w:t>,</w:t>
      </w:r>
      <w:r w:rsidRPr="00152E88">
        <w:rPr>
          <w:rFonts w:ascii="Arial" w:hAnsi="Arial" w:cs="Arial"/>
          <w:sz w:val="20"/>
          <w:szCs w:val="20"/>
        </w:rPr>
        <w:t xml:space="preserve"> dosahuje 7 000 Kč. </w:t>
      </w:r>
      <w:r w:rsidRPr="00152E88">
        <w:rPr>
          <w:rFonts w:ascii="Arial" w:hAnsi="Arial"/>
          <w:sz w:val="20"/>
        </w:rPr>
        <w:t xml:space="preserve">Sazba pojistného činí 2,1 % a minimální pojistné na nemocenské pojištění </w:t>
      </w:r>
      <w:r w:rsidR="00EB4725">
        <w:rPr>
          <w:rFonts w:ascii="Arial" w:hAnsi="Arial"/>
          <w:sz w:val="20"/>
        </w:rPr>
        <w:t>bylo</w:t>
      </w:r>
      <w:r w:rsidRPr="00152E88">
        <w:rPr>
          <w:rFonts w:ascii="Arial" w:hAnsi="Arial"/>
          <w:sz w:val="20"/>
        </w:rPr>
        <w:t xml:space="preserve"> </w:t>
      </w:r>
      <w:r w:rsidR="00EB4725">
        <w:rPr>
          <w:rFonts w:ascii="Arial" w:hAnsi="Arial"/>
          <w:sz w:val="20"/>
        </w:rPr>
        <w:t>v roce 2023</w:t>
      </w:r>
      <w:r w:rsidRPr="00152E88">
        <w:rPr>
          <w:rFonts w:ascii="Arial" w:hAnsi="Arial"/>
          <w:sz w:val="20"/>
        </w:rPr>
        <w:t xml:space="preserve"> stanoveno na </w:t>
      </w:r>
      <w:r w:rsidR="00EB4725">
        <w:rPr>
          <w:rFonts w:ascii="Arial" w:hAnsi="Arial"/>
          <w:b/>
          <w:bCs/>
          <w:sz w:val="20"/>
        </w:rPr>
        <w:t>168</w:t>
      </w:r>
      <w:r w:rsidRPr="00152E88">
        <w:rPr>
          <w:rFonts w:ascii="Arial" w:hAnsi="Arial"/>
          <w:b/>
          <w:bCs/>
          <w:sz w:val="20"/>
        </w:rPr>
        <w:t xml:space="preserve"> Kč</w:t>
      </w:r>
      <w:r w:rsidRPr="00152E88">
        <w:rPr>
          <w:rFonts w:ascii="Arial" w:hAnsi="Arial"/>
          <w:sz w:val="20"/>
        </w:rPr>
        <w:t>.</w:t>
      </w:r>
    </w:p>
    <w:p w14:paraId="22901F61" w14:textId="73DA2DF2" w:rsidR="00200903" w:rsidRPr="00152E88" w:rsidRDefault="00200903" w:rsidP="00200903">
      <w:pPr>
        <w:jc w:val="both"/>
      </w:pPr>
      <w:r w:rsidRPr="00152E88">
        <w:t xml:space="preserve">Další informace k účasti na nemocenském pojištění </w:t>
      </w:r>
      <w:r w:rsidR="00EA74DB">
        <w:t>lze najít</w:t>
      </w:r>
      <w:r w:rsidRPr="00152E88">
        <w:t xml:space="preserve"> na adrese: </w:t>
      </w:r>
      <w:hyperlink r:id="rId11" w:anchor="_blank" w:history="1">
        <w:r w:rsidRPr="00152E88">
          <w:rPr>
            <w:rStyle w:val="Hypertextovodkaz"/>
            <w:rFonts w:eastAsia="MS Gothic" w:cs="Arial"/>
            <w:szCs w:val="20"/>
          </w:rPr>
          <w:t>http://www.cssz.cz/cz/nemocenske-pojisteni/ucast-na-pojisteni/</w:t>
        </w:r>
      </w:hyperlink>
      <w:r w:rsidRPr="00152E88">
        <w:t xml:space="preserve"> nebo </w:t>
      </w:r>
      <w:hyperlink r:id="rId12" w:history="1">
        <w:r w:rsidRPr="00152E88">
          <w:rPr>
            <w:rStyle w:val="Hypertextovodkaz"/>
          </w:rPr>
          <w:t>https://www.cssz.cz/web/cz/osvc-nemocenske-pojisteni-ucast-na-pojisteni</w:t>
        </w:r>
      </w:hyperlink>
      <w:r w:rsidRPr="00152E88">
        <w:t>.</w:t>
      </w:r>
    </w:p>
    <w:p w14:paraId="0E1082A4" w14:textId="77777777" w:rsidR="00EB4725" w:rsidRPr="00323E10" w:rsidRDefault="00EB4725" w:rsidP="00EB4725">
      <w:pPr>
        <w:pStyle w:val="Nadpis3"/>
      </w:pPr>
      <w:bookmarkStart w:id="7" w:name="_Toc136412141"/>
      <w:bookmarkStart w:id="8" w:name="_Toc167965217"/>
      <w:r w:rsidRPr="00323E10">
        <w:t>2.2 Nemocenské</w:t>
      </w:r>
      <w:bookmarkEnd w:id="7"/>
      <w:bookmarkEnd w:id="8"/>
    </w:p>
    <w:p w14:paraId="2A707C1C" w14:textId="77777777" w:rsidR="00EB4725" w:rsidRPr="00077304" w:rsidRDefault="00EB4725" w:rsidP="00EB4725">
      <w:pPr>
        <w:pStyle w:val="Seznam"/>
        <w:jc w:val="both"/>
      </w:pPr>
      <w:r w:rsidRPr="00094A63">
        <w:rPr>
          <w:b/>
        </w:rPr>
        <w:t>Dočasná pracovní neschopnost</w:t>
      </w:r>
      <w:r w:rsidRPr="00094A63">
        <w:t xml:space="preserve"> je stav člověka, který je </w:t>
      </w:r>
      <w:r w:rsidRPr="00094A63">
        <w:rPr>
          <w:b/>
        </w:rPr>
        <w:t>lékařem ze zdravotních důvodů dočasně uznán neschopným k výkonu</w:t>
      </w:r>
      <w:r w:rsidRPr="00094A63">
        <w:t xml:space="preserve"> svého dosavadního </w:t>
      </w:r>
      <w:r w:rsidRPr="00094A63">
        <w:rPr>
          <w:b/>
        </w:rPr>
        <w:t>zaměstnání</w:t>
      </w:r>
      <w:r w:rsidRPr="00094A63">
        <w:t xml:space="preserve">. </w:t>
      </w:r>
      <w:r w:rsidRPr="00077304">
        <w:t xml:space="preserve">O vzniku dočasné pracovní neschopnosti rozhoduje ošetřující lékař, a to vystavením </w:t>
      </w:r>
      <w:r w:rsidRPr="00077304">
        <w:rPr>
          <w:i/>
          <w:iCs/>
        </w:rPr>
        <w:t>Rozhodnutí o dočasné pracovní neschopnosti</w:t>
      </w:r>
      <w:r w:rsidRPr="00077304">
        <w:t xml:space="preserve"> (tzv. e-neschopenky). Kategorie jsou následující:</w:t>
      </w:r>
    </w:p>
    <w:p w14:paraId="3856104B" w14:textId="77777777" w:rsidR="00EB4725" w:rsidRPr="00077304" w:rsidRDefault="00EB4725" w:rsidP="00EB4725">
      <w:pPr>
        <w:pStyle w:val="Seznam"/>
        <w:numPr>
          <w:ilvl w:val="0"/>
          <w:numId w:val="22"/>
        </w:numPr>
        <w:jc w:val="both"/>
      </w:pPr>
      <w:r w:rsidRPr="00077304">
        <w:rPr>
          <w:b/>
          <w:bCs/>
        </w:rPr>
        <w:t xml:space="preserve">nemoc </w:t>
      </w:r>
      <w:r w:rsidRPr="00077304">
        <w:rPr>
          <w:bCs/>
        </w:rPr>
        <w:t xml:space="preserve">– </w:t>
      </w:r>
      <w:r w:rsidRPr="00077304">
        <w:t xml:space="preserve">za případy dočasné pracovní neschopnosti pro nemoc jsou považovány všechny případy nemocí podle </w:t>
      </w:r>
      <w:r w:rsidRPr="00077304">
        <w:rPr>
          <w:b/>
        </w:rPr>
        <w:t>Mezinárodní statistické klasifikace nemocí a přidružených zdravotních problémů</w:t>
      </w:r>
      <w:r w:rsidRPr="00077304">
        <w:t xml:space="preserve"> (MKN-10). </w:t>
      </w:r>
    </w:p>
    <w:p w14:paraId="58BBEA15" w14:textId="77777777" w:rsidR="00EB4725" w:rsidRPr="00077304" w:rsidRDefault="00EB4725" w:rsidP="00EB4725">
      <w:pPr>
        <w:pStyle w:val="Seznam"/>
        <w:numPr>
          <w:ilvl w:val="0"/>
          <w:numId w:val="22"/>
        </w:numPr>
        <w:jc w:val="both"/>
        <w:rPr>
          <w:b/>
          <w:bCs/>
        </w:rPr>
      </w:pPr>
      <w:r w:rsidRPr="00077304">
        <w:rPr>
          <w:b/>
          <w:bCs/>
        </w:rPr>
        <w:t xml:space="preserve">pracovní úraz </w:t>
      </w:r>
      <w:r w:rsidRPr="00077304">
        <w:rPr>
          <w:bCs/>
        </w:rPr>
        <w:t>–</w:t>
      </w:r>
      <w:r w:rsidRPr="00077304">
        <w:rPr>
          <w:b/>
          <w:bCs/>
        </w:rPr>
        <w:t xml:space="preserve"> </w:t>
      </w:r>
      <w:r w:rsidRPr="00077304">
        <w:t xml:space="preserve">pracovním úrazem se rozumí </w:t>
      </w:r>
      <w:r w:rsidRPr="00077304">
        <w:rPr>
          <w:b/>
        </w:rPr>
        <w:t>poškození zdraví nebo smrt zaměstnance</w:t>
      </w:r>
      <w:r w:rsidRPr="00077304">
        <w:t xml:space="preserve">, došlo-li k nim nezávisle na jeho vůli krátkodobým, náhlým a násilným </w:t>
      </w:r>
      <w:r w:rsidRPr="00077304">
        <w:rPr>
          <w:b/>
        </w:rPr>
        <w:t>působením zevních vlivů</w:t>
      </w:r>
      <w:r w:rsidRPr="00077304">
        <w:t xml:space="preserve"> při plnění pracovních úkolů nebo v přímé souvislosti s ním (viz § 271k odst. 1 až 3 zákona č. 262/2006 Sb., zákoník práce, ve znění pozdějších předpisů).</w:t>
      </w:r>
    </w:p>
    <w:p w14:paraId="3C10037E" w14:textId="77777777" w:rsidR="00EB4725" w:rsidRPr="00077304" w:rsidRDefault="00EB4725" w:rsidP="00EB4725">
      <w:pPr>
        <w:pStyle w:val="Seznam"/>
        <w:numPr>
          <w:ilvl w:val="0"/>
          <w:numId w:val="22"/>
        </w:numPr>
        <w:spacing w:after="120"/>
        <w:ind w:left="714" w:hanging="357"/>
        <w:jc w:val="both"/>
      </w:pPr>
      <w:r w:rsidRPr="00077304">
        <w:rPr>
          <w:b/>
          <w:bCs/>
        </w:rPr>
        <w:t xml:space="preserve">ostatní úrazy </w:t>
      </w:r>
      <w:r w:rsidRPr="00077304">
        <w:rPr>
          <w:bCs/>
        </w:rPr>
        <w:t>–</w:t>
      </w:r>
      <w:r w:rsidRPr="00077304">
        <w:rPr>
          <w:b/>
          <w:bCs/>
        </w:rPr>
        <w:t xml:space="preserve"> </w:t>
      </w:r>
      <w:r w:rsidRPr="00077304">
        <w:rPr>
          <w:bCs/>
        </w:rPr>
        <w:t xml:space="preserve">za ostatní úrazy jsou považovány případy </w:t>
      </w:r>
      <w:r w:rsidRPr="00077304">
        <w:rPr>
          <w:b/>
        </w:rPr>
        <w:t>poškození zdraví</w:t>
      </w:r>
      <w:r w:rsidRPr="00077304">
        <w:t xml:space="preserve">, na jehož následky je postižený v dočasné pracovní neschopnosti, které však lékařem </w:t>
      </w:r>
      <w:r w:rsidRPr="00077304">
        <w:rPr>
          <w:b/>
        </w:rPr>
        <w:t xml:space="preserve">nebyly vyhodnoceny </w:t>
      </w:r>
      <w:r w:rsidRPr="00077304">
        <w:rPr>
          <w:b/>
          <w:spacing w:val="-4"/>
        </w:rPr>
        <w:t>jako</w:t>
      </w:r>
      <w:r w:rsidRPr="00077304">
        <w:rPr>
          <w:b/>
        </w:rPr>
        <w:t xml:space="preserve"> pracovní úraz</w:t>
      </w:r>
      <w:r w:rsidRPr="00077304">
        <w:t>.</w:t>
      </w:r>
    </w:p>
    <w:p w14:paraId="4D62C6C6" w14:textId="77777777" w:rsidR="00EB4725" w:rsidRPr="00B7660C" w:rsidRDefault="00EB4725" w:rsidP="00EB4725">
      <w:pPr>
        <w:spacing w:after="120"/>
        <w:jc w:val="both"/>
        <w:rPr>
          <w:bCs/>
        </w:rPr>
      </w:pPr>
      <w:r w:rsidRPr="00B7660C">
        <w:rPr>
          <w:bCs/>
        </w:rPr>
        <w:t xml:space="preserve">Zaměstnanec nebo OSVČ, který je uznán ošetřujícím lékařem dočasně práce neschopným (nebo mu byla nařízena karanténa), má nárok na </w:t>
      </w:r>
      <w:r w:rsidRPr="00B7660C">
        <w:rPr>
          <w:b/>
          <w:bCs/>
        </w:rPr>
        <w:t>nemocenské od 15. kalendářního dne</w:t>
      </w:r>
      <w:r w:rsidRPr="00B7660C">
        <w:rPr>
          <w:bCs/>
        </w:rPr>
        <w:t xml:space="preserve"> trvání dočasné pracovní neschopnosti do konce dočasné pracovní neschopnosti, </w:t>
      </w:r>
      <w:r w:rsidRPr="00B7660C">
        <w:rPr>
          <w:b/>
          <w:bCs/>
        </w:rPr>
        <w:t>maximálně však 380 kalendářních dnů</w:t>
      </w:r>
      <w:r w:rsidRPr="00B7660C">
        <w:rPr>
          <w:bCs/>
        </w:rPr>
        <w:t xml:space="preserve"> počítaných od vzniku dočasné pracovní neschopnosti (včetně zápočtů předchozí doby trvání dočasné pracovní neschopnosti). OSVČ však pro získání nároku na nemocenské musí být účastna dobrovolného nemocenského pojištění OSVČ alespoň po dobu 3 měsíců bezprostředně předcházejících dni vzniku dočasné pracovní neschopnosti.</w:t>
      </w:r>
    </w:p>
    <w:p w14:paraId="61707724" w14:textId="1E688EB4" w:rsidR="00EB4725" w:rsidRPr="00B7660C" w:rsidRDefault="00EB4725" w:rsidP="00EB4725">
      <w:pPr>
        <w:spacing w:after="120"/>
        <w:jc w:val="both"/>
      </w:pPr>
      <w:r w:rsidRPr="00B7660C">
        <w:t xml:space="preserve">Po dobu </w:t>
      </w:r>
      <w:r w:rsidRPr="00B7660C">
        <w:rPr>
          <w:b/>
        </w:rPr>
        <w:t xml:space="preserve">prvních 14 kalendářních dnů </w:t>
      </w:r>
      <w:r w:rsidRPr="00B7660C">
        <w:t xml:space="preserve">je zaměstnanec (nikoli OSVČ), kterému trvá pracovní vztah zakládající účast na nemocenském pojištění, zabezpečen </w:t>
      </w:r>
      <w:r w:rsidRPr="00B7660C">
        <w:rPr>
          <w:b/>
        </w:rPr>
        <w:t>náhradou mzdy nebo platu</w:t>
      </w:r>
      <w:r w:rsidRPr="00B7660C">
        <w:t>, kterou poskytuje zaměstnavatel podle zákoníku práce. Náhrada mzdy náleží za pracovní dny dočasné pracovní neschopnosti od 1. pracovního dne.</w:t>
      </w:r>
    </w:p>
    <w:p w14:paraId="3297786B" w14:textId="77777777" w:rsidR="00EB4725" w:rsidRPr="00B7660C" w:rsidRDefault="00EB4725" w:rsidP="00EB4725">
      <w:pPr>
        <w:spacing w:after="120"/>
        <w:jc w:val="both"/>
        <w:rPr>
          <w:b/>
          <w:bCs/>
        </w:rPr>
      </w:pPr>
      <w:r w:rsidRPr="00B7660C">
        <w:rPr>
          <w:rFonts w:cs="Arial"/>
          <w:b/>
          <w:bCs/>
          <w:szCs w:val="20"/>
        </w:rPr>
        <w:t>Příjemci starobního důchodu nebo invalidního důchodu pro invaliditu 3. stupně</w:t>
      </w:r>
      <w:r w:rsidRPr="00B7660C">
        <w:rPr>
          <w:rFonts w:cs="Arial"/>
          <w:szCs w:val="20"/>
        </w:rPr>
        <w:t xml:space="preserve"> se nemocenské vyplácí od 15. kalendářního dne trvání dočasné pracovní neschopnosti (karantény) po dobu nejvýše 70 kalendářních dnů, nejdéle však do dne, jímž končí pojištěná činnost.</w:t>
      </w:r>
    </w:p>
    <w:p w14:paraId="77F380A0" w14:textId="77777777" w:rsidR="00EB4725" w:rsidRPr="00B7660C" w:rsidRDefault="00EB4725" w:rsidP="00EB4725">
      <w:pPr>
        <w:pStyle w:val="Normlnweb"/>
        <w:spacing w:before="0" w:beforeAutospacing="0" w:after="120" w:afterAutospacing="0" w:line="288" w:lineRule="auto"/>
        <w:jc w:val="both"/>
        <w:rPr>
          <w:rFonts w:ascii="Arial" w:hAnsi="Arial" w:cs="Arial"/>
          <w:sz w:val="20"/>
          <w:szCs w:val="20"/>
        </w:rPr>
      </w:pPr>
      <w:r w:rsidRPr="00B7660C">
        <w:rPr>
          <w:rFonts w:ascii="Arial" w:hAnsi="Arial" w:cs="Arial"/>
          <w:b/>
          <w:sz w:val="20"/>
          <w:szCs w:val="20"/>
        </w:rPr>
        <w:t>Nemocenské</w:t>
      </w:r>
      <w:r w:rsidRPr="00B7660C">
        <w:rPr>
          <w:rFonts w:ascii="Arial" w:hAnsi="Arial" w:cs="Arial"/>
          <w:sz w:val="20"/>
          <w:szCs w:val="20"/>
        </w:rPr>
        <w:t xml:space="preserve"> náleží rovněž ve stanovených případech, jestliže ke vzniku dočasné pracovní neschopnosti (karantény) došlo po skončení pojištěného zaměstnání v tzv. </w:t>
      </w:r>
      <w:r w:rsidRPr="00B7660C">
        <w:rPr>
          <w:rFonts w:ascii="Arial" w:hAnsi="Arial" w:cs="Arial"/>
          <w:b/>
          <w:sz w:val="20"/>
          <w:szCs w:val="20"/>
        </w:rPr>
        <w:t>ochranné lhůtě</w:t>
      </w:r>
      <w:r w:rsidRPr="00B7660C">
        <w:rPr>
          <w:rFonts w:ascii="Arial" w:hAnsi="Arial" w:cs="Arial"/>
          <w:sz w:val="20"/>
          <w:szCs w:val="20"/>
        </w:rPr>
        <w:t xml:space="preserve">. Účelem ochranné lhůty je zajistit bývalého zaměstnance po stanovenou dobu po skončení pojištění pro případ vzniku sociální události (dočasné pracovní neschopnosti) dříve, než opět nastoupí do dalšího zaměstnání. Ochranná lhůta v případě uplatňování nároku na nemocenské činí 7 kalendářních dnů ode dne skončení zaměstnání, které zakládalo </w:t>
      </w:r>
      <w:r w:rsidRPr="00B7660C">
        <w:rPr>
          <w:rFonts w:ascii="Arial" w:hAnsi="Arial" w:cs="Arial"/>
          <w:sz w:val="20"/>
          <w:szCs w:val="20"/>
        </w:rPr>
        <w:lastRenderedPageBreak/>
        <w:t>účast na nemocenském pojištění. U </w:t>
      </w:r>
      <w:r w:rsidRPr="00B7660C">
        <w:rPr>
          <w:rFonts w:ascii="Arial" w:hAnsi="Arial" w:cs="Arial"/>
          <w:b/>
          <w:sz w:val="20"/>
          <w:szCs w:val="20"/>
        </w:rPr>
        <w:t>zaměstnání kratších</w:t>
      </w:r>
      <w:r w:rsidRPr="00B7660C">
        <w:rPr>
          <w:rFonts w:ascii="Arial" w:hAnsi="Arial" w:cs="Arial"/>
          <w:sz w:val="20"/>
          <w:szCs w:val="20"/>
        </w:rPr>
        <w:t xml:space="preserve"> </w:t>
      </w:r>
      <w:r w:rsidRPr="00B7660C">
        <w:rPr>
          <w:rFonts w:ascii="Arial" w:hAnsi="Arial" w:cs="Arial"/>
          <w:b/>
          <w:sz w:val="20"/>
          <w:szCs w:val="20"/>
        </w:rPr>
        <w:t>než 7 kalendářních dnů</w:t>
      </w:r>
      <w:r w:rsidRPr="00B7660C">
        <w:rPr>
          <w:rFonts w:ascii="Arial" w:hAnsi="Arial" w:cs="Arial"/>
          <w:sz w:val="20"/>
          <w:szCs w:val="20"/>
        </w:rPr>
        <w:t xml:space="preserve"> činí</w:t>
      </w:r>
      <w:r w:rsidRPr="00B7660C">
        <w:rPr>
          <w:rFonts w:ascii="Arial" w:hAnsi="Arial" w:cs="Arial"/>
          <w:b/>
          <w:sz w:val="20"/>
          <w:szCs w:val="20"/>
        </w:rPr>
        <w:t xml:space="preserve"> ochranná lhůta</w:t>
      </w:r>
      <w:r w:rsidRPr="00B7660C">
        <w:rPr>
          <w:rFonts w:ascii="Arial" w:hAnsi="Arial" w:cs="Arial"/>
          <w:sz w:val="20"/>
          <w:szCs w:val="20"/>
        </w:rPr>
        <w:t xml:space="preserve"> pouze tolik dnů, kolik činilo toto poslední zaměstnání.</w:t>
      </w:r>
    </w:p>
    <w:p w14:paraId="539A7F92" w14:textId="77777777" w:rsidR="00EB4725" w:rsidRPr="00B7660C" w:rsidRDefault="00EB4725" w:rsidP="00EB4725">
      <w:pPr>
        <w:pStyle w:val="Normlnweb"/>
        <w:spacing w:before="120" w:beforeAutospacing="0" w:after="60" w:afterAutospacing="0" w:line="288" w:lineRule="auto"/>
        <w:jc w:val="both"/>
        <w:rPr>
          <w:rFonts w:ascii="Arial" w:hAnsi="Arial" w:cs="Arial"/>
          <w:sz w:val="20"/>
          <w:szCs w:val="20"/>
        </w:rPr>
      </w:pPr>
      <w:r w:rsidRPr="00B7660C">
        <w:rPr>
          <w:rFonts w:ascii="Arial" w:hAnsi="Arial" w:cs="Arial"/>
          <w:b/>
          <w:bCs/>
          <w:sz w:val="20"/>
          <w:szCs w:val="20"/>
        </w:rPr>
        <w:t>Ochranná lhůta neplyne</w:t>
      </w:r>
    </w:p>
    <w:p w14:paraId="691CF135" w14:textId="77777777" w:rsidR="00EB4725" w:rsidRPr="00B7660C" w:rsidRDefault="00EB4725" w:rsidP="00EB4725">
      <w:pPr>
        <w:numPr>
          <w:ilvl w:val="0"/>
          <w:numId w:val="23"/>
        </w:numPr>
        <w:spacing w:after="100" w:afterAutospacing="1"/>
        <w:ind w:left="714" w:hanging="357"/>
        <w:jc w:val="both"/>
      </w:pPr>
      <w:r w:rsidRPr="00B7660C">
        <w:t>z pojištěné činnosti poživatele starobního důchodu nebo invalidního důchodu pro invaliditu 3. stupně,</w:t>
      </w:r>
    </w:p>
    <w:p w14:paraId="165E710C" w14:textId="77777777" w:rsidR="00EB4725" w:rsidRPr="00B7660C" w:rsidRDefault="00EB4725" w:rsidP="00EB4725">
      <w:pPr>
        <w:numPr>
          <w:ilvl w:val="0"/>
          <w:numId w:val="23"/>
        </w:numPr>
        <w:spacing w:before="100" w:beforeAutospacing="1" w:after="100" w:afterAutospacing="1"/>
        <w:jc w:val="both"/>
      </w:pPr>
      <w:r w:rsidRPr="00B7660C">
        <w:t>z dalšího zaměstnání sjednaného jen na dobu dovolené v jiném zaměstnání,</w:t>
      </w:r>
    </w:p>
    <w:p w14:paraId="40239753" w14:textId="77777777" w:rsidR="00EB4725" w:rsidRPr="00B7660C" w:rsidRDefault="00EB4725" w:rsidP="00EB4725">
      <w:pPr>
        <w:numPr>
          <w:ilvl w:val="0"/>
          <w:numId w:val="23"/>
        </w:numPr>
        <w:spacing w:before="100" w:beforeAutospacing="1" w:after="100" w:afterAutospacing="1"/>
        <w:jc w:val="both"/>
      </w:pPr>
      <w:r w:rsidRPr="00B7660C">
        <w:t>ze zaměstnání zaměstnance činného na základě dohody o provedení práce,</w:t>
      </w:r>
    </w:p>
    <w:p w14:paraId="30712D4F" w14:textId="77777777" w:rsidR="00EB4725" w:rsidRPr="00B7660C" w:rsidRDefault="00EB4725" w:rsidP="00EB4725">
      <w:pPr>
        <w:numPr>
          <w:ilvl w:val="0"/>
          <w:numId w:val="23"/>
        </w:numPr>
        <w:spacing w:before="100" w:beforeAutospacing="1" w:after="100" w:afterAutospacing="1"/>
        <w:jc w:val="both"/>
      </w:pPr>
      <w:r w:rsidRPr="00B7660C">
        <w:t>ze zaměstnání malého rozsahu,</w:t>
      </w:r>
    </w:p>
    <w:p w14:paraId="00E40798" w14:textId="77777777" w:rsidR="00EB4725" w:rsidRPr="00B7660C" w:rsidRDefault="00EB4725" w:rsidP="00EB4725">
      <w:pPr>
        <w:numPr>
          <w:ilvl w:val="0"/>
          <w:numId w:val="23"/>
        </w:numPr>
        <w:spacing w:before="100" w:beforeAutospacing="1" w:after="100" w:afterAutospacing="1"/>
        <w:jc w:val="both"/>
      </w:pPr>
      <w:r w:rsidRPr="00B7660C">
        <w:t>ze zaměstnání, které si žák nebo student sjednali výlučně na dobu školních prázdnin nebo jejich část,</w:t>
      </w:r>
    </w:p>
    <w:p w14:paraId="4704082B" w14:textId="77777777" w:rsidR="00EB4725" w:rsidRPr="00B7660C" w:rsidRDefault="00EB4725" w:rsidP="00EB4725">
      <w:pPr>
        <w:numPr>
          <w:ilvl w:val="0"/>
          <w:numId w:val="23"/>
        </w:numPr>
        <w:spacing w:before="100" w:beforeAutospacing="1" w:after="120"/>
        <w:ind w:left="714" w:hanging="357"/>
        <w:jc w:val="both"/>
      </w:pPr>
      <w:r w:rsidRPr="00B7660C">
        <w:t>v případě, že pojištění odsouzeného skončí v době jeho útěku z místa výkonu trestu odnětí svobody.</w:t>
      </w:r>
    </w:p>
    <w:p w14:paraId="00BA2B13" w14:textId="77777777" w:rsidR="00EB4725" w:rsidRPr="00B7660C" w:rsidRDefault="00EB4725" w:rsidP="00EB4725">
      <w:pPr>
        <w:spacing w:before="120" w:after="120"/>
        <w:jc w:val="both"/>
        <w:rPr>
          <w:rFonts w:cs="Arial"/>
          <w:szCs w:val="20"/>
        </w:rPr>
      </w:pPr>
      <w:r w:rsidRPr="00B7660C">
        <w:rPr>
          <w:rFonts w:cs="Arial"/>
          <w:b/>
          <w:szCs w:val="20"/>
        </w:rPr>
        <w:t>Jestliže si pojištěnec přivodil dočasnou pracovní neschopnost</w:t>
      </w:r>
      <w:r w:rsidRPr="00B7660C">
        <w:rPr>
          <w:rFonts w:cs="Arial"/>
          <w:szCs w:val="20"/>
        </w:rPr>
        <w:t xml:space="preserve"> zaviněnou účastí ve rvačce nebo jako bezprostřední následek své opilosti, zneužití omamných prostředků nebo psychotropních látek, při spáchání úmyslného trestného činu nebo úmyslně zaviněného přestupku, </w:t>
      </w:r>
      <w:r w:rsidRPr="00B7660C">
        <w:rPr>
          <w:rFonts w:cs="Arial"/>
          <w:b/>
          <w:szCs w:val="20"/>
        </w:rPr>
        <w:t>náleží mu nemocenské za kalendářní den v poloviční výši</w:t>
      </w:r>
      <w:r w:rsidRPr="00B7660C">
        <w:rPr>
          <w:rFonts w:cs="Arial"/>
          <w:szCs w:val="20"/>
        </w:rPr>
        <w:t xml:space="preserve">. </w:t>
      </w:r>
    </w:p>
    <w:p w14:paraId="0113217E" w14:textId="77777777" w:rsidR="00EB4725" w:rsidRPr="00B7660C" w:rsidRDefault="00EB4725" w:rsidP="00EB4725">
      <w:pPr>
        <w:spacing w:before="120" w:after="120"/>
        <w:jc w:val="both"/>
        <w:rPr>
          <w:rFonts w:cs="Arial"/>
          <w:szCs w:val="20"/>
        </w:rPr>
      </w:pPr>
      <w:r w:rsidRPr="00B7660C">
        <w:rPr>
          <w:rFonts w:cs="Arial"/>
          <w:b/>
          <w:szCs w:val="20"/>
        </w:rPr>
        <w:t>Nárok na nemocenské nemá pojištěnec</w:t>
      </w:r>
      <w:r w:rsidRPr="00B7660C">
        <w:rPr>
          <w:rFonts w:cs="Arial"/>
          <w:szCs w:val="20"/>
        </w:rPr>
        <w:t xml:space="preserve">, který si dočasnou pracovní neschopnost </w:t>
      </w:r>
      <w:r w:rsidRPr="00B7660C">
        <w:rPr>
          <w:rFonts w:cs="Arial"/>
          <w:b/>
          <w:szCs w:val="20"/>
        </w:rPr>
        <w:t>přivodil úmyslně</w:t>
      </w:r>
      <w:r w:rsidRPr="00B7660C">
        <w:rPr>
          <w:rFonts w:cs="Arial"/>
          <w:szCs w:val="20"/>
        </w:rPr>
        <w:t xml:space="preserve">. Dále jestliže </w:t>
      </w:r>
      <w:r w:rsidRPr="00B7660C">
        <w:t xml:space="preserve">občanovi vznikl v době dočasné pracovní neschopnosti nebo nařízené karantény nárok na výplatu starobního důchodu, pokud pojištěná činnost skončila přede dnem, od něhož vznikl nárok na výplatu důchodu. </w:t>
      </w:r>
      <w:r w:rsidRPr="00B7660C">
        <w:rPr>
          <w:rFonts w:cs="Arial"/>
          <w:szCs w:val="20"/>
        </w:rPr>
        <w:t>Pojištěnec nemá nárok na nemocenské ani v případě, kdy vznikla dočasná pracovní neschopnost nebo mu byla nařízena karanténa v době útěku z vazby nebo z místa výkonu trestu odnětí svobody.</w:t>
      </w:r>
    </w:p>
    <w:p w14:paraId="55F88AFB" w14:textId="77777777" w:rsidR="00666329" w:rsidRPr="005761BF" w:rsidRDefault="00666329" w:rsidP="00666329">
      <w:pPr>
        <w:pStyle w:val="Nadpis3"/>
      </w:pPr>
      <w:bookmarkStart w:id="9" w:name="_Toc136412142"/>
      <w:bookmarkStart w:id="10" w:name="_Toc167965218"/>
      <w:r w:rsidRPr="005761BF">
        <w:t>2.3 Uplatnění nároku na dávku nemocenského</w:t>
      </w:r>
      <w:bookmarkEnd w:id="9"/>
      <w:bookmarkEnd w:id="10"/>
    </w:p>
    <w:p w14:paraId="3AF8AAF7" w14:textId="77777777" w:rsidR="00666329" w:rsidRPr="005761BF" w:rsidRDefault="00666329" w:rsidP="00666329">
      <w:pPr>
        <w:pStyle w:val="Seznam"/>
        <w:spacing w:after="120"/>
        <w:contextualSpacing w:val="0"/>
        <w:jc w:val="both"/>
      </w:pPr>
      <w:r>
        <w:t>Hlášen</w:t>
      </w:r>
      <w:r w:rsidRPr="005761BF">
        <w:t>í o dočasné pracovní neschopnosti probíhá od 1. 1. 2020 elektronicky</w:t>
      </w:r>
      <w:r w:rsidRPr="005761BF">
        <w:rPr>
          <w:rStyle w:val="Znakapoznpodarou"/>
        </w:rPr>
        <w:footnoteReference w:id="2"/>
      </w:r>
      <w:r w:rsidRPr="005761BF">
        <w:t>. Bylo tak upuštěno od zdlouhavého oběhu listinných dokumentů, který byl nahrazen elektronickým zpracováním.</w:t>
      </w:r>
    </w:p>
    <w:p w14:paraId="70C3A6E9" w14:textId="77777777" w:rsidR="00666329" w:rsidRDefault="00666329" w:rsidP="00666329">
      <w:pPr>
        <w:pStyle w:val="Seznam"/>
        <w:spacing w:after="120"/>
        <w:contextualSpacing w:val="0"/>
        <w:jc w:val="both"/>
      </w:pPr>
      <w:r w:rsidRPr="005761BF">
        <w:t xml:space="preserve">Ošetřující lékař od 1. 1. 2020 hlásí vznik, trvání a ukončení dočasné pracovní neschopnosti přímo správě sociálního zabezpečení pouze elektronicky. Ošetřující lékař již nevydává zaměstnanci žádné papírové díly neschopenky určené pro zaměstnavatele. Zachován zůstal pouze „Průkaz dočasně práce neschopného pojištěnce“, který má u sebe zaměstnanec pro své potřeby a k informaci. </w:t>
      </w:r>
      <w:r w:rsidRPr="005761BF">
        <w:rPr>
          <w:b/>
          <w:bCs/>
        </w:rPr>
        <w:t xml:space="preserve">Hlášení </w:t>
      </w:r>
      <w:r w:rsidRPr="005761BF">
        <w:rPr>
          <w:bCs/>
        </w:rPr>
        <w:t>správě sociálního zabezpečení</w:t>
      </w:r>
      <w:r w:rsidRPr="005761BF">
        <w:rPr>
          <w:b/>
          <w:bCs/>
        </w:rPr>
        <w:t xml:space="preserve"> o vzniku dočasné pracovní neschopnosti je při </w:t>
      </w:r>
      <w:r w:rsidRPr="005761BF">
        <w:rPr>
          <w:bCs/>
        </w:rPr>
        <w:t>dočasné pracovní</w:t>
      </w:r>
      <w:r w:rsidRPr="005761BF">
        <w:rPr>
          <w:b/>
          <w:bCs/>
        </w:rPr>
        <w:t xml:space="preserve"> neschopnosti přesahující 14 kalendářních dnů </w:t>
      </w:r>
      <w:r w:rsidRPr="005761BF">
        <w:rPr>
          <w:bCs/>
        </w:rPr>
        <w:t xml:space="preserve">automaticky </w:t>
      </w:r>
      <w:r w:rsidRPr="005761BF">
        <w:rPr>
          <w:b/>
          <w:bCs/>
        </w:rPr>
        <w:t>považováno za žádost o nemocenské.</w:t>
      </w:r>
      <w:r w:rsidRPr="005761BF">
        <w:t xml:space="preserve"> Ošetřující lékař hlásí trvání dočasné pracovní neschopnosti přímo správě sociálního zabezpečení. Hlášení o ukončení dočasné pracovní neschopnosti, které ošetřující lékař rovněž zasílá přímo správě sociálního zabezpečení, je automaticky i dokladem pro ukončení výplaty nemocenského.</w:t>
      </w:r>
    </w:p>
    <w:p w14:paraId="1CE7290A" w14:textId="13D94813" w:rsidR="00666329" w:rsidRPr="005761BF" w:rsidRDefault="00666329" w:rsidP="00666329">
      <w:pPr>
        <w:pStyle w:val="Seznam"/>
        <w:spacing w:after="120"/>
        <w:contextualSpacing w:val="0"/>
        <w:jc w:val="both"/>
      </w:pPr>
      <w:r>
        <w:t>Obdobně se od 1. 12. 2022 postupuje při procesu oznamování o nařízení karantény, její</w:t>
      </w:r>
      <w:r w:rsidR="006A65FC">
        <w:t>m</w:t>
      </w:r>
      <w:r>
        <w:t xml:space="preserve"> trvání a ukončení příslušným orgánem ochrany veřejného zdraví (případně ošetřujícím lékařem) orgánu nemocenského pojištění. Právní úprava výslovně uvádí povinnost posílat tiskopis rozhodnutí o vystavení karantény v elektronické podobě.</w:t>
      </w:r>
      <w:r w:rsidRPr="005761BF">
        <w:t xml:space="preserve"> </w:t>
      </w:r>
    </w:p>
    <w:p w14:paraId="6B1E29CA" w14:textId="77777777" w:rsidR="00666329" w:rsidRPr="005761BF" w:rsidRDefault="00666329" w:rsidP="00666329">
      <w:pPr>
        <w:pStyle w:val="Seznam"/>
        <w:spacing w:after="120"/>
        <w:contextualSpacing w:val="0"/>
        <w:jc w:val="both"/>
      </w:pPr>
      <w:r w:rsidRPr="005761BF">
        <w:t xml:space="preserve">Pro zaměstnavatele se tedy již nevystavuje žádný listinný díl rozhodnutí o dočasné pracovní neschopnosti. </w:t>
      </w:r>
      <w:r w:rsidRPr="005761BF">
        <w:rPr>
          <w:bCs/>
        </w:rPr>
        <w:t>I nadále však</w:t>
      </w:r>
      <w:r w:rsidRPr="005761BF">
        <w:rPr>
          <w:b/>
          <w:bCs/>
        </w:rPr>
        <w:t xml:space="preserve"> zůstává </w:t>
      </w:r>
      <w:r w:rsidRPr="005761BF">
        <w:rPr>
          <w:bCs/>
        </w:rPr>
        <w:t>zachována</w:t>
      </w:r>
      <w:r w:rsidRPr="005761BF">
        <w:rPr>
          <w:b/>
          <w:bCs/>
        </w:rPr>
        <w:t xml:space="preserve"> povinnost zaměstnance, aby o </w:t>
      </w:r>
      <w:r w:rsidRPr="005761BF">
        <w:rPr>
          <w:bCs/>
        </w:rPr>
        <w:t>své dočasné</w:t>
      </w:r>
      <w:r w:rsidRPr="005761BF">
        <w:rPr>
          <w:b/>
          <w:bCs/>
        </w:rPr>
        <w:t xml:space="preserve"> pracovní neschopnosti </w:t>
      </w:r>
      <w:r w:rsidRPr="005761BF">
        <w:rPr>
          <w:bCs/>
        </w:rPr>
        <w:t>neprodleně</w:t>
      </w:r>
      <w:r w:rsidRPr="005761BF">
        <w:rPr>
          <w:b/>
          <w:bCs/>
        </w:rPr>
        <w:t xml:space="preserve"> informoval </w:t>
      </w:r>
      <w:r w:rsidRPr="005761BF">
        <w:rPr>
          <w:bCs/>
        </w:rPr>
        <w:t>svého</w:t>
      </w:r>
      <w:r w:rsidRPr="005761BF">
        <w:rPr>
          <w:b/>
          <w:bCs/>
        </w:rPr>
        <w:t xml:space="preserve"> zaměstnavatele</w:t>
      </w:r>
      <w:r w:rsidRPr="005761BF">
        <w:t xml:space="preserve"> (např. telefonicky, e-mailem). </w:t>
      </w:r>
    </w:p>
    <w:p w14:paraId="7F361D52" w14:textId="35183DCA" w:rsidR="00666329" w:rsidRDefault="00666329" w:rsidP="00666329">
      <w:pPr>
        <w:pStyle w:val="Seznam"/>
        <w:spacing w:after="120"/>
        <w:contextualSpacing w:val="0"/>
        <w:jc w:val="both"/>
      </w:pPr>
      <w:r w:rsidRPr="005761BF">
        <w:t xml:space="preserve">Zaměstnavatel je povinen po 14 dnech trvání neschopnosti zaslat ČSSZ </w:t>
      </w:r>
      <w:r w:rsidRPr="005761BF">
        <w:rPr>
          <w:b/>
          <w:bCs/>
        </w:rPr>
        <w:t>Přílohu k žádosti o dávku</w:t>
      </w:r>
      <w:r w:rsidRPr="005761BF">
        <w:t xml:space="preserve">, která obsahuje údaje potřebné pro posouzení nároku, výpočet a výplatu nemocenského, </w:t>
      </w:r>
      <w:r w:rsidRPr="005761BF">
        <w:rPr>
          <w:b/>
          <w:bCs/>
        </w:rPr>
        <w:t>a to v elektronické formě</w:t>
      </w:r>
      <w:r w:rsidRPr="005761BF">
        <w:t xml:space="preserve"> (papírový tiskopis je možno použít pouze v případě technického výpadku). Do přílohy k žádosti o dávku zaměstnavatel nově uvede informaci o tom, kam je zaměstnanci vyplácena mzda nebo plat (stejným způsobem se zpravidla bude zaměstnanci vyplácet nemocenské). Při skončení dočasné pracovní neschopnosti zaměstnavatel zašle hlášení s údaji potřebnými pro výplatu poslední dávky nemocenského.</w:t>
      </w:r>
    </w:p>
    <w:p w14:paraId="5A0FC534" w14:textId="7B04FAFF" w:rsidR="00666329" w:rsidRDefault="00386D4F" w:rsidP="00666329">
      <w:pPr>
        <w:spacing w:after="120"/>
        <w:jc w:val="both"/>
      </w:pPr>
      <w:r>
        <w:lastRenderedPageBreak/>
        <w:t xml:space="preserve">ČSSZ </w:t>
      </w:r>
      <w:r w:rsidRPr="00386D4F">
        <w:rPr>
          <w:b/>
        </w:rPr>
        <w:t>neprovádí nemocenské pojištění</w:t>
      </w:r>
      <w:r>
        <w:t xml:space="preserve"> u příslušníků</w:t>
      </w:r>
      <w:r w:rsidR="00666329" w:rsidRPr="00544C6C">
        <w:t xml:space="preserve"> Policie České republiky, Hasičského záchranného sboru České republiky, Celní správy České republiky, Vězeňské služby České republiky, Bezpečnostní informační služby a Úřadu pro zahraniční styky a informace, vojáků z povolání, odsouzených ve výkonu trestu, kteří vykonávají práci ve výkonu trestu, a osob obviněných vykonávajících práci ve vazbě.</w:t>
      </w:r>
      <w:r w:rsidR="00251BF8">
        <w:t xml:space="preserve"> </w:t>
      </w:r>
      <w:r>
        <w:t xml:space="preserve">Tyto skupiny osob </w:t>
      </w:r>
      <w:r w:rsidRPr="00386D4F">
        <w:rPr>
          <w:b/>
        </w:rPr>
        <w:t>nejsou zahrnuty</w:t>
      </w:r>
      <w:r>
        <w:t xml:space="preserve"> v předkládaných statistikách. Nemocenské pojištění u nich provádí služební útvary.</w:t>
      </w:r>
    </w:p>
    <w:p w14:paraId="5246C71B" w14:textId="582FD872" w:rsidR="005E066A" w:rsidRPr="00544C6C" w:rsidRDefault="005E066A" w:rsidP="005E066A">
      <w:pPr>
        <w:pStyle w:val="Nadpis3"/>
      </w:pPr>
      <w:bookmarkStart w:id="11" w:name="_Toc136412144"/>
      <w:bookmarkStart w:id="12" w:name="_Toc167965219"/>
      <w:r w:rsidRPr="00544C6C">
        <w:t>2.</w:t>
      </w:r>
      <w:r>
        <w:t>4</w:t>
      </w:r>
      <w:r w:rsidRPr="00544C6C">
        <w:t xml:space="preserve"> Výpočet dávky nemocenského</w:t>
      </w:r>
      <w:bookmarkEnd w:id="11"/>
      <w:bookmarkEnd w:id="12"/>
    </w:p>
    <w:p w14:paraId="005135D2" w14:textId="77777777" w:rsidR="005E066A" w:rsidRPr="00544C6C" w:rsidRDefault="005E066A" w:rsidP="005E066A">
      <w:pPr>
        <w:spacing w:after="120"/>
        <w:jc w:val="both"/>
      </w:pPr>
      <w:r w:rsidRPr="00544C6C">
        <w:t>Výše dávky nemocenského se počítá z denního vyměřovacího základu. Započitatelný příjem zúčtovaný zaměstnanci v rozhodném období (zpravidla období 12 kalendářních měsíců před kalendářním měsícem, ve kterém vznikla sociální událost – v případě výplaty nemocenského dočasná pracovní neschopnost) se dělí počtem započitatelných kalendářních dnů připadajících na toto rozhodné období. Takto stanovený průměrný denní příjem se upravuje (redukuje) pomocí tří redukčních hranic na denní vyměřovací základ.</w:t>
      </w:r>
    </w:p>
    <w:p w14:paraId="468A790E" w14:textId="77777777" w:rsidR="005E066A" w:rsidRPr="00544C6C" w:rsidRDefault="005E066A" w:rsidP="005E066A">
      <w:pPr>
        <w:spacing w:after="120"/>
        <w:jc w:val="both"/>
        <w:rPr>
          <w:lang w:eastAsia="ar-SA"/>
        </w:rPr>
      </w:pPr>
      <w:r w:rsidRPr="00544C6C">
        <w:rPr>
          <w:lang w:eastAsia="ar-SA"/>
        </w:rPr>
        <w:t xml:space="preserve">Výši tří </w:t>
      </w:r>
      <w:r w:rsidRPr="00544C6C">
        <w:rPr>
          <w:b/>
          <w:lang w:eastAsia="ar-SA"/>
        </w:rPr>
        <w:t>redukčních hranic</w:t>
      </w:r>
      <w:r w:rsidRPr="00544C6C">
        <w:rPr>
          <w:lang w:eastAsia="ar-SA"/>
        </w:rPr>
        <w:t xml:space="preserve"> platných od 1. ledna kalendářního roku vyhlašuje Ministerstvo práce a sociálních věcí formou Sdělení ve Sbírce zákonů. </w:t>
      </w:r>
    </w:p>
    <w:p w14:paraId="4952D7AB" w14:textId="53D18A13" w:rsidR="005E066A" w:rsidRPr="00544C6C" w:rsidRDefault="005E066A" w:rsidP="005E066A">
      <w:pPr>
        <w:spacing w:after="120"/>
        <w:jc w:val="both"/>
        <w:rPr>
          <w:lang w:eastAsia="ar-SA"/>
        </w:rPr>
      </w:pPr>
      <w:r w:rsidRPr="00544C6C">
        <w:rPr>
          <w:lang w:eastAsia="ar-SA"/>
        </w:rPr>
        <w:t xml:space="preserve">V roce </w:t>
      </w:r>
      <w:r w:rsidRPr="00544C6C">
        <w:rPr>
          <w:b/>
          <w:lang w:eastAsia="ar-SA"/>
        </w:rPr>
        <w:t>202</w:t>
      </w:r>
      <w:r>
        <w:rPr>
          <w:b/>
          <w:lang w:eastAsia="ar-SA"/>
        </w:rPr>
        <w:t>3</w:t>
      </w:r>
      <w:r w:rsidRPr="00544C6C">
        <w:rPr>
          <w:lang w:eastAsia="ar-SA"/>
        </w:rPr>
        <w:t xml:space="preserve"> činila 1. redukční hranice </w:t>
      </w:r>
      <w:r w:rsidRPr="00544C6C">
        <w:rPr>
          <w:b/>
        </w:rPr>
        <w:t>1 </w:t>
      </w:r>
      <w:r>
        <w:rPr>
          <w:b/>
        </w:rPr>
        <w:t>345</w:t>
      </w:r>
      <w:r w:rsidRPr="00544C6C">
        <w:t xml:space="preserve"> </w:t>
      </w:r>
      <w:r w:rsidRPr="00544C6C">
        <w:rPr>
          <w:b/>
          <w:lang w:eastAsia="ar-SA"/>
        </w:rPr>
        <w:t>Kč</w:t>
      </w:r>
      <w:r w:rsidRPr="00544C6C">
        <w:rPr>
          <w:lang w:eastAsia="ar-SA"/>
        </w:rPr>
        <w:t xml:space="preserve">, 2. redukční hranice </w:t>
      </w:r>
      <w:r>
        <w:rPr>
          <w:b/>
        </w:rPr>
        <w:t>2 017</w:t>
      </w:r>
      <w:r w:rsidRPr="00544C6C">
        <w:rPr>
          <w:b/>
          <w:lang w:eastAsia="ar-SA"/>
        </w:rPr>
        <w:t xml:space="preserve"> Kč</w:t>
      </w:r>
      <w:r w:rsidRPr="00544C6C">
        <w:rPr>
          <w:lang w:eastAsia="ar-SA"/>
        </w:rPr>
        <w:t xml:space="preserve">, 3. redukční hranice </w:t>
      </w:r>
      <w:r>
        <w:rPr>
          <w:b/>
        </w:rPr>
        <w:t>4 033</w:t>
      </w:r>
      <w:r w:rsidRPr="00544C6C">
        <w:t xml:space="preserve"> </w:t>
      </w:r>
      <w:r w:rsidRPr="00544C6C">
        <w:rPr>
          <w:b/>
          <w:lang w:eastAsia="ar-SA"/>
        </w:rPr>
        <w:t>Kč</w:t>
      </w:r>
      <w:r w:rsidRPr="00544C6C">
        <w:rPr>
          <w:lang w:eastAsia="ar-SA"/>
        </w:rPr>
        <w:t>.</w:t>
      </w:r>
    </w:p>
    <w:p w14:paraId="0A288B39" w14:textId="77777777" w:rsidR="005E066A" w:rsidRPr="00544C6C" w:rsidRDefault="005E066A" w:rsidP="005E066A">
      <w:pPr>
        <w:spacing w:after="60"/>
        <w:jc w:val="both"/>
      </w:pPr>
      <w:r w:rsidRPr="00544C6C">
        <w:rPr>
          <w:b/>
        </w:rPr>
        <w:t>Redukce u nemocenského</w:t>
      </w:r>
      <w:r w:rsidRPr="00544C6C">
        <w:t xml:space="preserve"> se provede následujícím způsobem.</w:t>
      </w:r>
    </w:p>
    <w:p w14:paraId="5071C3DA" w14:textId="77777777" w:rsidR="005E066A" w:rsidRPr="00544C6C" w:rsidRDefault="005E066A" w:rsidP="005E066A">
      <w:pPr>
        <w:pStyle w:val="Odstavecseseznamem"/>
        <w:numPr>
          <w:ilvl w:val="0"/>
          <w:numId w:val="24"/>
        </w:numPr>
        <w:jc w:val="both"/>
      </w:pPr>
      <w:r w:rsidRPr="00544C6C">
        <w:rPr>
          <w:b/>
        </w:rPr>
        <w:t>do</w:t>
      </w:r>
      <w:r w:rsidRPr="00544C6C">
        <w:t xml:space="preserve"> </w:t>
      </w:r>
      <w:r w:rsidRPr="00544C6C">
        <w:rPr>
          <w:b/>
        </w:rPr>
        <w:t>první redukční hranice</w:t>
      </w:r>
      <w:r w:rsidRPr="00544C6C">
        <w:t xml:space="preserve"> se započte </w:t>
      </w:r>
      <w:r w:rsidRPr="00544C6C">
        <w:rPr>
          <w:b/>
        </w:rPr>
        <w:t>90 %</w:t>
      </w:r>
      <w:r w:rsidRPr="00544C6C">
        <w:t xml:space="preserve"> denního vyměřovacího základu,</w:t>
      </w:r>
    </w:p>
    <w:p w14:paraId="37735A3D" w14:textId="77777777" w:rsidR="005E066A" w:rsidRPr="00544C6C" w:rsidRDefault="005E066A" w:rsidP="005E066A">
      <w:pPr>
        <w:pStyle w:val="Odstavecseseznamem"/>
        <w:numPr>
          <w:ilvl w:val="0"/>
          <w:numId w:val="24"/>
        </w:numPr>
        <w:jc w:val="both"/>
      </w:pPr>
      <w:r w:rsidRPr="00544C6C">
        <w:t xml:space="preserve">z části denního vyměřovacího základu </w:t>
      </w:r>
      <w:r w:rsidRPr="00544C6C">
        <w:rPr>
          <w:b/>
        </w:rPr>
        <w:t>mezi první a druhou redukční hranicí</w:t>
      </w:r>
      <w:r w:rsidRPr="00544C6C">
        <w:t xml:space="preserve"> se započte </w:t>
      </w:r>
      <w:r w:rsidRPr="00544C6C">
        <w:rPr>
          <w:b/>
        </w:rPr>
        <w:t>60 %</w:t>
      </w:r>
      <w:r w:rsidRPr="00544C6C">
        <w:t>,</w:t>
      </w:r>
    </w:p>
    <w:p w14:paraId="5F599A0B" w14:textId="77777777" w:rsidR="005E066A" w:rsidRPr="00544C6C" w:rsidRDefault="005E066A" w:rsidP="005E066A">
      <w:pPr>
        <w:pStyle w:val="Odstavecseseznamem"/>
        <w:numPr>
          <w:ilvl w:val="0"/>
          <w:numId w:val="24"/>
        </w:numPr>
        <w:jc w:val="both"/>
      </w:pPr>
      <w:r w:rsidRPr="00544C6C">
        <w:t xml:space="preserve">z části </w:t>
      </w:r>
      <w:r w:rsidRPr="00544C6C">
        <w:rPr>
          <w:b/>
        </w:rPr>
        <w:t>mezi druhou a třetí</w:t>
      </w:r>
      <w:r w:rsidRPr="00544C6C">
        <w:t xml:space="preserve"> redukční hranicí se započte </w:t>
      </w:r>
      <w:r w:rsidRPr="00544C6C">
        <w:rPr>
          <w:b/>
        </w:rPr>
        <w:t>30 %</w:t>
      </w:r>
      <w:r w:rsidRPr="00544C6C">
        <w:t>,</w:t>
      </w:r>
    </w:p>
    <w:p w14:paraId="0B778791" w14:textId="77777777" w:rsidR="005E066A" w:rsidRPr="00544C6C" w:rsidRDefault="005E066A" w:rsidP="005E066A">
      <w:pPr>
        <w:pStyle w:val="Odstavecseseznamem"/>
        <w:numPr>
          <w:ilvl w:val="0"/>
          <w:numId w:val="24"/>
        </w:numPr>
        <w:spacing w:after="120"/>
        <w:ind w:left="714" w:hanging="357"/>
        <w:jc w:val="both"/>
      </w:pPr>
      <w:r w:rsidRPr="00544C6C">
        <w:t xml:space="preserve">k části </w:t>
      </w:r>
      <w:r w:rsidRPr="00544C6C">
        <w:rPr>
          <w:b/>
        </w:rPr>
        <w:t>nad třetí</w:t>
      </w:r>
      <w:r w:rsidRPr="00544C6C">
        <w:t xml:space="preserve"> redukční hranici </w:t>
      </w:r>
      <w:r w:rsidRPr="00544C6C">
        <w:rPr>
          <w:b/>
        </w:rPr>
        <w:t>se nepřihlédne</w:t>
      </w:r>
      <w:r w:rsidRPr="00544C6C">
        <w:t>.</w:t>
      </w:r>
    </w:p>
    <w:p w14:paraId="03988AEA" w14:textId="77777777" w:rsidR="005E066A" w:rsidRPr="00544C6C" w:rsidRDefault="005E066A" w:rsidP="005E066A">
      <w:pPr>
        <w:spacing w:after="120"/>
        <w:jc w:val="both"/>
      </w:pPr>
      <w:r w:rsidRPr="00544C6C">
        <w:t xml:space="preserve">Výše </w:t>
      </w:r>
      <w:r w:rsidRPr="00544C6C">
        <w:rPr>
          <w:b/>
          <w:bCs/>
        </w:rPr>
        <w:t>nemocenského</w:t>
      </w:r>
      <w:r w:rsidRPr="00544C6C">
        <w:t xml:space="preserve"> činí </w:t>
      </w:r>
      <w:r w:rsidRPr="00544C6C">
        <w:rPr>
          <w:b/>
          <w:bCs/>
        </w:rPr>
        <w:t>60 %</w:t>
      </w:r>
      <w:r w:rsidRPr="00544C6C">
        <w:t xml:space="preserve"> denního vyměřovacího základu </w:t>
      </w:r>
      <w:r w:rsidRPr="00544C6C">
        <w:rPr>
          <w:b/>
        </w:rPr>
        <w:t>od 15. kalendářního dne</w:t>
      </w:r>
      <w:r w:rsidRPr="00544C6C">
        <w:t xml:space="preserve"> trvání dočasné pracovní neschopnosti nebo karantény, </w:t>
      </w:r>
      <w:r w:rsidRPr="00544C6C">
        <w:rPr>
          <w:b/>
        </w:rPr>
        <w:t>od 31. kalendářního dne</w:t>
      </w:r>
      <w:r w:rsidRPr="00544C6C">
        <w:t xml:space="preserve"> sazba činí </w:t>
      </w:r>
      <w:r w:rsidRPr="00544C6C">
        <w:rPr>
          <w:b/>
          <w:bCs/>
        </w:rPr>
        <w:t>66 %</w:t>
      </w:r>
      <w:r w:rsidRPr="00544C6C">
        <w:t xml:space="preserve"> denního vyměřovacího základu a dále </w:t>
      </w:r>
      <w:r w:rsidRPr="00544C6C">
        <w:rPr>
          <w:b/>
        </w:rPr>
        <w:t>od 61. kalendářního dne</w:t>
      </w:r>
      <w:r w:rsidRPr="00544C6C">
        <w:t xml:space="preserve"> sazba činí </w:t>
      </w:r>
      <w:r w:rsidRPr="00544C6C">
        <w:rPr>
          <w:b/>
          <w:bCs/>
        </w:rPr>
        <w:t>72 %</w:t>
      </w:r>
      <w:r w:rsidRPr="00544C6C">
        <w:t xml:space="preserve"> denního vyměřovacího základu.</w:t>
      </w:r>
    </w:p>
    <w:p w14:paraId="0E15E031" w14:textId="77777777" w:rsidR="005E066A" w:rsidRPr="00544C6C" w:rsidRDefault="005E066A" w:rsidP="005E066A">
      <w:pPr>
        <w:spacing w:after="120"/>
        <w:jc w:val="both"/>
      </w:pPr>
      <w:r w:rsidRPr="00544C6C">
        <w:t>Výše nemocenského u </w:t>
      </w:r>
      <w:r w:rsidRPr="00544C6C">
        <w:rPr>
          <w:b/>
          <w:bCs/>
        </w:rPr>
        <w:t>dobrovolných členů integrovaného záchranného systému</w:t>
      </w:r>
      <w:r w:rsidRPr="00544C6C">
        <w:t xml:space="preserve"> (např. u dobrovolných hasičů) činí </w:t>
      </w:r>
      <w:r w:rsidRPr="00544C6C">
        <w:rPr>
          <w:b/>
          <w:bCs/>
        </w:rPr>
        <w:t>100 %</w:t>
      </w:r>
      <w:r w:rsidRPr="00544C6C">
        <w:t xml:space="preserve"> denního vyměřovacího základu, pokud tato dočasná pracovní neschopnost nebo karanténa vznikla v důsledku zásahu (tj. v důsledku provádění záchranných a likvidačních prací), k němuž byla jednotka nebo složka integrovaného záchranného systému povolána. Tuto skutečnost pojištěnci potvrdí operační středisko integrovaného záchranného systému.</w:t>
      </w:r>
    </w:p>
    <w:p w14:paraId="78467F94" w14:textId="5262C318" w:rsidR="005E066A" w:rsidRPr="00544C6C" w:rsidRDefault="005E066A" w:rsidP="005E066A">
      <w:pPr>
        <w:spacing w:after="120"/>
        <w:jc w:val="both"/>
        <w:rPr>
          <w:rStyle w:val="Hypertextovodkaz"/>
          <w:spacing w:val="-2"/>
        </w:rPr>
      </w:pPr>
      <w:r w:rsidRPr="00544C6C">
        <w:rPr>
          <w:spacing w:val="-2"/>
        </w:rPr>
        <w:t xml:space="preserve">Orientační výši dávky spočítá příslušná </w:t>
      </w:r>
      <w:hyperlink r:id="rId13" w:history="1">
        <w:r w:rsidRPr="00544C6C">
          <w:rPr>
            <w:rStyle w:val="Hypertextovodkaz"/>
            <w:spacing w:val="-2"/>
          </w:rPr>
          <w:t>kalkulačka MPSV</w:t>
        </w:r>
      </w:hyperlink>
      <w:r w:rsidRPr="00544C6C">
        <w:rPr>
          <w:spacing w:val="-2"/>
        </w:rPr>
        <w:t>. Další informace k nemocenskému pojištění na </w:t>
      </w:r>
      <w:hyperlink r:id="rId14" w:history="1">
        <w:r w:rsidR="002C63A3" w:rsidRPr="00815977">
          <w:rPr>
            <w:rStyle w:val="Hypertextovodkaz"/>
          </w:rPr>
          <w:t>https://www.mpsv.cz/web/cz/nemocenske-pojisteni-v-roce-2023</w:t>
        </w:r>
      </w:hyperlink>
      <w:r w:rsidRPr="00544C6C">
        <w:t>,</w:t>
      </w:r>
      <w:r w:rsidRPr="00544C6C">
        <w:rPr>
          <w:spacing w:val="-2"/>
        </w:rPr>
        <w:t> </w:t>
      </w:r>
      <w:hyperlink r:id="rId15" w:history="1">
        <w:r w:rsidRPr="00544C6C">
          <w:rPr>
            <w:rStyle w:val="Hypertextovodkaz"/>
            <w:spacing w:val="-2"/>
          </w:rPr>
          <w:t>https://www.cssz.cz/web/cz/nemocenske</w:t>
        </w:r>
      </w:hyperlink>
      <w:r w:rsidRPr="00544C6C">
        <w:rPr>
          <w:rStyle w:val="Hypertextovodkaz"/>
          <w:spacing w:val="-2"/>
        </w:rPr>
        <w:t>.</w:t>
      </w:r>
    </w:p>
    <w:p w14:paraId="611A39EE" w14:textId="3F1DCEC9" w:rsidR="00956F7B" w:rsidRPr="00FC2CD8" w:rsidRDefault="00956F7B" w:rsidP="00956F7B">
      <w:pPr>
        <w:pStyle w:val="Nadpis3"/>
      </w:pPr>
      <w:bookmarkStart w:id="13" w:name="_Toc136412145"/>
      <w:bookmarkStart w:id="14" w:name="_Toc167965220"/>
      <w:r w:rsidRPr="00FC2CD8">
        <w:t>2.5 Nejvýznamnější legislativní změny v oblasti nemocenského pojištění</w:t>
      </w:r>
      <w:bookmarkEnd w:id="13"/>
      <w:bookmarkEnd w:id="14"/>
    </w:p>
    <w:p w14:paraId="462D4942" w14:textId="77777777" w:rsidR="00956F7B" w:rsidRPr="00D56151" w:rsidRDefault="00956F7B" w:rsidP="00956F7B">
      <w:pPr>
        <w:pStyle w:val="Seznam"/>
        <w:spacing w:after="60"/>
        <w:contextualSpacing w:val="0"/>
        <w:jc w:val="both"/>
        <w:rPr>
          <w:bCs/>
          <w:szCs w:val="20"/>
        </w:rPr>
      </w:pPr>
      <w:r w:rsidRPr="00D56151">
        <w:t>Dlouhodobý vývoj dočasné pracovní neschopnosti je významně ovlivňován legislativními změnami, týkajícími se výše dávek nemocenského pojištění a počátku jejich poskytování</w:t>
      </w:r>
      <w:r w:rsidRPr="00D56151">
        <w:rPr>
          <w:bCs/>
          <w:szCs w:val="20"/>
        </w:rPr>
        <w:t>. Nejdůležitější legislativní změny, které byly přijaty v systému nemocenského pojištění přibližně v posledním desetiletí a které zásadním způsobem působí i na srovnatelnost dat zdravotnické statistiky, jsou následující:</w:t>
      </w:r>
    </w:p>
    <w:p w14:paraId="52605519" w14:textId="77777777" w:rsidR="00956F7B" w:rsidRPr="00D56151" w:rsidRDefault="00956F7B" w:rsidP="00956F7B">
      <w:pPr>
        <w:pStyle w:val="Seznam"/>
        <w:numPr>
          <w:ilvl w:val="0"/>
          <w:numId w:val="25"/>
        </w:numPr>
        <w:spacing w:after="120"/>
        <w:ind w:left="777" w:hanging="357"/>
        <w:contextualSpacing w:val="0"/>
        <w:jc w:val="both"/>
        <w:rPr>
          <w:bCs/>
          <w:szCs w:val="20"/>
        </w:rPr>
      </w:pPr>
      <w:r w:rsidRPr="00D56151">
        <w:rPr>
          <w:bCs/>
          <w:szCs w:val="20"/>
        </w:rPr>
        <w:t xml:space="preserve">V období let </w:t>
      </w:r>
      <w:r w:rsidRPr="00D56151">
        <w:rPr>
          <w:b/>
          <w:bCs/>
          <w:szCs w:val="20"/>
        </w:rPr>
        <w:t>2010–2017</w:t>
      </w:r>
      <w:r w:rsidRPr="00D56151">
        <w:rPr>
          <w:bCs/>
          <w:szCs w:val="20"/>
        </w:rPr>
        <w:t xml:space="preserve"> činila výše dávky za kalendářní den </w:t>
      </w:r>
      <w:r w:rsidRPr="00D56151">
        <w:rPr>
          <w:b/>
          <w:bCs/>
          <w:szCs w:val="20"/>
        </w:rPr>
        <w:t>jednotně 60 %</w:t>
      </w:r>
      <w:r w:rsidRPr="00D56151">
        <w:rPr>
          <w:bCs/>
          <w:szCs w:val="20"/>
        </w:rPr>
        <w:t xml:space="preserve"> redukovaného denního vyměřovacího základu bez ohledu na délku trvání dočasné pracovní neschopnosti.</w:t>
      </w:r>
    </w:p>
    <w:p w14:paraId="54AD7E0B" w14:textId="77777777" w:rsidR="00956F7B" w:rsidRPr="00D56151" w:rsidRDefault="00956F7B" w:rsidP="00956F7B">
      <w:pPr>
        <w:pStyle w:val="Seznam"/>
        <w:numPr>
          <w:ilvl w:val="0"/>
          <w:numId w:val="25"/>
        </w:numPr>
        <w:spacing w:after="120"/>
        <w:ind w:left="777" w:hanging="357"/>
        <w:contextualSpacing w:val="0"/>
        <w:jc w:val="both"/>
        <w:rPr>
          <w:bCs/>
          <w:szCs w:val="20"/>
        </w:rPr>
      </w:pPr>
      <w:r w:rsidRPr="00D56151">
        <w:rPr>
          <w:b/>
          <w:bCs/>
          <w:szCs w:val="20"/>
        </w:rPr>
        <w:t>Od 1. 1. 2011 do 31. 12. 2013</w:t>
      </w:r>
      <w:r w:rsidRPr="00D56151">
        <w:rPr>
          <w:bCs/>
          <w:szCs w:val="20"/>
        </w:rPr>
        <w:t xml:space="preserve"> začínala </w:t>
      </w:r>
      <w:r w:rsidRPr="00D56151">
        <w:rPr>
          <w:b/>
          <w:bCs/>
          <w:szCs w:val="20"/>
        </w:rPr>
        <w:t>podpůrčí doba u nemocenského</w:t>
      </w:r>
      <w:r w:rsidRPr="00D56151">
        <w:rPr>
          <w:bCs/>
          <w:szCs w:val="20"/>
        </w:rPr>
        <w:t xml:space="preserve"> až </w:t>
      </w:r>
      <w:r w:rsidRPr="00D56151">
        <w:rPr>
          <w:b/>
          <w:bCs/>
          <w:szCs w:val="20"/>
        </w:rPr>
        <w:t>22. kalendářním dnem</w:t>
      </w:r>
      <w:r w:rsidRPr="00D56151">
        <w:rPr>
          <w:bCs/>
          <w:szCs w:val="20"/>
        </w:rPr>
        <w:t xml:space="preserve"> trvání dočasné pracovní neschopnosti, v období 4. až 21. kalendářního dne poskytoval náhradu mzdy nebo platu podle zákoníku práce zaměstnanci zaměstnavatel.</w:t>
      </w:r>
    </w:p>
    <w:p w14:paraId="1EC93D4C" w14:textId="77777777" w:rsidR="00956F7B" w:rsidRPr="00D56151" w:rsidRDefault="00956F7B" w:rsidP="00956F7B">
      <w:pPr>
        <w:pStyle w:val="Seznam"/>
        <w:numPr>
          <w:ilvl w:val="0"/>
          <w:numId w:val="25"/>
        </w:numPr>
        <w:spacing w:after="120"/>
        <w:ind w:left="777" w:hanging="357"/>
        <w:contextualSpacing w:val="0"/>
        <w:jc w:val="both"/>
        <w:rPr>
          <w:bCs/>
          <w:szCs w:val="20"/>
        </w:rPr>
      </w:pPr>
      <w:r w:rsidRPr="00D56151">
        <w:rPr>
          <w:b/>
          <w:bCs/>
          <w:szCs w:val="20"/>
        </w:rPr>
        <w:t>Od 1. 1. 2012</w:t>
      </w:r>
      <w:r w:rsidRPr="00D56151">
        <w:rPr>
          <w:bCs/>
          <w:szCs w:val="20"/>
        </w:rPr>
        <w:t xml:space="preserve"> byl novelou zákoníku práce a zákona o nemocenském pojištění </w:t>
      </w:r>
      <w:r w:rsidRPr="00D56151">
        <w:rPr>
          <w:b/>
          <w:bCs/>
          <w:szCs w:val="20"/>
        </w:rPr>
        <w:t xml:space="preserve">rozšířen okruh </w:t>
      </w:r>
      <w:proofErr w:type="spellStart"/>
      <w:r w:rsidRPr="00D56151">
        <w:rPr>
          <w:b/>
          <w:bCs/>
          <w:szCs w:val="20"/>
        </w:rPr>
        <w:t>nemocensky</w:t>
      </w:r>
      <w:proofErr w:type="spellEnd"/>
      <w:r w:rsidRPr="00D56151">
        <w:rPr>
          <w:b/>
          <w:bCs/>
          <w:szCs w:val="20"/>
        </w:rPr>
        <w:t xml:space="preserve"> pojištěných osob</w:t>
      </w:r>
      <w:r w:rsidRPr="00D56151">
        <w:rPr>
          <w:bCs/>
          <w:szCs w:val="20"/>
        </w:rPr>
        <w:t xml:space="preserve"> o zaměstnance činné na základě </w:t>
      </w:r>
      <w:r w:rsidRPr="00D56151">
        <w:rPr>
          <w:b/>
          <w:bCs/>
          <w:szCs w:val="20"/>
        </w:rPr>
        <w:t>dohody o provedení práce</w:t>
      </w:r>
      <w:r w:rsidRPr="00D56151">
        <w:rPr>
          <w:bCs/>
          <w:szCs w:val="20"/>
        </w:rPr>
        <w:t xml:space="preserve"> při výkonu práce na území ČR a při započitatelném </w:t>
      </w:r>
      <w:r w:rsidRPr="00D56151">
        <w:rPr>
          <w:b/>
          <w:bCs/>
          <w:szCs w:val="20"/>
        </w:rPr>
        <w:t>příjmu vyšším než 10 tis. Kč</w:t>
      </w:r>
      <w:r w:rsidRPr="00D56151">
        <w:rPr>
          <w:bCs/>
          <w:szCs w:val="20"/>
        </w:rPr>
        <w:t xml:space="preserve"> v kalendářním měsíci.</w:t>
      </w:r>
    </w:p>
    <w:p w14:paraId="29414329" w14:textId="77777777" w:rsidR="00956F7B" w:rsidRPr="00D56151" w:rsidRDefault="00956F7B" w:rsidP="00956F7B">
      <w:pPr>
        <w:pStyle w:val="Seznam"/>
        <w:numPr>
          <w:ilvl w:val="0"/>
          <w:numId w:val="25"/>
        </w:numPr>
        <w:spacing w:after="120"/>
        <w:ind w:left="777" w:hanging="357"/>
        <w:contextualSpacing w:val="0"/>
        <w:jc w:val="both"/>
        <w:rPr>
          <w:rFonts w:cs="Arial"/>
          <w:szCs w:val="20"/>
        </w:rPr>
      </w:pPr>
      <w:r w:rsidRPr="00D56151">
        <w:rPr>
          <w:b/>
          <w:bCs/>
          <w:szCs w:val="20"/>
        </w:rPr>
        <w:lastRenderedPageBreak/>
        <w:t>Od 1. 1. 2014</w:t>
      </w:r>
      <w:r w:rsidRPr="00D56151">
        <w:rPr>
          <w:bCs/>
          <w:szCs w:val="20"/>
        </w:rPr>
        <w:t xml:space="preserve"> byla ukončena platnost přechodného ustanovení o délce poskytování náhrady mzdy nebo platu; </w:t>
      </w:r>
      <w:r w:rsidRPr="00D56151">
        <w:rPr>
          <w:b/>
          <w:bCs/>
          <w:szCs w:val="20"/>
        </w:rPr>
        <w:t>nárok na nemocenské</w:t>
      </w:r>
      <w:r w:rsidRPr="00D56151">
        <w:rPr>
          <w:bCs/>
          <w:szCs w:val="20"/>
        </w:rPr>
        <w:t xml:space="preserve"> tedy vznikl </w:t>
      </w:r>
      <w:r w:rsidRPr="00D56151">
        <w:rPr>
          <w:b/>
          <w:bCs/>
          <w:szCs w:val="20"/>
        </w:rPr>
        <w:t>od 15. kalendářního dne</w:t>
      </w:r>
      <w:r w:rsidRPr="00D56151">
        <w:rPr>
          <w:bCs/>
          <w:szCs w:val="20"/>
        </w:rPr>
        <w:t xml:space="preserve"> trvání dočasné pracovní neschopnosti.</w:t>
      </w:r>
    </w:p>
    <w:p w14:paraId="47BA385D" w14:textId="77777777" w:rsidR="00956F7B" w:rsidRPr="00D56151" w:rsidRDefault="00956F7B" w:rsidP="00956F7B">
      <w:pPr>
        <w:pStyle w:val="Seznam"/>
        <w:numPr>
          <w:ilvl w:val="0"/>
          <w:numId w:val="25"/>
        </w:numPr>
        <w:spacing w:after="120"/>
        <w:contextualSpacing w:val="0"/>
        <w:jc w:val="both"/>
        <w:rPr>
          <w:bCs/>
          <w:szCs w:val="20"/>
        </w:rPr>
      </w:pPr>
      <w:r w:rsidRPr="00D56151">
        <w:rPr>
          <w:bCs/>
          <w:szCs w:val="20"/>
        </w:rPr>
        <w:t xml:space="preserve">Zvýšení nemocenského s účinností </w:t>
      </w:r>
      <w:r w:rsidRPr="00D56151">
        <w:rPr>
          <w:b/>
          <w:bCs/>
          <w:szCs w:val="20"/>
        </w:rPr>
        <w:t>od 1. ledna 2018</w:t>
      </w:r>
      <w:r w:rsidRPr="00D56151">
        <w:rPr>
          <w:bCs/>
          <w:szCs w:val="20"/>
        </w:rPr>
        <w:t xml:space="preserve">. </w:t>
      </w:r>
      <w:r w:rsidRPr="00D56151">
        <w:rPr>
          <w:b/>
          <w:bCs/>
          <w:szCs w:val="20"/>
        </w:rPr>
        <w:t>Od 31. kalendářního dne</w:t>
      </w:r>
      <w:r w:rsidRPr="00D56151">
        <w:rPr>
          <w:bCs/>
          <w:szCs w:val="20"/>
        </w:rPr>
        <w:t xml:space="preserve"> dočasné pracovní neschopnosti nebo karantény (dále jen „dočasná pracovní neschopnost“) </w:t>
      </w:r>
      <w:r w:rsidRPr="00D56151">
        <w:rPr>
          <w:b/>
          <w:bCs/>
          <w:szCs w:val="20"/>
        </w:rPr>
        <w:t>se zvýšila sazba</w:t>
      </w:r>
      <w:r w:rsidRPr="00D56151">
        <w:rPr>
          <w:bCs/>
          <w:szCs w:val="20"/>
        </w:rPr>
        <w:t xml:space="preserve"> z 60 % na </w:t>
      </w:r>
      <w:r w:rsidRPr="00D56151">
        <w:rPr>
          <w:b/>
          <w:bCs/>
          <w:szCs w:val="20"/>
        </w:rPr>
        <w:t xml:space="preserve">66 % redukovaného denního vyměřovacího základu </w:t>
      </w:r>
      <w:r w:rsidRPr="00D56151">
        <w:rPr>
          <w:bCs/>
          <w:szCs w:val="20"/>
        </w:rPr>
        <w:t xml:space="preserve">a dále </w:t>
      </w:r>
      <w:r w:rsidRPr="00D56151">
        <w:rPr>
          <w:b/>
          <w:bCs/>
          <w:szCs w:val="20"/>
        </w:rPr>
        <w:t>od 61. kalendářního dne</w:t>
      </w:r>
      <w:r w:rsidRPr="00D56151">
        <w:rPr>
          <w:bCs/>
          <w:szCs w:val="20"/>
        </w:rPr>
        <w:t xml:space="preserve"> dočasné pracovní neschopnosti </w:t>
      </w:r>
      <w:r w:rsidRPr="00D56151">
        <w:rPr>
          <w:b/>
          <w:bCs/>
          <w:szCs w:val="20"/>
        </w:rPr>
        <w:t>se zvýšila sazba</w:t>
      </w:r>
      <w:r w:rsidRPr="00D56151">
        <w:rPr>
          <w:bCs/>
          <w:szCs w:val="20"/>
        </w:rPr>
        <w:t xml:space="preserve"> z 60 % </w:t>
      </w:r>
      <w:r w:rsidRPr="00D56151">
        <w:rPr>
          <w:b/>
          <w:bCs/>
          <w:szCs w:val="20"/>
        </w:rPr>
        <w:t>na 72 %</w:t>
      </w:r>
      <w:r w:rsidRPr="00D56151">
        <w:rPr>
          <w:bCs/>
          <w:szCs w:val="20"/>
        </w:rPr>
        <w:t xml:space="preserve"> redukovaného denního vyměřovacího základu.</w:t>
      </w:r>
    </w:p>
    <w:p w14:paraId="4E1111AA" w14:textId="77777777" w:rsidR="00956F7B" w:rsidRPr="00D56151" w:rsidRDefault="00956F7B" w:rsidP="00956F7B">
      <w:pPr>
        <w:pStyle w:val="Seznam"/>
        <w:numPr>
          <w:ilvl w:val="0"/>
          <w:numId w:val="25"/>
        </w:numPr>
        <w:spacing w:after="120"/>
        <w:contextualSpacing w:val="0"/>
        <w:jc w:val="both"/>
        <w:rPr>
          <w:bCs/>
          <w:szCs w:val="20"/>
        </w:rPr>
      </w:pPr>
      <w:r w:rsidRPr="00D56151">
        <w:rPr>
          <w:rFonts w:cs="Arial"/>
          <w:szCs w:val="20"/>
        </w:rPr>
        <w:t xml:space="preserve">S účinností </w:t>
      </w:r>
      <w:r w:rsidRPr="00D56151">
        <w:rPr>
          <w:rFonts w:cs="Arial"/>
          <w:b/>
          <w:szCs w:val="20"/>
        </w:rPr>
        <w:t>od 1. července 2019</w:t>
      </w:r>
      <w:r w:rsidRPr="00D56151">
        <w:rPr>
          <w:rFonts w:cs="Arial"/>
          <w:szCs w:val="20"/>
        </w:rPr>
        <w:t xml:space="preserve"> byla </w:t>
      </w:r>
      <w:r w:rsidRPr="00D56151">
        <w:rPr>
          <w:rFonts w:cs="Arial"/>
          <w:b/>
          <w:szCs w:val="20"/>
        </w:rPr>
        <w:t>snížena sazba pojistného na nemocenské pojištění</w:t>
      </w:r>
      <w:r w:rsidRPr="00D56151">
        <w:rPr>
          <w:rFonts w:cs="Arial"/>
          <w:szCs w:val="20"/>
        </w:rPr>
        <w:t xml:space="preserve"> pro zaměstnavatele a OSVČ </w:t>
      </w:r>
      <w:r w:rsidRPr="00D56151">
        <w:t>z 2,3 %</w:t>
      </w:r>
      <w:r w:rsidRPr="00D56151">
        <w:rPr>
          <w:b/>
        </w:rPr>
        <w:t xml:space="preserve"> na 2,1 % z vyměřovacího základu</w:t>
      </w:r>
      <w:r w:rsidRPr="00D56151">
        <w:t xml:space="preserve"> (</w:t>
      </w:r>
      <w:r w:rsidRPr="00D56151">
        <w:rPr>
          <w:rFonts w:cs="Arial"/>
          <w:szCs w:val="20"/>
        </w:rPr>
        <w:t xml:space="preserve">zákon č. 32/2019 </w:t>
      </w:r>
      <w:r w:rsidRPr="00D56151">
        <w:rPr>
          <w:bCs/>
          <w:szCs w:val="20"/>
        </w:rPr>
        <w:t>Sb.).</w:t>
      </w:r>
    </w:p>
    <w:p w14:paraId="7FDF8457" w14:textId="77777777" w:rsidR="00956F7B" w:rsidRPr="00D56151" w:rsidRDefault="00956F7B" w:rsidP="00956F7B">
      <w:pPr>
        <w:pStyle w:val="Seznam"/>
        <w:numPr>
          <w:ilvl w:val="0"/>
          <w:numId w:val="25"/>
        </w:numPr>
        <w:spacing w:after="120"/>
        <w:contextualSpacing w:val="0"/>
        <w:jc w:val="both"/>
      </w:pPr>
      <w:r w:rsidRPr="00D56151">
        <w:rPr>
          <w:bCs/>
          <w:szCs w:val="20"/>
        </w:rPr>
        <w:t xml:space="preserve">S účinností </w:t>
      </w:r>
      <w:r w:rsidRPr="00D56151">
        <w:rPr>
          <w:b/>
          <w:bCs/>
          <w:szCs w:val="20"/>
        </w:rPr>
        <w:t>od 1. července</w:t>
      </w:r>
      <w:r w:rsidRPr="00D56151">
        <w:rPr>
          <w:bCs/>
          <w:szCs w:val="20"/>
        </w:rPr>
        <w:t xml:space="preserve"> </w:t>
      </w:r>
      <w:r w:rsidRPr="00D56151">
        <w:rPr>
          <w:b/>
          <w:bCs/>
          <w:szCs w:val="20"/>
        </w:rPr>
        <w:t>2019</w:t>
      </w:r>
      <w:r w:rsidRPr="00D56151">
        <w:rPr>
          <w:bCs/>
          <w:szCs w:val="20"/>
        </w:rPr>
        <w:t xml:space="preserve"> náleží náhrada mzdy, platu nebo odměny z dohody ve</w:t>
      </w:r>
      <w:r w:rsidRPr="00D56151">
        <w:rPr>
          <w:rFonts w:cs="Arial"/>
          <w:szCs w:val="20"/>
        </w:rPr>
        <w:t xml:space="preserve"> výši 60 % redukovaného průměrného výdělku </w:t>
      </w:r>
      <w:r w:rsidRPr="00D56151">
        <w:rPr>
          <w:rFonts w:cs="Arial"/>
          <w:b/>
          <w:szCs w:val="20"/>
        </w:rPr>
        <w:t>i za první tři dny</w:t>
      </w:r>
      <w:r w:rsidRPr="00D56151">
        <w:rPr>
          <w:rFonts w:cs="Arial"/>
          <w:szCs w:val="20"/>
        </w:rPr>
        <w:t xml:space="preserve"> dočasné pracovní neschopnosti (</w:t>
      </w:r>
      <w:r w:rsidRPr="00D56151">
        <w:rPr>
          <w:rFonts w:cs="Arial"/>
          <w:b/>
          <w:szCs w:val="20"/>
        </w:rPr>
        <w:t>zrušení karenční doby</w:t>
      </w:r>
      <w:r w:rsidRPr="00D56151">
        <w:rPr>
          <w:rFonts w:cs="Arial"/>
          <w:szCs w:val="20"/>
        </w:rPr>
        <w:t>).</w:t>
      </w:r>
    </w:p>
    <w:p w14:paraId="3CE4F8CA" w14:textId="77777777" w:rsidR="00956F7B" w:rsidRPr="00D56151" w:rsidRDefault="00956F7B" w:rsidP="00956F7B">
      <w:pPr>
        <w:pStyle w:val="Seznam"/>
        <w:spacing w:after="120"/>
        <w:ind w:left="420"/>
        <w:contextualSpacing w:val="0"/>
        <w:jc w:val="both"/>
        <w:rPr>
          <w:b/>
        </w:rPr>
      </w:pPr>
      <w:r w:rsidRPr="00D56151">
        <w:rPr>
          <w:b/>
        </w:rPr>
        <w:t>Změny v nemocenském pojištění s účinností od roku 2020</w:t>
      </w:r>
    </w:p>
    <w:p w14:paraId="37292889" w14:textId="77777777" w:rsidR="00956F7B" w:rsidRPr="00D56151" w:rsidRDefault="00956F7B" w:rsidP="00956F7B">
      <w:pPr>
        <w:pStyle w:val="Seznam"/>
        <w:numPr>
          <w:ilvl w:val="0"/>
          <w:numId w:val="25"/>
        </w:numPr>
        <w:spacing w:after="120"/>
        <w:contextualSpacing w:val="0"/>
        <w:jc w:val="both"/>
      </w:pPr>
      <w:r w:rsidRPr="00D56151">
        <w:t xml:space="preserve">Od </w:t>
      </w:r>
      <w:r w:rsidRPr="00D56151">
        <w:rPr>
          <w:b/>
        </w:rPr>
        <w:t>1. ledna 2020</w:t>
      </w:r>
      <w:r w:rsidRPr="00D56151">
        <w:t xml:space="preserve"> byl zahájen provoz povinného elektronického systému vykazování dočasné pracovní neschopnosti – tzv. </w:t>
      </w:r>
      <w:proofErr w:type="spellStart"/>
      <w:r w:rsidRPr="00D56151">
        <w:rPr>
          <w:b/>
        </w:rPr>
        <w:t>eNeschopenky</w:t>
      </w:r>
      <w:proofErr w:type="spellEnd"/>
      <w:r w:rsidRPr="00D56151">
        <w:t xml:space="preserve"> (zákon č. 187/2006 Sb., o nemocenském pojištění, ve znění zákona č. 259/2017 Sb. a zákona č. 164/2019 Sb.). </w:t>
      </w:r>
    </w:p>
    <w:p w14:paraId="4104F0BA" w14:textId="77777777" w:rsidR="00956F7B" w:rsidRPr="00D56151" w:rsidRDefault="00956F7B" w:rsidP="00956F7B">
      <w:pPr>
        <w:pStyle w:val="Seznam"/>
        <w:numPr>
          <w:ilvl w:val="0"/>
          <w:numId w:val="25"/>
        </w:numPr>
        <w:spacing w:after="120"/>
        <w:jc w:val="both"/>
      </w:pPr>
      <w:r w:rsidRPr="00D56151">
        <w:t xml:space="preserve">V reakci na epidemii onemocnění covid-19 a přijatá související opatření byly opakovaně upraveny podmínky pro poskytování ošetřovného, a to nejprve v období uzavření škol a dalších zařízení </w:t>
      </w:r>
      <w:r w:rsidRPr="00D56151">
        <w:rPr>
          <w:b/>
        </w:rPr>
        <w:t>od 11. března do 30. června 2020</w:t>
      </w:r>
      <w:r w:rsidRPr="00D56151">
        <w:t xml:space="preserve"> – tzv. </w:t>
      </w:r>
      <w:r w:rsidRPr="00D56151">
        <w:rPr>
          <w:b/>
        </w:rPr>
        <w:t>krizové ošetřovné.</w:t>
      </w:r>
      <w:r w:rsidRPr="00D56151">
        <w:t xml:space="preserve"> </w:t>
      </w:r>
    </w:p>
    <w:p w14:paraId="1CF29654" w14:textId="77777777" w:rsidR="00956F7B" w:rsidRPr="00D56151" w:rsidRDefault="00956F7B" w:rsidP="00956F7B">
      <w:pPr>
        <w:pStyle w:val="Seznam"/>
        <w:numPr>
          <w:ilvl w:val="1"/>
          <w:numId w:val="25"/>
        </w:numPr>
        <w:spacing w:after="120"/>
        <w:jc w:val="both"/>
      </w:pPr>
      <w:r w:rsidRPr="00D56151">
        <w:t>podpůrčí doba u ošetřovného trvala po celou dobu, po kterou trvalo uzavření zařízení nebo školy z důvodu mimořádného opatření při epidemii,</w:t>
      </w:r>
    </w:p>
    <w:p w14:paraId="217DE704" w14:textId="77777777" w:rsidR="00956F7B" w:rsidRPr="00D56151" w:rsidRDefault="00956F7B" w:rsidP="00956F7B">
      <w:pPr>
        <w:pStyle w:val="Seznam"/>
        <w:numPr>
          <w:ilvl w:val="1"/>
          <w:numId w:val="25"/>
        </w:numPr>
        <w:spacing w:after="120"/>
        <w:ind w:left="1497" w:hanging="357"/>
        <w:contextualSpacing w:val="0"/>
        <w:jc w:val="both"/>
      </w:pPr>
      <w:r w:rsidRPr="00D56151">
        <w:t>ošetřovné bylo vypláceno v období od 11. března do 31. března 2020 ve výši 60 % a v období od 1. dubna do 30. června 2020 ve výši 80 % denního vyměřovacího základu.</w:t>
      </w:r>
    </w:p>
    <w:p w14:paraId="76143767" w14:textId="77777777" w:rsidR="00956F7B" w:rsidRPr="00D56151" w:rsidRDefault="00956F7B" w:rsidP="00956F7B">
      <w:pPr>
        <w:pStyle w:val="Seznam"/>
        <w:numPr>
          <w:ilvl w:val="0"/>
          <w:numId w:val="25"/>
        </w:numPr>
        <w:spacing w:after="120"/>
        <w:jc w:val="both"/>
      </w:pPr>
      <w:r w:rsidRPr="00D56151">
        <w:t xml:space="preserve">Při tzv. druhé vlně epidemie onemocnění covid-19 bylo pro období </w:t>
      </w:r>
      <w:r w:rsidRPr="00D56151">
        <w:rPr>
          <w:b/>
        </w:rPr>
        <w:t>od</w:t>
      </w:r>
      <w:r w:rsidRPr="00D56151">
        <w:t xml:space="preserve"> </w:t>
      </w:r>
      <w:r w:rsidRPr="00D56151">
        <w:rPr>
          <w:b/>
        </w:rPr>
        <w:t>5. října 2020 do 31. prosince 2020</w:t>
      </w:r>
      <w:r w:rsidRPr="00D56151">
        <w:t xml:space="preserve"> znovu zavedeno </w:t>
      </w:r>
      <w:r w:rsidRPr="00D56151">
        <w:rPr>
          <w:b/>
        </w:rPr>
        <w:t>krizové ošetřovné.</w:t>
      </w:r>
      <w:r w:rsidRPr="00D56151">
        <w:t xml:space="preserve"> </w:t>
      </w:r>
    </w:p>
    <w:p w14:paraId="21244902" w14:textId="61E24BFD" w:rsidR="00956F7B" w:rsidRPr="00D56151" w:rsidRDefault="00956F7B" w:rsidP="00956F7B">
      <w:pPr>
        <w:pStyle w:val="Seznam"/>
        <w:numPr>
          <w:ilvl w:val="1"/>
          <w:numId w:val="25"/>
        </w:numPr>
        <w:spacing w:after="120"/>
        <w:jc w:val="both"/>
      </w:pPr>
      <w:r w:rsidRPr="00D56151">
        <w:t>ošetřovné bylo vypláceno v období od 5. října ve výši 70 % denního vyměřovacího základu</w:t>
      </w:r>
      <w:r w:rsidR="00EA74DB">
        <w:t>.</w:t>
      </w:r>
    </w:p>
    <w:p w14:paraId="1ADBD032" w14:textId="77777777" w:rsidR="00956F7B" w:rsidRPr="00956F7B" w:rsidRDefault="00956F7B" w:rsidP="00956F7B">
      <w:pPr>
        <w:pStyle w:val="Seznam"/>
        <w:spacing w:after="120"/>
        <w:ind w:left="720"/>
        <w:jc w:val="both"/>
        <w:rPr>
          <w:highlight w:val="yellow"/>
        </w:rPr>
      </w:pPr>
    </w:p>
    <w:p w14:paraId="7DCED1BF" w14:textId="77777777" w:rsidR="00956F7B" w:rsidRPr="00D56151" w:rsidRDefault="00956F7B" w:rsidP="00956F7B">
      <w:pPr>
        <w:pStyle w:val="Seznam"/>
        <w:spacing w:after="120"/>
        <w:ind w:left="420"/>
        <w:contextualSpacing w:val="0"/>
        <w:jc w:val="both"/>
        <w:rPr>
          <w:b/>
        </w:rPr>
      </w:pPr>
      <w:r w:rsidRPr="00D56151">
        <w:rPr>
          <w:b/>
        </w:rPr>
        <w:t>Změny v nemocenském pojištění s účinností od roku 2021</w:t>
      </w:r>
    </w:p>
    <w:p w14:paraId="02518673" w14:textId="77777777" w:rsidR="00956F7B" w:rsidRPr="00D56151" w:rsidRDefault="00956F7B" w:rsidP="006A65FC">
      <w:pPr>
        <w:pStyle w:val="Seznam"/>
        <w:numPr>
          <w:ilvl w:val="0"/>
          <w:numId w:val="25"/>
        </w:numPr>
        <w:spacing w:after="120"/>
        <w:jc w:val="both"/>
      </w:pPr>
      <w:r w:rsidRPr="00D56151">
        <w:t xml:space="preserve">V roce </w:t>
      </w:r>
      <w:r w:rsidRPr="00D56151">
        <w:rPr>
          <w:b/>
        </w:rPr>
        <w:t>2021</w:t>
      </w:r>
      <w:r w:rsidRPr="00D56151">
        <w:t xml:space="preserve"> došlo ke </w:t>
      </w:r>
      <w:r w:rsidRPr="00D56151">
        <w:rPr>
          <w:b/>
        </w:rPr>
        <w:t>zvýšení minimální výše sjednaného příjmu</w:t>
      </w:r>
      <w:r w:rsidRPr="00D56151">
        <w:t xml:space="preserve"> na částku 3 500 Kč (jedná se</w:t>
      </w:r>
    </w:p>
    <w:p w14:paraId="0C9F9936" w14:textId="549D0430" w:rsidR="00956F7B" w:rsidRPr="00D56151" w:rsidRDefault="00956F7B" w:rsidP="006A65FC">
      <w:pPr>
        <w:pStyle w:val="Seznam"/>
        <w:spacing w:after="120"/>
        <w:ind w:left="780"/>
        <w:contextualSpacing w:val="0"/>
        <w:jc w:val="both"/>
      </w:pPr>
      <w:r w:rsidRPr="00D56151">
        <w:t>o tzv. rozhodný příjem).</w:t>
      </w:r>
      <w:r w:rsidR="00D56151" w:rsidRPr="00D56151">
        <w:t xml:space="preserve"> Další zvýšení minimální výše sjednaného příjmu na 4 000 bylo od 1. 1. 2023.</w:t>
      </w:r>
    </w:p>
    <w:p w14:paraId="61C55F45" w14:textId="257DEEA4" w:rsidR="00956F7B" w:rsidRPr="00D56151" w:rsidRDefault="00956F7B" w:rsidP="00956F7B">
      <w:pPr>
        <w:pStyle w:val="Seznam"/>
        <w:numPr>
          <w:ilvl w:val="0"/>
          <w:numId w:val="25"/>
        </w:numPr>
        <w:spacing w:after="120"/>
        <w:jc w:val="both"/>
      </w:pPr>
      <w:r w:rsidRPr="00D56151">
        <w:t xml:space="preserve">V dubnu 2021 byl </w:t>
      </w:r>
      <w:r w:rsidRPr="00D56151">
        <w:rPr>
          <w:b/>
        </w:rPr>
        <w:t>dvakrát novelizován zákon</w:t>
      </w:r>
      <w:r w:rsidRPr="00D56151">
        <w:t xml:space="preserve"> </w:t>
      </w:r>
      <w:r w:rsidRPr="00D56151">
        <w:rPr>
          <w:b/>
        </w:rPr>
        <w:t>o úpravách poskytování ošetřovného v souvislosti s mimořádnými opatřeními při epidemii</w:t>
      </w:r>
      <w:r w:rsidRPr="00D56151">
        <w:t xml:space="preserve"> </w:t>
      </w:r>
      <w:r w:rsidRPr="00D56151">
        <w:rPr>
          <w:b/>
        </w:rPr>
        <w:t>a o změně zákona</w:t>
      </w:r>
      <w:r w:rsidRPr="00D56151">
        <w:t xml:space="preserve"> </w:t>
      </w:r>
      <w:r w:rsidRPr="00D56151">
        <w:rPr>
          <w:b/>
        </w:rPr>
        <w:t>o nemocenském pojištění</w:t>
      </w:r>
      <w:r w:rsidRPr="00D56151">
        <w:t xml:space="preserve">. Důvodem byla další vlna epidemie onemocnění covid-19, která v březnu 2021 znamenala další plošné uzavření škol. </w:t>
      </w:r>
    </w:p>
    <w:p w14:paraId="1BF2831F" w14:textId="2A1018A5" w:rsidR="00956F7B" w:rsidRPr="00D56151" w:rsidRDefault="00956F7B" w:rsidP="00956F7B">
      <w:pPr>
        <w:pStyle w:val="Seznam"/>
        <w:numPr>
          <w:ilvl w:val="1"/>
          <w:numId w:val="26"/>
        </w:numPr>
        <w:spacing w:after="120"/>
        <w:jc w:val="both"/>
      </w:pPr>
      <w:r w:rsidRPr="00D56151">
        <w:t>ošetřovné bylo vypláceno v období od 1. ledna do 28. února 2021 ve výši 70 % a v období od 1. března do 30. června 2021 ve výši 80 % denního vyměřovacího základu</w:t>
      </w:r>
      <w:r w:rsidR="00EA74DB">
        <w:t>.</w:t>
      </w:r>
    </w:p>
    <w:p w14:paraId="3C107E0F" w14:textId="77777777" w:rsidR="00956F7B" w:rsidRPr="00D56151" w:rsidRDefault="00956F7B" w:rsidP="00956F7B">
      <w:pPr>
        <w:pStyle w:val="Seznam"/>
        <w:spacing w:after="120"/>
        <w:jc w:val="both"/>
      </w:pPr>
    </w:p>
    <w:p w14:paraId="5FC0CEF4" w14:textId="77777777" w:rsidR="00956F7B" w:rsidRPr="00D56151" w:rsidRDefault="00956F7B" w:rsidP="00956F7B">
      <w:pPr>
        <w:pStyle w:val="Seznam"/>
        <w:numPr>
          <w:ilvl w:val="0"/>
          <w:numId w:val="25"/>
        </w:numPr>
        <w:spacing w:after="120"/>
        <w:jc w:val="both"/>
      </w:pPr>
      <w:r w:rsidRPr="00D56151">
        <w:t xml:space="preserve">Od 1. listopadu 2021, bylo zákonem </w:t>
      </w:r>
      <w:r w:rsidRPr="00D56151">
        <w:rPr>
          <w:b/>
        </w:rPr>
        <w:t>znovu zavedeno</w:t>
      </w:r>
      <w:r w:rsidRPr="00D56151">
        <w:t xml:space="preserve"> tzv. </w:t>
      </w:r>
      <w:r w:rsidRPr="00D56151">
        <w:rPr>
          <w:b/>
        </w:rPr>
        <w:t>krizové ošetřovné</w:t>
      </w:r>
      <w:r w:rsidRPr="00D56151">
        <w:t>.</w:t>
      </w:r>
      <w:r w:rsidRPr="00D56151">
        <w:rPr>
          <w:b/>
        </w:rPr>
        <w:t xml:space="preserve"> </w:t>
      </w:r>
      <w:r w:rsidRPr="00D56151">
        <w:t>Podmínky pro čerpání ošetřovného byly následující:</w:t>
      </w:r>
    </w:p>
    <w:p w14:paraId="0F081676" w14:textId="7F7AB3C0" w:rsidR="00956F7B" w:rsidRPr="00D56151" w:rsidRDefault="00956F7B" w:rsidP="00956F7B">
      <w:pPr>
        <w:pStyle w:val="Seznam"/>
        <w:numPr>
          <w:ilvl w:val="1"/>
          <w:numId w:val="25"/>
        </w:numPr>
        <w:spacing w:after="120"/>
        <w:jc w:val="both"/>
      </w:pPr>
      <w:r w:rsidRPr="00D56151">
        <w:t>ošetřovné bylo vypláceno v období od 1. listopadu (nejdéle do 28. února 2022) ve výši 80 % denního vyměřovacího základu</w:t>
      </w:r>
      <w:r w:rsidR="00EA74DB">
        <w:t>.</w:t>
      </w:r>
    </w:p>
    <w:p w14:paraId="5EB19D5E" w14:textId="77777777" w:rsidR="00956F7B" w:rsidRPr="00D56151" w:rsidRDefault="00956F7B" w:rsidP="00956F7B">
      <w:pPr>
        <w:pStyle w:val="Seznam"/>
        <w:spacing w:after="120"/>
        <w:jc w:val="both"/>
      </w:pPr>
      <w:r w:rsidRPr="00D56151">
        <w:t xml:space="preserve">  </w:t>
      </w:r>
    </w:p>
    <w:p w14:paraId="5EEF1589" w14:textId="2D48F6A6" w:rsidR="00956F7B" w:rsidRDefault="00956F7B" w:rsidP="00956F7B">
      <w:pPr>
        <w:pStyle w:val="Seznam"/>
        <w:spacing w:after="120"/>
        <w:jc w:val="both"/>
        <w:rPr>
          <w:rStyle w:val="Hypertextovodkaz"/>
        </w:rPr>
      </w:pPr>
      <w:r w:rsidRPr="00D56151">
        <w:t>Bližší informace ohledně legislativních změn v oblasti nemocenského pojištění na:</w:t>
      </w:r>
      <w:r w:rsidRPr="00D56151">
        <w:br/>
      </w:r>
      <w:hyperlink r:id="rId16" w:history="1">
        <w:r w:rsidRPr="00D56151">
          <w:rPr>
            <w:rStyle w:val="Hypertextovodkaz"/>
          </w:rPr>
          <w:t>https://www.mpsv.cz/documents/20142/225490/Anal%C3%BDza+NP_2022.pdf/cdd09219-aa75-cf4a-e039-5d65aafb28ab</w:t>
        </w:r>
      </w:hyperlink>
    </w:p>
    <w:p w14:paraId="26FA918D" w14:textId="77777777" w:rsidR="00925703" w:rsidRPr="0002086F" w:rsidRDefault="00925703" w:rsidP="00925703">
      <w:pPr>
        <w:pStyle w:val="Nadpis2"/>
      </w:pPr>
      <w:bookmarkStart w:id="15" w:name="_Toc136412146"/>
      <w:bookmarkStart w:id="16" w:name="_Toc167965221"/>
      <w:r w:rsidRPr="0002086F">
        <w:lastRenderedPageBreak/>
        <w:t>3. Metodika a zdroje dat</w:t>
      </w:r>
      <w:bookmarkEnd w:id="15"/>
      <w:bookmarkEnd w:id="16"/>
    </w:p>
    <w:p w14:paraId="75AEA224" w14:textId="77777777" w:rsidR="00925703" w:rsidRPr="00283AC5" w:rsidRDefault="00925703" w:rsidP="00925703">
      <w:pPr>
        <w:autoSpaceDE w:val="0"/>
        <w:autoSpaceDN w:val="0"/>
        <w:adjustRightInd w:val="0"/>
        <w:spacing w:after="120"/>
        <w:jc w:val="both"/>
        <w:rPr>
          <w:rFonts w:cs="Arial"/>
        </w:rPr>
      </w:pPr>
      <w:r w:rsidRPr="00283AC5">
        <w:rPr>
          <w:rFonts w:cs="Arial"/>
        </w:rPr>
        <w:t xml:space="preserve">Základní časové řady statistik dočasné pracovní neschopnosti pro nemoc a úraz v ČR jsou sledovány Českým statistickým úřadem (dále ČSÚ) již od roku 1963. Do roku 2011 byly statistické údaje o dočasné pracovní neschopnosti pro nemoc a úraz zjišťovány prostřednictvím státního statistického </w:t>
      </w:r>
      <w:r w:rsidRPr="00283AC5">
        <w:rPr>
          <w:rFonts w:cs="Arial"/>
          <w:b/>
        </w:rPr>
        <w:t xml:space="preserve">výkazu </w:t>
      </w:r>
      <w:proofErr w:type="spellStart"/>
      <w:r w:rsidRPr="00283AC5">
        <w:rPr>
          <w:rFonts w:cs="Arial"/>
          <w:b/>
        </w:rPr>
        <w:t>Nem</w:t>
      </w:r>
      <w:proofErr w:type="spellEnd"/>
      <w:r w:rsidRPr="00283AC5">
        <w:rPr>
          <w:rFonts w:cs="Arial"/>
          <w:b/>
        </w:rPr>
        <w:t xml:space="preserve"> </w:t>
      </w:r>
      <w:proofErr w:type="spellStart"/>
      <w:r w:rsidRPr="00283AC5">
        <w:rPr>
          <w:rFonts w:cs="Arial"/>
          <w:b/>
        </w:rPr>
        <w:t>Úr</w:t>
      </w:r>
      <w:proofErr w:type="spellEnd"/>
      <w:r w:rsidRPr="00283AC5">
        <w:rPr>
          <w:rFonts w:cs="Arial"/>
          <w:b/>
        </w:rPr>
        <w:t xml:space="preserve"> 1–02</w:t>
      </w:r>
      <w:r w:rsidRPr="00283AC5">
        <w:rPr>
          <w:rFonts w:cs="Arial"/>
        </w:rPr>
        <w:t xml:space="preserve">. V důsledku snižování administrativní náročnosti a zátěže zpravodajských jednotek byl Výkaz o pracovní neschopnosti pro nemoc a úraz </w:t>
      </w:r>
      <w:proofErr w:type="spellStart"/>
      <w:r w:rsidRPr="00283AC5">
        <w:rPr>
          <w:rFonts w:cs="Arial"/>
        </w:rPr>
        <w:t>Nem</w:t>
      </w:r>
      <w:proofErr w:type="spellEnd"/>
      <w:r w:rsidRPr="00283AC5">
        <w:rPr>
          <w:rFonts w:cs="Arial"/>
        </w:rPr>
        <w:t xml:space="preserve"> </w:t>
      </w:r>
      <w:proofErr w:type="spellStart"/>
      <w:r w:rsidRPr="00283AC5">
        <w:rPr>
          <w:rFonts w:cs="Arial"/>
        </w:rPr>
        <w:t>Úr</w:t>
      </w:r>
      <w:proofErr w:type="spellEnd"/>
      <w:r w:rsidRPr="00283AC5">
        <w:rPr>
          <w:rFonts w:cs="Arial"/>
        </w:rPr>
        <w:t xml:space="preserve"> 1–02 nahrazen údaji dostupnými z administrativních zdrojů. </w:t>
      </w:r>
    </w:p>
    <w:p w14:paraId="478F29B3" w14:textId="77777777" w:rsidR="00925703" w:rsidRPr="00283AC5" w:rsidRDefault="00925703" w:rsidP="00925703">
      <w:pPr>
        <w:autoSpaceDE w:val="0"/>
        <w:autoSpaceDN w:val="0"/>
        <w:adjustRightInd w:val="0"/>
        <w:spacing w:after="120"/>
        <w:jc w:val="both"/>
        <w:rPr>
          <w:rFonts w:cs="Arial"/>
        </w:rPr>
      </w:pPr>
      <w:r w:rsidRPr="00283AC5">
        <w:rPr>
          <w:rFonts w:cs="Arial"/>
          <w:b/>
        </w:rPr>
        <w:t>Počínaje rokem 2012</w:t>
      </w:r>
      <w:r w:rsidRPr="00283AC5">
        <w:rPr>
          <w:rFonts w:cs="Arial"/>
        </w:rPr>
        <w:t xml:space="preserve"> zajišťuje ČSÚ na základě smluvního ujednání s Ministerstvem práce a sociálních věcí (MPSV) a Českou správou sociálního zabezpečení (ČSSZ) údaje pro statistiku dočasné pracovní neschopnosti pro nemoc a úraz zpracováním dat z </w:t>
      </w:r>
      <w:r w:rsidRPr="00283AC5">
        <w:rPr>
          <w:rFonts w:cs="Arial"/>
          <w:b/>
        </w:rPr>
        <w:t>administrativního zdroje Informačního systému ČSSZ</w:t>
      </w:r>
      <w:r w:rsidRPr="00283AC5">
        <w:rPr>
          <w:rStyle w:val="Znakapoznpodarou"/>
          <w:rFonts w:cs="Arial"/>
          <w:b/>
        </w:rPr>
        <w:footnoteReference w:id="3"/>
      </w:r>
      <w:r w:rsidRPr="00283AC5">
        <w:rPr>
          <w:rFonts w:cs="Arial"/>
        </w:rPr>
        <w:t xml:space="preserve">. </w:t>
      </w:r>
    </w:p>
    <w:p w14:paraId="5A3FA426" w14:textId="77777777" w:rsidR="00925703" w:rsidRPr="00283AC5" w:rsidRDefault="00925703" w:rsidP="00925703">
      <w:pPr>
        <w:spacing w:after="120"/>
        <w:jc w:val="both"/>
      </w:pPr>
      <w:r w:rsidRPr="00283AC5">
        <w:t xml:space="preserve">Vstupním zdrojem a podkladem pro zpracování dat této publikace jsou údaje o dočasné pracovní neschopnosti pro nemoc a úraz nahlášené České správě sociálního zabezpečení prostřednictvím </w:t>
      </w:r>
      <w:r w:rsidRPr="00283AC5">
        <w:rPr>
          <w:b/>
        </w:rPr>
        <w:t>„Rozhodnutí o dočasné pracovní neschopnosti“</w:t>
      </w:r>
      <w:r w:rsidRPr="00283AC5">
        <w:t xml:space="preserve">, které elektronicky </w:t>
      </w:r>
      <w:r w:rsidRPr="00283AC5">
        <w:rPr>
          <w:b/>
        </w:rPr>
        <w:t>(tzv. „</w:t>
      </w:r>
      <w:proofErr w:type="spellStart"/>
      <w:r w:rsidRPr="00283AC5">
        <w:rPr>
          <w:b/>
        </w:rPr>
        <w:t>eNeschopenky</w:t>
      </w:r>
      <w:proofErr w:type="spellEnd"/>
      <w:r w:rsidRPr="00283AC5">
        <w:rPr>
          <w:b/>
        </w:rPr>
        <w:t xml:space="preserve">“) </w:t>
      </w:r>
      <w:r w:rsidRPr="00283AC5">
        <w:t>vystavuje ošetřující lékař. Používání elektronického systému pro vydávání neschopností je od 1. 1. 2020 povinné</w:t>
      </w:r>
      <w:r w:rsidRPr="00283AC5">
        <w:rPr>
          <w:rStyle w:val="Znakapoznpodarou"/>
        </w:rPr>
        <w:footnoteReference w:id="4"/>
      </w:r>
      <w:r w:rsidRPr="00283AC5">
        <w:t>.</w:t>
      </w:r>
    </w:p>
    <w:p w14:paraId="568923C4" w14:textId="77777777" w:rsidR="00925703" w:rsidRPr="00283AC5" w:rsidRDefault="00925703" w:rsidP="00925703">
      <w:pPr>
        <w:spacing w:after="120"/>
        <w:jc w:val="both"/>
      </w:pPr>
      <w:r w:rsidRPr="00283AC5">
        <w:t xml:space="preserve">Díky evidenci jsou zaznamenána veškerá onemocnění a úrazy, které zapříčinily alespoň jednodenní pracovní neschopnost u </w:t>
      </w:r>
      <w:proofErr w:type="spellStart"/>
      <w:r w:rsidRPr="00283AC5">
        <w:t>nemocensky</w:t>
      </w:r>
      <w:proofErr w:type="spellEnd"/>
      <w:r w:rsidRPr="00283AC5">
        <w:t xml:space="preserve"> pojištěných osob. Administrativní data Informačního systému ČSSZ obsahují údaje za všechny zaměstnance</w:t>
      </w:r>
      <w:r w:rsidRPr="00283AC5">
        <w:rPr>
          <w:rStyle w:val="Znakapoznpodarou"/>
        </w:rPr>
        <w:footnoteReference w:id="5"/>
      </w:r>
      <w:r w:rsidRPr="00283AC5">
        <w:t>, ať již zaměstnané právnickou či fyzickou osobou, i data za osoby samostatně výdělečně činné (OSVČ). Zaměstnanci jsou povinně účastni nemocenského pojištění, na rozdíl od OSVČ, jejichž nemocenské pojištění je dobrovolné.</w:t>
      </w:r>
    </w:p>
    <w:p w14:paraId="662DE780" w14:textId="77777777" w:rsidR="00925703" w:rsidRPr="00283AC5" w:rsidRDefault="00925703" w:rsidP="00925703">
      <w:pPr>
        <w:autoSpaceDE w:val="0"/>
        <w:autoSpaceDN w:val="0"/>
        <w:adjustRightInd w:val="0"/>
        <w:spacing w:after="120"/>
        <w:jc w:val="both"/>
        <w:rPr>
          <w:rFonts w:cs="Arial"/>
        </w:rPr>
      </w:pPr>
      <w:r w:rsidRPr="00283AC5">
        <w:rPr>
          <w:rFonts w:cs="Arial"/>
        </w:rPr>
        <w:t xml:space="preserve">ČSSZ za účelem zajištění statistiky dočasné pracovní neschopnosti pro nemoc a úraz poskytuje ČSÚ </w:t>
      </w:r>
      <w:r w:rsidRPr="00283AC5">
        <w:rPr>
          <w:rFonts w:cs="Arial"/>
          <w:b/>
        </w:rPr>
        <w:t xml:space="preserve">datové soubory administrativních </w:t>
      </w:r>
      <w:r w:rsidRPr="00283AC5">
        <w:rPr>
          <w:rFonts w:cs="Arial"/>
        </w:rPr>
        <w:t>agregovaných</w:t>
      </w:r>
      <w:r w:rsidRPr="00283AC5">
        <w:rPr>
          <w:rFonts w:cs="Arial"/>
          <w:b/>
        </w:rPr>
        <w:t xml:space="preserve"> dat o nově hlášených případech</w:t>
      </w:r>
      <w:r w:rsidRPr="00283AC5">
        <w:rPr>
          <w:rFonts w:cs="Arial"/>
        </w:rPr>
        <w:t xml:space="preserve"> dočasné pracovní neschopnosti zaměstnanců a OSVČ, které jsou na ČSÚ dále zpracovány a doplněny s využitím informací z Registru ekonomických subjektů.</w:t>
      </w:r>
    </w:p>
    <w:p w14:paraId="0A16F66A" w14:textId="77777777" w:rsidR="00925703" w:rsidRPr="00283AC5" w:rsidRDefault="00925703" w:rsidP="00925703">
      <w:pPr>
        <w:pStyle w:val="Seznam"/>
        <w:spacing w:after="60"/>
        <w:contextualSpacing w:val="0"/>
        <w:jc w:val="both"/>
      </w:pPr>
      <w:r w:rsidRPr="00283AC5">
        <w:t xml:space="preserve">Výstupem zpracování dat Českým statistickým úřadem jsou následující statistické </w:t>
      </w:r>
      <w:r w:rsidRPr="00283AC5">
        <w:rPr>
          <w:b/>
        </w:rPr>
        <w:t>ukazatele</w:t>
      </w:r>
      <w:r w:rsidRPr="00283AC5">
        <w:t>:</w:t>
      </w:r>
    </w:p>
    <w:p w14:paraId="2DF7FCFA" w14:textId="77777777" w:rsidR="00925703" w:rsidRPr="00283AC5" w:rsidRDefault="00925703" w:rsidP="00925703">
      <w:pPr>
        <w:pStyle w:val="Seznam"/>
        <w:numPr>
          <w:ilvl w:val="0"/>
          <w:numId w:val="27"/>
        </w:numPr>
        <w:spacing w:after="120"/>
        <w:ind w:left="714" w:hanging="357"/>
        <w:contextualSpacing w:val="0"/>
        <w:jc w:val="both"/>
        <w:rPr>
          <w:i/>
        </w:rPr>
      </w:pPr>
      <w:r w:rsidRPr="00283AC5">
        <w:rPr>
          <w:b/>
        </w:rPr>
        <w:t xml:space="preserve">Průměrný počet </w:t>
      </w:r>
      <w:proofErr w:type="spellStart"/>
      <w:r w:rsidRPr="00283AC5">
        <w:rPr>
          <w:b/>
        </w:rPr>
        <w:t>nemocensky</w:t>
      </w:r>
      <w:proofErr w:type="spellEnd"/>
      <w:r w:rsidRPr="00283AC5">
        <w:rPr>
          <w:b/>
        </w:rPr>
        <w:t xml:space="preserve"> pojištěných osob</w:t>
      </w:r>
      <w:r w:rsidRPr="00283AC5">
        <w:t xml:space="preserve"> – ukazatel udává průměrný počet osob, které jsou povinně či dobrovolně </w:t>
      </w:r>
      <w:proofErr w:type="spellStart"/>
      <w:r w:rsidRPr="00283AC5">
        <w:t>nemocensky</w:t>
      </w:r>
      <w:proofErr w:type="spellEnd"/>
      <w:r w:rsidRPr="00283AC5">
        <w:t xml:space="preserve"> pojištěné podle zákona o nemocenském pojištění. Zahrnuje všechny osoby, které byly alespoň po jeden den vykazovaného období </w:t>
      </w:r>
      <w:proofErr w:type="spellStart"/>
      <w:r w:rsidRPr="00283AC5">
        <w:t>nemocensky</w:t>
      </w:r>
      <w:proofErr w:type="spellEnd"/>
      <w:r w:rsidRPr="00283AC5">
        <w:t xml:space="preserve"> pojištěné. V případě více překrývajících se pojistných vztahů pojištěnce v rámci jednoho zaměstnavatele a jedné mzdové účtárny se započítává pojištěnec pouze jedenkrát. V ostatních případech je pojištěnec započítáván tolikrát, kolik má pracovněprávních pojistných vztahů. </w:t>
      </w:r>
      <w:r w:rsidRPr="00283AC5">
        <w:rPr>
          <w:i/>
        </w:rPr>
        <w:t xml:space="preserve">Do průměrného počtu </w:t>
      </w:r>
      <w:proofErr w:type="spellStart"/>
      <w:r w:rsidRPr="00283AC5">
        <w:rPr>
          <w:i/>
        </w:rPr>
        <w:t>nemocensky</w:t>
      </w:r>
      <w:proofErr w:type="spellEnd"/>
      <w:r w:rsidRPr="00283AC5">
        <w:rPr>
          <w:i/>
        </w:rPr>
        <w:t xml:space="preserve"> pojištěných nejsou započteni vojáci z povolání a příslušníci Policie ČR, Hasičského záchranného sboru ČR, Celní správy ČR, Vězeňské služby ČR, Generální inspekce bezpečnostních sborů, Bezpečnostní informační služby a Úřadu pro zahraniční styky a informace.</w:t>
      </w:r>
    </w:p>
    <w:p w14:paraId="1DB0CCB4" w14:textId="77777777" w:rsidR="00925703" w:rsidRPr="00283AC5" w:rsidRDefault="00925703" w:rsidP="00925703">
      <w:pPr>
        <w:pStyle w:val="Seznam"/>
        <w:numPr>
          <w:ilvl w:val="0"/>
          <w:numId w:val="27"/>
        </w:numPr>
        <w:spacing w:after="120"/>
        <w:ind w:left="714" w:hanging="357"/>
        <w:contextualSpacing w:val="0"/>
        <w:jc w:val="both"/>
      </w:pPr>
      <w:r w:rsidRPr="00283AC5">
        <w:rPr>
          <w:b/>
        </w:rPr>
        <w:lastRenderedPageBreak/>
        <w:t xml:space="preserve">Průměrný počet </w:t>
      </w:r>
      <w:proofErr w:type="spellStart"/>
      <w:r w:rsidRPr="00283AC5">
        <w:rPr>
          <w:b/>
        </w:rPr>
        <w:t>nemocensky</w:t>
      </w:r>
      <w:proofErr w:type="spellEnd"/>
      <w:r w:rsidRPr="00283AC5">
        <w:rPr>
          <w:b/>
        </w:rPr>
        <w:t xml:space="preserve"> pojištěných mladistvých</w:t>
      </w:r>
      <w:r w:rsidRPr="00283AC5">
        <w:t xml:space="preserve"> – ukazatel udává průměrný počet </w:t>
      </w:r>
      <w:proofErr w:type="spellStart"/>
      <w:r w:rsidRPr="00283AC5">
        <w:t>nemocensky</w:t>
      </w:r>
      <w:proofErr w:type="spellEnd"/>
      <w:r w:rsidRPr="00283AC5">
        <w:t xml:space="preserve"> pojištěných osob mladších 18 let (viz § 350 odst. 2 zákona č. 262/2006 Sb., zákoník práce, ve znění pozdějších předpisů).</w:t>
      </w:r>
    </w:p>
    <w:p w14:paraId="22A9CC9D" w14:textId="77777777" w:rsidR="00925703" w:rsidRPr="00283AC5" w:rsidRDefault="00925703" w:rsidP="00925703">
      <w:pPr>
        <w:pStyle w:val="Seznam"/>
        <w:numPr>
          <w:ilvl w:val="0"/>
          <w:numId w:val="27"/>
        </w:numPr>
        <w:spacing w:after="120"/>
        <w:ind w:left="714" w:hanging="357"/>
        <w:contextualSpacing w:val="0"/>
        <w:jc w:val="both"/>
      </w:pPr>
      <w:r w:rsidRPr="00283AC5">
        <w:rPr>
          <w:b/>
        </w:rPr>
        <w:t>Počet pracovněprávních pojistných vztahů</w:t>
      </w:r>
      <w:r w:rsidRPr="00283AC5">
        <w:t xml:space="preserve"> – </w:t>
      </w:r>
      <w:r w:rsidRPr="00283AC5">
        <w:rPr>
          <w:rFonts w:cs="Arial"/>
          <w:szCs w:val="20"/>
        </w:rPr>
        <w:t xml:space="preserve">ukazatel udává celkový počet pojistných vztahů </w:t>
      </w:r>
      <w:proofErr w:type="spellStart"/>
      <w:r w:rsidRPr="00283AC5">
        <w:rPr>
          <w:rFonts w:cs="Arial"/>
          <w:szCs w:val="20"/>
        </w:rPr>
        <w:t>nemocensky</w:t>
      </w:r>
      <w:proofErr w:type="spellEnd"/>
      <w:r w:rsidRPr="00283AC5">
        <w:rPr>
          <w:rFonts w:cs="Arial"/>
          <w:szCs w:val="20"/>
        </w:rPr>
        <w:t xml:space="preserve"> pojištěných osob, které byly alespoň 1 den vykazovaného období </w:t>
      </w:r>
      <w:proofErr w:type="spellStart"/>
      <w:r w:rsidRPr="00283AC5">
        <w:rPr>
          <w:rFonts w:cs="Arial"/>
          <w:szCs w:val="20"/>
        </w:rPr>
        <w:t>nemocensky</w:t>
      </w:r>
      <w:proofErr w:type="spellEnd"/>
      <w:r w:rsidRPr="00283AC5">
        <w:rPr>
          <w:rFonts w:cs="Arial"/>
          <w:szCs w:val="20"/>
        </w:rPr>
        <w:t xml:space="preserve"> pojištěné u daného zaměstnavatele. U zaměstnanců právnických osob a zaměstnanců fyzických osob se započítávají pojistné vztahy všech zaměstnanců </w:t>
      </w:r>
      <w:proofErr w:type="spellStart"/>
      <w:r w:rsidRPr="00283AC5">
        <w:rPr>
          <w:rFonts w:cs="Arial"/>
          <w:szCs w:val="20"/>
        </w:rPr>
        <w:t>nemocensky</w:t>
      </w:r>
      <w:proofErr w:type="spellEnd"/>
      <w:r w:rsidRPr="00283AC5">
        <w:rPr>
          <w:rFonts w:cs="Arial"/>
          <w:szCs w:val="20"/>
        </w:rPr>
        <w:t xml:space="preserve"> pojištěných dle § 5 zákona o nemocenském pojištění a účastných pojištění dle § 6 až 10 tohoto zákona (zahrnuje i osoby pobírající dávku ošetřovné, peněžitá pomoc v mateřství, rodičovský příspěvek a vyrovnávací příspěvek v těhotenství a mateřství a osoby vykonávající zaměstnání malého rozsahu). V případě více pojistných vztahů jedné osoby na dané mzdové účtárně se započtou všechny takové pojistné vztahy. Pokud se však pojistné vztahy shodného druhu jedné osoby u jednoho zaměstnavatele překrývají nebo navazují bez mezery, je jejich sjednocení považováno za jeden pojistný vztah.</w:t>
      </w:r>
    </w:p>
    <w:p w14:paraId="671B77DA" w14:textId="77777777" w:rsidR="00925703" w:rsidRPr="00283AC5" w:rsidRDefault="00925703" w:rsidP="00925703">
      <w:pPr>
        <w:pStyle w:val="Seznam"/>
        <w:numPr>
          <w:ilvl w:val="0"/>
          <w:numId w:val="27"/>
        </w:numPr>
        <w:spacing w:after="120"/>
        <w:ind w:left="714" w:hanging="357"/>
        <w:contextualSpacing w:val="0"/>
        <w:jc w:val="both"/>
      </w:pPr>
      <w:r w:rsidRPr="00283AC5">
        <w:rPr>
          <w:b/>
        </w:rPr>
        <w:t>Počet nově hlášených případů dočasné pracovní neschopnosti</w:t>
      </w:r>
      <w:r w:rsidRPr="00283AC5">
        <w:t xml:space="preserve"> – ukazatel zahrnuje nově hlášené případy pracovní neschopnosti vzniklé ve sledovaném období (roce) na základě hlášení o vzniku pracovní neschopnosti </w:t>
      </w:r>
      <w:proofErr w:type="spellStart"/>
      <w:r w:rsidRPr="00283AC5">
        <w:t>nemocensky</w:t>
      </w:r>
      <w:proofErr w:type="spellEnd"/>
      <w:r w:rsidRPr="00283AC5">
        <w:t xml:space="preserve"> pojištěných osob. Do počtu případů patří i pracovní neschopnost vzniklá po zániku pojištění v tzv. ochranné lhůtě sedmi kalendářních dnů.</w:t>
      </w:r>
    </w:p>
    <w:p w14:paraId="23D1D7B7" w14:textId="77777777" w:rsidR="00925703" w:rsidRPr="00283AC5" w:rsidRDefault="00925703" w:rsidP="00925703">
      <w:pPr>
        <w:pStyle w:val="Seznam"/>
        <w:numPr>
          <w:ilvl w:val="0"/>
          <w:numId w:val="27"/>
        </w:numPr>
        <w:spacing w:after="120"/>
        <w:ind w:left="714" w:hanging="357"/>
        <w:contextualSpacing w:val="0"/>
        <w:jc w:val="both"/>
        <w:rPr>
          <w:spacing w:val="-2"/>
        </w:rPr>
      </w:pPr>
      <w:r w:rsidRPr="00283AC5">
        <w:rPr>
          <w:b/>
        </w:rPr>
        <w:t xml:space="preserve">Počet případů pracovní neschopnosti na 100 pojištěnců </w:t>
      </w:r>
      <w:r w:rsidRPr="00283AC5">
        <w:t xml:space="preserve">– </w:t>
      </w:r>
      <w:r w:rsidRPr="00283AC5">
        <w:rPr>
          <w:spacing w:val="-2"/>
        </w:rPr>
        <w:t xml:space="preserve">ukazatel vyjadřuje počet nově hlášených případů pracovní neschopnosti, které připadají v průměru na 100 </w:t>
      </w:r>
      <w:proofErr w:type="spellStart"/>
      <w:r w:rsidRPr="00283AC5">
        <w:rPr>
          <w:spacing w:val="-2"/>
        </w:rPr>
        <w:t>nemocensky</w:t>
      </w:r>
      <w:proofErr w:type="spellEnd"/>
      <w:r w:rsidRPr="00283AC5">
        <w:rPr>
          <w:spacing w:val="-2"/>
        </w:rPr>
        <w:t xml:space="preserve"> pojištěných osob.</w:t>
      </w:r>
    </w:p>
    <w:p w14:paraId="444D4213" w14:textId="77777777" w:rsidR="00925703" w:rsidRPr="00283AC5" w:rsidRDefault="00925703" w:rsidP="00925703">
      <w:pPr>
        <w:pStyle w:val="Seznam"/>
        <w:numPr>
          <w:ilvl w:val="0"/>
          <w:numId w:val="27"/>
        </w:numPr>
        <w:spacing w:after="120"/>
        <w:ind w:left="714" w:hanging="357"/>
        <w:contextualSpacing w:val="0"/>
        <w:jc w:val="both"/>
      </w:pPr>
      <w:r w:rsidRPr="00283AC5">
        <w:rPr>
          <w:b/>
        </w:rPr>
        <w:t>Počet kalendářních dnů dočasné pracovní neschopnosti</w:t>
      </w:r>
      <w:r w:rsidRPr="00283AC5">
        <w:t xml:space="preserve"> – ukazatel udává celkový počet kalendářních dnů, po které byli v daném období (roce) </w:t>
      </w:r>
      <w:proofErr w:type="spellStart"/>
      <w:r w:rsidRPr="00283AC5">
        <w:t>nemocensky</w:t>
      </w:r>
      <w:proofErr w:type="spellEnd"/>
      <w:r w:rsidRPr="00283AC5">
        <w:t xml:space="preserve"> pojištění práce neschopni. Počet kalendářních dnů strávených v pracovní neschopnosti je zjišťován na základě hlášení o vzniku a ukončení pracovní neschopnosti. Údaj zahrnuje dny pracovní neschopnosti vč. dnů u těch případů, které vznikly před sledovaným obdobím, přičemž v počtu nově hlášených případů dočasné pracovní neschopnosti za toto období zařazeny nejsou. Maximální doba zápočtu je délka sledovaného období (365 resp. 366 dnů) bez ohledu na délku trvání pracovní neschopnosti daného případu. Do počtu kalendářních dnů pracovní neschopnosti patří i dny v pracovní neschopnosti, která vznikla po zániku pojištění v tzv. ochranné lhůtě sedmi kalendářních dnů.</w:t>
      </w:r>
    </w:p>
    <w:p w14:paraId="62ECAE63" w14:textId="5CE5A6CF" w:rsidR="00925703" w:rsidRPr="00283AC5" w:rsidRDefault="00925703" w:rsidP="00925703">
      <w:pPr>
        <w:pStyle w:val="Seznam"/>
        <w:numPr>
          <w:ilvl w:val="0"/>
          <w:numId w:val="27"/>
        </w:numPr>
        <w:spacing w:after="120"/>
        <w:ind w:left="714" w:hanging="357"/>
        <w:contextualSpacing w:val="0"/>
        <w:jc w:val="both"/>
      </w:pPr>
      <w:r w:rsidRPr="00283AC5">
        <w:rPr>
          <w:b/>
        </w:rPr>
        <w:t>Průměrná délka trvání pracovní neschopnosti ve dnech</w:t>
      </w:r>
      <w:r w:rsidRPr="00283AC5">
        <w:t xml:space="preserve"> – ukazatel vyjadřuje, kolik kalendářních dnů pracovní neschopnosti v průměru připadá na jeden nově hlášený případ pracovní neschopnosti.</w:t>
      </w:r>
      <w:r w:rsidR="00F1150C">
        <w:t xml:space="preserve"> </w:t>
      </w:r>
      <w:r w:rsidR="00F1150C" w:rsidRPr="009369EC">
        <w:t>Ukazatel je též nazýván</w:t>
      </w:r>
      <w:r w:rsidR="00F1150C" w:rsidRPr="009369EC">
        <w:rPr>
          <w:b/>
        </w:rPr>
        <w:t xml:space="preserve"> Počet kalendářních dnů pracovní neschopnosti na 1 nově hlášený případ.</w:t>
      </w:r>
      <w:r w:rsidR="00F1150C">
        <w:t xml:space="preserve"> </w:t>
      </w:r>
      <w:r w:rsidRPr="00283AC5">
        <w:t>Nově hlášený případ musí být vzniklý ve sledovaném období, kdežto do dnů pracovní neschopnosti (maximálně v délce sledovaného období, 365 resp. 366 dnů) se započítávají i dny z případů PN, které mohly vzniknout již v předchozím období, ale byly ukončeny či nadále trvají v průběhu sledovaného období.</w:t>
      </w:r>
    </w:p>
    <w:p w14:paraId="2CEB03DA" w14:textId="77777777" w:rsidR="00925703" w:rsidRPr="00283AC5" w:rsidRDefault="00925703" w:rsidP="00925703">
      <w:pPr>
        <w:pStyle w:val="Seznam"/>
        <w:numPr>
          <w:ilvl w:val="0"/>
          <w:numId w:val="27"/>
        </w:numPr>
        <w:spacing w:after="120"/>
        <w:ind w:left="714" w:hanging="357"/>
        <w:contextualSpacing w:val="0"/>
        <w:jc w:val="both"/>
        <w:rPr>
          <w:spacing w:val="-2"/>
        </w:rPr>
      </w:pPr>
      <w:r w:rsidRPr="00283AC5">
        <w:rPr>
          <w:b/>
        </w:rPr>
        <w:t xml:space="preserve">Průměrné procento dočasné pracovní neschopnosti </w:t>
      </w:r>
      <w:r w:rsidRPr="00283AC5">
        <w:t xml:space="preserve">– </w:t>
      </w:r>
      <w:r w:rsidRPr="00283AC5">
        <w:rPr>
          <w:spacing w:val="-2"/>
        </w:rPr>
        <w:t xml:space="preserve">ukazatel udává, kolik ze 100 </w:t>
      </w:r>
      <w:proofErr w:type="spellStart"/>
      <w:r w:rsidRPr="00283AC5">
        <w:rPr>
          <w:spacing w:val="-2"/>
        </w:rPr>
        <w:t>nemocensky</w:t>
      </w:r>
      <w:proofErr w:type="spellEnd"/>
      <w:r w:rsidRPr="00283AC5">
        <w:rPr>
          <w:spacing w:val="-2"/>
        </w:rPr>
        <w:t xml:space="preserve"> pojištěných osob je průměrně každý den v pracovní neschopnosti pro nemoc či úraz. Zohledňuje jak celkový počet případů pracovní neschopnosti (jak často lidé do pracovní neschopnosti nastupují), tak i průměrné trvání jednoho případu pracovní neschopnosti (jak dlouho v pracovní neschopnosti zůstávají).</w:t>
      </w:r>
    </w:p>
    <w:p w14:paraId="4EFF8DA6" w14:textId="77777777" w:rsidR="00925703" w:rsidRPr="00283AC5" w:rsidRDefault="00925703" w:rsidP="00925703">
      <w:pPr>
        <w:pStyle w:val="Seznam"/>
        <w:numPr>
          <w:ilvl w:val="0"/>
          <w:numId w:val="27"/>
        </w:numPr>
        <w:spacing w:after="120"/>
        <w:ind w:left="714" w:hanging="357"/>
        <w:contextualSpacing w:val="0"/>
        <w:jc w:val="both"/>
      </w:pPr>
      <w:r w:rsidRPr="00283AC5">
        <w:rPr>
          <w:b/>
        </w:rPr>
        <w:t xml:space="preserve">Průměrný denní stav dočasně práce neschopných </w:t>
      </w:r>
      <w:r w:rsidRPr="00283AC5">
        <w:t xml:space="preserve">– ukazatel vyjadřuje počet </w:t>
      </w:r>
      <w:proofErr w:type="spellStart"/>
      <w:r w:rsidRPr="00283AC5">
        <w:t>nemocensky</w:t>
      </w:r>
      <w:proofErr w:type="spellEnd"/>
      <w:r w:rsidRPr="00283AC5">
        <w:t xml:space="preserve"> pojištěných, kteří byli ve sledovaném období (roce) průměrně denně nepřítomni v práci z důvodu pracovní neschopnosti.</w:t>
      </w:r>
    </w:p>
    <w:p w14:paraId="3CE9EFC6" w14:textId="77777777" w:rsidR="00925703" w:rsidRPr="00283AC5" w:rsidRDefault="00925703" w:rsidP="00925703">
      <w:pPr>
        <w:pStyle w:val="Seznam"/>
        <w:numPr>
          <w:ilvl w:val="0"/>
          <w:numId w:val="27"/>
        </w:numPr>
        <w:spacing w:after="120"/>
        <w:ind w:left="714" w:hanging="357"/>
        <w:contextualSpacing w:val="0"/>
        <w:jc w:val="both"/>
      </w:pPr>
      <w:r w:rsidRPr="00283AC5">
        <w:rPr>
          <w:b/>
        </w:rPr>
        <w:t xml:space="preserve">Pracovní úrazy s pracovní neschopností delší než 3 dny </w:t>
      </w:r>
      <w:r w:rsidRPr="00283AC5">
        <w:t>– ukazatel zahrnuje případy pracovních úrazů, které měly za následek pracovní neschopnost delší než tři kalendářní dny. Do těchto tří dnů se nezapočítává den, ve kterém k úrazu došlo.</w:t>
      </w:r>
    </w:p>
    <w:p w14:paraId="75A049EE" w14:textId="7B16B1B8" w:rsidR="00925703" w:rsidRPr="00283AC5" w:rsidRDefault="00925703" w:rsidP="00925703">
      <w:pPr>
        <w:spacing w:after="120"/>
        <w:jc w:val="both"/>
      </w:pPr>
      <w:r w:rsidRPr="00283AC5">
        <w:rPr>
          <w:rFonts w:cs="Arial"/>
        </w:rPr>
        <w:lastRenderedPageBreak/>
        <w:t xml:space="preserve">Data o nově hlášených případech dočasné pracovní neschopnosti a související ukazatele ČSÚ zpracovává v členění podle </w:t>
      </w:r>
      <w:r w:rsidRPr="00283AC5">
        <w:rPr>
          <w:rFonts w:cs="Arial"/>
          <w:b/>
        </w:rPr>
        <w:t>pohlaví pojištěnců</w:t>
      </w:r>
      <w:r w:rsidR="003C7F33">
        <w:rPr>
          <w:rFonts w:cs="Arial"/>
        </w:rPr>
        <w:t xml:space="preserve">, </w:t>
      </w:r>
      <w:r w:rsidRPr="00283AC5">
        <w:rPr>
          <w:rFonts w:cs="Arial"/>
          <w:b/>
        </w:rPr>
        <w:t>velikosti podniku</w:t>
      </w:r>
      <w:r w:rsidRPr="00283AC5">
        <w:rPr>
          <w:rFonts w:cs="Arial"/>
        </w:rPr>
        <w:t xml:space="preserve"> (dle počtu zaměstnanců),</w:t>
      </w:r>
      <w:r w:rsidRPr="00283AC5">
        <w:rPr>
          <w:rFonts w:cs="Arial"/>
          <w:b/>
        </w:rPr>
        <w:t xml:space="preserve"> odvětví </w:t>
      </w:r>
      <w:r w:rsidRPr="00283AC5">
        <w:rPr>
          <w:rFonts w:cs="Arial"/>
        </w:rPr>
        <w:t>(do úrovně odvětvových sekcí a oddílů podle převažující ekonomické činnosti definované dle klasifikace CZ-NACE) a</w:t>
      </w:r>
      <w:r w:rsidR="003C7F33">
        <w:rPr>
          <w:rFonts w:cs="Arial"/>
        </w:rPr>
        <w:t> </w:t>
      </w:r>
      <w:r w:rsidRPr="00283AC5">
        <w:rPr>
          <w:rFonts w:cs="Arial"/>
          <w:b/>
        </w:rPr>
        <w:t>sektoru</w:t>
      </w:r>
      <w:r w:rsidRPr="00283AC5">
        <w:rPr>
          <w:rFonts w:cs="Arial"/>
        </w:rPr>
        <w:t xml:space="preserve"> </w:t>
      </w:r>
      <w:r w:rsidRPr="00283AC5">
        <w:rPr>
          <w:rFonts w:cs="Arial"/>
          <w:b/>
        </w:rPr>
        <w:t>zaměstnavatele</w:t>
      </w:r>
      <w:r w:rsidRPr="00283AC5">
        <w:rPr>
          <w:rFonts w:cs="Arial"/>
        </w:rPr>
        <w:t xml:space="preserve"> (dle k</w:t>
      </w:r>
      <w:r w:rsidRPr="00283AC5">
        <w:t>lasifikace</w:t>
      </w:r>
      <w:r w:rsidRPr="00283AC5">
        <w:rPr>
          <w:b/>
        </w:rPr>
        <w:t xml:space="preserve"> </w:t>
      </w:r>
      <w:r w:rsidRPr="00283AC5">
        <w:t>institucionálních sektorů)</w:t>
      </w:r>
      <w:r w:rsidRPr="00283AC5">
        <w:rPr>
          <w:rStyle w:val="Znakapoznpodarou"/>
        </w:rPr>
        <w:footnoteReference w:id="6"/>
      </w:r>
      <w:r w:rsidRPr="00283AC5">
        <w:t>.</w:t>
      </w:r>
    </w:p>
    <w:p w14:paraId="38BCCD58" w14:textId="77777777" w:rsidR="00F1150C" w:rsidRDefault="00F1150C" w:rsidP="00F1150C">
      <w:pPr>
        <w:pStyle w:val="Box1"/>
        <w:spacing w:before="120" w:after="120"/>
        <w:ind w:left="0"/>
        <w:contextualSpacing w:val="0"/>
        <w:jc w:val="both"/>
      </w:pPr>
      <w:r w:rsidRPr="00F1150C">
        <w:rPr>
          <w:b/>
        </w:rPr>
        <w:t>Upozornění:</w:t>
      </w:r>
      <w:r w:rsidRPr="00F1150C">
        <w:t xml:space="preserve"> </w:t>
      </w:r>
    </w:p>
    <w:p w14:paraId="5CA923C3" w14:textId="20C0BFB6" w:rsidR="00F1150C" w:rsidRDefault="00481559" w:rsidP="00F1150C">
      <w:pPr>
        <w:pStyle w:val="Box1"/>
        <w:spacing w:before="120" w:after="120"/>
        <w:ind w:left="0"/>
        <w:contextualSpacing w:val="0"/>
        <w:jc w:val="both"/>
      </w:pPr>
      <w:r>
        <w:t xml:space="preserve">1) </w:t>
      </w:r>
      <w:r w:rsidR="00F1150C" w:rsidRPr="00F1150C">
        <w:t xml:space="preserve">Počínaje daty za rok 2023 </w:t>
      </w:r>
      <w:r w:rsidR="00F1150C" w:rsidRPr="00F1150C">
        <w:rPr>
          <w:b/>
        </w:rPr>
        <w:t>se údaje nepublikují v regionálním členění</w:t>
      </w:r>
      <w:r w:rsidR="00F1150C" w:rsidRPr="00F1150C">
        <w:t xml:space="preserve"> dle krajů a okresů. Je to dáno rostoucí </w:t>
      </w:r>
      <w:r w:rsidR="00F1150C" w:rsidRPr="00F1150C">
        <w:rPr>
          <w:b/>
        </w:rPr>
        <w:t>mírou centralizace mzdových účtáren větších zaměstnavatelů mimo okres skutečného výkonu práce či sídla podniku</w:t>
      </w:r>
      <w:r w:rsidR="00F1150C" w:rsidRPr="00F1150C">
        <w:t xml:space="preserve">. Vlivem zvýšeného využívání institutu delegování rovněž </w:t>
      </w:r>
      <w:r w:rsidR="00F1150C" w:rsidRPr="00F1150C">
        <w:rPr>
          <w:b/>
        </w:rPr>
        <w:t>došlo k přesunu příslušnosti některých zaměstnavatelů pod jinou OSSZ</w:t>
      </w:r>
      <w:r w:rsidR="00F1150C" w:rsidRPr="00F1150C">
        <w:t>, která již neodpovídá místopisně.</w:t>
      </w:r>
    </w:p>
    <w:p w14:paraId="6D1ADFDE" w14:textId="33CEE88E" w:rsidR="00F1150C" w:rsidRDefault="00481559" w:rsidP="00F1150C">
      <w:pPr>
        <w:pStyle w:val="Box1"/>
        <w:spacing w:before="120" w:after="120"/>
        <w:ind w:left="0"/>
        <w:contextualSpacing w:val="0"/>
        <w:jc w:val="both"/>
        <w:rPr>
          <w:i/>
        </w:rPr>
      </w:pPr>
      <w:r>
        <w:t>2)</w:t>
      </w:r>
      <w:r w:rsidR="00F1150C" w:rsidRPr="00F1150C">
        <w:t xml:space="preserve"> </w:t>
      </w:r>
      <w:r w:rsidR="00F1150C" w:rsidRPr="00481559">
        <w:rPr>
          <w:b/>
        </w:rPr>
        <w:t>Údaje za rok 2022</w:t>
      </w:r>
      <w:r w:rsidR="00F1150C" w:rsidRPr="00F1150C">
        <w:t xml:space="preserve"> </w:t>
      </w:r>
      <w:r w:rsidR="00F1150C" w:rsidRPr="00481559">
        <w:rPr>
          <w:b/>
        </w:rPr>
        <w:t>nejsou</w:t>
      </w:r>
      <w:r w:rsidR="00F1150C" w:rsidRPr="00F1150C">
        <w:t xml:space="preserve"> z metodických důvodů </w:t>
      </w:r>
      <w:r w:rsidR="00F1150C" w:rsidRPr="00481559">
        <w:rPr>
          <w:b/>
        </w:rPr>
        <w:t>srovnatelné s údaji za ostatní roky</w:t>
      </w:r>
      <w:r w:rsidR="00F1150C" w:rsidRPr="00F1150C">
        <w:t xml:space="preserve">. Od 17. ledna do 28. února 2022 při testování na covid-19 byly některým pracujícím vydány </w:t>
      </w:r>
      <w:r w:rsidR="00F1150C" w:rsidRPr="00481559">
        <w:rPr>
          <w:b/>
        </w:rPr>
        <w:t>neschopenky pro karanténu či izolaci duplicitně</w:t>
      </w:r>
      <w:r>
        <w:t xml:space="preserve"> (jak praktickými lékaři, tak krajskými hygienickými stanicemi). </w:t>
      </w:r>
      <w:r w:rsidR="00F1150C" w:rsidRPr="00F1150C">
        <w:t>Z dostupných zdrojových databází není možné duplicitní případy identifikovat a ani vyčíslit jejich míru.</w:t>
      </w:r>
    </w:p>
    <w:p w14:paraId="5BC8CA32" w14:textId="77777777" w:rsidR="00925703" w:rsidRPr="00283AC5" w:rsidRDefault="00925703" w:rsidP="00925703">
      <w:pPr>
        <w:spacing w:after="120"/>
        <w:jc w:val="both"/>
        <w:rPr>
          <w:rFonts w:cs="Arial"/>
          <w:szCs w:val="20"/>
        </w:rPr>
      </w:pPr>
      <w:r w:rsidRPr="00283AC5">
        <w:rPr>
          <w:rFonts w:cs="Arial"/>
          <w:szCs w:val="20"/>
        </w:rPr>
        <w:t xml:space="preserve">Kromě statistiky nově hlášených případů dočasné pracovní neschopnosti zpracovávané ČSÚ jsou z evidence ČSSZ zpracovávány a publikovány také </w:t>
      </w:r>
      <w:r w:rsidRPr="00283AC5">
        <w:rPr>
          <w:rFonts w:cs="Arial"/>
          <w:b/>
          <w:szCs w:val="20"/>
        </w:rPr>
        <w:t xml:space="preserve">údaje o ukončených případech pracovní neschopnosti </w:t>
      </w:r>
      <w:r w:rsidRPr="00283AC5">
        <w:rPr>
          <w:rFonts w:cs="Arial"/>
          <w:szCs w:val="20"/>
        </w:rPr>
        <w:t>za jednotlivá čtvrtletí, které zpracovává a publikuje ČSSZ, viz </w:t>
      </w:r>
      <w:hyperlink r:id="rId17" w:history="1">
        <w:r w:rsidRPr="00283AC5">
          <w:rPr>
            <w:rStyle w:val="Hypertextovodkaz"/>
            <w:rFonts w:cs="Arial"/>
            <w:szCs w:val="20"/>
          </w:rPr>
          <w:t>https://www.cssz.cz/web/cz/nemocenska-statistika</w:t>
        </w:r>
      </w:hyperlink>
      <w:r w:rsidRPr="00283AC5">
        <w:rPr>
          <w:rFonts w:cs="Arial"/>
          <w:szCs w:val="20"/>
        </w:rPr>
        <w:t xml:space="preserve"> a roční údaje v různých tříděních zveřejňuje také Ústav zdravotnických informací a statistiky ČR (ÚZIS ČR), viz </w:t>
      </w:r>
      <w:hyperlink r:id="rId18" w:history="1">
        <w:r w:rsidRPr="00283AC5">
          <w:rPr>
            <w:rStyle w:val="Hypertextovodkaz"/>
            <w:rFonts w:cs="Arial"/>
            <w:szCs w:val="20"/>
          </w:rPr>
          <w:t>https://www.uzis.cz/index.php?pg=vystupy--statistika-vybranych-ekonomickych-temat--pracovni-neschopnost</w:t>
        </w:r>
      </w:hyperlink>
      <w:r w:rsidRPr="00283AC5">
        <w:rPr>
          <w:rFonts w:cs="Arial"/>
          <w:szCs w:val="20"/>
        </w:rPr>
        <w:t>.</w:t>
      </w:r>
    </w:p>
    <w:p w14:paraId="4101D74D" w14:textId="77777777" w:rsidR="00925703" w:rsidRPr="00243FD4" w:rsidRDefault="00925703" w:rsidP="00925703">
      <w:pPr>
        <w:spacing w:after="120"/>
        <w:jc w:val="both"/>
      </w:pPr>
      <w:r w:rsidRPr="00243FD4">
        <w:t>Rozdíly v počtech nově hlášených a ukončených případů dočasné pracovní neschopnosti jsou dány odlišnou metodikou sběru dat.</w:t>
      </w:r>
    </w:p>
    <w:p w14:paraId="4F356162" w14:textId="27FA2B32" w:rsidR="00151B99" w:rsidRPr="00433713" w:rsidRDefault="00925703" w:rsidP="00151B99">
      <w:pPr>
        <w:spacing w:after="120"/>
        <w:jc w:val="both"/>
        <w:rPr>
          <w:rFonts w:cs="Arial"/>
        </w:rPr>
      </w:pPr>
      <w:r w:rsidRPr="00243FD4">
        <w:t xml:space="preserve">ČSSZ však nabízí ve svých statistikách jiné třídění publikovaných dat než ČSÚ, a to </w:t>
      </w:r>
      <w:r w:rsidRPr="00243FD4">
        <w:rPr>
          <w:rFonts w:cs="Arial"/>
        </w:rPr>
        <w:t xml:space="preserve">zejména </w:t>
      </w:r>
      <w:r w:rsidRPr="00243FD4">
        <w:rPr>
          <w:rFonts w:cs="Arial"/>
          <w:b/>
        </w:rPr>
        <w:t xml:space="preserve">podle věku </w:t>
      </w:r>
      <w:r w:rsidRPr="00243FD4">
        <w:rPr>
          <w:rFonts w:cs="Arial"/>
        </w:rPr>
        <w:t>dočasně práce neschopných</w:t>
      </w:r>
      <w:r w:rsidR="00FC2CD8">
        <w:rPr>
          <w:rFonts w:cs="Arial"/>
        </w:rPr>
        <w:t xml:space="preserve">, </w:t>
      </w:r>
      <w:r w:rsidR="00FC2CD8" w:rsidRPr="00F1150C">
        <w:rPr>
          <w:rFonts w:cs="Arial"/>
        </w:rPr>
        <w:t>kraje místní příslušnosti lékaře, který vystavil neschopenku</w:t>
      </w:r>
      <w:r w:rsidRPr="00243FD4">
        <w:rPr>
          <w:rFonts w:cs="Arial"/>
        </w:rPr>
        <w:t xml:space="preserve"> </w:t>
      </w:r>
      <w:r w:rsidR="00FC2CD8">
        <w:rPr>
          <w:rFonts w:cs="Arial"/>
        </w:rPr>
        <w:t>či</w:t>
      </w:r>
      <w:r w:rsidRPr="00243FD4">
        <w:rPr>
          <w:rFonts w:cs="Arial"/>
        </w:rPr>
        <w:t xml:space="preserve"> </w:t>
      </w:r>
      <w:r w:rsidRPr="00243FD4">
        <w:rPr>
          <w:rFonts w:cs="Arial"/>
          <w:b/>
        </w:rPr>
        <w:t>podle diagnóz</w:t>
      </w:r>
      <w:r w:rsidRPr="00243FD4">
        <w:rPr>
          <w:rFonts w:cs="Arial"/>
        </w:rPr>
        <w:t>, které zapříčinily</w:t>
      </w:r>
      <w:r w:rsidRPr="00243FD4">
        <w:rPr>
          <w:rFonts w:cs="Arial"/>
          <w:b/>
        </w:rPr>
        <w:t xml:space="preserve"> </w:t>
      </w:r>
      <w:r w:rsidRPr="00243FD4">
        <w:rPr>
          <w:rFonts w:cs="Arial"/>
        </w:rPr>
        <w:t>pracovní neschopnost. Pro dokreslení pohledu na statistiku nemocnosti byla vybraná data z uvedeného zdr</w:t>
      </w:r>
      <w:r>
        <w:rPr>
          <w:rFonts w:cs="Arial"/>
        </w:rPr>
        <w:t>oje využita i v této publikaci.</w:t>
      </w:r>
      <w:r w:rsidR="00151B99" w:rsidRPr="00166BEB">
        <w:rPr>
          <w:highlight w:val="yellow"/>
        </w:rPr>
        <w:br w:type="page"/>
      </w:r>
    </w:p>
    <w:p w14:paraId="4DE5BDD3" w14:textId="77777777" w:rsidR="00151B99" w:rsidRPr="00C42FD6" w:rsidRDefault="00151B99" w:rsidP="00151B99">
      <w:pPr>
        <w:pStyle w:val="Nadpis2"/>
      </w:pPr>
      <w:bookmarkStart w:id="17" w:name="_Toc136412147"/>
      <w:bookmarkStart w:id="18" w:name="_Toc167965222"/>
      <w:r w:rsidRPr="00C42FD6">
        <w:lastRenderedPageBreak/>
        <w:t>4. Analytická část</w:t>
      </w:r>
      <w:bookmarkEnd w:id="17"/>
      <w:bookmarkEnd w:id="18"/>
    </w:p>
    <w:p w14:paraId="01B01D99" w14:textId="77777777" w:rsidR="00151B99" w:rsidRPr="008927A8" w:rsidRDefault="00151B99" w:rsidP="00151B99">
      <w:pPr>
        <w:pStyle w:val="Nadpis3"/>
      </w:pPr>
      <w:bookmarkStart w:id="19" w:name="_Toc136412148"/>
      <w:bookmarkStart w:id="20" w:name="_Toc167965223"/>
      <w:r w:rsidRPr="008927A8">
        <w:t xml:space="preserve">4.1 </w:t>
      </w:r>
      <w:proofErr w:type="spellStart"/>
      <w:r w:rsidRPr="008927A8">
        <w:t>Nemocensky</w:t>
      </w:r>
      <w:proofErr w:type="spellEnd"/>
      <w:r w:rsidRPr="008927A8">
        <w:t xml:space="preserve"> pojištěné osoby</w:t>
      </w:r>
      <w:bookmarkEnd w:id="19"/>
      <w:bookmarkEnd w:id="20"/>
    </w:p>
    <w:p w14:paraId="5C6C372B" w14:textId="77777777" w:rsidR="00151B99" w:rsidRPr="00DA421C" w:rsidRDefault="00151B99" w:rsidP="00151B99">
      <w:pPr>
        <w:spacing w:after="120"/>
        <w:jc w:val="both"/>
      </w:pPr>
      <w:r w:rsidRPr="00DA421C">
        <w:t xml:space="preserve">Základním ukazatelem, ke kterému se vztahují údaje o pracovní neschopnosti, je ukazatel průměrného počtu </w:t>
      </w:r>
      <w:proofErr w:type="spellStart"/>
      <w:r w:rsidRPr="00DA421C">
        <w:t>nemocensky</w:t>
      </w:r>
      <w:proofErr w:type="spellEnd"/>
      <w:r w:rsidRPr="00DA421C">
        <w:t xml:space="preserve"> pojištěných osob.</w:t>
      </w:r>
    </w:p>
    <w:p w14:paraId="3E8D5C7E" w14:textId="77777777" w:rsidR="00151B99" w:rsidRPr="00DA421C" w:rsidRDefault="00151B99" w:rsidP="00151B99">
      <w:pPr>
        <w:pStyle w:val="Box1"/>
        <w:spacing w:before="120" w:after="120"/>
        <w:ind w:left="0"/>
        <w:contextualSpacing w:val="0"/>
        <w:jc w:val="both"/>
        <w:rPr>
          <w:i/>
        </w:rPr>
      </w:pPr>
      <w:r w:rsidRPr="00DA421C">
        <w:rPr>
          <w:b/>
          <w:i/>
        </w:rPr>
        <w:t xml:space="preserve">Průměrný počet </w:t>
      </w:r>
      <w:proofErr w:type="spellStart"/>
      <w:r w:rsidRPr="00DA421C">
        <w:rPr>
          <w:b/>
          <w:i/>
        </w:rPr>
        <w:t>nemocensky</w:t>
      </w:r>
      <w:proofErr w:type="spellEnd"/>
      <w:r w:rsidRPr="00DA421C">
        <w:rPr>
          <w:b/>
          <w:i/>
        </w:rPr>
        <w:t xml:space="preserve"> pojištěných osob </w:t>
      </w:r>
      <w:r w:rsidRPr="00DA421C">
        <w:rPr>
          <w:i/>
        </w:rPr>
        <w:t xml:space="preserve">– ukazatel udává průměrný počet osob, které jsou povinně či dobrovolně </w:t>
      </w:r>
      <w:proofErr w:type="spellStart"/>
      <w:r w:rsidRPr="00DA421C">
        <w:rPr>
          <w:i/>
        </w:rPr>
        <w:t>nemocensky</w:t>
      </w:r>
      <w:proofErr w:type="spellEnd"/>
      <w:r w:rsidRPr="00DA421C">
        <w:rPr>
          <w:i/>
        </w:rPr>
        <w:t xml:space="preserve"> pojištěné podle zákona č. 187/2006 Sb., o nemocenském pojištění, ve znění pozdějších předpisů. Zahrnuje všechny osoby, které byly alespoň po jeden den vykazovaného období </w:t>
      </w:r>
      <w:proofErr w:type="spellStart"/>
      <w:r w:rsidRPr="00DA421C">
        <w:rPr>
          <w:i/>
        </w:rPr>
        <w:t>nemocensky</w:t>
      </w:r>
      <w:proofErr w:type="spellEnd"/>
      <w:r w:rsidRPr="00DA421C">
        <w:rPr>
          <w:i/>
        </w:rPr>
        <w:t xml:space="preserve"> pojištěné. V případě více překrývajících se pojistných vztahů pojištěnce v rámci jednoho zaměstnavatele a jedné mzdové účtárny se započítává pojištěnec pouze jedenkrát. V ostatních případech je pojištěnec započítáván tolikrát, kolik má pracovněprávních pojistných vztahů. </w:t>
      </w:r>
    </w:p>
    <w:p w14:paraId="50221F85" w14:textId="77777777" w:rsidR="00151B99" w:rsidRPr="00DA421C" w:rsidRDefault="00151B99" w:rsidP="00151B99">
      <w:pPr>
        <w:pStyle w:val="Box1"/>
        <w:ind w:left="0"/>
        <w:jc w:val="both"/>
        <w:rPr>
          <w:i/>
          <w:u w:val="single"/>
        </w:rPr>
      </w:pPr>
      <w:r w:rsidRPr="00DA421C">
        <w:rPr>
          <w:i/>
          <w:u w:val="single"/>
        </w:rPr>
        <w:t>Poznámka:</w:t>
      </w:r>
    </w:p>
    <w:p w14:paraId="482011AD" w14:textId="77777777" w:rsidR="00151B99" w:rsidRPr="00DA421C" w:rsidRDefault="00151B99" w:rsidP="00151B99">
      <w:pPr>
        <w:pStyle w:val="Box1"/>
        <w:ind w:left="0"/>
        <w:jc w:val="both"/>
        <w:rPr>
          <w:i/>
        </w:rPr>
      </w:pPr>
      <w:r w:rsidRPr="00DA421C">
        <w:rPr>
          <w:i/>
        </w:rPr>
        <w:t xml:space="preserve">Do průměrného počtu </w:t>
      </w:r>
      <w:proofErr w:type="spellStart"/>
      <w:r w:rsidRPr="00DA421C">
        <w:rPr>
          <w:i/>
        </w:rPr>
        <w:t>nemocensky</w:t>
      </w:r>
      <w:proofErr w:type="spellEnd"/>
      <w:r w:rsidRPr="00DA421C">
        <w:rPr>
          <w:i/>
        </w:rPr>
        <w:t xml:space="preserve"> pojištěných nejsou započteni vojáci z povolání a příslušníci Policie ČR, Hasičského záchranného sboru ČR, Celní správy ČR, Vězeňské služby ČR, Generální inspekce bezpečnostních sborů, Bezpečnostní informační služby a Úřadu pro zahraniční styky a informace. </w:t>
      </w:r>
    </w:p>
    <w:p w14:paraId="1152E3F4" w14:textId="77777777" w:rsidR="00151B99" w:rsidRPr="00DA421C" w:rsidRDefault="00151B99" w:rsidP="00151B99">
      <w:pPr>
        <w:pStyle w:val="Box1"/>
        <w:ind w:left="0"/>
        <w:jc w:val="both"/>
        <w:rPr>
          <w:i/>
          <w:u w:val="single"/>
        </w:rPr>
      </w:pPr>
      <w:r w:rsidRPr="00DA421C">
        <w:rPr>
          <w:i/>
          <w:u w:val="single"/>
        </w:rPr>
        <w:t>Způsob výpočtu:</w:t>
      </w:r>
    </w:p>
    <w:p w14:paraId="33FFD3C5" w14:textId="72398C0F" w:rsidR="00151B99" w:rsidRDefault="00151B99" w:rsidP="00151B99">
      <w:pPr>
        <w:pStyle w:val="Box1"/>
        <w:spacing w:before="120" w:after="120"/>
        <w:ind w:left="0"/>
        <w:contextualSpacing w:val="0"/>
        <w:jc w:val="both"/>
        <w:rPr>
          <w:i/>
        </w:rPr>
      </w:pPr>
      <w:r w:rsidRPr="00DA421C">
        <w:rPr>
          <w:i/>
        </w:rPr>
        <w:t xml:space="preserve">Průměrný počet </w:t>
      </w:r>
      <w:proofErr w:type="spellStart"/>
      <w:r w:rsidRPr="00DA421C">
        <w:rPr>
          <w:i/>
        </w:rPr>
        <w:t>nemocensky</w:t>
      </w:r>
      <w:proofErr w:type="spellEnd"/>
      <w:r w:rsidRPr="00DA421C">
        <w:rPr>
          <w:i/>
        </w:rPr>
        <w:t xml:space="preserve"> pojištěných osob = počet dnů nemocenského pojištění jednotlivých pojištěných osob ve vykazovaném období / počet kalendářních dnů ve vykazovaném období.</w:t>
      </w:r>
    </w:p>
    <w:p w14:paraId="6863E820" w14:textId="75E544D1" w:rsidR="00151B99" w:rsidRPr="00251BF8" w:rsidRDefault="00151B99" w:rsidP="00151B99">
      <w:pPr>
        <w:spacing w:after="120"/>
        <w:jc w:val="both"/>
        <w:rPr>
          <w:rFonts w:cs="Arial"/>
          <w:bCs/>
          <w:color w:val="000000"/>
          <w:szCs w:val="20"/>
        </w:rPr>
      </w:pPr>
      <w:r w:rsidRPr="00251BF8">
        <w:rPr>
          <w:rFonts w:cs="Arial"/>
          <w:bCs/>
          <w:color w:val="000000"/>
          <w:szCs w:val="20"/>
        </w:rPr>
        <w:t xml:space="preserve">V roce 2023 činil průměrný počet </w:t>
      </w:r>
      <w:proofErr w:type="spellStart"/>
      <w:r w:rsidRPr="00251BF8">
        <w:rPr>
          <w:rFonts w:cs="Arial"/>
          <w:bCs/>
          <w:color w:val="000000"/>
          <w:szCs w:val="20"/>
        </w:rPr>
        <w:t>nemocensky</w:t>
      </w:r>
      <w:proofErr w:type="spellEnd"/>
      <w:r w:rsidRPr="00251BF8">
        <w:rPr>
          <w:rFonts w:cs="Arial"/>
          <w:bCs/>
          <w:color w:val="000000"/>
          <w:szCs w:val="20"/>
        </w:rPr>
        <w:t xml:space="preserve"> pojištěných </w:t>
      </w:r>
      <w:r w:rsidRPr="00251BF8">
        <w:rPr>
          <w:rFonts w:cs="Arial"/>
          <w:b/>
          <w:bCs/>
          <w:color w:val="000000"/>
          <w:szCs w:val="20"/>
        </w:rPr>
        <w:t>celkem</w:t>
      </w:r>
      <w:r w:rsidRPr="00251BF8">
        <w:rPr>
          <w:rFonts w:cs="Arial"/>
          <w:bCs/>
          <w:color w:val="000000"/>
          <w:szCs w:val="20"/>
        </w:rPr>
        <w:t xml:space="preserve"> </w:t>
      </w:r>
      <w:r w:rsidRPr="00251BF8">
        <w:rPr>
          <w:rFonts w:cs="Arial"/>
          <w:b/>
          <w:bCs/>
          <w:color w:val="000000"/>
          <w:szCs w:val="20"/>
        </w:rPr>
        <w:t>4 767 tis. osob</w:t>
      </w:r>
      <w:r w:rsidRPr="00251BF8">
        <w:rPr>
          <w:rFonts w:cs="Arial"/>
          <w:bCs/>
          <w:color w:val="000000"/>
          <w:szCs w:val="20"/>
        </w:rPr>
        <w:t xml:space="preserve">, tedy téměř o 20 tis. (tj. o 0,4 %) více než před rokem. Po poklesu v roce 2020, na kterém se zřejmě odrazilo propouštění v některých odvětvích kvůli epidemii nemoci covid-19, se už v roce 2022 počet </w:t>
      </w:r>
      <w:proofErr w:type="spellStart"/>
      <w:r w:rsidRPr="00251BF8">
        <w:rPr>
          <w:rFonts w:cs="Arial"/>
          <w:bCs/>
          <w:color w:val="000000"/>
          <w:szCs w:val="20"/>
        </w:rPr>
        <w:t>nemocensky</w:t>
      </w:r>
      <w:proofErr w:type="spellEnd"/>
      <w:r w:rsidRPr="00251BF8">
        <w:rPr>
          <w:rFonts w:cs="Arial"/>
          <w:bCs/>
          <w:color w:val="000000"/>
          <w:szCs w:val="20"/>
        </w:rPr>
        <w:t xml:space="preserve"> pojištěných vrátil na hodnoty z roku 2018 a 2019, ba je dokonce překonal. V roce 2022 meziročně vzrostl počet </w:t>
      </w:r>
      <w:proofErr w:type="spellStart"/>
      <w:r w:rsidRPr="00251BF8">
        <w:rPr>
          <w:rFonts w:cs="Arial"/>
          <w:bCs/>
          <w:color w:val="000000"/>
          <w:szCs w:val="20"/>
        </w:rPr>
        <w:t>nemocensky</w:t>
      </w:r>
      <w:proofErr w:type="spellEnd"/>
      <w:r w:rsidRPr="00251BF8">
        <w:rPr>
          <w:rFonts w:cs="Arial"/>
          <w:bCs/>
          <w:color w:val="000000"/>
          <w:szCs w:val="20"/>
        </w:rPr>
        <w:t xml:space="preserve"> pojištěných téměř o 40 tis. Na meziročním nárůstu se mohou podílet i občané z Ukrajiny, kteří zejména během 1. pol. roku 2022 přicestovali do České republiky a při zaměstnání jim vznikla účast na nemocenském pojištění, tudíž jsou součástí českého systému nemocenského pojištění. </w:t>
      </w:r>
    </w:p>
    <w:p w14:paraId="24BF1F06" w14:textId="78DDF195" w:rsidR="00151B99" w:rsidRDefault="00151B99" w:rsidP="00151B99">
      <w:pPr>
        <w:spacing w:after="120"/>
        <w:jc w:val="both"/>
      </w:pPr>
      <w:r w:rsidRPr="00251BF8">
        <w:rPr>
          <w:rFonts w:cs="Arial"/>
          <w:bCs/>
          <w:color w:val="000000"/>
          <w:szCs w:val="20"/>
        </w:rPr>
        <w:t xml:space="preserve">Podruhé v řadě za sebou v desetileté historii bylo mezi pojištěnci více žen (50,6 %) než mužů (49,4 %). V roce 2023 bylo </w:t>
      </w:r>
      <w:proofErr w:type="spellStart"/>
      <w:r w:rsidRPr="00251BF8">
        <w:rPr>
          <w:rFonts w:cs="Arial"/>
          <w:bCs/>
          <w:color w:val="000000"/>
          <w:szCs w:val="20"/>
        </w:rPr>
        <w:t>nemocensky</w:t>
      </w:r>
      <w:proofErr w:type="spellEnd"/>
      <w:r w:rsidRPr="00251BF8">
        <w:rPr>
          <w:rFonts w:cs="Arial"/>
          <w:bCs/>
          <w:color w:val="000000"/>
          <w:szCs w:val="20"/>
        </w:rPr>
        <w:t xml:space="preserve"> pojištěných 2 413 tis. žen a 2 354 tis. mužů. To opět patrně souvisí s příchodem občanů, resp. převážně právě občanek – žen se svými potomky – z Ukrajiny. V</w:t>
      </w:r>
      <w:r w:rsidRPr="00251BF8">
        <w:t xml:space="preserve">liv může mít i zvyšující se věk žen při odchodu do důchodu. </w:t>
      </w:r>
      <w:r w:rsidRPr="00251BF8">
        <w:rPr>
          <w:rFonts w:cs="Arial"/>
          <w:bCs/>
          <w:color w:val="000000"/>
          <w:szCs w:val="20"/>
        </w:rPr>
        <w:t>Meziročně vzrostl počet pojištěných žen o 23,5 tis. (v relativním vyjádření o necelé 1 %), zatímco mezi muži byl zaznamenán pokles o 4,6 tis. (tj. o 0,2 %).</w:t>
      </w:r>
    </w:p>
    <w:p w14:paraId="085DA973" w14:textId="77777777" w:rsidR="00151B99" w:rsidRDefault="00151B99" w:rsidP="00FC2CD8">
      <w:pPr>
        <w:spacing w:after="120"/>
        <w:jc w:val="both"/>
        <w:rPr>
          <w:b/>
        </w:rPr>
      </w:pPr>
      <w:r w:rsidRPr="00151B99">
        <w:rPr>
          <w:b/>
        </w:rPr>
        <w:t xml:space="preserve">Tab. 1.1: Průměrný počet </w:t>
      </w:r>
      <w:proofErr w:type="spellStart"/>
      <w:r w:rsidRPr="00151B99">
        <w:rPr>
          <w:b/>
        </w:rPr>
        <w:t>nemocensky</w:t>
      </w:r>
      <w:proofErr w:type="spellEnd"/>
      <w:r w:rsidRPr="00151B99">
        <w:rPr>
          <w:b/>
        </w:rPr>
        <w:t xml:space="preserve"> pojištěných osob, 2013–2023 (v tis.)</w:t>
      </w:r>
    </w:p>
    <w:tbl>
      <w:tblPr>
        <w:tblW w:w="9690" w:type="dxa"/>
        <w:tblCellMar>
          <w:left w:w="70" w:type="dxa"/>
          <w:right w:w="70" w:type="dxa"/>
        </w:tblCellMar>
        <w:tblLook w:val="04A0" w:firstRow="1" w:lastRow="0" w:firstColumn="1" w:lastColumn="0" w:noHBand="0" w:noVBand="1"/>
      </w:tblPr>
      <w:tblGrid>
        <w:gridCol w:w="850"/>
        <w:gridCol w:w="960"/>
        <w:gridCol w:w="960"/>
        <w:gridCol w:w="960"/>
        <w:gridCol w:w="1060"/>
        <w:gridCol w:w="960"/>
        <w:gridCol w:w="960"/>
        <w:gridCol w:w="960"/>
        <w:gridCol w:w="1060"/>
        <w:gridCol w:w="960"/>
      </w:tblGrid>
      <w:tr w:rsidR="00151B99" w:rsidRPr="00151B99" w14:paraId="264937CC" w14:textId="77777777" w:rsidTr="00151B99">
        <w:trPr>
          <w:trHeight w:val="300"/>
        </w:trPr>
        <w:tc>
          <w:tcPr>
            <w:tcW w:w="850" w:type="dxa"/>
            <w:vMerge w:val="restart"/>
            <w:tcBorders>
              <w:top w:val="single" w:sz="4" w:space="0" w:color="auto"/>
              <w:left w:val="nil"/>
              <w:bottom w:val="single" w:sz="4" w:space="0" w:color="000000"/>
              <w:right w:val="single" w:sz="4" w:space="0" w:color="auto"/>
            </w:tcBorders>
            <w:shd w:val="clear" w:color="000000" w:fill="F5DADD"/>
            <w:vAlign w:val="center"/>
            <w:hideMark/>
          </w:tcPr>
          <w:p w14:paraId="46496ED0" w14:textId="77777777" w:rsidR="00151B99" w:rsidRPr="00151B99" w:rsidRDefault="00151B99" w:rsidP="00151B99">
            <w:pPr>
              <w:spacing w:after="0" w:line="240" w:lineRule="auto"/>
              <w:jc w:val="center"/>
              <w:rPr>
                <w:rFonts w:cs="Arial"/>
                <w:color w:val="000000"/>
                <w:sz w:val="16"/>
                <w:szCs w:val="16"/>
              </w:rPr>
            </w:pPr>
            <w:r w:rsidRPr="00151B99">
              <w:rPr>
                <w:rFonts w:cs="Arial"/>
                <w:color w:val="000000"/>
                <w:sz w:val="16"/>
                <w:szCs w:val="16"/>
              </w:rPr>
              <w:t>Rok</w:t>
            </w:r>
          </w:p>
        </w:tc>
        <w:tc>
          <w:tcPr>
            <w:tcW w:w="960" w:type="dxa"/>
            <w:vMerge w:val="restart"/>
            <w:tcBorders>
              <w:top w:val="single" w:sz="4" w:space="0" w:color="auto"/>
              <w:left w:val="nil"/>
              <w:bottom w:val="single" w:sz="4" w:space="0" w:color="000000"/>
              <w:right w:val="nil"/>
            </w:tcBorders>
            <w:shd w:val="clear" w:color="000000" w:fill="F2DBDB"/>
            <w:vAlign w:val="center"/>
            <w:hideMark/>
          </w:tcPr>
          <w:p w14:paraId="0A2D0C0A" w14:textId="77777777" w:rsidR="00151B99" w:rsidRPr="00151B99" w:rsidRDefault="00151B99" w:rsidP="00151B99">
            <w:pPr>
              <w:spacing w:after="0" w:line="240" w:lineRule="auto"/>
              <w:jc w:val="center"/>
              <w:rPr>
                <w:rFonts w:cs="Arial"/>
                <w:b/>
                <w:bCs/>
                <w:color w:val="000000"/>
                <w:sz w:val="16"/>
                <w:szCs w:val="16"/>
              </w:rPr>
            </w:pPr>
            <w:r w:rsidRPr="00151B99">
              <w:rPr>
                <w:rFonts w:cs="Arial"/>
                <w:b/>
                <w:bCs/>
                <w:color w:val="000000"/>
                <w:sz w:val="16"/>
                <w:szCs w:val="16"/>
              </w:rPr>
              <w:t>Celkem</w:t>
            </w:r>
          </w:p>
        </w:tc>
        <w:tc>
          <w:tcPr>
            <w:tcW w:w="1920" w:type="dxa"/>
            <w:gridSpan w:val="2"/>
            <w:tcBorders>
              <w:top w:val="single" w:sz="4" w:space="0" w:color="auto"/>
              <w:left w:val="single" w:sz="4" w:space="0" w:color="auto"/>
              <w:bottom w:val="single" w:sz="4" w:space="0" w:color="auto"/>
              <w:right w:val="single" w:sz="4" w:space="0" w:color="auto"/>
            </w:tcBorders>
            <w:shd w:val="clear" w:color="000000" w:fill="F2DBDB"/>
            <w:vAlign w:val="center"/>
            <w:hideMark/>
          </w:tcPr>
          <w:p w14:paraId="7D339360" w14:textId="77777777" w:rsidR="00151B99" w:rsidRPr="00151B99" w:rsidRDefault="00151B99" w:rsidP="00151B99">
            <w:pPr>
              <w:spacing w:after="0" w:line="240" w:lineRule="auto"/>
              <w:jc w:val="center"/>
              <w:rPr>
                <w:rFonts w:cs="Arial"/>
                <w:color w:val="000000"/>
                <w:sz w:val="16"/>
                <w:szCs w:val="16"/>
              </w:rPr>
            </w:pPr>
            <w:r w:rsidRPr="00151B99">
              <w:rPr>
                <w:rFonts w:cs="Arial"/>
                <w:color w:val="000000"/>
                <w:sz w:val="16"/>
                <w:szCs w:val="16"/>
              </w:rPr>
              <w:t>podle pohlaví</w:t>
            </w:r>
          </w:p>
        </w:tc>
        <w:tc>
          <w:tcPr>
            <w:tcW w:w="1060" w:type="dxa"/>
            <w:vMerge w:val="restart"/>
            <w:tcBorders>
              <w:top w:val="single" w:sz="4" w:space="0" w:color="auto"/>
              <w:left w:val="nil"/>
              <w:bottom w:val="single" w:sz="4" w:space="0" w:color="000000"/>
              <w:right w:val="nil"/>
            </w:tcBorders>
            <w:shd w:val="clear" w:color="000000" w:fill="F2DBDB"/>
            <w:vAlign w:val="center"/>
            <w:hideMark/>
          </w:tcPr>
          <w:p w14:paraId="3EA9CF79" w14:textId="77777777" w:rsidR="00151B99" w:rsidRPr="00151B99" w:rsidRDefault="00151B99" w:rsidP="00151B99">
            <w:pPr>
              <w:spacing w:after="0" w:line="240" w:lineRule="auto"/>
              <w:jc w:val="center"/>
              <w:rPr>
                <w:rFonts w:cs="Arial"/>
                <w:color w:val="000000"/>
                <w:sz w:val="16"/>
                <w:szCs w:val="16"/>
              </w:rPr>
            </w:pPr>
            <w:r w:rsidRPr="00151B99">
              <w:rPr>
                <w:rFonts w:cs="Arial"/>
                <w:color w:val="000000"/>
                <w:sz w:val="16"/>
                <w:szCs w:val="16"/>
              </w:rPr>
              <w:t>Zaměstnanci</w:t>
            </w:r>
          </w:p>
        </w:tc>
        <w:tc>
          <w:tcPr>
            <w:tcW w:w="1920" w:type="dxa"/>
            <w:gridSpan w:val="2"/>
            <w:tcBorders>
              <w:top w:val="single" w:sz="4" w:space="0" w:color="auto"/>
              <w:left w:val="single" w:sz="4" w:space="0" w:color="auto"/>
              <w:bottom w:val="single" w:sz="4" w:space="0" w:color="auto"/>
              <w:right w:val="single" w:sz="4" w:space="0" w:color="auto"/>
            </w:tcBorders>
            <w:shd w:val="clear" w:color="000000" w:fill="F2DBDB"/>
            <w:vAlign w:val="center"/>
            <w:hideMark/>
          </w:tcPr>
          <w:p w14:paraId="138929B4" w14:textId="77777777" w:rsidR="00151B99" w:rsidRPr="00151B99" w:rsidRDefault="00151B99" w:rsidP="00151B99">
            <w:pPr>
              <w:spacing w:after="0" w:line="240" w:lineRule="auto"/>
              <w:jc w:val="center"/>
              <w:rPr>
                <w:rFonts w:cs="Arial"/>
                <w:color w:val="000000"/>
                <w:sz w:val="16"/>
                <w:szCs w:val="16"/>
              </w:rPr>
            </w:pPr>
            <w:r w:rsidRPr="00151B99">
              <w:rPr>
                <w:rFonts w:cs="Arial"/>
                <w:color w:val="000000"/>
                <w:sz w:val="16"/>
                <w:szCs w:val="16"/>
              </w:rPr>
              <w:t>podle pohlaví</w:t>
            </w:r>
          </w:p>
        </w:tc>
        <w:tc>
          <w:tcPr>
            <w:tcW w:w="960" w:type="dxa"/>
            <w:vMerge w:val="restart"/>
            <w:tcBorders>
              <w:top w:val="single" w:sz="4" w:space="0" w:color="auto"/>
              <w:left w:val="nil"/>
              <w:bottom w:val="single" w:sz="4" w:space="0" w:color="000000"/>
              <w:right w:val="nil"/>
            </w:tcBorders>
            <w:shd w:val="clear" w:color="000000" w:fill="F2DBDB"/>
            <w:vAlign w:val="center"/>
            <w:hideMark/>
          </w:tcPr>
          <w:p w14:paraId="1011A294" w14:textId="77777777" w:rsidR="00151B99" w:rsidRPr="00151B99" w:rsidRDefault="00151B99" w:rsidP="00151B99">
            <w:pPr>
              <w:spacing w:after="0" w:line="240" w:lineRule="auto"/>
              <w:jc w:val="center"/>
              <w:rPr>
                <w:rFonts w:cs="Arial"/>
                <w:color w:val="000000"/>
                <w:sz w:val="16"/>
                <w:szCs w:val="16"/>
              </w:rPr>
            </w:pPr>
            <w:r w:rsidRPr="00151B99">
              <w:rPr>
                <w:rFonts w:cs="Arial"/>
                <w:color w:val="000000"/>
                <w:sz w:val="16"/>
                <w:szCs w:val="16"/>
              </w:rPr>
              <w:t>OSVČ</w:t>
            </w:r>
          </w:p>
        </w:tc>
        <w:tc>
          <w:tcPr>
            <w:tcW w:w="2020" w:type="dxa"/>
            <w:gridSpan w:val="2"/>
            <w:tcBorders>
              <w:top w:val="single" w:sz="4" w:space="0" w:color="auto"/>
              <w:left w:val="single" w:sz="4" w:space="0" w:color="auto"/>
              <w:bottom w:val="single" w:sz="4" w:space="0" w:color="auto"/>
            </w:tcBorders>
            <w:shd w:val="clear" w:color="000000" w:fill="F2DBDB"/>
            <w:vAlign w:val="center"/>
            <w:hideMark/>
          </w:tcPr>
          <w:p w14:paraId="0F96C67C" w14:textId="77777777" w:rsidR="00151B99" w:rsidRPr="00151B99" w:rsidRDefault="00151B99" w:rsidP="00151B99">
            <w:pPr>
              <w:spacing w:after="0" w:line="240" w:lineRule="auto"/>
              <w:jc w:val="center"/>
              <w:rPr>
                <w:rFonts w:cs="Arial"/>
                <w:color w:val="000000"/>
                <w:sz w:val="16"/>
                <w:szCs w:val="16"/>
              </w:rPr>
            </w:pPr>
            <w:r w:rsidRPr="00151B99">
              <w:rPr>
                <w:rFonts w:cs="Arial"/>
                <w:color w:val="000000"/>
                <w:sz w:val="16"/>
                <w:szCs w:val="16"/>
              </w:rPr>
              <w:t>podle pohlaví</w:t>
            </w:r>
          </w:p>
        </w:tc>
      </w:tr>
      <w:tr w:rsidR="00151B99" w:rsidRPr="00151B99" w14:paraId="2A9D1E64" w14:textId="77777777" w:rsidTr="00151B99">
        <w:trPr>
          <w:trHeight w:val="300"/>
        </w:trPr>
        <w:tc>
          <w:tcPr>
            <w:tcW w:w="850" w:type="dxa"/>
            <w:vMerge/>
            <w:tcBorders>
              <w:top w:val="single" w:sz="4" w:space="0" w:color="auto"/>
              <w:left w:val="nil"/>
              <w:bottom w:val="single" w:sz="4" w:space="0" w:color="000000"/>
              <w:right w:val="single" w:sz="4" w:space="0" w:color="auto"/>
            </w:tcBorders>
            <w:vAlign w:val="center"/>
            <w:hideMark/>
          </w:tcPr>
          <w:p w14:paraId="61EE6227" w14:textId="77777777" w:rsidR="00151B99" w:rsidRPr="00151B99" w:rsidRDefault="00151B99" w:rsidP="00151B99">
            <w:pPr>
              <w:spacing w:after="0" w:line="240" w:lineRule="auto"/>
              <w:rPr>
                <w:rFonts w:cs="Arial"/>
                <w:color w:val="000000"/>
                <w:sz w:val="16"/>
                <w:szCs w:val="16"/>
              </w:rPr>
            </w:pPr>
          </w:p>
        </w:tc>
        <w:tc>
          <w:tcPr>
            <w:tcW w:w="960" w:type="dxa"/>
            <w:vMerge/>
            <w:tcBorders>
              <w:top w:val="single" w:sz="4" w:space="0" w:color="auto"/>
              <w:left w:val="nil"/>
              <w:bottom w:val="single" w:sz="4" w:space="0" w:color="000000"/>
              <w:right w:val="nil"/>
            </w:tcBorders>
            <w:vAlign w:val="center"/>
            <w:hideMark/>
          </w:tcPr>
          <w:p w14:paraId="1138523B" w14:textId="77777777" w:rsidR="00151B99" w:rsidRPr="00151B99" w:rsidRDefault="00151B99" w:rsidP="00151B99">
            <w:pPr>
              <w:spacing w:after="0" w:line="240" w:lineRule="auto"/>
              <w:rPr>
                <w:rFonts w:cs="Arial"/>
                <w:b/>
                <w:bCs/>
                <w:color w:val="000000"/>
                <w:sz w:val="16"/>
                <w:szCs w:val="16"/>
              </w:rPr>
            </w:pPr>
          </w:p>
        </w:tc>
        <w:tc>
          <w:tcPr>
            <w:tcW w:w="960" w:type="dxa"/>
            <w:tcBorders>
              <w:top w:val="nil"/>
              <w:left w:val="single" w:sz="4" w:space="0" w:color="auto"/>
              <w:bottom w:val="single" w:sz="4" w:space="0" w:color="auto"/>
              <w:right w:val="single" w:sz="4" w:space="0" w:color="auto"/>
            </w:tcBorders>
            <w:shd w:val="clear" w:color="000000" w:fill="F2DBDB"/>
            <w:vAlign w:val="center"/>
            <w:hideMark/>
          </w:tcPr>
          <w:p w14:paraId="38B74FAA" w14:textId="77777777" w:rsidR="00151B99" w:rsidRPr="00151B99" w:rsidRDefault="00151B99" w:rsidP="00151B99">
            <w:pPr>
              <w:spacing w:after="0" w:line="240" w:lineRule="auto"/>
              <w:jc w:val="center"/>
              <w:rPr>
                <w:rFonts w:cs="Arial"/>
                <w:color w:val="000000"/>
                <w:sz w:val="16"/>
                <w:szCs w:val="16"/>
              </w:rPr>
            </w:pPr>
            <w:r w:rsidRPr="00151B99">
              <w:rPr>
                <w:rFonts w:cs="Arial"/>
                <w:color w:val="000000"/>
                <w:sz w:val="16"/>
                <w:szCs w:val="16"/>
              </w:rPr>
              <w:t>muži</w:t>
            </w:r>
          </w:p>
        </w:tc>
        <w:tc>
          <w:tcPr>
            <w:tcW w:w="960" w:type="dxa"/>
            <w:tcBorders>
              <w:top w:val="nil"/>
              <w:left w:val="nil"/>
              <w:bottom w:val="single" w:sz="4" w:space="0" w:color="auto"/>
              <w:right w:val="single" w:sz="4" w:space="0" w:color="auto"/>
            </w:tcBorders>
            <w:shd w:val="clear" w:color="000000" w:fill="F2DBDB"/>
            <w:vAlign w:val="center"/>
            <w:hideMark/>
          </w:tcPr>
          <w:p w14:paraId="6B78095E" w14:textId="77777777" w:rsidR="00151B99" w:rsidRPr="00151B99" w:rsidRDefault="00151B99" w:rsidP="00151B99">
            <w:pPr>
              <w:spacing w:after="0" w:line="240" w:lineRule="auto"/>
              <w:jc w:val="center"/>
              <w:rPr>
                <w:rFonts w:cs="Arial"/>
                <w:color w:val="000000"/>
                <w:sz w:val="16"/>
                <w:szCs w:val="16"/>
              </w:rPr>
            </w:pPr>
            <w:r w:rsidRPr="00151B99">
              <w:rPr>
                <w:rFonts w:cs="Arial"/>
                <w:color w:val="000000"/>
                <w:sz w:val="16"/>
                <w:szCs w:val="16"/>
              </w:rPr>
              <w:t>ženy</w:t>
            </w:r>
          </w:p>
        </w:tc>
        <w:tc>
          <w:tcPr>
            <w:tcW w:w="1060" w:type="dxa"/>
            <w:vMerge/>
            <w:tcBorders>
              <w:top w:val="single" w:sz="4" w:space="0" w:color="auto"/>
              <w:left w:val="nil"/>
              <w:bottom w:val="single" w:sz="4" w:space="0" w:color="000000"/>
              <w:right w:val="nil"/>
            </w:tcBorders>
            <w:vAlign w:val="center"/>
            <w:hideMark/>
          </w:tcPr>
          <w:p w14:paraId="770C4877" w14:textId="77777777" w:rsidR="00151B99" w:rsidRPr="00151B99" w:rsidRDefault="00151B99" w:rsidP="00151B99">
            <w:pPr>
              <w:spacing w:after="0" w:line="240" w:lineRule="auto"/>
              <w:rPr>
                <w:rFonts w:cs="Arial"/>
                <w:color w:val="000000"/>
                <w:sz w:val="16"/>
                <w:szCs w:val="16"/>
              </w:rPr>
            </w:pPr>
          </w:p>
        </w:tc>
        <w:tc>
          <w:tcPr>
            <w:tcW w:w="960" w:type="dxa"/>
            <w:tcBorders>
              <w:top w:val="nil"/>
              <w:left w:val="single" w:sz="4" w:space="0" w:color="auto"/>
              <w:bottom w:val="single" w:sz="4" w:space="0" w:color="auto"/>
              <w:right w:val="single" w:sz="4" w:space="0" w:color="auto"/>
            </w:tcBorders>
            <w:shd w:val="clear" w:color="000000" w:fill="F2DBDB"/>
            <w:vAlign w:val="center"/>
            <w:hideMark/>
          </w:tcPr>
          <w:p w14:paraId="2D44FE09" w14:textId="77777777" w:rsidR="00151B99" w:rsidRPr="00151B99" w:rsidRDefault="00151B99" w:rsidP="00151B99">
            <w:pPr>
              <w:spacing w:after="0" w:line="240" w:lineRule="auto"/>
              <w:jc w:val="center"/>
              <w:rPr>
                <w:rFonts w:cs="Arial"/>
                <w:color w:val="000000"/>
                <w:sz w:val="16"/>
                <w:szCs w:val="16"/>
              </w:rPr>
            </w:pPr>
            <w:r w:rsidRPr="00151B99">
              <w:rPr>
                <w:rFonts w:cs="Arial"/>
                <w:color w:val="000000"/>
                <w:sz w:val="16"/>
                <w:szCs w:val="16"/>
              </w:rPr>
              <w:t>muži</w:t>
            </w:r>
          </w:p>
        </w:tc>
        <w:tc>
          <w:tcPr>
            <w:tcW w:w="960" w:type="dxa"/>
            <w:tcBorders>
              <w:top w:val="nil"/>
              <w:left w:val="nil"/>
              <w:bottom w:val="single" w:sz="4" w:space="0" w:color="auto"/>
              <w:right w:val="single" w:sz="4" w:space="0" w:color="auto"/>
            </w:tcBorders>
            <w:shd w:val="clear" w:color="000000" w:fill="F2DBDB"/>
            <w:vAlign w:val="center"/>
            <w:hideMark/>
          </w:tcPr>
          <w:p w14:paraId="4AD25C09" w14:textId="77777777" w:rsidR="00151B99" w:rsidRPr="00151B99" w:rsidRDefault="00151B99" w:rsidP="00151B99">
            <w:pPr>
              <w:spacing w:after="0" w:line="240" w:lineRule="auto"/>
              <w:jc w:val="center"/>
              <w:rPr>
                <w:rFonts w:cs="Arial"/>
                <w:color w:val="000000"/>
                <w:sz w:val="16"/>
                <w:szCs w:val="16"/>
              </w:rPr>
            </w:pPr>
            <w:r w:rsidRPr="00151B99">
              <w:rPr>
                <w:rFonts w:cs="Arial"/>
                <w:color w:val="000000"/>
                <w:sz w:val="16"/>
                <w:szCs w:val="16"/>
              </w:rPr>
              <w:t>ženy</w:t>
            </w:r>
          </w:p>
        </w:tc>
        <w:tc>
          <w:tcPr>
            <w:tcW w:w="960" w:type="dxa"/>
            <w:vMerge/>
            <w:tcBorders>
              <w:top w:val="single" w:sz="4" w:space="0" w:color="auto"/>
              <w:left w:val="nil"/>
              <w:bottom w:val="single" w:sz="4" w:space="0" w:color="000000"/>
              <w:right w:val="nil"/>
            </w:tcBorders>
            <w:vAlign w:val="center"/>
            <w:hideMark/>
          </w:tcPr>
          <w:p w14:paraId="0321AB07" w14:textId="77777777" w:rsidR="00151B99" w:rsidRPr="00151B99" w:rsidRDefault="00151B99" w:rsidP="00151B99">
            <w:pPr>
              <w:spacing w:after="0" w:line="240" w:lineRule="auto"/>
              <w:rPr>
                <w:rFonts w:cs="Arial"/>
                <w:color w:val="000000"/>
                <w:sz w:val="16"/>
                <w:szCs w:val="16"/>
              </w:rPr>
            </w:pPr>
          </w:p>
        </w:tc>
        <w:tc>
          <w:tcPr>
            <w:tcW w:w="1060" w:type="dxa"/>
            <w:tcBorders>
              <w:top w:val="nil"/>
              <w:left w:val="single" w:sz="4" w:space="0" w:color="auto"/>
              <w:bottom w:val="single" w:sz="4" w:space="0" w:color="auto"/>
              <w:right w:val="single" w:sz="4" w:space="0" w:color="auto"/>
            </w:tcBorders>
            <w:shd w:val="clear" w:color="000000" w:fill="F2DBDB"/>
            <w:vAlign w:val="center"/>
            <w:hideMark/>
          </w:tcPr>
          <w:p w14:paraId="3DAAD248" w14:textId="77777777" w:rsidR="00151B99" w:rsidRPr="00151B99" w:rsidRDefault="00151B99" w:rsidP="00151B99">
            <w:pPr>
              <w:spacing w:after="0" w:line="240" w:lineRule="auto"/>
              <w:jc w:val="center"/>
              <w:rPr>
                <w:rFonts w:cs="Arial"/>
                <w:color w:val="000000"/>
                <w:sz w:val="16"/>
                <w:szCs w:val="16"/>
              </w:rPr>
            </w:pPr>
            <w:r w:rsidRPr="00151B99">
              <w:rPr>
                <w:rFonts w:cs="Arial"/>
                <w:color w:val="000000"/>
                <w:sz w:val="16"/>
                <w:szCs w:val="16"/>
              </w:rPr>
              <w:t>muži</w:t>
            </w:r>
          </w:p>
        </w:tc>
        <w:tc>
          <w:tcPr>
            <w:tcW w:w="960" w:type="dxa"/>
            <w:tcBorders>
              <w:top w:val="nil"/>
              <w:left w:val="nil"/>
              <w:bottom w:val="single" w:sz="4" w:space="0" w:color="auto"/>
              <w:right w:val="nil"/>
            </w:tcBorders>
            <w:shd w:val="clear" w:color="000000" w:fill="F2DBDB"/>
            <w:vAlign w:val="center"/>
            <w:hideMark/>
          </w:tcPr>
          <w:p w14:paraId="5D51EA79" w14:textId="77777777" w:rsidR="00151B99" w:rsidRPr="00151B99" w:rsidRDefault="00151B99" w:rsidP="00151B99">
            <w:pPr>
              <w:spacing w:after="0" w:line="240" w:lineRule="auto"/>
              <w:jc w:val="center"/>
              <w:rPr>
                <w:rFonts w:cs="Arial"/>
                <w:color w:val="000000"/>
                <w:sz w:val="16"/>
                <w:szCs w:val="16"/>
              </w:rPr>
            </w:pPr>
            <w:r w:rsidRPr="00151B99">
              <w:rPr>
                <w:rFonts w:cs="Arial"/>
                <w:color w:val="000000"/>
                <w:sz w:val="16"/>
                <w:szCs w:val="16"/>
              </w:rPr>
              <w:t>ženy</w:t>
            </w:r>
          </w:p>
        </w:tc>
      </w:tr>
      <w:tr w:rsidR="00151B99" w:rsidRPr="00151B99" w14:paraId="5D2B5723" w14:textId="77777777" w:rsidTr="00151B99">
        <w:trPr>
          <w:trHeight w:val="300"/>
        </w:trPr>
        <w:tc>
          <w:tcPr>
            <w:tcW w:w="850" w:type="dxa"/>
            <w:tcBorders>
              <w:top w:val="nil"/>
              <w:left w:val="nil"/>
              <w:bottom w:val="nil"/>
              <w:right w:val="nil"/>
            </w:tcBorders>
            <w:shd w:val="clear" w:color="auto" w:fill="auto"/>
            <w:vAlign w:val="center"/>
            <w:hideMark/>
          </w:tcPr>
          <w:p w14:paraId="68A3B486" w14:textId="77777777" w:rsidR="00151B99" w:rsidRPr="00151B99" w:rsidRDefault="00151B99" w:rsidP="00151B99">
            <w:pPr>
              <w:spacing w:after="0" w:line="240" w:lineRule="auto"/>
              <w:jc w:val="center"/>
              <w:rPr>
                <w:rFonts w:cs="Arial"/>
                <w:color w:val="000000"/>
                <w:sz w:val="16"/>
                <w:szCs w:val="16"/>
              </w:rPr>
            </w:pPr>
            <w:r w:rsidRPr="00151B99">
              <w:rPr>
                <w:rFonts w:cs="Arial"/>
                <w:color w:val="000000"/>
                <w:sz w:val="16"/>
                <w:szCs w:val="16"/>
              </w:rPr>
              <w:t>2013</w:t>
            </w:r>
          </w:p>
        </w:tc>
        <w:tc>
          <w:tcPr>
            <w:tcW w:w="960" w:type="dxa"/>
            <w:tcBorders>
              <w:top w:val="nil"/>
              <w:left w:val="single" w:sz="4" w:space="0" w:color="auto"/>
              <w:bottom w:val="nil"/>
              <w:right w:val="nil"/>
            </w:tcBorders>
            <w:shd w:val="clear" w:color="auto" w:fill="auto"/>
            <w:vAlign w:val="center"/>
            <w:hideMark/>
          </w:tcPr>
          <w:p w14:paraId="6B515C7B"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4 440,3</w:t>
            </w:r>
          </w:p>
        </w:tc>
        <w:tc>
          <w:tcPr>
            <w:tcW w:w="960" w:type="dxa"/>
            <w:tcBorders>
              <w:top w:val="nil"/>
              <w:left w:val="nil"/>
              <w:bottom w:val="nil"/>
              <w:right w:val="nil"/>
            </w:tcBorders>
            <w:shd w:val="clear" w:color="auto" w:fill="auto"/>
            <w:vAlign w:val="center"/>
            <w:hideMark/>
          </w:tcPr>
          <w:p w14:paraId="2B55D8CA"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2 260,7</w:t>
            </w:r>
          </w:p>
        </w:tc>
        <w:tc>
          <w:tcPr>
            <w:tcW w:w="960" w:type="dxa"/>
            <w:tcBorders>
              <w:top w:val="nil"/>
              <w:left w:val="nil"/>
              <w:bottom w:val="nil"/>
              <w:right w:val="single" w:sz="4" w:space="0" w:color="auto"/>
            </w:tcBorders>
            <w:shd w:val="clear" w:color="auto" w:fill="auto"/>
            <w:vAlign w:val="center"/>
            <w:hideMark/>
          </w:tcPr>
          <w:p w14:paraId="176A8BD6"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2 179,6</w:t>
            </w:r>
          </w:p>
        </w:tc>
        <w:tc>
          <w:tcPr>
            <w:tcW w:w="1060" w:type="dxa"/>
            <w:tcBorders>
              <w:top w:val="nil"/>
              <w:left w:val="nil"/>
              <w:bottom w:val="nil"/>
              <w:right w:val="nil"/>
            </w:tcBorders>
            <w:shd w:val="clear" w:color="auto" w:fill="auto"/>
            <w:vAlign w:val="center"/>
            <w:hideMark/>
          </w:tcPr>
          <w:p w14:paraId="6D834B09"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4 331,2</w:t>
            </w:r>
          </w:p>
        </w:tc>
        <w:tc>
          <w:tcPr>
            <w:tcW w:w="960" w:type="dxa"/>
            <w:tcBorders>
              <w:top w:val="nil"/>
              <w:left w:val="nil"/>
              <w:bottom w:val="nil"/>
              <w:right w:val="nil"/>
            </w:tcBorders>
            <w:shd w:val="clear" w:color="auto" w:fill="auto"/>
            <w:vAlign w:val="center"/>
            <w:hideMark/>
          </w:tcPr>
          <w:p w14:paraId="60E27E3F"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2 194,2</w:t>
            </w:r>
          </w:p>
        </w:tc>
        <w:tc>
          <w:tcPr>
            <w:tcW w:w="960" w:type="dxa"/>
            <w:tcBorders>
              <w:top w:val="nil"/>
              <w:left w:val="nil"/>
              <w:bottom w:val="nil"/>
              <w:right w:val="single" w:sz="4" w:space="0" w:color="auto"/>
            </w:tcBorders>
            <w:shd w:val="clear" w:color="auto" w:fill="auto"/>
            <w:vAlign w:val="center"/>
            <w:hideMark/>
          </w:tcPr>
          <w:p w14:paraId="6C1218F7"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2 136,9</w:t>
            </w:r>
          </w:p>
        </w:tc>
        <w:tc>
          <w:tcPr>
            <w:tcW w:w="960" w:type="dxa"/>
            <w:tcBorders>
              <w:top w:val="nil"/>
              <w:left w:val="nil"/>
              <w:bottom w:val="nil"/>
              <w:right w:val="nil"/>
            </w:tcBorders>
            <w:shd w:val="clear" w:color="auto" w:fill="auto"/>
            <w:vAlign w:val="center"/>
            <w:hideMark/>
          </w:tcPr>
          <w:p w14:paraId="0D54B305"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109,2</w:t>
            </w:r>
          </w:p>
        </w:tc>
        <w:tc>
          <w:tcPr>
            <w:tcW w:w="1060" w:type="dxa"/>
            <w:tcBorders>
              <w:top w:val="nil"/>
              <w:left w:val="nil"/>
              <w:bottom w:val="nil"/>
              <w:right w:val="nil"/>
            </w:tcBorders>
            <w:shd w:val="clear" w:color="auto" w:fill="auto"/>
            <w:vAlign w:val="center"/>
            <w:hideMark/>
          </w:tcPr>
          <w:p w14:paraId="056480E4"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66,5</w:t>
            </w:r>
          </w:p>
        </w:tc>
        <w:tc>
          <w:tcPr>
            <w:tcW w:w="960" w:type="dxa"/>
            <w:tcBorders>
              <w:top w:val="nil"/>
              <w:left w:val="nil"/>
              <w:bottom w:val="nil"/>
              <w:right w:val="nil"/>
            </w:tcBorders>
            <w:shd w:val="clear" w:color="auto" w:fill="auto"/>
            <w:vAlign w:val="center"/>
            <w:hideMark/>
          </w:tcPr>
          <w:p w14:paraId="7BB15589"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42,7</w:t>
            </w:r>
          </w:p>
        </w:tc>
      </w:tr>
      <w:tr w:rsidR="00151B99" w:rsidRPr="00151B99" w14:paraId="3400D6A2" w14:textId="77777777" w:rsidTr="00151B99">
        <w:trPr>
          <w:trHeight w:val="300"/>
        </w:trPr>
        <w:tc>
          <w:tcPr>
            <w:tcW w:w="850" w:type="dxa"/>
            <w:tcBorders>
              <w:top w:val="nil"/>
              <w:left w:val="nil"/>
              <w:bottom w:val="nil"/>
              <w:right w:val="nil"/>
            </w:tcBorders>
            <w:shd w:val="clear" w:color="auto" w:fill="auto"/>
            <w:vAlign w:val="center"/>
            <w:hideMark/>
          </w:tcPr>
          <w:p w14:paraId="62BAC8FB" w14:textId="77777777" w:rsidR="00151B99" w:rsidRPr="00151B99" w:rsidRDefault="00151B99" w:rsidP="00151B99">
            <w:pPr>
              <w:spacing w:after="0" w:line="240" w:lineRule="auto"/>
              <w:jc w:val="center"/>
              <w:rPr>
                <w:rFonts w:cs="Arial"/>
                <w:color w:val="000000"/>
                <w:sz w:val="16"/>
                <w:szCs w:val="16"/>
              </w:rPr>
            </w:pPr>
            <w:r w:rsidRPr="00151B99">
              <w:rPr>
                <w:rFonts w:cs="Arial"/>
                <w:color w:val="000000"/>
                <w:sz w:val="16"/>
                <w:szCs w:val="16"/>
              </w:rPr>
              <w:t>2014</w:t>
            </w:r>
          </w:p>
        </w:tc>
        <w:tc>
          <w:tcPr>
            <w:tcW w:w="960" w:type="dxa"/>
            <w:tcBorders>
              <w:top w:val="nil"/>
              <w:left w:val="single" w:sz="4" w:space="0" w:color="auto"/>
              <w:bottom w:val="nil"/>
              <w:right w:val="nil"/>
            </w:tcBorders>
            <w:shd w:val="clear" w:color="auto" w:fill="auto"/>
            <w:vAlign w:val="center"/>
            <w:hideMark/>
          </w:tcPr>
          <w:p w14:paraId="32BD3B46"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4 464,1</w:t>
            </w:r>
          </w:p>
        </w:tc>
        <w:tc>
          <w:tcPr>
            <w:tcW w:w="960" w:type="dxa"/>
            <w:tcBorders>
              <w:top w:val="nil"/>
              <w:left w:val="nil"/>
              <w:bottom w:val="nil"/>
              <w:right w:val="nil"/>
            </w:tcBorders>
            <w:shd w:val="clear" w:color="auto" w:fill="auto"/>
            <w:vAlign w:val="center"/>
            <w:hideMark/>
          </w:tcPr>
          <w:p w14:paraId="2097AA19"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2 272,9</w:t>
            </w:r>
          </w:p>
        </w:tc>
        <w:tc>
          <w:tcPr>
            <w:tcW w:w="960" w:type="dxa"/>
            <w:tcBorders>
              <w:top w:val="nil"/>
              <w:left w:val="nil"/>
              <w:bottom w:val="nil"/>
              <w:right w:val="single" w:sz="4" w:space="0" w:color="auto"/>
            </w:tcBorders>
            <w:shd w:val="clear" w:color="auto" w:fill="auto"/>
            <w:vAlign w:val="center"/>
            <w:hideMark/>
          </w:tcPr>
          <w:p w14:paraId="7565475D"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2 191,2</w:t>
            </w:r>
          </w:p>
        </w:tc>
        <w:tc>
          <w:tcPr>
            <w:tcW w:w="1060" w:type="dxa"/>
            <w:tcBorders>
              <w:top w:val="nil"/>
              <w:left w:val="nil"/>
              <w:bottom w:val="nil"/>
              <w:right w:val="nil"/>
            </w:tcBorders>
            <w:shd w:val="clear" w:color="auto" w:fill="auto"/>
            <w:vAlign w:val="center"/>
            <w:hideMark/>
          </w:tcPr>
          <w:p w14:paraId="496FA329"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4 358,3</w:t>
            </w:r>
          </w:p>
        </w:tc>
        <w:tc>
          <w:tcPr>
            <w:tcW w:w="960" w:type="dxa"/>
            <w:tcBorders>
              <w:top w:val="nil"/>
              <w:left w:val="nil"/>
              <w:bottom w:val="nil"/>
              <w:right w:val="nil"/>
            </w:tcBorders>
            <w:shd w:val="clear" w:color="auto" w:fill="auto"/>
            <w:vAlign w:val="center"/>
            <w:hideMark/>
          </w:tcPr>
          <w:p w14:paraId="5AD336C8"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2 207,8</w:t>
            </w:r>
          </w:p>
        </w:tc>
        <w:tc>
          <w:tcPr>
            <w:tcW w:w="960" w:type="dxa"/>
            <w:tcBorders>
              <w:top w:val="nil"/>
              <w:left w:val="nil"/>
              <w:bottom w:val="nil"/>
              <w:right w:val="single" w:sz="4" w:space="0" w:color="auto"/>
            </w:tcBorders>
            <w:shd w:val="clear" w:color="auto" w:fill="auto"/>
            <w:vAlign w:val="center"/>
            <w:hideMark/>
          </w:tcPr>
          <w:p w14:paraId="73E97D28"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2 150,6</w:t>
            </w:r>
          </w:p>
        </w:tc>
        <w:tc>
          <w:tcPr>
            <w:tcW w:w="960" w:type="dxa"/>
            <w:tcBorders>
              <w:top w:val="nil"/>
              <w:left w:val="nil"/>
              <w:bottom w:val="nil"/>
              <w:right w:val="nil"/>
            </w:tcBorders>
            <w:shd w:val="clear" w:color="auto" w:fill="auto"/>
            <w:vAlign w:val="center"/>
            <w:hideMark/>
          </w:tcPr>
          <w:p w14:paraId="5F7353F3"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105,7</w:t>
            </w:r>
          </w:p>
        </w:tc>
        <w:tc>
          <w:tcPr>
            <w:tcW w:w="1060" w:type="dxa"/>
            <w:tcBorders>
              <w:top w:val="nil"/>
              <w:left w:val="nil"/>
              <w:bottom w:val="nil"/>
              <w:right w:val="nil"/>
            </w:tcBorders>
            <w:shd w:val="clear" w:color="auto" w:fill="auto"/>
            <w:vAlign w:val="center"/>
            <w:hideMark/>
          </w:tcPr>
          <w:p w14:paraId="66688B2F"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65,1</w:t>
            </w:r>
          </w:p>
        </w:tc>
        <w:tc>
          <w:tcPr>
            <w:tcW w:w="960" w:type="dxa"/>
            <w:tcBorders>
              <w:top w:val="nil"/>
              <w:left w:val="nil"/>
              <w:bottom w:val="nil"/>
              <w:right w:val="nil"/>
            </w:tcBorders>
            <w:shd w:val="clear" w:color="auto" w:fill="auto"/>
            <w:vAlign w:val="center"/>
            <w:hideMark/>
          </w:tcPr>
          <w:p w14:paraId="53B07838"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40,6</w:t>
            </w:r>
          </w:p>
        </w:tc>
      </w:tr>
      <w:tr w:rsidR="00151B99" w:rsidRPr="00151B99" w14:paraId="59FBBD0C" w14:textId="77777777" w:rsidTr="00151B99">
        <w:trPr>
          <w:trHeight w:val="300"/>
        </w:trPr>
        <w:tc>
          <w:tcPr>
            <w:tcW w:w="850" w:type="dxa"/>
            <w:tcBorders>
              <w:top w:val="nil"/>
              <w:left w:val="nil"/>
              <w:bottom w:val="nil"/>
              <w:right w:val="nil"/>
            </w:tcBorders>
            <w:shd w:val="clear" w:color="auto" w:fill="auto"/>
            <w:vAlign w:val="center"/>
            <w:hideMark/>
          </w:tcPr>
          <w:p w14:paraId="1F36D9F9" w14:textId="77777777" w:rsidR="00151B99" w:rsidRPr="00151B99" w:rsidRDefault="00151B99" w:rsidP="00151B99">
            <w:pPr>
              <w:spacing w:after="0" w:line="240" w:lineRule="auto"/>
              <w:jc w:val="center"/>
              <w:rPr>
                <w:rFonts w:cs="Arial"/>
                <w:color w:val="000000"/>
                <w:sz w:val="16"/>
                <w:szCs w:val="16"/>
              </w:rPr>
            </w:pPr>
            <w:r w:rsidRPr="00151B99">
              <w:rPr>
                <w:rFonts w:cs="Arial"/>
                <w:color w:val="000000"/>
                <w:sz w:val="16"/>
                <w:szCs w:val="16"/>
              </w:rPr>
              <w:t>2015</w:t>
            </w:r>
          </w:p>
        </w:tc>
        <w:tc>
          <w:tcPr>
            <w:tcW w:w="960" w:type="dxa"/>
            <w:tcBorders>
              <w:top w:val="nil"/>
              <w:left w:val="single" w:sz="4" w:space="0" w:color="auto"/>
              <w:bottom w:val="nil"/>
              <w:right w:val="nil"/>
            </w:tcBorders>
            <w:shd w:val="clear" w:color="auto" w:fill="auto"/>
            <w:vAlign w:val="center"/>
            <w:hideMark/>
          </w:tcPr>
          <w:p w14:paraId="1654E61F"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4 507,0</w:t>
            </w:r>
          </w:p>
        </w:tc>
        <w:tc>
          <w:tcPr>
            <w:tcW w:w="960" w:type="dxa"/>
            <w:tcBorders>
              <w:top w:val="nil"/>
              <w:left w:val="nil"/>
              <w:bottom w:val="nil"/>
              <w:right w:val="nil"/>
            </w:tcBorders>
            <w:shd w:val="clear" w:color="auto" w:fill="auto"/>
            <w:vAlign w:val="center"/>
            <w:hideMark/>
          </w:tcPr>
          <w:p w14:paraId="520D03BC"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2 301,3</w:t>
            </w:r>
          </w:p>
        </w:tc>
        <w:tc>
          <w:tcPr>
            <w:tcW w:w="960" w:type="dxa"/>
            <w:tcBorders>
              <w:top w:val="nil"/>
              <w:left w:val="nil"/>
              <w:bottom w:val="nil"/>
              <w:right w:val="single" w:sz="4" w:space="0" w:color="auto"/>
            </w:tcBorders>
            <w:shd w:val="clear" w:color="auto" w:fill="auto"/>
            <w:vAlign w:val="center"/>
            <w:hideMark/>
          </w:tcPr>
          <w:p w14:paraId="58552048"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2 205,7</w:t>
            </w:r>
          </w:p>
        </w:tc>
        <w:tc>
          <w:tcPr>
            <w:tcW w:w="1060" w:type="dxa"/>
            <w:tcBorders>
              <w:top w:val="nil"/>
              <w:left w:val="nil"/>
              <w:bottom w:val="nil"/>
              <w:right w:val="nil"/>
            </w:tcBorders>
            <w:shd w:val="clear" w:color="auto" w:fill="auto"/>
            <w:vAlign w:val="center"/>
            <w:hideMark/>
          </w:tcPr>
          <w:p w14:paraId="54C453F4"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4 417,6</w:t>
            </w:r>
          </w:p>
        </w:tc>
        <w:tc>
          <w:tcPr>
            <w:tcW w:w="960" w:type="dxa"/>
            <w:tcBorders>
              <w:top w:val="nil"/>
              <w:left w:val="nil"/>
              <w:bottom w:val="nil"/>
              <w:right w:val="nil"/>
            </w:tcBorders>
            <w:shd w:val="clear" w:color="auto" w:fill="auto"/>
            <w:vAlign w:val="center"/>
            <w:hideMark/>
          </w:tcPr>
          <w:p w14:paraId="0AD5A3C4"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2 252,8</w:t>
            </w:r>
          </w:p>
        </w:tc>
        <w:tc>
          <w:tcPr>
            <w:tcW w:w="960" w:type="dxa"/>
            <w:tcBorders>
              <w:top w:val="nil"/>
              <w:left w:val="nil"/>
              <w:bottom w:val="nil"/>
              <w:right w:val="single" w:sz="4" w:space="0" w:color="auto"/>
            </w:tcBorders>
            <w:shd w:val="clear" w:color="auto" w:fill="auto"/>
            <w:vAlign w:val="center"/>
            <w:hideMark/>
          </w:tcPr>
          <w:p w14:paraId="40F84DCD"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2 164,8</w:t>
            </w:r>
          </w:p>
        </w:tc>
        <w:tc>
          <w:tcPr>
            <w:tcW w:w="960" w:type="dxa"/>
            <w:tcBorders>
              <w:top w:val="nil"/>
              <w:left w:val="nil"/>
              <w:bottom w:val="nil"/>
              <w:right w:val="nil"/>
            </w:tcBorders>
            <w:shd w:val="clear" w:color="auto" w:fill="auto"/>
            <w:vAlign w:val="center"/>
            <w:hideMark/>
          </w:tcPr>
          <w:p w14:paraId="10CD82C6"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89,4</w:t>
            </w:r>
          </w:p>
        </w:tc>
        <w:tc>
          <w:tcPr>
            <w:tcW w:w="1060" w:type="dxa"/>
            <w:tcBorders>
              <w:top w:val="nil"/>
              <w:left w:val="nil"/>
              <w:bottom w:val="nil"/>
              <w:right w:val="nil"/>
            </w:tcBorders>
            <w:shd w:val="clear" w:color="auto" w:fill="auto"/>
            <w:vAlign w:val="center"/>
            <w:hideMark/>
          </w:tcPr>
          <w:p w14:paraId="371E9C7A"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48,5</w:t>
            </w:r>
          </w:p>
        </w:tc>
        <w:tc>
          <w:tcPr>
            <w:tcW w:w="960" w:type="dxa"/>
            <w:tcBorders>
              <w:top w:val="nil"/>
              <w:left w:val="nil"/>
              <w:bottom w:val="nil"/>
              <w:right w:val="nil"/>
            </w:tcBorders>
            <w:shd w:val="clear" w:color="auto" w:fill="auto"/>
            <w:vAlign w:val="center"/>
            <w:hideMark/>
          </w:tcPr>
          <w:p w14:paraId="2C65D727"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40,9</w:t>
            </w:r>
          </w:p>
        </w:tc>
      </w:tr>
      <w:tr w:rsidR="00151B99" w:rsidRPr="00151B99" w14:paraId="07509211" w14:textId="77777777" w:rsidTr="00151B99">
        <w:trPr>
          <w:trHeight w:val="300"/>
        </w:trPr>
        <w:tc>
          <w:tcPr>
            <w:tcW w:w="850" w:type="dxa"/>
            <w:tcBorders>
              <w:top w:val="nil"/>
              <w:left w:val="nil"/>
              <w:bottom w:val="nil"/>
              <w:right w:val="nil"/>
            </w:tcBorders>
            <w:shd w:val="clear" w:color="auto" w:fill="auto"/>
            <w:vAlign w:val="center"/>
            <w:hideMark/>
          </w:tcPr>
          <w:p w14:paraId="299052F2" w14:textId="77777777" w:rsidR="00151B99" w:rsidRPr="00151B99" w:rsidRDefault="00151B99" w:rsidP="00151B99">
            <w:pPr>
              <w:spacing w:after="0" w:line="240" w:lineRule="auto"/>
              <w:jc w:val="center"/>
              <w:rPr>
                <w:rFonts w:cs="Arial"/>
                <w:color w:val="000000"/>
                <w:sz w:val="16"/>
                <w:szCs w:val="16"/>
              </w:rPr>
            </w:pPr>
            <w:r w:rsidRPr="00151B99">
              <w:rPr>
                <w:rFonts w:cs="Arial"/>
                <w:color w:val="000000"/>
                <w:sz w:val="16"/>
                <w:szCs w:val="16"/>
              </w:rPr>
              <w:t>2016</w:t>
            </w:r>
          </w:p>
        </w:tc>
        <w:tc>
          <w:tcPr>
            <w:tcW w:w="960" w:type="dxa"/>
            <w:tcBorders>
              <w:top w:val="nil"/>
              <w:left w:val="single" w:sz="4" w:space="0" w:color="auto"/>
              <w:bottom w:val="nil"/>
              <w:right w:val="nil"/>
            </w:tcBorders>
            <w:shd w:val="clear" w:color="auto" w:fill="auto"/>
            <w:vAlign w:val="center"/>
            <w:hideMark/>
          </w:tcPr>
          <w:p w14:paraId="20CAE2BC"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4 571,3</w:t>
            </w:r>
          </w:p>
        </w:tc>
        <w:tc>
          <w:tcPr>
            <w:tcW w:w="960" w:type="dxa"/>
            <w:tcBorders>
              <w:top w:val="nil"/>
              <w:left w:val="nil"/>
              <w:bottom w:val="nil"/>
              <w:right w:val="nil"/>
            </w:tcBorders>
            <w:shd w:val="clear" w:color="auto" w:fill="auto"/>
            <w:vAlign w:val="center"/>
            <w:hideMark/>
          </w:tcPr>
          <w:p w14:paraId="22691174"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2 328,5</w:t>
            </w:r>
          </w:p>
        </w:tc>
        <w:tc>
          <w:tcPr>
            <w:tcW w:w="960" w:type="dxa"/>
            <w:tcBorders>
              <w:top w:val="nil"/>
              <w:left w:val="nil"/>
              <w:bottom w:val="nil"/>
              <w:right w:val="single" w:sz="4" w:space="0" w:color="auto"/>
            </w:tcBorders>
            <w:shd w:val="clear" w:color="auto" w:fill="auto"/>
            <w:vAlign w:val="center"/>
            <w:hideMark/>
          </w:tcPr>
          <w:p w14:paraId="33CF49BC"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2 242,8</w:t>
            </w:r>
          </w:p>
        </w:tc>
        <w:tc>
          <w:tcPr>
            <w:tcW w:w="1060" w:type="dxa"/>
            <w:tcBorders>
              <w:top w:val="nil"/>
              <w:left w:val="nil"/>
              <w:bottom w:val="nil"/>
              <w:right w:val="nil"/>
            </w:tcBorders>
            <w:shd w:val="clear" w:color="auto" w:fill="auto"/>
            <w:vAlign w:val="center"/>
            <w:hideMark/>
          </w:tcPr>
          <w:p w14:paraId="324C8CC9"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4 481,8</w:t>
            </w:r>
          </w:p>
        </w:tc>
        <w:tc>
          <w:tcPr>
            <w:tcW w:w="960" w:type="dxa"/>
            <w:tcBorders>
              <w:top w:val="nil"/>
              <w:left w:val="nil"/>
              <w:bottom w:val="nil"/>
              <w:right w:val="nil"/>
            </w:tcBorders>
            <w:shd w:val="clear" w:color="auto" w:fill="auto"/>
            <w:vAlign w:val="center"/>
            <w:hideMark/>
          </w:tcPr>
          <w:p w14:paraId="3DC1CC8B"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2 273,5</w:t>
            </w:r>
          </w:p>
        </w:tc>
        <w:tc>
          <w:tcPr>
            <w:tcW w:w="960" w:type="dxa"/>
            <w:tcBorders>
              <w:top w:val="nil"/>
              <w:left w:val="nil"/>
              <w:bottom w:val="nil"/>
              <w:right w:val="single" w:sz="4" w:space="0" w:color="auto"/>
            </w:tcBorders>
            <w:shd w:val="clear" w:color="auto" w:fill="auto"/>
            <w:vAlign w:val="center"/>
            <w:hideMark/>
          </w:tcPr>
          <w:p w14:paraId="4ED0BBF3"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2 208,3</w:t>
            </w:r>
          </w:p>
        </w:tc>
        <w:tc>
          <w:tcPr>
            <w:tcW w:w="960" w:type="dxa"/>
            <w:tcBorders>
              <w:top w:val="nil"/>
              <w:left w:val="nil"/>
              <w:bottom w:val="nil"/>
              <w:right w:val="nil"/>
            </w:tcBorders>
            <w:shd w:val="clear" w:color="auto" w:fill="auto"/>
            <w:vAlign w:val="center"/>
            <w:hideMark/>
          </w:tcPr>
          <w:p w14:paraId="38C72FBF"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89,5</w:t>
            </w:r>
          </w:p>
        </w:tc>
        <w:tc>
          <w:tcPr>
            <w:tcW w:w="1060" w:type="dxa"/>
            <w:tcBorders>
              <w:top w:val="nil"/>
              <w:left w:val="nil"/>
              <w:bottom w:val="nil"/>
              <w:right w:val="nil"/>
            </w:tcBorders>
            <w:shd w:val="clear" w:color="auto" w:fill="auto"/>
            <w:vAlign w:val="center"/>
            <w:hideMark/>
          </w:tcPr>
          <w:p w14:paraId="4C7F7D64"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55,0</w:t>
            </w:r>
          </w:p>
        </w:tc>
        <w:tc>
          <w:tcPr>
            <w:tcW w:w="960" w:type="dxa"/>
            <w:tcBorders>
              <w:top w:val="nil"/>
              <w:left w:val="nil"/>
              <w:bottom w:val="nil"/>
              <w:right w:val="nil"/>
            </w:tcBorders>
            <w:shd w:val="clear" w:color="auto" w:fill="auto"/>
            <w:vAlign w:val="center"/>
            <w:hideMark/>
          </w:tcPr>
          <w:p w14:paraId="51FA3859"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34,5</w:t>
            </w:r>
          </w:p>
        </w:tc>
      </w:tr>
      <w:tr w:rsidR="00151B99" w:rsidRPr="00151B99" w14:paraId="188DF398" w14:textId="77777777" w:rsidTr="00151B99">
        <w:trPr>
          <w:trHeight w:val="300"/>
        </w:trPr>
        <w:tc>
          <w:tcPr>
            <w:tcW w:w="850" w:type="dxa"/>
            <w:tcBorders>
              <w:top w:val="nil"/>
              <w:left w:val="nil"/>
              <w:bottom w:val="nil"/>
              <w:right w:val="nil"/>
            </w:tcBorders>
            <w:shd w:val="clear" w:color="auto" w:fill="auto"/>
            <w:vAlign w:val="center"/>
            <w:hideMark/>
          </w:tcPr>
          <w:p w14:paraId="39004096" w14:textId="77777777" w:rsidR="00151B99" w:rsidRPr="00151B99" w:rsidRDefault="00151B99" w:rsidP="00151B99">
            <w:pPr>
              <w:spacing w:after="0" w:line="240" w:lineRule="auto"/>
              <w:jc w:val="center"/>
              <w:rPr>
                <w:rFonts w:cs="Arial"/>
                <w:color w:val="000000"/>
                <w:sz w:val="16"/>
                <w:szCs w:val="16"/>
              </w:rPr>
            </w:pPr>
            <w:r w:rsidRPr="00151B99">
              <w:rPr>
                <w:rFonts w:cs="Arial"/>
                <w:color w:val="000000"/>
                <w:sz w:val="16"/>
                <w:szCs w:val="16"/>
              </w:rPr>
              <w:t>2017</w:t>
            </w:r>
          </w:p>
        </w:tc>
        <w:tc>
          <w:tcPr>
            <w:tcW w:w="960" w:type="dxa"/>
            <w:tcBorders>
              <w:top w:val="nil"/>
              <w:left w:val="single" w:sz="4" w:space="0" w:color="auto"/>
              <w:bottom w:val="nil"/>
              <w:right w:val="nil"/>
            </w:tcBorders>
            <w:shd w:val="clear" w:color="auto" w:fill="auto"/>
            <w:vAlign w:val="center"/>
            <w:hideMark/>
          </w:tcPr>
          <w:p w14:paraId="59BA8CFD"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4 671,8</w:t>
            </w:r>
          </w:p>
        </w:tc>
        <w:tc>
          <w:tcPr>
            <w:tcW w:w="960" w:type="dxa"/>
            <w:tcBorders>
              <w:top w:val="nil"/>
              <w:left w:val="nil"/>
              <w:bottom w:val="nil"/>
              <w:right w:val="nil"/>
            </w:tcBorders>
            <w:shd w:val="clear" w:color="auto" w:fill="auto"/>
            <w:vAlign w:val="center"/>
            <w:hideMark/>
          </w:tcPr>
          <w:p w14:paraId="64BF9F39"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2 370,0</w:t>
            </w:r>
          </w:p>
        </w:tc>
        <w:tc>
          <w:tcPr>
            <w:tcW w:w="960" w:type="dxa"/>
            <w:tcBorders>
              <w:top w:val="nil"/>
              <w:left w:val="nil"/>
              <w:bottom w:val="nil"/>
              <w:right w:val="single" w:sz="4" w:space="0" w:color="auto"/>
            </w:tcBorders>
            <w:shd w:val="clear" w:color="auto" w:fill="auto"/>
            <w:vAlign w:val="center"/>
            <w:hideMark/>
          </w:tcPr>
          <w:p w14:paraId="264C3B54"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2 301,8</w:t>
            </w:r>
          </w:p>
        </w:tc>
        <w:tc>
          <w:tcPr>
            <w:tcW w:w="1060" w:type="dxa"/>
            <w:tcBorders>
              <w:top w:val="nil"/>
              <w:left w:val="nil"/>
              <w:bottom w:val="nil"/>
              <w:right w:val="nil"/>
            </w:tcBorders>
            <w:shd w:val="clear" w:color="auto" w:fill="auto"/>
            <w:vAlign w:val="center"/>
            <w:hideMark/>
          </w:tcPr>
          <w:p w14:paraId="558CD563"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4 582,2</w:t>
            </w:r>
          </w:p>
        </w:tc>
        <w:tc>
          <w:tcPr>
            <w:tcW w:w="960" w:type="dxa"/>
            <w:tcBorders>
              <w:top w:val="nil"/>
              <w:left w:val="nil"/>
              <w:bottom w:val="nil"/>
              <w:right w:val="nil"/>
            </w:tcBorders>
            <w:shd w:val="clear" w:color="auto" w:fill="auto"/>
            <w:vAlign w:val="center"/>
            <w:hideMark/>
          </w:tcPr>
          <w:p w14:paraId="16E328EF"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2 315,8</w:t>
            </w:r>
          </w:p>
        </w:tc>
        <w:tc>
          <w:tcPr>
            <w:tcW w:w="960" w:type="dxa"/>
            <w:tcBorders>
              <w:top w:val="nil"/>
              <w:left w:val="nil"/>
              <w:bottom w:val="nil"/>
              <w:right w:val="single" w:sz="4" w:space="0" w:color="auto"/>
            </w:tcBorders>
            <w:shd w:val="clear" w:color="auto" w:fill="auto"/>
            <w:vAlign w:val="center"/>
            <w:hideMark/>
          </w:tcPr>
          <w:p w14:paraId="23A616DE"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2 266,4</w:t>
            </w:r>
          </w:p>
        </w:tc>
        <w:tc>
          <w:tcPr>
            <w:tcW w:w="960" w:type="dxa"/>
            <w:tcBorders>
              <w:top w:val="nil"/>
              <w:left w:val="nil"/>
              <w:bottom w:val="nil"/>
              <w:right w:val="nil"/>
            </w:tcBorders>
            <w:shd w:val="clear" w:color="auto" w:fill="auto"/>
            <w:vAlign w:val="center"/>
            <w:hideMark/>
          </w:tcPr>
          <w:p w14:paraId="35C80569"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89,7</w:t>
            </w:r>
          </w:p>
        </w:tc>
        <w:tc>
          <w:tcPr>
            <w:tcW w:w="1060" w:type="dxa"/>
            <w:tcBorders>
              <w:top w:val="nil"/>
              <w:left w:val="nil"/>
              <w:bottom w:val="nil"/>
              <w:right w:val="nil"/>
            </w:tcBorders>
            <w:shd w:val="clear" w:color="auto" w:fill="auto"/>
            <w:vAlign w:val="center"/>
            <w:hideMark/>
          </w:tcPr>
          <w:p w14:paraId="558460EA"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54,2</w:t>
            </w:r>
          </w:p>
        </w:tc>
        <w:tc>
          <w:tcPr>
            <w:tcW w:w="960" w:type="dxa"/>
            <w:tcBorders>
              <w:top w:val="nil"/>
              <w:left w:val="nil"/>
              <w:bottom w:val="nil"/>
              <w:right w:val="nil"/>
            </w:tcBorders>
            <w:shd w:val="clear" w:color="auto" w:fill="auto"/>
            <w:vAlign w:val="center"/>
            <w:hideMark/>
          </w:tcPr>
          <w:p w14:paraId="5286CDB1"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35,4</w:t>
            </w:r>
          </w:p>
        </w:tc>
      </w:tr>
      <w:tr w:rsidR="00151B99" w:rsidRPr="00151B99" w14:paraId="4CC38F38" w14:textId="77777777" w:rsidTr="00151B99">
        <w:trPr>
          <w:trHeight w:val="300"/>
        </w:trPr>
        <w:tc>
          <w:tcPr>
            <w:tcW w:w="850" w:type="dxa"/>
            <w:tcBorders>
              <w:top w:val="nil"/>
              <w:left w:val="nil"/>
              <w:bottom w:val="nil"/>
              <w:right w:val="nil"/>
            </w:tcBorders>
            <w:shd w:val="clear" w:color="auto" w:fill="auto"/>
            <w:vAlign w:val="center"/>
            <w:hideMark/>
          </w:tcPr>
          <w:p w14:paraId="18C6BE1A" w14:textId="77777777" w:rsidR="00151B99" w:rsidRPr="00151B99" w:rsidRDefault="00151B99" w:rsidP="00151B99">
            <w:pPr>
              <w:spacing w:after="0" w:line="240" w:lineRule="auto"/>
              <w:jc w:val="center"/>
              <w:rPr>
                <w:rFonts w:cs="Arial"/>
                <w:color w:val="000000"/>
                <w:sz w:val="16"/>
                <w:szCs w:val="16"/>
              </w:rPr>
            </w:pPr>
            <w:r w:rsidRPr="00151B99">
              <w:rPr>
                <w:rFonts w:cs="Arial"/>
                <w:color w:val="000000"/>
                <w:sz w:val="16"/>
                <w:szCs w:val="16"/>
              </w:rPr>
              <w:t>2018</w:t>
            </w:r>
          </w:p>
        </w:tc>
        <w:tc>
          <w:tcPr>
            <w:tcW w:w="960" w:type="dxa"/>
            <w:tcBorders>
              <w:top w:val="nil"/>
              <w:left w:val="single" w:sz="4" w:space="0" w:color="auto"/>
              <w:bottom w:val="nil"/>
              <w:right w:val="nil"/>
            </w:tcBorders>
            <w:shd w:val="clear" w:color="auto" w:fill="auto"/>
            <w:vAlign w:val="center"/>
            <w:hideMark/>
          </w:tcPr>
          <w:p w14:paraId="1B77A18C"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4 732,7</w:t>
            </w:r>
          </w:p>
        </w:tc>
        <w:tc>
          <w:tcPr>
            <w:tcW w:w="960" w:type="dxa"/>
            <w:tcBorders>
              <w:top w:val="nil"/>
              <w:left w:val="nil"/>
              <w:bottom w:val="nil"/>
              <w:right w:val="nil"/>
            </w:tcBorders>
            <w:shd w:val="clear" w:color="auto" w:fill="auto"/>
            <w:vAlign w:val="center"/>
            <w:hideMark/>
          </w:tcPr>
          <w:p w14:paraId="577D30E1"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2 391,4</w:t>
            </w:r>
          </w:p>
        </w:tc>
        <w:tc>
          <w:tcPr>
            <w:tcW w:w="960" w:type="dxa"/>
            <w:tcBorders>
              <w:top w:val="nil"/>
              <w:left w:val="nil"/>
              <w:bottom w:val="nil"/>
              <w:right w:val="single" w:sz="4" w:space="0" w:color="auto"/>
            </w:tcBorders>
            <w:shd w:val="clear" w:color="auto" w:fill="auto"/>
            <w:vAlign w:val="center"/>
            <w:hideMark/>
          </w:tcPr>
          <w:p w14:paraId="78C90A57"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2 341,3</w:t>
            </w:r>
          </w:p>
        </w:tc>
        <w:tc>
          <w:tcPr>
            <w:tcW w:w="1060" w:type="dxa"/>
            <w:tcBorders>
              <w:top w:val="nil"/>
              <w:left w:val="nil"/>
              <w:bottom w:val="nil"/>
              <w:right w:val="nil"/>
            </w:tcBorders>
            <w:shd w:val="clear" w:color="auto" w:fill="auto"/>
            <w:vAlign w:val="center"/>
            <w:hideMark/>
          </w:tcPr>
          <w:p w14:paraId="539EAD4E"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4 641,5</w:t>
            </w:r>
          </w:p>
        </w:tc>
        <w:tc>
          <w:tcPr>
            <w:tcW w:w="960" w:type="dxa"/>
            <w:tcBorders>
              <w:top w:val="nil"/>
              <w:left w:val="nil"/>
              <w:bottom w:val="nil"/>
              <w:right w:val="nil"/>
            </w:tcBorders>
            <w:shd w:val="clear" w:color="auto" w:fill="auto"/>
            <w:vAlign w:val="center"/>
            <w:hideMark/>
          </w:tcPr>
          <w:p w14:paraId="096B735D"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2 336,8</w:t>
            </w:r>
          </w:p>
        </w:tc>
        <w:tc>
          <w:tcPr>
            <w:tcW w:w="960" w:type="dxa"/>
            <w:tcBorders>
              <w:top w:val="nil"/>
              <w:left w:val="nil"/>
              <w:bottom w:val="nil"/>
              <w:right w:val="single" w:sz="4" w:space="0" w:color="auto"/>
            </w:tcBorders>
            <w:shd w:val="clear" w:color="auto" w:fill="auto"/>
            <w:vAlign w:val="center"/>
            <w:hideMark/>
          </w:tcPr>
          <w:p w14:paraId="7A356B15"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2 304,6</w:t>
            </w:r>
          </w:p>
        </w:tc>
        <w:tc>
          <w:tcPr>
            <w:tcW w:w="960" w:type="dxa"/>
            <w:tcBorders>
              <w:top w:val="nil"/>
              <w:left w:val="nil"/>
              <w:bottom w:val="nil"/>
              <w:right w:val="nil"/>
            </w:tcBorders>
            <w:shd w:val="clear" w:color="auto" w:fill="auto"/>
            <w:vAlign w:val="center"/>
            <w:hideMark/>
          </w:tcPr>
          <w:p w14:paraId="6E59FC96"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91,3</w:t>
            </w:r>
          </w:p>
        </w:tc>
        <w:tc>
          <w:tcPr>
            <w:tcW w:w="1060" w:type="dxa"/>
            <w:tcBorders>
              <w:top w:val="nil"/>
              <w:left w:val="nil"/>
              <w:bottom w:val="nil"/>
              <w:right w:val="nil"/>
            </w:tcBorders>
            <w:shd w:val="clear" w:color="auto" w:fill="auto"/>
            <w:vAlign w:val="center"/>
            <w:hideMark/>
          </w:tcPr>
          <w:p w14:paraId="0D3BFF5B"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54,5</w:t>
            </w:r>
          </w:p>
        </w:tc>
        <w:tc>
          <w:tcPr>
            <w:tcW w:w="960" w:type="dxa"/>
            <w:tcBorders>
              <w:top w:val="nil"/>
              <w:left w:val="nil"/>
              <w:bottom w:val="nil"/>
              <w:right w:val="nil"/>
            </w:tcBorders>
            <w:shd w:val="clear" w:color="auto" w:fill="auto"/>
            <w:vAlign w:val="center"/>
            <w:hideMark/>
          </w:tcPr>
          <w:p w14:paraId="51BFF916"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36,7</w:t>
            </w:r>
          </w:p>
        </w:tc>
      </w:tr>
      <w:tr w:rsidR="00151B99" w:rsidRPr="00151B99" w14:paraId="799363E1" w14:textId="77777777" w:rsidTr="00151B99">
        <w:trPr>
          <w:trHeight w:val="300"/>
        </w:trPr>
        <w:tc>
          <w:tcPr>
            <w:tcW w:w="850" w:type="dxa"/>
            <w:tcBorders>
              <w:top w:val="nil"/>
              <w:left w:val="nil"/>
              <w:bottom w:val="nil"/>
              <w:right w:val="nil"/>
            </w:tcBorders>
            <w:shd w:val="clear" w:color="auto" w:fill="auto"/>
            <w:vAlign w:val="center"/>
            <w:hideMark/>
          </w:tcPr>
          <w:p w14:paraId="055A231A" w14:textId="77777777" w:rsidR="00151B99" w:rsidRPr="00151B99" w:rsidRDefault="00151B99" w:rsidP="00151B99">
            <w:pPr>
              <w:spacing w:after="0" w:line="240" w:lineRule="auto"/>
              <w:jc w:val="center"/>
              <w:rPr>
                <w:rFonts w:cs="Arial"/>
                <w:color w:val="000000"/>
                <w:sz w:val="16"/>
                <w:szCs w:val="16"/>
              </w:rPr>
            </w:pPr>
            <w:r w:rsidRPr="00151B99">
              <w:rPr>
                <w:rFonts w:cs="Arial"/>
                <w:color w:val="000000"/>
                <w:sz w:val="16"/>
                <w:szCs w:val="16"/>
              </w:rPr>
              <w:t>2019</w:t>
            </w:r>
          </w:p>
        </w:tc>
        <w:tc>
          <w:tcPr>
            <w:tcW w:w="960" w:type="dxa"/>
            <w:tcBorders>
              <w:top w:val="nil"/>
              <w:left w:val="single" w:sz="4" w:space="0" w:color="auto"/>
              <w:bottom w:val="nil"/>
              <w:right w:val="nil"/>
            </w:tcBorders>
            <w:shd w:val="clear" w:color="auto" w:fill="auto"/>
            <w:vAlign w:val="center"/>
            <w:hideMark/>
          </w:tcPr>
          <w:p w14:paraId="6E01420F"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4 732,9</w:t>
            </w:r>
          </w:p>
        </w:tc>
        <w:tc>
          <w:tcPr>
            <w:tcW w:w="960" w:type="dxa"/>
            <w:tcBorders>
              <w:top w:val="nil"/>
              <w:left w:val="nil"/>
              <w:bottom w:val="nil"/>
              <w:right w:val="nil"/>
            </w:tcBorders>
            <w:shd w:val="clear" w:color="auto" w:fill="auto"/>
            <w:vAlign w:val="center"/>
            <w:hideMark/>
          </w:tcPr>
          <w:p w14:paraId="41501A55"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2 384,9</w:t>
            </w:r>
          </w:p>
        </w:tc>
        <w:tc>
          <w:tcPr>
            <w:tcW w:w="960" w:type="dxa"/>
            <w:tcBorders>
              <w:top w:val="nil"/>
              <w:left w:val="nil"/>
              <w:bottom w:val="nil"/>
              <w:right w:val="single" w:sz="4" w:space="0" w:color="auto"/>
            </w:tcBorders>
            <w:shd w:val="clear" w:color="auto" w:fill="auto"/>
            <w:vAlign w:val="center"/>
            <w:hideMark/>
          </w:tcPr>
          <w:p w14:paraId="390F0379"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2 348,0</w:t>
            </w:r>
          </w:p>
        </w:tc>
        <w:tc>
          <w:tcPr>
            <w:tcW w:w="1060" w:type="dxa"/>
            <w:tcBorders>
              <w:top w:val="nil"/>
              <w:left w:val="nil"/>
              <w:bottom w:val="nil"/>
              <w:right w:val="nil"/>
            </w:tcBorders>
            <w:shd w:val="clear" w:color="auto" w:fill="auto"/>
            <w:vAlign w:val="center"/>
            <w:hideMark/>
          </w:tcPr>
          <w:p w14:paraId="10051592"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4 638,5</w:t>
            </w:r>
          </w:p>
        </w:tc>
        <w:tc>
          <w:tcPr>
            <w:tcW w:w="960" w:type="dxa"/>
            <w:tcBorders>
              <w:top w:val="nil"/>
              <w:left w:val="nil"/>
              <w:bottom w:val="nil"/>
              <w:right w:val="nil"/>
            </w:tcBorders>
            <w:shd w:val="clear" w:color="auto" w:fill="auto"/>
            <w:vAlign w:val="center"/>
            <w:hideMark/>
          </w:tcPr>
          <w:p w14:paraId="2E1948FF"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2 329,4</w:t>
            </w:r>
          </w:p>
        </w:tc>
        <w:tc>
          <w:tcPr>
            <w:tcW w:w="960" w:type="dxa"/>
            <w:tcBorders>
              <w:top w:val="nil"/>
              <w:left w:val="nil"/>
              <w:bottom w:val="nil"/>
              <w:right w:val="single" w:sz="4" w:space="0" w:color="auto"/>
            </w:tcBorders>
            <w:shd w:val="clear" w:color="auto" w:fill="auto"/>
            <w:vAlign w:val="center"/>
            <w:hideMark/>
          </w:tcPr>
          <w:p w14:paraId="1B123901"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2 309,1</w:t>
            </w:r>
          </w:p>
        </w:tc>
        <w:tc>
          <w:tcPr>
            <w:tcW w:w="960" w:type="dxa"/>
            <w:tcBorders>
              <w:top w:val="nil"/>
              <w:left w:val="nil"/>
              <w:bottom w:val="nil"/>
              <w:right w:val="nil"/>
            </w:tcBorders>
            <w:shd w:val="clear" w:color="auto" w:fill="auto"/>
            <w:vAlign w:val="center"/>
            <w:hideMark/>
          </w:tcPr>
          <w:p w14:paraId="25219117"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94,4</w:t>
            </w:r>
          </w:p>
        </w:tc>
        <w:tc>
          <w:tcPr>
            <w:tcW w:w="1060" w:type="dxa"/>
            <w:tcBorders>
              <w:top w:val="nil"/>
              <w:left w:val="nil"/>
              <w:bottom w:val="nil"/>
              <w:right w:val="nil"/>
            </w:tcBorders>
            <w:shd w:val="clear" w:color="auto" w:fill="auto"/>
            <w:vAlign w:val="center"/>
            <w:hideMark/>
          </w:tcPr>
          <w:p w14:paraId="13C7DBE7"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55,5</w:t>
            </w:r>
          </w:p>
        </w:tc>
        <w:tc>
          <w:tcPr>
            <w:tcW w:w="960" w:type="dxa"/>
            <w:tcBorders>
              <w:top w:val="nil"/>
              <w:left w:val="nil"/>
              <w:bottom w:val="nil"/>
              <w:right w:val="nil"/>
            </w:tcBorders>
            <w:shd w:val="clear" w:color="auto" w:fill="auto"/>
            <w:vAlign w:val="center"/>
            <w:hideMark/>
          </w:tcPr>
          <w:p w14:paraId="754BD766"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39,0</w:t>
            </w:r>
          </w:p>
        </w:tc>
      </w:tr>
      <w:tr w:rsidR="00151B99" w:rsidRPr="00151B99" w14:paraId="6FC7BECA" w14:textId="77777777" w:rsidTr="00151B99">
        <w:trPr>
          <w:trHeight w:val="300"/>
        </w:trPr>
        <w:tc>
          <w:tcPr>
            <w:tcW w:w="850" w:type="dxa"/>
            <w:tcBorders>
              <w:top w:val="nil"/>
              <w:left w:val="nil"/>
              <w:bottom w:val="nil"/>
              <w:right w:val="nil"/>
            </w:tcBorders>
            <w:shd w:val="clear" w:color="auto" w:fill="auto"/>
            <w:vAlign w:val="center"/>
            <w:hideMark/>
          </w:tcPr>
          <w:p w14:paraId="266BAA72" w14:textId="77777777" w:rsidR="00151B99" w:rsidRPr="00151B99" w:rsidRDefault="00151B99" w:rsidP="00151B99">
            <w:pPr>
              <w:spacing w:after="0" w:line="240" w:lineRule="auto"/>
              <w:jc w:val="center"/>
              <w:rPr>
                <w:rFonts w:cs="Arial"/>
                <w:color w:val="000000"/>
                <w:sz w:val="16"/>
                <w:szCs w:val="16"/>
              </w:rPr>
            </w:pPr>
            <w:r w:rsidRPr="00151B99">
              <w:rPr>
                <w:rFonts w:cs="Arial"/>
                <w:color w:val="000000"/>
                <w:sz w:val="16"/>
                <w:szCs w:val="16"/>
              </w:rPr>
              <w:t>2020</w:t>
            </w:r>
          </w:p>
        </w:tc>
        <w:tc>
          <w:tcPr>
            <w:tcW w:w="960" w:type="dxa"/>
            <w:tcBorders>
              <w:top w:val="nil"/>
              <w:left w:val="single" w:sz="4" w:space="0" w:color="auto"/>
              <w:bottom w:val="nil"/>
              <w:right w:val="nil"/>
            </w:tcBorders>
            <w:shd w:val="clear" w:color="auto" w:fill="auto"/>
            <w:vAlign w:val="center"/>
            <w:hideMark/>
          </w:tcPr>
          <w:p w14:paraId="0B76AD10"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4 690,4</w:t>
            </w:r>
          </w:p>
        </w:tc>
        <w:tc>
          <w:tcPr>
            <w:tcW w:w="960" w:type="dxa"/>
            <w:tcBorders>
              <w:top w:val="nil"/>
              <w:left w:val="nil"/>
              <w:bottom w:val="nil"/>
              <w:right w:val="nil"/>
            </w:tcBorders>
            <w:shd w:val="clear" w:color="auto" w:fill="auto"/>
            <w:vAlign w:val="center"/>
            <w:hideMark/>
          </w:tcPr>
          <w:p w14:paraId="62D9E387"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2 354,0</w:t>
            </w:r>
          </w:p>
        </w:tc>
        <w:tc>
          <w:tcPr>
            <w:tcW w:w="960" w:type="dxa"/>
            <w:tcBorders>
              <w:top w:val="nil"/>
              <w:left w:val="nil"/>
              <w:bottom w:val="nil"/>
              <w:right w:val="single" w:sz="4" w:space="0" w:color="auto"/>
            </w:tcBorders>
            <w:shd w:val="clear" w:color="auto" w:fill="auto"/>
            <w:vAlign w:val="center"/>
            <w:hideMark/>
          </w:tcPr>
          <w:p w14:paraId="5BFA8C08"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2 336,4</w:t>
            </w:r>
          </w:p>
        </w:tc>
        <w:tc>
          <w:tcPr>
            <w:tcW w:w="1060" w:type="dxa"/>
            <w:tcBorders>
              <w:top w:val="nil"/>
              <w:left w:val="nil"/>
              <w:bottom w:val="nil"/>
              <w:right w:val="nil"/>
            </w:tcBorders>
            <w:shd w:val="clear" w:color="auto" w:fill="auto"/>
            <w:vAlign w:val="center"/>
            <w:hideMark/>
          </w:tcPr>
          <w:p w14:paraId="35DAEE84"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4 594,7</w:t>
            </w:r>
          </w:p>
        </w:tc>
        <w:tc>
          <w:tcPr>
            <w:tcW w:w="960" w:type="dxa"/>
            <w:tcBorders>
              <w:top w:val="nil"/>
              <w:left w:val="nil"/>
              <w:bottom w:val="nil"/>
              <w:right w:val="nil"/>
            </w:tcBorders>
            <w:shd w:val="clear" w:color="auto" w:fill="auto"/>
            <w:vAlign w:val="center"/>
            <w:hideMark/>
          </w:tcPr>
          <w:p w14:paraId="2AFD0F1A"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2 298,4</w:t>
            </w:r>
          </w:p>
        </w:tc>
        <w:tc>
          <w:tcPr>
            <w:tcW w:w="960" w:type="dxa"/>
            <w:tcBorders>
              <w:top w:val="nil"/>
              <w:left w:val="nil"/>
              <w:bottom w:val="nil"/>
              <w:right w:val="single" w:sz="4" w:space="0" w:color="auto"/>
            </w:tcBorders>
            <w:shd w:val="clear" w:color="auto" w:fill="auto"/>
            <w:vAlign w:val="center"/>
            <w:hideMark/>
          </w:tcPr>
          <w:p w14:paraId="4939276B"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2 296,3</w:t>
            </w:r>
          </w:p>
        </w:tc>
        <w:tc>
          <w:tcPr>
            <w:tcW w:w="960" w:type="dxa"/>
            <w:tcBorders>
              <w:top w:val="nil"/>
              <w:left w:val="nil"/>
              <w:bottom w:val="nil"/>
              <w:right w:val="nil"/>
            </w:tcBorders>
            <w:shd w:val="clear" w:color="auto" w:fill="auto"/>
            <w:vAlign w:val="center"/>
            <w:hideMark/>
          </w:tcPr>
          <w:p w14:paraId="30AA1EF2"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95,7</w:t>
            </w:r>
          </w:p>
        </w:tc>
        <w:tc>
          <w:tcPr>
            <w:tcW w:w="1060" w:type="dxa"/>
            <w:tcBorders>
              <w:top w:val="nil"/>
              <w:left w:val="nil"/>
              <w:bottom w:val="nil"/>
              <w:right w:val="nil"/>
            </w:tcBorders>
            <w:shd w:val="clear" w:color="auto" w:fill="auto"/>
            <w:vAlign w:val="center"/>
            <w:hideMark/>
          </w:tcPr>
          <w:p w14:paraId="0971F30C"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55,5</w:t>
            </w:r>
          </w:p>
        </w:tc>
        <w:tc>
          <w:tcPr>
            <w:tcW w:w="960" w:type="dxa"/>
            <w:tcBorders>
              <w:top w:val="nil"/>
              <w:left w:val="nil"/>
              <w:bottom w:val="nil"/>
              <w:right w:val="nil"/>
            </w:tcBorders>
            <w:shd w:val="clear" w:color="auto" w:fill="auto"/>
            <w:vAlign w:val="center"/>
            <w:hideMark/>
          </w:tcPr>
          <w:p w14:paraId="7385D19F"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40,1</w:t>
            </w:r>
          </w:p>
        </w:tc>
      </w:tr>
      <w:tr w:rsidR="00151B99" w:rsidRPr="00151B99" w14:paraId="6FCA0E3A" w14:textId="77777777" w:rsidTr="00151B99">
        <w:trPr>
          <w:trHeight w:val="300"/>
        </w:trPr>
        <w:tc>
          <w:tcPr>
            <w:tcW w:w="850" w:type="dxa"/>
            <w:tcBorders>
              <w:top w:val="nil"/>
              <w:left w:val="nil"/>
              <w:bottom w:val="nil"/>
              <w:right w:val="single" w:sz="4" w:space="0" w:color="auto"/>
            </w:tcBorders>
            <w:shd w:val="clear" w:color="auto" w:fill="auto"/>
            <w:vAlign w:val="center"/>
            <w:hideMark/>
          </w:tcPr>
          <w:p w14:paraId="5CEF394D" w14:textId="77777777" w:rsidR="00151B99" w:rsidRPr="00151B99" w:rsidRDefault="00151B99" w:rsidP="00151B99">
            <w:pPr>
              <w:spacing w:after="0" w:line="240" w:lineRule="auto"/>
              <w:jc w:val="center"/>
              <w:rPr>
                <w:rFonts w:cs="Arial"/>
                <w:color w:val="000000"/>
                <w:sz w:val="16"/>
                <w:szCs w:val="16"/>
              </w:rPr>
            </w:pPr>
            <w:r w:rsidRPr="00151B99">
              <w:rPr>
                <w:rFonts w:cs="Arial"/>
                <w:color w:val="000000"/>
                <w:sz w:val="16"/>
                <w:szCs w:val="16"/>
              </w:rPr>
              <w:t>2021</w:t>
            </w:r>
          </w:p>
        </w:tc>
        <w:tc>
          <w:tcPr>
            <w:tcW w:w="960" w:type="dxa"/>
            <w:tcBorders>
              <w:top w:val="nil"/>
              <w:left w:val="nil"/>
              <w:bottom w:val="nil"/>
              <w:right w:val="nil"/>
            </w:tcBorders>
            <w:shd w:val="clear" w:color="auto" w:fill="auto"/>
            <w:noWrap/>
            <w:vAlign w:val="center"/>
            <w:hideMark/>
          </w:tcPr>
          <w:p w14:paraId="60762ACB"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4 708,2</w:t>
            </w:r>
          </w:p>
        </w:tc>
        <w:tc>
          <w:tcPr>
            <w:tcW w:w="960" w:type="dxa"/>
            <w:tcBorders>
              <w:top w:val="nil"/>
              <w:left w:val="nil"/>
              <w:bottom w:val="nil"/>
              <w:right w:val="nil"/>
            </w:tcBorders>
            <w:shd w:val="clear" w:color="auto" w:fill="auto"/>
            <w:vAlign w:val="center"/>
            <w:hideMark/>
          </w:tcPr>
          <w:p w14:paraId="30549633"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2 354,2</w:t>
            </w:r>
          </w:p>
        </w:tc>
        <w:tc>
          <w:tcPr>
            <w:tcW w:w="960" w:type="dxa"/>
            <w:tcBorders>
              <w:top w:val="nil"/>
              <w:left w:val="nil"/>
              <w:bottom w:val="nil"/>
              <w:right w:val="single" w:sz="4" w:space="0" w:color="auto"/>
            </w:tcBorders>
            <w:shd w:val="clear" w:color="auto" w:fill="auto"/>
            <w:noWrap/>
            <w:vAlign w:val="center"/>
            <w:hideMark/>
          </w:tcPr>
          <w:p w14:paraId="3812DDF2"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2 354,0</w:t>
            </w:r>
          </w:p>
        </w:tc>
        <w:tc>
          <w:tcPr>
            <w:tcW w:w="1060" w:type="dxa"/>
            <w:tcBorders>
              <w:top w:val="nil"/>
              <w:left w:val="nil"/>
              <w:bottom w:val="nil"/>
              <w:right w:val="nil"/>
            </w:tcBorders>
            <w:shd w:val="clear" w:color="auto" w:fill="auto"/>
            <w:vAlign w:val="center"/>
            <w:hideMark/>
          </w:tcPr>
          <w:p w14:paraId="46D96854"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4 609,6</w:t>
            </w:r>
          </w:p>
        </w:tc>
        <w:tc>
          <w:tcPr>
            <w:tcW w:w="960" w:type="dxa"/>
            <w:tcBorders>
              <w:top w:val="nil"/>
              <w:left w:val="nil"/>
              <w:bottom w:val="nil"/>
              <w:right w:val="nil"/>
            </w:tcBorders>
            <w:shd w:val="clear" w:color="auto" w:fill="auto"/>
            <w:vAlign w:val="center"/>
            <w:hideMark/>
          </w:tcPr>
          <w:p w14:paraId="1D842912"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2 297,4</w:t>
            </w:r>
          </w:p>
        </w:tc>
        <w:tc>
          <w:tcPr>
            <w:tcW w:w="960" w:type="dxa"/>
            <w:tcBorders>
              <w:top w:val="nil"/>
              <w:left w:val="nil"/>
              <w:bottom w:val="nil"/>
              <w:right w:val="single" w:sz="4" w:space="0" w:color="auto"/>
            </w:tcBorders>
            <w:shd w:val="clear" w:color="auto" w:fill="auto"/>
            <w:vAlign w:val="center"/>
            <w:hideMark/>
          </w:tcPr>
          <w:p w14:paraId="7228671C"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2 312,2</w:t>
            </w:r>
          </w:p>
        </w:tc>
        <w:tc>
          <w:tcPr>
            <w:tcW w:w="960" w:type="dxa"/>
            <w:tcBorders>
              <w:top w:val="nil"/>
              <w:left w:val="nil"/>
              <w:bottom w:val="nil"/>
              <w:right w:val="nil"/>
            </w:tcBorders>
            <w:shd w:val="clear" w:color="auto" w:fill="auto"/>
            <w:noWrap/>
            <w:vAlign w:val="center"/>
            <w:hideMark/>
          </w:tcPr>
          <w:p w14:paraId="130899A1"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98,5</w:t>
            </w:r>
          </w:p>
        </w:tc>
        <w:tc>
          <w:tcPr>
            <w:tcW w:w="1060" w:type="dxa"/>
            <w:tcBorders>
              <w:top w:val="nil"/>
              <w:left w:val="nil"/>
              <w:bottom w:val="nil"/>
              <w:right w:val="nil"/>
            </w:tcBorders>
            <w:shd w:val="clear" w:color="auto" w:fill="auto"/>
            <w:vAlign w:val="center"/>
            <w:hideMark/>
          </w:tcPr>
          <w:p w14:paraId="4BFA8416"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56,8</w:t>
            </w:r>
          </w:p>
        </w:tc>
        <w:tc>
          <w:tcPr>
            <w:tcW w:w="960" w:type="dxa"/>
            <w:tcBorders>
              <w:top w:val="nil"/>
              <w:left w:val="nil"/>
              <w:bottom w:val="nil"/>
              <w:right w:val="nil"/>
            </w:tcBorders>
            <w:shd w:val="clear" w:color="auto" w:fill="auto"/>
            <w:noWrap/>
            <w:vAlign w:val="center"/>
            <w:hideMark/>
          </w:tcPr>
          <w:p w14:paraId="64AA2E96"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41,8</w:t>
            </w:r>
          </w:p>
        </w:tc>
      </w:tr>
      <w:tr w:rsidR="00151B99" w:rsidRPr="00151B99" w14:paraId="25E6E65D" w14:textId="77777777" w:rsidTr="00151B99">
        <w:trPr>
          <w:trHeight w:val="300"/>
        </w:trPr>
        <w:tc>
          <w:tcPr>
            <w:tcW w:w="850" w:type="dxa"/>
            <w:tcBorders>
              <w:top w:val="nil"/>
              <w:left w:val="nil"/>
              <w:bottom w:val="nil"/>
              <w:right w:val="nil"/>
            </w:tcBorders>
            <w:shd w:val="clear" w:color="auto" w:fill="auto"/>
            <w:vAlign w:val="center"/>
            <w:hideMark/>
          </w:tcPr>
          <w:p w14:paraId="3590A9D4" w14:textId="77777777" w:rsidR="00151B99" w:rsidRPr="00151B99" w:rsidRDefault="00151B99" w:rsidP="00151B99">
            <w:pPr>
              <w:spacing w:after="0" w:line="240" w:lineRule="auto"/>
              <w:jc w:val="center"/>
              <w:rPr>
                <w:rFonts w:cs="Arial"/>
                <w:color w:val="000000"/>
                <w:sz w:val="16"/>
                <w:szCs w:val="16"/>
              </w:rPr>
            </w:pPr>
            <w:r w:rsidRPr="00151B99">
              <w:rPr>
                <w:rFonts w:cs="Arial"/>
                <w:color w:val="000000"/>
                <w:sz w:val="16"/>
                <w:szCs w:val="16"/>
              </w:rPr>
              <w:t>2022</w:t>
            </w:r>
          </w:p>
        </w:tc>
        <w:tc>
          <w:tcPr>
            <w:tcW w:w="960" w:type="dxa"/>
            <w:tcBorders>
              <w:top w:val="nil"/>
              <w:left w:val="single" w:sz="4" w:space="0" w:color="auto"/>
              <w:bottom w:val="nil"/>
              <w:right w:val="nil"/>
            </w:tcBorders>
            <w:shd w:val="clear" w:color="auto" w:fill="auto"/>
            <w:noWrap/>
            <w:vAlign w:val="center"/>
            <w:hideMark/>
          </w:tcPr>
          <w:p w14:paraId="09CFED15"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4 747,9</w:t>
            </w:r>
          </w:p>
        </w:tc>
        <w:tc>
          <w:tcPr>
            <w:tcW w:w="960" w:type="dxa"/>
            <w:tcBorders>
              <w:top w:val="nil"/>
              <w:left w:val="nil"/>
              <w:bottom w:val="nil"/>
              <w:right w:val="nil"/>
            </w:tcBorders>
            <w:shd w:val="clear" w:color="auto" w:fill="auto"/>
            <w:vAlign w:val="center"/>
            <w:hideMark/>
          </w:tcPr>
          <w:p w14:paraId="08C6E18D"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2 358,5</w:t>
            </w:r>
          </w:p>
        </w:tc>
        <w:tc>
          <w:tcPr>
            <w:tcW w:w="960" w:type="dxa"/>
            <w:tcBorders>
              <w:top w:val="nil"/>
              <w:left w:val="nil"/>
              <w:bottom w:val="nil"/>
              <w:right w:val="single" w:sz="4" w:space="0" w:color="auto"/>
            </w:tcBorders>
            <w:shd w:val="clear" w:color="auto" w:fill="auto"/>
            <w:noWrap/>
            <w:vAlign w:val="center"/>
            <w:hideMark/>
          </w:tcPr>
          <w:p w14:paraId="50C78410"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2 389,4</w:t>
            </w:r>
          </w:p>
        </w:tc>
        <w:tc>
          <w:tcPr>
            <w:tcW w:w="1060" w:type="dxa"/>
            <w:tcBorders>
              <w:top w:val="nil"/>
              <w:left w:val="nil"/>
              <w:bottom w:val="nil"/>
              <w:right w:val="nil"/>
            </w:tcBorders>
            <w:shd w:val="clear" w:color="auto" w:fill="auto"/>
            <w:vAlign w:val="center"/>
            <w:hideMark/>
          </w:tcPr>
          <w:p w14:paraId="1122293D"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4 647,0</w:t>
            </w:r>
          </w:p>
        </w:tc>
        <w:tc>
          <w:tcPr>
            <w:tcW w:w="960" w:type="dxa"/>
            <w:tcBorders>
              <w:top w:val="nil"/>
              <w:left w:val="nil"/>
              <w:bottom w:val="nil"/>
              <w:right w:val="nil"/>
            </w:tcBorders>
            <w:shd w:val="clear" w:color="auto" w:fill="auto"/>
            <w:vAlign w:val="center"/>
            <w:hideMark/>
          </w:tcPr>
          <w:p w14:paraId="6694D150"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2 300,7</w:t>
            </w:r>
          </w:p>
        </w:tc>
        <w:tc>
          <w:tcPr>
            <w:tcW w:w="960" w:type="dxa"/>
            <w:tcBorders>
              <w:top w:val="nil"/>
              <w:left w:val="nil"/>
              <w:bottom w:val="nil"/>
              <w:right w:val="single" w:sz="4" w:space="0" w:color="auto"/>
            </w:tcBorders>
            <w:shd w:val="clear" w:color="auto" w:fill="auto"/>
            <w:vAlign w:val="center"/>
            <w:hideMark/>
          </w:tcPr>
          <w:p w14:paraId="762EE731"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2 346,3</w:t>
            </w:r>
          </w:p>
        </w:tc>
        <w:tc>
          <w:tcPr>
            <w:tcW w:w="960" w:type="dxa"/>
            <w:tcBorders>
              <w:top w:val="nil"/>
              <w:left w:val="nil"/>
              <w:bottom w:val="nil"/>
              <w:right w:val="nil"/>
            </w:tcBorders>
            <w:shd w:val="clear" w:color="auto" w:fill="auto"/>
            <w:noWrap/>
            <w:vAlign w:val="center"/>
            <w:hideMark/>
          </w:tcPr>
          <w:p w14:paraId="006829AE"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100,9</w:t>
            </w:r>
          </w:p>
        </w:tc>
        <w:tc>
          <w:tcPr>
            <w:tcW w:w="1060" w:type="dxa"/>
            <w:tcBorders>
              <w:top w:val="nil"/>
              <w:left w:val="nil"/>
              <w:bottom w:val="nil"/>
              <w:right w:val="nil"/>
            </w:tcBorders>
            <w:shd w:val="clear" w:color="auto" w:fill="auto"/>
            <w:vAlign w:val="center"/>
            <w:hideMark/>
          </w:tcPr>
          <w:p w14:paraId="3713BAD3"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57,8</w:t>
            </w:r>
          </w:p>
        </w:tc>
        <w:tc>
          <w:tcPr>
            <w:tcW w:w="960" w:type="dxa"/>
            <w:tcBorders>
              <w:top w:val="nil"/>
              <w:left w:val="nil"/>
              <w:bottom w:val="nil"/>
              <w:right w:val="nil"/>
            </w:tcBorders>
            <w:shd w:val="clear" w:color="auto" w:fill="auto"/>
            <w:noWrap/>
            <w:vAlign w:val="center"/>
            <w:hideMark/>
          </w:tcPr>
          <w:p w14:paraId="0AF2F67E"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43,1</w:t>
            </w:r>
          </w:p>
        </w:tc>
      </w:tr>
      <w:tr w:rsidR="00151B99" w:rsidRPr="00151B99" w14:paraId="72F8F066" w14:textId="77777777" w:rsidTr="00151B99">
        <w:trPr>
          <w:trHeight w:val="300"/>
        </w:trPr>
        <w:tc>
          <w:tcPr>
            <w:tcW w:w="850" w:type="dxa"/>
            <w:tcBorders>
              <w:top w:val="nil"/>
              <w:left w:val="nil"/>
              <w:bottom w:val="nil"/>
              <w:right w:val="nil"/>
            </w:tcBorders>
            <w:shd w:val="clear" w:color="auto" w:fill="auto"/>
            <w:vAlign w:val="center"/>
            <w:hideMark/>
          </w:tcPr>
          <w:p w14:paraId="2620462B" w14:textId="77777777" w:rsidR="00151B99" w:rsidRPr="00151B99" w:rsidRDefault="00151B99" w:rsidP="00151B99">
            <w:pPr>
              <w:spacing w:after="0" w:line="240" w:lineRule="auto"/>
              <w:jc w:val="center"/>
              <w:rPr>
                <w:rFonts w:cs="Arial"/>
                <w:color w:val="000000"/>
                <w:sz w:val="16"/>
                <w:szCs w:val="16"/>
              </w:rPr>
            </w:pPr>
            <w:r w:rsidRPr="00151B99">
              <w:rPr>
                <w:rFonts w:cs="Arial"/>
                <w:color w:val="000000"/>
                <w:sz w:val="16"/>
                <w:szCs w:val="16"/>
              </w:rPr>
              <w:t>2023</w:t>
            </w:r>
          </w:p>
        </w:tc>
        <w:tc>
          <w:tcPr>
            <w:tcW w:w="960" w:type="dxa"/>
            <w:tcBorders>
              <w:top w:val="nil"/>
              <w:left w:val="single" w:sz="4" w:space="0" w:color="auto"/>
              <w:bottom w:val="nil"/>
              <w:right w:val="nil"/>
            </w:tcBorders>
            <w:shd w:val="clear" w:color="auto" w:fill="auto"/>
            <w:noWrap/>
            <w:vAlign w:val="center"/>
            <w:hideMark/>
          </w:tcPr>
          <w:p w14:paraId="3F30A4EE"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4 766,9</w:t>
            </w:r>
          </w:p>
        </w:tc>
        <w:tc>
          <w:tcPr>
            <w:tcW w:w="960" w:type="dxa"/>
            <w:tcBorders>
              <w:top w:val="nil"/>
              <w:left w:val="nil"/>
              <w:bottom w:val="nil"/>
              <w:right w:val="nil"/>
            </w:tcBorders>
            <w:shd w:val="clear" w:color="auto" w:fill="auto"/>
            <w:vAlign w:val="center"/>
            <w:hideMark/>
          </w:tcPr>
          <w:p w14:paraId="483418F9"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2 353,9</w:t>
            </w:r>
          </w:p>
        </w:tc>
        <w:tc>
          <w:tcPr>
            <w:tcW w:w="960" w:type="dxa"/>
            <w:tcBorders>
              <w:top w:val="nil"/>
              <w:left w:val="nil"/>
              <w:bottom w:val="nil"/>
              <w:right w:val="single" w:sz="4" w:space="0" w:color="auto"/>
            </w:tcBorders>
            <w:shd w:val="clear" w:color="auto" w:fill="auto"/>
            <w:noWrap/>
            <w:vAlign w:val="center"/>
            <w:hideMark/>
          </w:tcPr>
          <w:p w14:paraId="11AEF27C"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2 413,0</w:t>
            </w:r>
          </w:p>
        </w:tc>
        <w:tc>
          <w:tcPr>
            <w:tcW w:w="1060" w:type="dxa"/>
            <w:tcBorders>
              <w:top w:val="nil"/>
              <w:left w:val="nil"/>
              <w:bottom w:val="nil"/>
              <w:right w:val="nil"/>
            </w:tcBorders>
            <w:shd w:val="clear" w:color="auto" w:fill="auto"/>
            <w:vAlign w:val="center"/>
            <w:hideMark/>
          </w:tcPr>
          <w:p w14:paraId="7F993358"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4 667,9</w:t>
            </w:r>
          </w:p>
        </w:tc>
        <w:tc>
          <w:tcPr>
            <w:tcW w:w="960" w:type="dxa"/>
            <w:tcBorders>
              <w:top w:val="nil"/>
              <w:left w:val="nil"/>
              <w:bottom w:val="nil"/>
              <w:right w:val="nil"/>
            </w:tcBorders>
            <w:shd w:val="clear" w:color="auto" w:fill="auto"/>
            <w:vAlign w:val="center"/>
            <w:hideMark/>
          </w:tcPr>
          <w:p w14:paraId="3353AEEE"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2 297,5</w:t>
            </w:r>
          </w:p>
        </w:tc>
        <w:tc>
          <w:tcPr>
            <w:tcW w:w="960" w:type="dxa"/>
            <w:tcBorders>
              <w:top w:val="nil"/>
              <w:left w:val="nil"/>
              <w:bottom w:val="nil"/>
              <w:right w:val="single" w:sz="4" w:space="0" w:color="auto"/>
            </w:tcBorders>
            <w:shd w:val="clear" w:color="auto" w:fill="auto"/>
            <w:vAlign w:val="center"/>
            <w:hideMark/>
          </w:tcPr>
          <w:p w14:paraId="2C6AB2F5"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2 370,5</w:t>
            </w:r>
          </w:p>
        </w:tc>
        <w:tc>
          <w:tcPr>
            <w:tcW w:w="960" w:type="dxa"/>
            <w:tcBorders>
              <w:top w:val="nil"/>
              <w:left w:val="nil"/>
              <w:bottom w:val="nil"/>
              <w:right w:val="nil"/>
            </w:tcBorders>
            <w:shd w:val="clear" w:color="auto" w:fill="auto"/>
            <w:noWrap/>
            <w:vAlign w:val="center"/>
            <w:hideMark/>
          </w:tcPr>
          <w:p w14:paraId="14603A52"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98,9</w:t>
            </w:r>
          </w:p>
        </w:tc>
        <w:tc>
          <w:tcPr>
            <w:tcW w:w="1060" w:type="dxa"/>
            <w:tcBorders>
              <w:top w:val="nil"/>
              <w:left w:val="nil"/>
              <w:bottom w:val="nil"/>
              <w:right w:val="nil"/>
            </w:tcBorders>
            <w:shd w:val="clear" w:color="auto" w:fill="auto"/>
            <w:vAlign w:val="center"/>
            <w:hideMark/>
          </w:tcPr>
          <w:p w14:paraId="4AAA230C"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56,4</w:t>
            </w:r>
          </w:p>
        </w:tc>
        <w:tc>
          <w:tcPr>
            <w:tcW w:w="960" w:type="dxa"/>
            <w:tcBorders>
              <w:top w:val="nil"/>
              <w:left w:val="nil"/>
              <w:bottom w:val="nil"/>
              <w:right w:val="nil"/>
            </w:tcBorders>
            <w:shd w:val="clear" w:color="auto" w:fill="auto"/>
            <w:noWrap/>
            <w:vAlign w:val="center"/>
            <w:hideMark/>
          </w:tcPr>
          <w:p w14:paraId="7C0F533B" w14:textId="77777777" w:rsidR="00151B99" w:rsidRPr="00151B99" w:rsidRDefault="00151B99" w:rsidP="00151B99">
            <w:pPr>
              <w:spacing w:after="0" w:line="240" w:lineRule="auto"/>
              <w:jc w:val="right"/>
              <w:rPr>
                <w:rFonts w:cs="Arial"/>
                <w:color w:val="000000"/>
                <w:sz w:val="16"/>
                <w:szCs w:val="16"/>
              </w:rPr>
            </w:pPr>
            <w:r w:rsidRPr="00151B99">
              <w:rPr>
                <w:rFonts w:cs="Arial"/>
                <w:color w:val="000000"/>
                <w:sz w:val="16"/>
                <w:szCs w:val="16"/>
              </w:rPr>
              <w:t>42,5</w:t>
            </w:r>
          </w:p>
        </w:tc>
      </w:tr>
    </w:tbl>
    <w:p w14:paraId="5618B9CA" w14:textId="77777777" w:rsidR="00151B99" w:rsidRDefault="00151B99" w:rsidP="00FC2CD8">
      <w:pPr>
        <w:spacing w:after="120"/>
        <w:jc w:val="both"/>
        <w:rPr>
          <w:b/>
          <w:highlight w:val="yellow"/>
        </w:rPr>
      </w:pPr>
    </w:p>
    <w:p w14:paraId="42238EE4" w14:textId="23D3DC2B" w:rsidR="00151B99" w:rsidRDefault="00151B99" w:rsidP="00151B99">
      <w:pPr>
        <w:spacing w:before="120" w:after="120"/>
        <w:jc w:val="both"/>
        <w:rPr>
          <w:rFonts w:cs="Arial"/>
          <w:bCs/>
          <w:color w:val="000000"/>
          <w:sz w:val="16"/>
          <w:szCs w:val="20"/>
        </w:rPr>
      </w:pPr>
      <w:r w:rsidRPr="00DA421C">
        <w:rPr>
          <w:rFonts w:cs="Arial"/>
          <w:bCs/>
          <w:color w:val="000000"/>
          <w:sz w:val="16"/>
          <w:szCs w:val="20"/>
        </w:rPr>
        <w:t>Zdroj: ČSÚ</w:t>
      </w:r>
    </w:p>
    <w:p w14:paraId="173BD82D" w14:textId="3C81527A" w:rsidR="005D381C" w:rsidRPr="00251BF8" w:rsidRDefault="005D381C" w:rsidP="005D381C">
      <w:pPr>
        <w:spacing w:after="120"/>
        <w:jc w:val="both"/>
      </w:pPr>
      <w:r w:rsidRPr="00251BF8">
        <w:lastRenderedPageBreak/>
        <w:t xml:space="preserve">Počet </w:t>
      </w:r>
      <w:r w:rsidRPr="00251BF8">
        <w:rPr>
          <w:b/>
        </w:rPr>
        <w:t xml:space="preserve">dobrovolně </w:t>
      </w:r>
      <w:proofErr w:type="spellStart"/>
      <w:r w:rsidRPr="00251BF8">
        <w:rPr>
          <w:b/>
        </w:rPr>
        <w:t>nemocensky</w:t>
      </w:r>
      <w:proofErr w:type="spellEnd"/>
      <w:r w:rsidRPr="00251BF8">
        <w:rPr>
          <w:b/>
        </w:rPr>
        <w:t xml:space="preserve"> pojištěných</w:t>
      </w:r>
      <w:r w:rsidRPr="00251BF8">
        <w:t xml:space="preserve"> – tedy </w:t>
      </w:r>
      <w:r w:rsidRPr="00251BF8">
        <w:rPr>
          <w:b/>
        </w:rPr>
        <w:t>osob samostatně výdělečně činných</w:t>
      </w:r>
      <w:r w:rsidRPr="00251BF8">
        <w:t xml:space="preserve"> </w:t>
      </w:r>
      <w:r w:rsidRPr="00251BF8">
        <w:rPr>
          <w:b/>
        </w:rPr>
        <w:t>(OSVČ)</w:t>
      </w:r>
      <w:r w:rsidRPr="00251BF8">
        <w:t xml:space="preserve"> </w:t>
      </w:r>
      <w:r w:rsidRPr="00251BF8">
        <w:br/>
        <w:t xml:space="preserve">– </w:t>
      </w:r>
      <w:r w:rsidR="002C730B" w:rsidRPr="00251BF8">
        <w:t>meziročně o necelé 2 tis. (2 %) klesl na hodnotu 99 tis. P</w:t>
      </w:r>
      <w:r w:rsidRPr="00251BF8">
        <w:t xml:space="preserve">odíl pojištěných OSVČ na celkovém počtu OSVČ vykonávajících hlavní činnost </w:t>
      </w:r>
      <w:r w:rsidR="00383865" w:rsidRPr="00251BF8">
        <w:t xml:space="preserve">přestavoval </w:t>
      </w:r>
      <w:r w:rsidRPr="00251BF8">
        <w:t>necelých 1</w:t>
      </w:r>
      <w:r w:rsidR="00383865" w:rsidRPr="00251BF8">
        <w:t>5</w:t>
      </w:r>
      <w:r w:rsidRPr="00251BF8">
        <w:t xml:space="preserve"> %. Muži </w:t>
      </w:r>
      <w:r w:rsidR="00383865" w:rsidRPr="00251BF8">
        <w:t>tvořili</w:t>
      </w:r>
      <w:r w:rsidRPr="00251BF8">
        <w:t xml:space="preserve"> 57 % </w:t>
      </w:r>
      <w:proofErr w:type="spellStart"/>
      <w:r w:rsidRPr="00251BF8">
        <w:t>nemocensky</w:t>
      </w:r>
      <w:proofErr w:type="spellEnd"/>
      <w:r w:rsidRPr="00251BF8">
        <w:t xml:space="preserve"> pojištěných OSVČ. </w:t>
      </w:r>
      <w:r w:rsidR="00307467" w:rsidRPr="00251BF8">
        <w:t xml:space="preserve">Ačkoliv u </w:t>
      </w:r>
      <w:proofErr w:type="spellStart"/>
      <w:r w:rsidR="00307467" w:rsidRPr="00251BF8">
        <w:t>nemocensky</w:t>
      </w:r>
      <w:proofErr w:type="spellEnd"/>
      <w:r w:rsidR="00307467" w:rsidRPr="00251BF8">
        <w:t xml:space="preserve"> pojištěných OSVČ z řad žen došlo meziročně k mírnému poklesu,</w:t>
      </w:r>
      <w:r w:rsidRPr="00251BF8">
        <w:t xml:space="preserve"> </w:t>
      </w:r>
      <w:r w:rsidR="00383865" w:rsidRPr="00251BF8">
        <w:t xml:space="preserve">dlouhodobě </w:t>
      </w:r>
      <w:r w:rsidR="00307467" w:rsidRPr="00251BF8">
        <w:t xml:space="preserve">jich </w:t>
      </w:r>
      <w:r w:rsidRPr="00251BF8">
        <w:t>přibývá</w:t>
      </w:r>
      <w:r w:rsidR="008F09C3" w:rsidRPr="00251BF8">
        <w:t xml:space="preserve"> a </w:t>
      </w:r>
      <w:r w:rsidR="001E59FF">
        <w:t xml:space="preserve">jejich počet </w:t>
      </w:r>
      <w:r w:rsidR="008F09C3" w:rsidRPr="00251BF8">
        <w:t xml:space="preserve">činí zhruba 43 tisíc. </w:t>
      </w:r>
      <w:r w:rsidRPr="00251BF8">
        <w:t>Může to být ovlivněno nárokem na peněžitou podporu v mateřství v případě placení nemocenského pojištění, ale i větší ochotou žen samostatně výdělečně činných si nemocenské pojištění platit. Zatímco v roce 201</w:t>
      </w:r>
      <w:r w:rsidR="008F09C3" w:rsidRPr="00251BF8">
        <w:t>3 ženy tvořily 39</w:t>
      </w:r>
      <w:r w:rsidRPr="00251BF8">
        <w:t xml:space="preserve"> % všech </w:t>
      </w:r>
      <w:proofErr w:type="spellStart"/>
      <w:r w:rsidRPr="00251BF8">
        <w:t>nemocensky</w:t>
      </w:r>
      <w:proofErr w:type="spellEnd"/>
      <w:r w:rsidRPr="00251BF8">
        <w:t xml:space="preserve"> pojištěných OSVČ, v roce 202</w:t>
      </w:r>
      <w:r w:rsidR="008F09C3" w:rsidRPr="00251BF8">
        <w:t>3</w:t>
      </w:r>
      <w:r w:rsidRPr="00251BF8">
        <w:t xml:space="preserve"> to bylo o 4 p. b. </w:t>
      </w:r>
      <w:proofErr w:type="gramStart"/>
      <w:r w:rsidRPr="00251BF8">
        <w:t>více</w:t>
      </w:r>
      <w:proofErr w:type="gramEnd"/>
      <w:r w:rsidRPr="00251BF8">
        <w:t>.</w:t>
      </w:r>
    </w:p>
    <w:p w14:paraId="6DE0F223" w14:textId="61A34C8D" w:rsidR="005D381C" w:rsidRPr="00251BF8" w:rsidRDefault="005D381C" w:rsidP="005D381C">
      <w:pPr>
        <w:spacing w:after="120"/>
        <w:jc w:val="both"/>
      </w:pPr>
      <w:r w:rsidRPr="00251BF8">
        <w:t xml:space="preserve">Pomineme-li meziroční pokles v roce 2020 a stagnaci v roce </w:t>
      </w:r>
      <w:r w:rsidR="00093988">
        <w:t>2019</w:t>
      </w:r>
      <w:r w:rsidRPr="00251BF8">
        <w:t xml:space="preserve">, je patrné, že vlivem rostoucího počtu zaměstnanců se </w:t>
      </w:r>
      <w:r w:rsidR="008F09C3" w:rsidRPr="00251BF8">
        <w:t>v poslední dekádě ko</w:t>
      </w:r>
      <w:r w:rsidRPr="00251BF8">
        <w:t xml:space="preserve">ntinuálně zvyšoval i průměrný počet </w:t>
      </w:r>
      <w:proofErr w:type="spellStart"/>
      <w:r w:rsidRPr="00251BF8">
        <w:t>nemocensky</w:t>
      </w:r>
      <w:proofErr w:type="spellEnd"/>
      <w:r w:rsidRPr="00251BF8">
        <w:t xml:space="preserve"> pojištěných. Mezi roky 201</w:t>
      </w:r>
      <w:r w:rsidR="008F09C3" w:rsidRPr="00251BF8">
        <w:t>3</w:t>
      </w:r>
      <w:r w:rsidRPr="00251BF8">
        <w:t xml:space="preserve"> a 202</w:t>
      </w:r>
      <w:r w:rsidR="008F09C3" w:rsidRPr="00251BF8">
        <w:t>3</w:t>
      </w:r>
      <w:r w:rsidRPr="00251BF8">
        <w:t xml:space="preserve"> došlo k nárůstu počtu</w:t>
      </w:r>
      <w:r w:rsidR="008F09C3" w:rsidRPr="00251BF8">
        <w:t xml:space="preserve"> p</w:t>
      </w:r>
      <w:r w:rsidR="002B1226" w:rsidRPr="00251BF8">
        <w:t xml:space="preserve">ojištěnců </w:t>
      </w:r>
      <w:r w:rsidR="002B1226" w:rsidRPr="00EA74DB">
        <w:rPr>
          <w:b/>
        </w:rPr>
        <w:t>mezi zaměstnanci</w:t>
      </w:r>
      <w:r w:rsidR="002B1226" w:rsidRPr="00251BF8">
        <w:t xml:space="preserve"> o 7,</w:t>
      </w:r>
      <w:r w:rsidR="00C57B87" w:rsidRPr="00251BF8">
        <w:t>8</w:t>
      </w:r>
      <w:r w:rsidRPr="00251BF8">
        <w:t xml:space="preserve"> % (</w:t>
      </w:r>
      <w:r w:rsidR="008F09C3" w:rsidRPr="00251BF8">
        <w:t>3</w:t>
      </w:r>
      <w:r w:rsidR="00C57B87" w:rsidRPr="00251BF8">
        <w:t>3</w:t>
      </w:r>
      <w:r w:rsidR="008F09C3" w:rsidRPr="00251BF8">
        <w:t>7</w:t>
      </w:r>
      <w:r w:rsidRPr="00251BF8">
        <w:t xml:space="preserve"> tis.). Na tomto nárůstu se podílely především ženy. Za toto období vzrostl </w:t>
      </w:r>
      <w:r w:rsidRPr="00251BF8">
        <w:rPr>
          <w:b/>
        </w:rPr>
        <w:t xml:space="preserve">počet </w:t>
      </w:r>
      <w:proofErr w:type="spellStart"/>
      <w:r w:rsidRPr="00251BF8">
        <w:rPr>
          <w:b/>
        </w:rPr>
        <w:t>nemocensky</w:t>
      </w:r>
      <w:proofErr w:type="spellEnd"/>
      <w:r w:rsidRPr="00251BF8">
        <w:rPr>
          <w:b/>
        </w:rPr>
        <w:t xml:space="preserve"> pojištěných zaměstnankyň </w:t>
      </w:r>
      <w:r w:rsidRPr="00251BF8">
        <w:t xml:space="preserve">o </w:t>
      </w:r>
      <w:r w:rsidR="008F09C3" w:rsidRPr="00251BF8">
        <w:t>11</w:t>
      </w:r>
      <w:r w:rsidRPr="00251BF8">
        <w:t xml:space="preserve"> % (</w:t>
      </w:r>
      <w:r w:rsidR="008F09C3" w:rsidRPr="00251BF8">
        <w:t>234</w:t>
      </w:r>
      <w:r w:rsidRPr="00251BF8">
        <w:t xml:space="preserve"> tis.). </w:t>
      </w:r>
      <w:proofErr w:type="spellStart"/>
      <w:r w:rsidRPr="00251BF8">
        <w:t>Nemocensky</w:t>
      </w:r>
      <w:proofErr w:type="spellEnd"/>
      <w:r w:rsidRPr="00251BF8">
        <w:t xml:space="preserve"> pojištěných zaměstnanců (mužů) přibylo o </w:t>
      </w:r>
      <w:r w:rsidR="008F09C3" w:rsidRPr="00251BF8">
        <w:t>5</w:t>
      </w:r>
      <w:r w:rsidRPr="00251BF8">
        <w:t xml:space="preserve"> % (</w:t>
      </w:r>
      <w:r w:rsidR="008F09C3" w:rsidRPr="00251BF8">
        <w:t>10</w:t>
      </w:r>
      <w:r w:rsidRPr="00251BF8">
        <w:t>3 tis.).</w:t>
      </w:r>
    </w:p>
    <w:p w14:paraId="32FD4832" w14:textId="0CE44F57" w:rsidR="008F09C3" w:rsidRDefault="005D381C" w:rsidP="005D381C">
      <w:pPr>
        <w:spacing w:after="120"/>
        <w:jc w:val="both"/>
      </w:pPr>
      <w:r w:rsidRPr="00251BF8">
        <w:t xml:space="preserve">Co se týče </w:t>
      </w:r>
      <w:r w:rsidRPr="00251BF8">
        <w:rPr>
          <w:b/>
        </w:rPr>
        <w:t>velikosti podniku</w:t>
      </w:r>
      <w:r w:rsidRPr="00251BF8">
        <w:t xml:space="preserve">, třetina </w:t>
      </w:r>
      <w:proofErr w:type="spellStart"/>
      <w:r w:rsidRPr="00251BF8">
        <w:t>nemocensky</w:t>
      </w:r>
      <w:proofErr w:type="spellEnd"/>
      <w:r w:rsidRPr="00251BF8">
        <w:t xml:space="preserve"> pojištěných osob (1 5</w:t>
      </w:r>
      <w:r w:rsidR="008F09C3" w:rsidRPr="00251BF8">
        <w:t>30</w:t>
      </w:r>
      <w:r w:rsidRPr="00251BF8">
        <w:t xml:space="preserve"> tis.) pracuje ve velkých firmách s 500 a více zaměstnanci. Za posledních deset let jejich počet vzrostl </w:t>
      </w:r>
      <w:r w:rsidR="008F09C3" w:rsidRPr="00251BF8">
        <w:t xml:space="preserve">o </w:t>
      </w:r>
      <w:r w:rsidRPr="00251BF8">
        <w:t>1</w:t>
      </w:r>
      <w:r w:rsidR="008F09C3" w:rsidRPr="00251BF8">
        <w:t>1</w:t>
      </w:r>
      <w:r w:rsidRPr="00251BF8">
        <w:t>8 tis. osob. Další necelá třetina připadá na podniky mající do 50 zaměstnanců, kde v roce 202</w:t>
      </w:r>
      <w:r w:rsidR="008F09C3" w:rsidRPr="00251BF8">
        <w:t>3</w:t>
      </w:r>
      <w:r w:rsidRPr="00251BF8">
        <w:t xml:space="preserve"> pracovalo více než 1,5 mil. </w:t>
      </w:r>
      <w:proofErr w:type="spellStart"/>
      <w:r w:rsidRPr="00251BF8">
        <w:t>nemocensky</w:t>
      </w:r>
      <w:proofErr w:type="spellEnd"/>
      <w:r w:rsidRPr="00251BF8">
        <w:t xml:space="preserve"> pojištěných osob. Nejnižší podíl mezi </w:t>
      </w:r>
      <w:proofErr w:type="spellStart"/>
      <w:r w:rsidRPr="00251BF8">
        <w:t>nemocensky</w:t>
      </w:r>
      <w:proofErr w:type="spellEnd"/>
      <w:r w:rsidRPr="00251BF8">
        <w:t xml:space="preserve"> pojištěnými osobami představují </w:t>
      </w:r>
      <w:r w:rsidRPr="00251BF8">
        <w:rPr>
          <w:b/>
        </w:rPr>
        <w:t>OSVČ</w:t>
      </w:r>
      <w:r w:rsidRPr="00251BF8">
        <w:t>, které jsou, jak už bylo zmíněno, p</w:t>
      </w:r>
      <w:r w:rsidR="008F09C3" w:rsidRPr="00251BF8">
        <w:t>ojištěny dobrovolně. V roce 2023</w:t>
      </w:r>
      <w:r w:rsidRPr="00251BF8">
        <w:t xml:space="preserve"> tvořily pouhá 2 % z celkového počtu pojištěnců v ČR. Před deseti lety byl jejich podíl 2,</w:t>
      </w:r>
      <w:r w:rsidR="008F09C3" w:rsidRPr="00251BF8">
        <w:t>5</w:t>
      </w:r>
      <w:r w:rsidRPr="00251BF8">
        <w:t xml:space="preserve"> %.</w:t>
      </w:r>
    </w:p>
    <w:p w14:paraId="0C01D47C" w14:textId="136FC292" w:rsidR="005D381C" w:rsidRPr="008F09C3" w:rsidRDefault="008F09C3" w:rsidP="005D381C">
      <w:pPr>
        <w:spacing w:after="120"/>
        <w:jc w:val="both"/>
        <w:rPr>
          <w:b/>
        </w:rPr>
      </w:pPr>
      <w:r>
        <w:rPr>
          <w:noProof/>
        </w:rPr>
        <w:drawing>
          <wp:anchor distT="0" distB="0" distL="114300" distR="114300" simplePos="0" relativeHeight="251662848" behindDoc="1" locked="0" layoutInCell="1" allowOverlap="1" wp14:anchorId="33C33C9F" wp14:editId="71808A09">
            <wp:simplePos x="0" y="0"/>
            <wp:positionH relativeFrom="margin">
              <wp:align>right</wp:align>
            </wp:positionH>
            <wp:positionV relativeFrom="paragraph">
              <wp:posOffset>245745</wp:posOffset>
            </wp:positionV>
            <wp:extent cx="3247200" cy="2703600"/>
            <wp:effectExtent l="0" t="0" r="10795" b="1905"/>
            <wp:wrapTight wrapText="bothSides">
              <wp:wrapPolygon edited="0">
                <wp:start x="0" y="0"/>
                <wp:lineTo x="0" y="21463"/>
                <wp:lineTo x="21545" y="21463"/>
                <wp:lineTo x="21545" y="0"/>
                <wp:lineTo x="0" y="0"/>
              </wp:wrapPolygon>
            </wp:wrapTight>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1" locked="0" layoutInCell="1" allowOverlap="1" wp14:anchorId="3BF599F0" wp14:editId="251A2591">
            <wp:simplePos x="0" y="0"/>
            <wp:positionH relativeFrom="margin">
              <wp:align>left</wp:align>
            </wp:positionH>
            <wp:positionV relativeFrom="paragraph">
              <wp:posOffset>245745</wp:posOffset>
            </wp:positionV>
            <wp:extent cx="2865600" cy="2703600"/>
            <wp:effectExtent l="0" t="0" r="11430" b="1905"/>
            <wp:wrapTight wrapText="bothSides">
              <wp:wrapPolygon edited="0">
                <wp:start x="0" y="0"/>
                <wp:lineTo x="0" y="21463"/>
                <wp:lineTo x="21543" y="21463"/>
                <wp:lineTo x="21543" y="0"/>
                <wp:lineTo x="0" y="0"/>
              </wp:wrapPolygon>
            </wp:wrapTight>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Pr="008F09C3">
        <w:rPr>
          <w:b/>
        </w:rPr>
        <w:t xml:space="preserve">Graf 1.1: Průměrný počet </w:t>
      </w:r>
      <w:proofErr w:type="spellStart"/>
      <w:r w:rsidRPr="008F09C3">
        <w:rPr>
          <w:b/>
        </w:rPr>
        <w:t>nemocensky</w:t>
      </w:r>
      <w:proofErr w:type="spellEnd"/>
      <w:r w:rsidRPr="008F09C3">
        <w:rPr>
          <w:b/>
        </w:rPr>
        <w:t xml:space="preserve"> pojištěných osob podle velikosti podniku, 2013, 2018, 2023</w:t>
      </w:r>
      <w:r w:rsidR="005D381C" w:rsidRPr="008F09C3">
        <w:rPr>
          <w:b/>
        </w:rPr>
        <w:t xml:space="preserve"> </w:t>
      </w:r>
    </w:p>
    <w:p w14:paraId="11B215F8" w14:textId="55216E57" w:rsidR="005D381C" w:rsidRPr="00DA421C" w:rsidRDefault="008F09C3" w:rsidP="00151B99">
      <w:pPr>
        <w:spacing w:before="120" w:after="120"/>
        <w:jc w:val="both"/>
        <w:rPr>
          <w:rFonts w:cs="Arial"/>
          <w:bCs/>
          <w:color w:val="000000"/>
          <w:sz w:val="16"/>
          <w:szCs w:val="20"/>
        </w:rPr>
      </w:pPr>
      <w:r w:rsidRPr="008F09C3">
        <w:rPr>
          <w:noProof/>
        </w:rPr>
        <w:t xml:space="preserve"> </w:t>
      </w:r>
    </w:p>
    <w:p w14:paraId="4AF78B23" w14:textId="3D5B3B60" w:rsidR="00A2262D" w:rsidRDefault="00A2262D" w:rsidP="00A2262D">
      <w:pPr>
        <w:spacing w:after="120"/>
        <w:jc w:val="both"/>
        <w:rPr>
          <w:rFonts w:cs="Arial"/>
          <w:bCs/>
          <w:color w:val="000000"/>
          <w:sz w:val="16"/>
          <w:szCs w:val="20"/>
        </w:rPr>
      </w:pPr>
      <w:r w:rsidRPr="00F5334B">
        <w:rPr>
          <w:rFonts w:cs="Arial"/>
          <w:bCs/>
          <w:color w:val="000000"/>
          <w:sz w:val="16"/>
          <w:szCs w:val="20"/>
        </w:rPr>
        <w:t>Zdroj: ČSÚ</w:t>
      </w:r>
    </w:p>
    <w:p w14:paraId="48B920B2" w14:textId="4A0249BC" w:rsidR="00A2262D" w:rsidRPr="00251BF8" w:rsidRDefault="00A2262D" w:rsidP="00A2262D">
      <w:pPr>
        <w:spacing w:after="120"/>
        <w:jc w:val="both"/>
      </w:pPr>
      <w:r w:rsidRPr="00251BF8">
        <w:t xml:space="preserve">Nejvíce zastoupenými </w:t>
      </w:r>
      <w:r w:rsidRPr="00251BF8">
        <w:rPr>
          <w:b/>
        </w:rPr>
        <w:t>odvětvími</w:t>
      </w:r>
      <w:r w:rsidRPr="00251BF8">
        <w:t xml:space="preserve">, co do počtu </w:t>
      </w:r>
      <w:proofErr w:type="spellStart"/>
      <w:r w:rsidRPr="00251BF8">
        <w:t>nemocensky</w:t>
      </w:r>
      <w:proofErr w:type="spellEnd"/>
      <w:r w:rsidRPr="00251BF8">
        <w:t xml:space="preserve"> pojištěných, jsou sekce Zpracovatelský průmysl a Velkoobchod a maloobchod, opravy a údržba motorových vozidel, což odráží strukturu české ekonomiky. Tato dvě odvětví dohromady zaměstnávají téměř dvě pětiny (38 %) všech </w:t>
      </w:r>
      <w:proofErr w:type="spellStart"/>
      <w:r w:rsidRPr="00251BF8">
        <w:t>nemocensky</w:t>
      </w:r>
      <w:proofErr w:type="spellEnd"/>
      <w:r w:rsidRPr="00251BF8">
        <w:t xml:space="preserve"> pojištěných, přičemž na podniky s převažující ekonomickou činností ve zpracovatelském průmyslu připadá 25 % pojištěnců. V rámci zpracovatelského průmyslu působilo nejvíce </w:t>
      </w:r>
      <w:proofErr w:type="spellStart"/>
      <w:r w:rsidRPr="00251BF8">
        <w:t>nemocensky</w:t>
      </w:r>
      <w:proofErr w:type="spellEnd"/>
      <w:r w:rsidRPr="00251BF8">
        <w:t xml:space="preserve"> pojištěných osob v automobilovém průmyslu (CZ-NACE oddíl 29), kde v roce 2023 pracovalo 15 % všech </w:t>
      </w:r>
      <w:proofErr w:type="spellStart"/>
      <w:r w:rsidRPr="00251BF8">
        <w:t>nemocensky</w:t>
      </w:r>
      <w:proofErr w:type="spellEnd"/>
      <w:r w:rsidRPr="00251BF8">
        <w:t xml:space="preserve"> pojištěných osob ze zpracovatelského průmyslu. S menším odstupem následovaly kovozpracující (oddíl 25) a strojírenský (oddíl 28) průmysl, na které připadalo 13 %, resp. 10 % ze všech </w:t>
      </w:r>
      <w:proofErr w:type="spellStart"/>
      <w:r w:rsidRPr="00251BF8">
        <w:t>nemocensky</w:t>
      </w:r>
      <w:proofErr w:type="spellEnd"/>
      <w:r w:rsidRPr="00251BF8">
        <w:t xml:space="preserve"> pojištěných osob ve zpracovatelském průmyslu. Vzhledem k velkému zastoupení zpracovatelského průmyslu v rámci české ekonomiky je této sekci věnována samostatná část </w:t>
      </w:r>
      <w:r w:rsidR="006A65FC" w:rsidRPr="00251BF8">
        <w:t>6</w:t>
      </w:r>
      <w:r w:rsidRPr="00251BF8">
        <w:t xml:space="preserve"> tabulkové přílohy.</w:t>
      </w:r>
    </w:p>
    <w:p w14:paraId="012827DB" w14:textId="4B0F7089" w:rsidR="00A2262D" w:rsidRPr="00BE515D" w:rsidRDefault="00A2262D" w:rsidP="00A2262D">
      <w:pPr>
        <w:spacing w:after="120"/>
        <w:jc w:val="both"/>
      </w:pPr>
      <w:r w:rsidRPr="00251BF8">
        <w:lastRenderedPageBreak/>
        <w:t>V odvětvových sekcích Veřejná správa</w:t>
      </w:r>
      <w:r w:rsidRPr="00251BF8">
        <w:rPr>
          <w:rStyle w:val="Znakapoznpodarou"/>
        </w:rPr>
        <w:footnoteReference w:id="7"/>
      </w:r>
      <w:r w:rsidRPr="00251BF8">
        <w:t xml:space="preserve">, Vzdělávání a Zdravotní a sociální péče byla v roce 2023 celkově zaměstnána více než pětina (23 %) ze všech </w:t>
      </w:r>
      <w:proofErr w:type="spellStart"/>
      <w:r w:rsidRPr="00251BF8">
        <w:t>nemocensky</w:t>
      </w:r>
      <w:proofErr w:type="spellEnd"/>
      <w:r w:rsidRPr="00251BF8">
        <w:t xml:space="preserve"> pojištěných</w:t>
      </w:r>
      <w:r w:rsidRPr="00251BF8">
        <w:rPr>
          <w:rStyle w:val="Znakapoznpodarou"/>
        </w:rPr>
        <w:footnoteReference w:id="8"/>
      </w:r>
      <w:r w:rsidRPr="00251BF8">
        <w:t>. V roce 2023 dohromady v těchto odvětvových sekcích více než tři čtvrtiny z </w:t>
      </w:r>
      <w:proofErr w:type="spellStart"/>
      <w:r w:rsidRPr="00251BF8">
        <w:t>nemocensky</w:t>
      </w:r>
      <w:proofErr w:type="spellEnd"/>
      <w:r w:rsidRPr="00251BF8">
        <w:t xml:space="preserve"> pojištěných osob tvořily ženy. Jen v sekci Zdravotní a sociální péče to bylo více než 80 %.</w:t>
      </w:r>
    </w:p>
    <w:p w14:paraId="7001A591" w14:textId="1E036C1F" w:rsidR="00A2262D" w:rsidRDefault="00A2262D" w:rsidP="00A2262D">
      <w:pPr>
        <w:spacing w:after="120"/>
        <w:jc w:val="both"/>
        <w:rPr>
          <w:rFonts w:cs="Arial"/>
          <w:b/>
          <w:bCs/>
          <w:color w:val="000000"/>
          <w:szCs w:val="20"/>
        </w:rPr>
      </w:pPr>
      <w:r w:rsidRPr="00A2262D">
        <w:rPr>
          <w:rFonts w:cs="Arial"/>
          <w:b/>
          <w:bCs/>
          <w:color w:val="000000"/>
          <w:szCs w:val="20"/>
        </w:rPr>
        <w:t xml:space="preserve">Graf 1.2: Průměrný počet </w:t>
      </w:r>
      <w:proofErr w:type="spellStart"/>
      <w:r w:rsidRPr="00A2262D">
        <w:rPr>
          <w:rFonts w:cs="Arial"/>
          <w:b/>
          <w:bCs/>
          <w:color w:val="000000"/>
          <w:szCs w:val="20"/>
        </w:rPr>
        <w:t>nemocensky</w:t>
      </w:r>
      <w:proofErr w:type="spellEnd"/>
      <w:r w:rsidRPr="00A2262D">
        <w:rPr>
          <w:rFonts w:cs="Arial"/>
          <w:b/>
          <w:bCs/>
          <w:color w:val="000000"/>
          <w:szCs w:val="20"/>
        </w:rPr>
        <w:t xml:space="preserve"> pojištěných osob podle odvět</w:t>
      </w:r>
      <w:r>
        <w:rPr>
          <w:rFonts w:cs="Arial"/>
          <w:b/>
          <w:bCs/>
          <w:color w:val="000000"/>
          <w:szCs w:val="20"/>
        </w:rPr>
        <w:t>ví (sekce CZ-NACE), 2013 a 2023</w:t>
      </w:r>
    </w:p>
    <w:p w14:paraId="0457AD78" w14:textId="2898417C" w:rsidR="00A2262D" w:rsidRPr="00A2262D" w:rsidRDefault="00A2262D" w:rsidP="00A2262D">
      <w:pPr>
        <w:spacing w:after="120"/>
        <w:jc w:val="both"/>
        <w:rPr>
          <w:rFonts w:cs="Arial"/>
          <w:b/>
          <w:bCs/>
          <w:color w:val="000000"/>
          <w:szCs w:val="20"/>
        </w:rPr>
      </w:pPr>
      <w:r>
        <w:rPr>
          <w:noProof/>
        </w:rPr>
        <w:drawing>
          <wp:inline distT="0" distB="0" distL="0" distR="0" wp14:anchorId="7414F5B4" wp14:editId="0EDB47E7">
            <wp:extent cx="6120130" cy="5164455"/>
            <wp:effectExtent l="0" t="0" r="13970" b="17145"/>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019CB4F" w14:textId="5AFC5E70" w:rsidR="00A2262D" w:rsidRDefault="00A2262D" w:rsidP="00A2262D">
      <w:pPr>
        <w:spacing w:after="120"/>
        <w:jc w:val="both"/>
        <w:rPr>
          <w:rFonts w:cs="Arial"/>
          <w:bCs/>
          <w:color w:val="000000"/>
          <w:sz w:val="16"/>
          <w:szCs w:val="20"/>
        </w:rPr>
      </w:pPr>
      <w:r w:rsidRPr="00F5334B">
        <w:rPr>
          <w:rFonts w:cs="Arial"/>
          <w:bCs/>
          <w:color w:val="000000"/>
          <w:sz w:val="16"/>
          <w:szCs w:val="20"/>
        </w:rPr>
        <w:t>Zdroj: ČSÚ</w:t>
      </w:r>
    </w:p>
    <w:p w14:paraId="7E26B45B" w14:textId="18703123" w:rsidR="00A2262D" w:rsidRPr="00251BF8" w:rsidRDefault="00A2262D" w:rsidP="00A2262D">
      <w:pPr>
        <w:pStyle w:val="Seznam"/>
        <w:spacing w:after="120"/>
        <w:contextualSpacing w:val="0"/>
        <w:jc w:val="both"/>
      </w:pPr>
      <w:r w:rsidRPr="00251BF8">
        <w:rPr>
          <w:b/>
        </w:rPr>
        <w:t>Mezi roky 2013 a 2023</w:t>
      </w:r>
      <w:r w:rsidRPr="00251BF8">
        <w:t xml:space="preserve"> došlo k nárůstu počtu </w:t>
      </w:r>
      <w:proofErr w:type="spellStart"/>
      <w:r w:rsidRPr="00251BF8">
        <w:t>nemocensky</w:t>
      </w:r>
      <w:proofErr w:type="spellEnd"/>
      <w:r w:rsidRPr="00251BF8">
        <w:t xml:space="preserve"> pojištěných téměř o 327 tis. osob (tj. o 7 %). </w:t>
      </w:r>
      <w:r w:rsidRPr="00251BF8">
        <w:rPr>
          <w:rFonts w:cs="Arial"/>
          <w:bCs/>
          <w:color w:val="000000"/>
          <w:szCs w:val="20"/>
        </w:rPr>
        <w:t xml:space="preserve">Na tomto nárůstu se podílely především ženy. Jejich počet </w:t>
      </w:r>
      <w:r w:rsidR="00F77AD9">
        <w:rPr>
          <w:rFonts w:cs="Arial"/>
          <w:bCs/>
          <w:color w:val="000000"/>
          <w:szCs w:val="20"/>
        </w:rPr>
        <w:t xml:space="preserve">za deset let </w:t>
      </w:r>
      <w:r w:rsidRPr="00251BF8">
        <w:rPr>
          <w:rFonts w:cs="Arial"/>
          <w:bCs/>
          <w:color w:val="000000"/>
          <w:szCs w:val="20"/>
        </w:rPr>
        <w:t>vzrostl o</w:t>
      </w:r>
      <w:r w:rsidR="00F77AD9">
        <w:rPr>
          <w:rFonts w:cs="Arial"/>
          <w:bCs/>
          <w:color w:val="000000"/>
          <w:szCs w:val="20"/>
        </w:rPr>
        <w:t xml:space="preserve"> více než desetinu (10,7 %)</w:t>
      </w:r>
      <w:r w:rsidRPr="00251BF8">
        <w:rPr>
          <w:rFonts w:cs="Arial"/>
          <w:bCs/>
          <w:color w:val="000000"/>
          <w:szCs w:val="20"/>
        </w:rPr>
        <w:t>, což v absolutním vyjádření představuje nárůst o 233 tisíc</w:t>
      </w:r>
      <w:r w:rsidR="00481559">
        <w:rPr>
          <w:rFonts w:cs="Arial"/>
          <w:bCs/>
          <w:color w:val="000000"/>
          <w:szCs w:val="20"/>
        </w:rPr>
        <w:t>.</w:t>
      </w:r>
      <w:r w:rsidRPr="00251BF8">
        <w:rPr>
          <w:rFonts w:cs="Arial"/>
          <w:bCs/>
          <w:color w:val="000000"/>
          <w:szCs w:val="20"/>
        </w:rPr>
        <w:t xml:space="preserve"> Jen pro srovnání, počet mužů se zvýšil o 4 % (93 tis.). Tomu odpovídá i srovnání dle odvětví. </w:t>
      </w:r>
      <w:r w:rsidRPr="00251BF8">
        <w:t xml:space="preserve">Nejvíce pojištěnců, více než 103 tis. (tedy 31 %) přibylo v sekci Zdravotní a sociální péče. Přičemž jen nárůst oproti roku 2019 – v souvislosti s nebývalým náporem na zdravotnictví v podobě pandemie, </w:t>
      </w:r>
      <w:r w:rsidR="00A7027D" w:rsidRPr="00251BF8">
        <w:t>potažmo</w:t>
      </w:r>
      <w:r w:rsidRPr="00251BF8">
        <w:t xml:space="preserve"> i důsledk</w:t>
      </w:r>
      <w:r w:rsidR="00A7027D" w:rsidRPr="00251BF8">
        <w:t>em</w:t>
      </w:r>
      <w:r w:rsidRPr="00251BF8">
        <w:t xml:space="preserve"> stárnutí populace – činil 60 tis., resp. 16 %. Odvětvovou sekcí s druhým nejvyšším absolutním přírůstkem za poslední desetiletí bylo Vzdělávání. Zde vzrostl počet nemocenských pojištěnců o </w:t>
      </w:r>
      <w:r w:rsidR="00A7027D" w:rsidRPr="00251BF8">
        <w:t>83</w:t>
      </w:r>
      <w:r w:rsidRPr="00251BF8">
        <w:t xml:space="preserve"> tis, což představovalo </w:t>
      </w:r>
      <w:r w:rsidR="00A7027D" w:rsidRPr="00251BF8">
        <w:t>25</w:t>
      </w:r>
      <w:r w:rsidRPr="00251BF8">
        <w:t>% nárůst.</w:t>
      </w:r>
    </w:p>
    <w:p w14:paraId="2DE1F248" w14:textId="4A3BFBF0" w:rsidR="00A2262D" w:rsidRPr="00251BF8" w:rsidRDefault="00A2262D" w:rsidP="00A2262D">
      <w:pPr>
        <w:pStyle w:val="Seznam"/>
        <w:spacing w:after="120"/>
        <w:contextualSpacing w:val="0"/>
        <w:jc w:val="both"/>
      </w:pPr>
      <w:r w:rsidRPr="00251BF8">
        <w:lastRenderedPageBreak/>
        <w:t xml:space="preserve">Výrazné zvýšení bylo zaznamenáno i v odvětvové sekci Informační a komunikační činnosti, kde počet </w:t>
      </w:r>
      <w:proofErr w:type="spellStart"/>
      <w:r w:rsidRPr="00251BF8">
        <w:t>nemocensky</w:t>
      </w:r>
      <w:proofErr w:type="spellEnd"/>
      <w:r w:rsidRPr="00251BF8">
        <w:t xml:space="preserve"> pojištěných osob za posledních deset let vzrostl o 43 tis., tj. o 3</w:t>
      </w:r>
      <w:r w:rsidR="00A7027D" w:rsidRPr="00251BF8">
        <w:t>7</w:t>
      </w:r>
      <w:r w:rsidRPr="00251BF8">
        <w:t xml:space="preserve"> %. Tato odvětvová sekce zahrnuje řadu ekonomických činností od vydavatelských, audiovizuálních a mediálních činností přes telekomunikace až po činnosti v oblasti informačních a komunikačních technologií. Tam spadá např. programování či IT poradenství a zpracování dat. Největší nárůst počtu </w:t>
      </w:r>
      <w:proofErr w:type="spellStart"/>
      <w:r w:rsidRPr="00251BF8">
        <w:t>nemocensky</w:t>
      </w:r>
      <w:proofErr w:type="spellEnd"/>
      <w:r w:rsidRPr="00251BF8">
        <w:t xml:space="preserve"> pojištěných osob byl v této sekci zaznamenán v oddílu Činnosti v oblasti informačních technologií (CZ-NACE 62), kde se počet pojištěnců od roku 201</w:t>
      </w:r>
      <w:r w:rsidR="00A7027D" w:rsidRPr="00251BF8">
        <w:t>8</w:t>
      </w:r>
      <w:r w:rsidRPr="00251BF8">
        <w:t xml:space="preserve"> zvýšil o více než </w:t>
      </w:r>
      <w:r w:rsidR="00A7027D" w:rsidRPr="00251BF8">
        <w:t>čtvrtinu</w:t>
      </w:r>
      <w:r w:rsidRPr="00251BF8">
        <w:t xml:space="preserve"> (tj. o 2</w:t>
      </w:r>
      <w:r w:rsidR="00A7027D" w:rsidRPr="00251BF8">
        <w:t>1</w:t>
      </w:r>
      <w:r w:rsidRPr="00251BF8">
        <w:t xml:space="preserve"> tis.).</w:t>
      </w:r>
    </w:p>
    <w:p w14:paraId="50188B4C" w14:textId="1ABB85C1" w:rsidR="00A2262D" w:rsidRPr="00251BF8" w:rsidRDefault="00A2262D" w:rsidP="00A2262D">
      <w:pPr>
        <w:pStyle w:val="Seznam"/>
        <w:spacing w:after="120"/>
        <w:contextualSpacing w:val="0"/>
        <w:jc w:val="both"/>
      </w:pPr>
      <w:r w:rsidRPr="00251BF8">
        <w:t>Naopak odvětvími, která měla v roce 202</w:t>
      </w:r>
      <w:r w:rsidR="00A7027D" w:rsidRPr="00251BF8">
        <w:t>3</w:t>
      </w:r>
      <w:r w:rsidRPr="00251BF8">
        <w:t xml:space="preserve"> méně pojištěnců než v roce 201</w:t>
      </w:r>
      <w:r w:rsidR="00A7027D" w:rsidRPr="00251BF8">
        <w:t>3</w:t>
      </w:r>
      <w:r w:rsidRPr="00251BF8">
        <w:t xml:space="preserve">, byly </w:t>
      </w:r>
      <w:r w:rsidRPr="00481559">
        <w:t>Těžba a dobývání</w:t>
      </w:r>
      <w:r w:rsidRPr="00251BF8">
        <w:t xml:space="preserve">, </w:t>
      </w:r>
      <w:r w:rsidR="00A7027D" w:rsidRPr="00251BF8">
        <w:t>kde došlo k poklesu o 15 tis. (44 %), dále Země</w:t>
      </w:r>
      <w:r w:rsidRPr="00251BF8">
        <w:t>dělství, lesnictví a rybářství (−6 tis.</w:t>
      </w:r>
      <w:r w:rsidR="00A7027D" w:rsidRPr="00251BF8">
        <w:t>; 6 %</w:t>
      </w:r>
      <w:r w:rsidRPr="00251BF8">
        <w:t xml:space="preserve">). </w:t>
      </w:r>
    </w:p>
    <w:p w14:paraId="58A4C5F7" w14:textId="599EC473" w:rsidR="00A2262D" w:rsidRPr="00251BF8" w:rsidRDefault="00A2262D" w:rsidP="00A2262D">
      <w:pPr>
        <w:pStyle w:val="Seznam"/>
        <w:spacing w:after="120"/>
        <w:contextualSpacing w:val="0"/>
        <w:jc w:val="both"/>
      </w:pPr>
      <w:r w:rsidRPr="00251BF8">
        <w:t xml:space="preserve">Sekce Ubytování, stravování a pohostinství zažila mezi roky 2019 a 2022 pokles počtu </w:t>
      </w:r>
      <w:proofErr w:type="spellStart"/>
      <w:r w:rsidRPr="00251BF8">
        <w:t>nemocensky</w:t>
      </w:r>
      <w:proofErr w:type="spellEnd"/>
      <w:r w:rsidRPr="00251BF8">
        <w:t xml:space="preserve"> pojištěných ze 153 tis. na 139 tis., čili o 14 tis. (9 %). Zde svou roli patrně sehrála </w:t>
      </w:r>
      <w:proofErr w:type="spellStart"/>
      <w:r w:rsidRPr="00251BF8">
        <w:t>proticovidová</w:t>
      </w:r>
      <w:proofErr w:type="spellEnd"/>
      <w:r w:rsidRPr="00251BF8">
        <w:t xml:space="preserve"> opatření v podobě omezení provozu restaurací a uzavření ubytovacích zařízení.</w:t>
      </w:r>
      <w:r w:rsidR="00A7027D" w:rsidRPr="00251BF8">
        <w:t xml:space="preserve"> V roce 2023 čítala 144 tis. </w:t>
      </w:r>
      <w:proofErr w:type="spellStart"/>
      <w:r w:rsidR="00A7027D" w:rsidRPr="00251BF8">
        <w:t>nemocensky</w:t>
      </w:r>
      <w:proofErr w:type="spellEnd"/>
      <w:r w:rsidR="00A7027D" w:rsidRPr="00251BF8">
        <w:t xml:space="preserve"> pojištěných.</w:t>
      </w:r>
    </w:p>
    <w:p w14:paraId="444B6906" w14:textId="48032F96" w:rsidR="00A2262D" w:rsidRDefault="00A2262D" w:rsidP="00EA74DB">
      <w:pPr>
        <w:spacing w:after="120"/>
        <w:jc w:val="both"/>
        <w:rPr>
          <w:rFonts w:cs="Arial"/>
          <w:bCs/>
          <w:color w:val="000000"/>
          <w:szCs w:val="20"/>
        </w:rPr>
      </w:pPr>
      <w:r w:rsidRPr="00251BF8">
        <w:rPr>
          <w:rFonts w:cs="Arial"/>
          <w:bCs/>
          <w:color w:val="000000"/>
          <w:szCs w:val="20"/>
        </w:rPr>
        <w:t>V roce 202</w:t>
      </w:r>
      <w:r w:rsidR="00A7027D" w:rsidRPr="00251BF8">
        <w:rPr>
          <w:rFonts w:cs="Arial"/>
          <w:bCs/>
          <w:color w:val="000000"/>
          <w:szCs w:val="20"/>
        </w:rPr>
        <w:t>3</w:t>
      </w:r>
      <w:r w:rsidRPr="00251BF8">
        <w:rPr>
          <w:rFonts w:cs="Arial"/>
          <w:bCs/>
          <w:color w:val="000000"/>
          <w:szCs w:val="20"/>
        </w:rPr>
        <w:t xml:space="preserve"> vzrostl</w:t>
      </w:r>
      <w:r w:rsidR="00A7027D" w:rsidRPr="00251BF8">
        <w:rPr>
          <w:rFonts w:cs="Arial"/>
          <w:bCs/>
          <w:color w:val="000000"/>
          <w:szCs w:val="20"/>
        </w:rPr>
        <w:t xml:space="preserve"> meziročně počet pojištěnců v sekci Zdravotní a sociální péče o 24 tis. (6 %).</w:t>
      </w:r>
      <w:r w:rsidRPr="00251BF8">
        <w:rPr>
          <w:rFonts w:cs="Arial"/>
          <w:bCs/>
          <w:color w:val="000000"/>
          <w:szCs w:val="20"/>
        </w:rPr>
        <w:t xml:space="preserve"> Jde o největší absolutní meziroční nárůst ze všech sledovaných odvětvových sekcí. </w:t>
      </w:r>
      <w:r w:rsidR="008360E3">
        <w:rPr>
          <w:rFonts w:cs="Arial"/>
          <w:bCs/>
          <w:color w:val="000000"/>
          <w:szCs w:val="20"/>
        </w:rPr>
        <w:t xml:space="preserve">Nárůst o více než 10 tisíc </w:t>
      </w:r>
      <w:r w:rsidR="00481559">
        <w:rPr>
          <w:rFonts w:cs="Arial"/>
          <w:bCs/>
          <w:color w:val="000000"/>
          <w:szCs w:val="20"/>
        </w:rPr>
        <w:t xml:space="preserve">pojištěnců nastal v </w:t>
      </w:r>
      <w:r w:rsidR="008360E3">
        <w:rPr>
          <w:rFonts w:cs="Arial"/>
          <w:bCs/>
          <w:color w:val="000000"/>
          <w:szCs w:val="20"/>
        </w:rPr>
        <w:t xml:space="preserve">odvětvových </w:t>
      </w:r>
      <w:r w:rsidR="00A7027D" w:rsidRPr="00251BF8">
        <w:rPr>
          <w:rFonts w:cs="Arial"/>
          <w:bCs/>
          <w:color w:val="000000"/>
          <w:szCs w:val="20"/>
        </w:rPr>
        <w:t>sekc</w:t>
      </w:r>
      <w:r w:rsidR="008360E3">
        <w:rPr>
          <w:rFonts w:cs="Arial"/>
          <w:bCs/>
          <w:color w:val="000000"/>
          <w:szCs w:val="20"/>
        </w:rPr>
        <w:t>ích</w:t>
      </w:r>
      <w:r w:rsidR="00A7027D" w:rsidRPr="00251BF8">
        <w:rPr>
          <w:rFonts w:cs="Arial"/>
          <w:bCs/>
          <w:color w:val="000000"/>
          <w:szCs w:val="20"/>
        </w:rPr>
        <w:t xml:space="preserve"> Administrativní a podpůrné činnosti (13 tis.; 5 %) a Vzdělávání (11 tis.; 3 %). Naopak o 20 tis. (2 %) klesl počet pojištěnců ve Zpracovatelském průmyslu.</w:t>
      </w:r>
    </w:p>
    <w:p w14:paraId="10FDD4D3" w14:textId="77777777" w:rsidR="00A854BA" w:rsidRPr="00B717E3" w:rsidRDefault="00A854BA" w:rsidP="00A854BA">
      <w:pPr>
        <w:pStyle w:val="Box1"/>
        <w:spacing w:before="120" w:after="120"/>
        <w:ind w:left="0"/>
        <w:contextualSpacing w:val="0"/>
        <w:jc w:val="both"/>
        <w:rPr>
          <w:i/>
        </w:rPr>
      </w:pPr>
      <w:r w:rsidRPr="00B717E3">
        <w:rPr>
          <w:b/>
          <w:i/>
        </w:rPr>
        <w:t xml:space="preserve">Průměrný počet </w:t>
      </w:r>
      <w:proofErr w:type="spellStart"/>
      <w:r w:rsidRPr="00B717E3">
        <w:rPr>
          <w:b/>
          <w:i/>
        </w:rPr>
        <w:t>nemocensky</w:t>
      </w:r>
      <w:proofErr w:type="spellEnd"/>
      <w:r w:rsidRPr="00B717E3">
        <w:rPr>
          <w:b/>
          <w:i/>
        </w:rPr>
        <w:t xml:space="preserve"> pojištěných mladistvých </w:t>
      </w:r>
      <w:r w:rsidRPr="00B717E3">
        <w:rPr>
          <w:i/>
        </w:rPr>
        <w:t xml:space="preserve">– ukazatel udává průměrný počet </w:t>
      </w:r>
      <w:proofErr w:type="spellStart"/>
      <w:r w:rsidRPr="00B717E3">
        <w:rPr>
          <w:i/>
        </w:rPr>
        <w:t>nemocensky</w:t>
      </w:r>
      <w:proofErr w:type="spellEnd"/>
      <w:r w:rsidRPr="00B717E3">
        <w:rPr>
          <w:i/>
        </w:rPr>
        <w:t xml:space="preserve"> pojištěných osob mladších 18 let (viz § 350 odst. 2 zákona č. 262/2006 Sb., zákoník práce, ve znění pozdějších předpisů).</w:t>
      </w:r>
    </w:p>
    <w:p w14:paraId="74DA51C8" w14:textId="77777777" w:rsidR="00A854BA" w:rsidRPr="00B717E3" w:rsidRDefault="00A854BA" w:rsidP="00A854BA">
      <w:pPr>
        <w:pStyle w:val="Box1"/>
        <w:ind w:left="0"/>
        <w:jc w:val="both"/>
        <w:rPr>
          <w:i/>
          <w:u w:val="single"/>
        </w:rPr>
      </w:pPr>
      <w:r w:rsidRPr="00B717E3">
        <w:rPr>
          <w:i/>
          <w:u w:val="single"/>
        </w:rPr>
        <w:t>Způsob výpočtu:</w:t>
      </w:r>
    </w:p>
    <w:p w14:paraId="76804928" w14:textId="77777777" w:rsidR="00A854BA" w:rsidRPr="00B717E3" w:rsidRDefault="00A854BA" w:rsidP="00A854BA">
      <w:pPr>
        <w:pStyle w:val="Box1"/>
        <w:spacing w:before="120" w:after="120"/>
        <w:ind w:left="0"/>
        <w:contextualSpacing w:val="0"/>
        <w:jc w:val="both"/>
        <w:rPr>
          <w:i/>
        </w:rPr>
      </w:pPr>
      <w:r w:rsidRPr="00B717E3">
        <w:rPr>
          <w:i/>
        </w:rPr>
        <w:t xml:space="preserve">Průměrný počet </w:t>
      </w:r>
      <w:proofErr w:type="spellStart"/>
      <w:r w:rsidRPr="00B717E3">
        <w:rPr>
          <w:i/>
        </w:rPr>
        <w:t>nemocensky</w:t>
      </w:r>
      <w:proofErr w:type="spellEnd"/>
      <w:r w:rsidRPr="00B717E3">
        <w:rPr>
          <w:i/>
        </w:rPr>
        <w:t xml:space="preserve"> pojištěných mladistvých = počet dnů nemocenského pojištění jednotlivých pojištěných mladistvých ve vykazovaném období / počet kalendářních dnů ve vykazovaném období.</w:t>
      </w:r>
    </w:p>
    <w:p w14:paraId="59EF804A" w14:textId="10CD0F9E" w:rsidR="00774CE9" w:rsidRDefault="00A854BA" w:rsidP="003E2FAF">
      <w:pPr>
        <w:pStyle w:val="Seznam"/>
        <w:spacing w:after="120"/>
        <w:contextualSpacing w:val="0"/>
        <w:jc w:val="both"/>
      </w:pPr>
      <w:r w:rsidRPr="00251BF8">
        <w:t xml:space="preserve">V roce 2023 bylo evidováno 14,4 tis. </w:t>
      </w:r>
      <w:proofErr w:type="spellStart"/>
      <w:r w:rsidRPr="00251BF8">
        <w:t>nemocensky</w:t>
      </w:r>
      <w:proofErr w:type="spellEnd"/>
      <w:r w:rsidRPr="00251BF8">
        <w:t xml:space="preserve"> pojištěných mladistvých, tedy osob mladších 18 let. Na celkovém počtu pojištěnců se podíleli 0,3 %. Jejich počet meziročně vzrostl z 11,7 tis. o 2 622 osob, tj. o 22 %.</w:t>
      </w:r>
      <w:bookmarkEnd w:id="1"/>
    </w:p>
    <w:p w14:paraId="3BE606FD" w14:textId="77777777" w:rsidR="003E2FAF" w:rsidRPr="005A75BA" w:rsidRDefault="003E2FAF" w:rsidP="003E2FAF">
      <w:pPr>
        <w:pStyle w:val="Nadpis3"/>
      </w:pPr>
      <w:bookmarkStart w:id="21" w:name="_Toc136412149"/>
      <w:bookmarkStart w:id="22" w:name="_Toc167965224"/>
      <w:r w:rsidRPr="005A75BA">
        <w:t>4.2 Nově hlášené případy dočasné pracovní neschopnosti</w:t>
      </w:r>
      <w:bookmarkEnd w:id="21"/>
      <w:bookmarkEnd w:id="22"/>
    </w:p>
    <w:p w14:paraId="57397F94" w14:textId="77777777" w:rsidR="003E2FAF" w:rsidRPr="00263CD8" w:rsidRDefault="003E2FAF" w:rsidP="003E2FAF">
      <w:pPr>
        <w:pStyle w:val="Nadpis4"/>
        <w:rPr>
          <w:sz w:val="24"/>
        </w:rPr>
      </w:pPr>
      <w:bookmarkStart w:id="23" w:name="_Toc136412150"/>
      <w:bookmarkStart w:id="24" w:name="_Toc167965225"/>
      <w:r w:rsidRPr="00263CD8">
        <w:rPr>
          <w:sz w:val="24"/>
        </w:rPr>
        <w:t>4.2.1 Počet případů dočasné pracovní neschopnosti</w:t>
      </w:r>
      <w:bookmarkEnd w:id="23"/>
      <w:bookmarkEnd w:id="24"/>
    </w:p>
    <w:p w14:paraId="53E03F96" w14:textId="083C13B0" w:rsidR="003E2FAF" w:rsidRPr="004B2783" w:rsidRDefault="003E2FAF" w:rsidP="003E2FAF">
      <w:pPr>
        <w:spacing w:after="120"/>
        <w:jc w:val="both"/>
        <w:rPr>
          <w:bCs/>
        </w:rPr>
      </w:pPr>
      <w:r w:rsidRPr="004B2783">
        <w:rPr>
          <w:b/>
          <w:bCs/>
        </w:rPr>
        <w:t>Četnost dočasné pracovní neschopnosti</w:t>
      </w:r>
      <w:r w:rsidRPr="004B2783">
        <w:rPr>
          <w:bCs/>
        </w:rPr>
        <w:t xml:space="preserve"> </w:t>
      </w:r>
      <w:r w:rsidRPr="004B2783">
        <w:rPr>
          <w:b/>
          <w:bCs/>
        </w:rPr>
        <w:t>(DPN)</w:t>
      </w:r>
      <w:r w:rsidRPr="004B2783">
        <w:rPr>
          <w:bCs/>
        </w:rPr>
        <w:t xml:space="preserve"> odráží ukazatel o počtu nově hlášených případů pracovní neschopnosti. Tento absolutní ukazatel je rovněž vhodný pro posouzení trendů vývoje pracovní neschopnosti v čase. Avšak z pohledu porovnání</w:t>
      </w:r>
      <w:r w:rsidR="009E4E0A">
        <w:rPr>
          <w:bCs/>
        </w:rPr>
        <w:t xml:space="preserve"> </w:t>
      </w:r>
      <w:r w:rsidRPr="004B2783">
        <w:rPr>
          <w:bCs/>
        </w:rPr>
        <w:t xml:space="preserve">jednotlivých odvětví ekonomických činností či velikosti podniku má vyšší vypovídací schopnost </w:t>
      </w:r>
      <w:r w:rsidRPr="004B2783">
        <w:rPr>
          <w:b/>
          <w:bCs/>
        </w:rPr>
        <w:t>ukazatel relativní</w:t>
      </w:r>
      <w:r w:rsidRPr="004B2783">
        <w:rPr>
          <w:bCs/>
        </w:rPr>
        <w:t xml:space="preserve"> – </w:t>
      </w:r>
      <w:r w:rsidRPr="004B2783">
        <w:rPr>
          <w:b/>
          <w:bCs/>
        </w:rPr>
        <w:t>počet</w:t>
      </w:r>
      <w:r w:rsidRPr="004B2783">
        <w:rPr>
          <w:bCs/>
        </w:rPr>
        <w:t xml:space="preserve"> nově hlášených případů pracovní neschopnosti </w:t>
      </w:r>
      <w:r w:rsidRPr="004B2783">
        <w:rPr>
          <w:b/>
          <w:bCs/>
        </w:rPr>
        <w:t>na 100</w:t>
      </w:r>
      <w:r w:rsidR="00957C5B">
        <w:rPr>
          <w:b/>
          <w:bCs/>
        </w:rPr>
        <w:t> </w:t>
      </w:r>
      <w:r w:rsidRPr="004B2783">
        <w:rPr>
          <w:b/>
          <w:bCs/>
        </w:rPr>
        <w:t>pojištěnců</w:t>
      </w:r>
      <w:r w:rsidRPr="004B2783">
        <w:rPr>
          <w:bCs/>
        </w:rPr>
        <w:t xml:space="preserve"> v dané kategorii, např. ve zpracovatelském průmyslu</w:t>
      </w:r>
      <w:r w:rsidR="009E4E0A">
        <w:rPr>
          <w:bCs/>
        </w:rPr>
        <w:t xml:space="preserve"> či v malých podnicích.</w:t>
      </w:r>
    </w:p>
    <w:p w14:paraId="5CF440C5" w14:textId="77777777" w:rsidR="003E2FAF" w:rsidRPr="004B2783" w:rsidRDefault="003E2FAF" w:rsidP="003E2FAF">
      <w:pPr>
        <w:pStyle w:val="Box1"/>
        <w:spacing w:before="120" w:after="120"/>
        <w:ind w:left="0"/>
        <w:contextualSpacing w:val="0"/>
        <w:jc w:val="both"/>
        <w:rPr>
          <w:i/>
        </w:rPr>
      </w:pPr>
      <w:r w:rsidRPr="004B2783">
        <w:rPr>
          <w:b/>
          <w:i/>
        </w:rPr>
        <w:t xml:space="preserve">Počet nově hlášených případů dočasné pracovní neschopnosti </w:t>
      </w:r>
      <w:r w:rsidRPr="004B2783">
        <w:rPr>
          <w:i/>
        </w:rPr>
        <w:t xml:space="preserve">– ukazatel zahrnuje nově hlášené případy pracovní neschopnosti ve sledovaném období na základě hlášení o vzniku pracovní neschopnosti </w:t>
      </w:r>
      <w:proofErr w:type="spellStart"/>
      <w:r w:rsidRPr="004B2783">
        <w:rPr>
          <w:i/>
        </w:rPr>
        <w:t>nemocensky</w:t>
      </w:r>
      <w:proofErr w:type="spellEnd"/>
      <w:r w:rsidRPr="004B2783">
        <w:rPr>
          <w:i/>
        </w:rPr>
        <w:t xml:space="preserve"> pojištěných osob.</w:t>
      </w:r>
    </w:p>
    <w:p w14:paraId="2165B942" w14:textId="77777777" w:rsidR="003E2FAF" w:rsidRPr="004B2783" w:rsidRDefault="003E2FAF" w:rsidP="003E2FAF">
      <w:pPr>
        <w:pStyle w:val="Box1"/>
        <w:spacing w:before="120" w:after="120"/>
        <w:ind w:left="0"/>
        <w:contextualSpacing w:val="0"/>
        <w:jc w:val="both"/>
        <w:rPr>
          <w:i/>
        </w:rPr>
      </w:pPr>
      <w:r w:rsidRPr="004B2783">
        <w:rPr>
          <w:b/>
          <w:i/>
        </w:rPr>
        <w:t xml:space="preserve">Počet případů pracovní neschopnosti na 100 pojištěnců </w:t>
      </w:r>
      <w:r w:rsidRPr="004B2783">
        <w:rPr>
          <w:i/>
        </w:rPr>
        <w:t xml:space="preserve">– ukazatel vyjadřuje počet nově hlášených případů pracovní neschopnosti, které připadají v průměru na 100 </w:t>
      </w:r>
      <w:proofErr w:type="spellStart"/>
      <w:r w:rsidRPr="004B2783">
        <w:rPr>
          <w:i/>
        </w:rPr>
        <w:t>nemocensky</w:t>
      </w:r>
      <w:proofErr w:type="spellEnd"/>
      <w:r w:rsidRPr="004B2783">
        <w:rPr>
          <w:i/>
        </w:rPr>
        <w:t xml:space="preserve"> pojištěných osob. </w:t>
      </w:r>
    </w:p>
    <w:p w14:paraId="25E56FE6" w14:textId="60E5FF3F" w:rsidR="00EA74DB" w:rsidRDefault="009E4E0A" w:rsidP="00EA74DB">
      <w:pPr>
        <w:spacing w:before="120" w:after="120"/>
        <w:jc w:val="both"/>
        <w:rPr>
          <w:bCs/>
        </w:rPr>
      </w:pPr>
      <w:r w:rsidRPr="00251BF8">
        <w:rPr>
          <w:bCs/>
        </w:rPr>
        <w:t>V roce 2023</w:t>
      </w:r>
      <w:r w:rsidR="003E2FAF" w:rsidRPr="00251BF8">
        <w:rPr>
          <w:bCs/>
        </w:rPr>
        <w:t xml:space="preserve"> bylo v Česku nahlášeno </w:t>
      </w:r>
      <w:r w:rsidR="003E2FAF" w:rsidRPr="00251BF8">
        <w:rPr>
          <w:b/>
          <w:bCs/>
        </w:rPr>
        <w:t>celkem</w:t>
      </w:r>
      <w:r w:rsidR="003E2FAF" w:rsidRPr="00251BF8">
        <w:rPr>
          <w:bCs/>
        </w:rPr>
        <w:t xml:space="preserve"> </w:t>
      </w:r>
      <w:r w:rsidRPr="00251BF8">
        <w:rPr>
          <w:b/>
          <w:bCs/>
        </w:rPr>
        <w:t>2 535</w:t>
      </w:r>
      <w:r w:rsidR="003E2FAF" w:rsidRPr="00251BF8">
        <w:rPr>
          <w:b/>
          <w:bCs/>
        </w:rPr>
        <w:t xml:space="preserve"> tis. případů pracovní neschopnosti.</w:t>
      </w:r>
      <w:r w:rsidR="003E2FAF" w:rsidRPr="00251BF8">
        <w:rPr>
          <w:bCs/>
        </w:rPr>
        <w:t xml:space="preserve"> To je o 2</w:t>
      </w:r>
      <w:r w:rsidRPr="00251BF8">
        <w:rPr>
          <w:bCs/>
        </w:rPr>
        <w:t>7</w:t>
      </w:r>
      <w:r w:rsidR="003E2FAF" w:rsidRPr="00251BF8">
        <w:rPr>
          <w:bCs/>
        </w:rPr>
        <w:t xml:space="preserve"> % (</w:t>
      </w:r>
      <w:r w:rsidRPr="00251BF8">
        <w:rPr>
          <w:bCs/>
        </w:rPr>
        <w:t>923</w:t>
      </w:r>
      <w:r w:rsidR="003E2FAF" w:rsidRPr="00251BF8">
        <w:rPr>
          <w:bCs/>
        </w:rPr>
        <w:t xml:space="preserve"> tis.) případů </w:t>
      </w:r>
      <w:r w:rsidRPr="00251BF8">
        <w:rPr>
          <w:bCs/>
        </w:rPr>
        <w:t>méně</w:t>
      </w:r>
      <w:r w:rsidR="003E2FAF" w:rsidRPr="00251BF8">
        <w:rPr>
          <w:bCs/>
        </w:rPr>
        <w:t xml:space="preserve"> než v předchozím roce. </w:t>
      </w:r>
      <w:r w:rsidRPr="00251BF8">
        <w:rPr>
          <w:bCs/>
        </w:rPr>
        <w:t>Do počtu případů pro nemoc jsou kromě nemocí jako takových započteny i karantény a izolace. Kromě navýšení počtu případů nemocí, karantén a izolací byl ovšem nárůst částečně způsoben i metodologicky.</w:t>
      </w:r>
    </w:p>
    <w:p w14:paraId="493936DE" w14:textId="6F24AF2D" w:rsidR="00EA74DB" w:rsidRPr="00EA74DB" w:rsidRDefault="009E4E0A" w:rsidP="00EA74DB">
      <w:pPr>
        <w:pStyle w:val="Box1"/>
        <w:ind w:left="0"/>
        <w:jc w:val="both"/>
        <w:rPr>
          <w:b/>
          <w:i/>
        </w:rPr>
      </w:pPr>
      <w:r w:rsidRPr="00EA74DB">
        <w:rPr>
          <w:b/>
          <w:bCs/>
          <w:i/>
        </w:rPr>
        <w:t>Od 17. ledna do 28. února</w:t>
      </w:r>
      <w:r w:rsidRPr="00EA74DB">
        <w:rPr>
          <w:b/>
          <w:i/>
        </w:rPr>
        <w:t xml:space="preserve"> 2022</w:t>
      </w:r>
      <w:r w:rsidRPr="00EA74DB">
        <w:rPr>
          <w:i/>
        </w:rPr>
        <w:t xml:space="preserve"> při testování na covid-19 byly </w:t>
      </w:r>
      <w:r w:rsidRPr="00EA74DB">
        <w:rPr>
          <w:b/>
          <w:i/>
        </w:rPr>
        <w:t>některým pracujícím</w:t>
      </w:r>
      <w:r w:rsidRPr="00EA74DB">
        <w:rPr>
          <w:i/>
        </w:rPr>
        <w:t xml:space="preserve"> vydány neschopenky pro karanténu či izolaci </w:t>
      </w:r>
      <w:r w:rsidRPr="00EA74DB">
        <w:rPr>
          <w:b/>
          <w:i/>
        </w:rPr>
        <w:t>duplicitně</w:t>
      </w:r>
      <w:r w:rsidRPr="00EA74DB">
        <w:rPr>
          <w:i/>
        </w:rPr>
        <w:t>. V zájmu operativního jednání při jejich vyřizování vydávali neschopenky jak praktičtí lékaři, tak krajské hygienické stanice. Z dostupných zdrojových databází však není možné duplicitní případy identifikovat a ani vyčíslit jejich míru.</w:t>
      </w:r>
      <w:r w:rsidR="000D52D6" w:rsidRPr="00EA74DB">
        <w:rPr>
          <w:i/>
        </w:rPr>
        <w:t xml:space="preserve"> </w:t>
      </w:r>
      <w:r w:rsidR="000D52D6" w:rsidRPr="00EA74DB">
        <w:rPr>
          <w:b/>
          <w:i/>
        </w:rPr>
        <w:t>Údaje za rok 2022 tudíž nejsou srovnatelné s údaji za ostatní roky.</w:t>
      </w:r>
    </w:p>
    <w:p w14:paraId="181B8AA8" w14:textId="77B7BB29" w:rsidR="000D52D6" w:rsidRPr="000D52D6" w:rsidRDefault="00C12C70" w:rsidP="000D52D6">
      <w:pPr>
        <w:pStyle w:val="Box1"/>
        <w:spacing w:before="120" w:after="120"/>
        <w:ind w:left="0"/>
        <w:contextualSpacing w:val="0"/>
        <w:jc w:val="both"/>
        <w:rPr>
          <w:b/>
          <w:i/>
        </w:rPr>
      </w:pPr>
      <w:r>
        <w:rPr>
          <w:i/>
        </w:rPr>
        <w:lastRenderedPageBreak/>
        <w:t xml:space="preserve">Do jisté míry </w:t>
      </w:r>
      <w:r w:rsidR="006E7C74" w:rsidRPr="003A69CB">
        <w:rPr>
          <w:i/>
        </w:rPr>
        <w:t xml:space="preserve">má </w:t>
      </w:r>
      <w:r>
        <w:rPr>
          <w:i/>
        </w:rPr>
        <w:t>duplicitní vydávání neschopenek</w:t>
      </w:r>
      <w:r w:rsidRPr="003A69CB">
        <w:rPr>
          <w:i/>
        </w:rPr>
        <w:t xml:space="preserve"> </w:t>
      </w:r>
      <w:r w:rsidRPr="003A69CB">
        <w:rPr>
          <w:b/>
          <w:i/>
        </w:rPr>
        <w:t>kromě počtu nahlášených případů vliv i na další prezentované a z nich odvozené ukazatele</w:t>
      </w:r>
      <w:r w:rsidRPr="003A69CB">
        <w:rPr>
          <w:i/>
        </w:rPr>
        <w:t xml:space="preserve"> (počet kalendářních dnů v pracovní neschopnosti, průměrné procento dočasné pracovní neschopnosti, průměrný denní stav dočasně práce neschopných). </w:t>
      </w:r>
      <w:r w:rsidR="000D52D6">
        <w:rPr>
          <w:i/>
        </w:rPr>
        <w:br/>
      </w:r>
      <w:r w:rsidR="000D52D6">
        <w:rPr>
          <w:i/>
        </w:rPr>
        <w:br/>
        <w:t xml:space="preserve">Dále bude v </w:t>
      </w:r>
      <w:r w:rsidR="000D52D6" w:rsidRPr="000D52D6">
        <w:rPr>
          <w:i/>
        </w:rPr>
        <w:t xml:space="preserve">této analytické části </w:t>
      </w:r>
      <w:r w:rsidR="000D52D6" w:rsidRPr="000D52D6">
        <w:rPr>
          <w:b/>
          <w:i/>
        </w:rPr>
        <w:t>rok 2023 srovnáván především s rokem 2021</w:t>
      </w:r>
      <w:r w:rsidR="000D52D6" w:rsidRPr="000D52D6">
        <w:rPr>
          <w:i/>
        </w:rPr>
        <w:t xml:space="preserve">, </w:t>
      </w:r>
      <w:r w:rsidR="000D52D6" w:rsidRPr="000D52D6">
        <w:rPr>
          <w:b/>
          <w:i/>
        </w:rPr>
        <w:t>s obdobím před pandemií</w:t>
      </w:r>
      <w:r w:rsidR="000D52D6" w:rsidRPr="000D52D6">
        <w:rPr>
          <w:i/>
        </w:rPr>
        <w:t xml:space="preserve"> (rokem 2019) </w:t>
      </w:r>
      <w:r w:rsidR="000D52D6" w:rsidRPr="000D52D6">
        <w:rPr>
          <w:b/>
          <w:i/>
        </w:rPr>
        <w:t>nebo vývojem za posledních 10 let</w:t>
      </w:r>
      <w:r w:rsidR="000D52D6" w:rsidRPr="000D52D6" w:rsidDel="006E7C74">
        <w:rPr>
          <w:b/>
          <w:i/>
        </w:rPr>
        <w:t xml:space="preserve"> </w:t>
      </w:r>
      <w:r w:rsidR="000D52D6" w:rsidRPr="000D52D6">
        <w:rPr>
          <w:b/>
          <w:i/>
        </w:rPr>
        <w:t> </w:t>
      </w:r>
      <w:r w:rsidR="000D52D6" w:rsidRPr="000D52D6">
        <w:rPr>
          <w:i/>
        </w:rPr>
        <w:t xml:space="preserve">(rokem 2013). V případě údajů za 2. pololetí, výše uvedené omezení neplatí a tak je možno srovnávat i </w:t>
      </w:r>
      <w:r w:rsidR="000D52D6" w:rsidRPr="000D52D6">
        <w:rPr>
          <w:b/>
          <w:i/>
        </w:rPr>
        <w:t>meziroční změny mezi druhou polovinou roku 2023 a 2022.</w:t>
      </w:r>
    </w:p>
    <w:p w14:paraId="49BDFB7D" w14:textId="0C507A0A" w:rsidR="00587FF1" w:rsidRPr="004B2783" w:rsidRDefault="00587FF1" w:rsidP="00587FF1">
      <w:pPr>
        <w:spacing w:after="60"/>
        <w:jc w:val="both"/>
        <w:rPr>
          <w:b/>
          <w:bCs/>
          <w:spacing w:val="-4"/>
        </w:rPr>
      </w:pPr>
      <w:r w:rsidRPr="004B2783">
        <w:rPr>
          <w:b/>
          <w:bCs/>
          <w:spacing w:val="-4"/>
        </w:rPr>
        <w:t>Tab. 2.1: Nově hlášené případy dočasné pracovní neschopnosti podle příčiny a pohlaví, 201</w:t>
      </w:r>
      <w:r>
        <w:rPr>
          <w:b/>
          <w:bCs/>
          <w:spacing w:val="-4"/>
        </w:rPr>
        <w:t>3</w:t>
      </w:r>
      <w:r w:rsidRPr="004B2783">
        <w:rPr>
          <w:b/>
          <w:bCs/>
          <w:spacing w:val="-4"/>
        </w:rPr>
        <w:t>–202</w:t>
      </w:r>
      <w:r>
        <w:rPr>
          <w:b/>
          <w:bCs/>
          <w:spacing w:val="-4"/>
        </w:rPr>
        <w:t>3</w:t>
      </w:r>
      <w:r w:rsidRPr="004B2783">
        <w:rPr>
          <w:b/>
          <w:bCs/>
          <w:spacing w:val="-4"/>
        </w:rPr>
        <w:t xml:space="preserve"> (v tis.)</w:t>
      </w:r>
    </w:p>
    <w:tbl>
      <w:tblPr>
        <w:tblW w:w="9588" w:type="dxa"/>
        <w:tblCellMar>
          <w:left w:w="70" w:type="dxa"/>
          <w:right w:w="70" w:type="dxa"/>
        </w:tblCellMar>
        <w:tblLook w:val="04A0" w:firstRow="1" w:lastRow="0" w:firstColumn="1" w:lastColumn="0" w:noHBand="0" w:noVBand="1"/>
      </w:tblPr>
      <w:tblGrid>
        <w:gridCol w:w="736"/>
        <w:gridCol w:w="737"/>
        <w:gridCol w:w="735"/>
        <w:gridCol w:w="735"/>
        <w:gridCol w:w="736"/>
        <w:gridCol w:w="735"/>
        <w:gridCol w:w="735"/>
        <w:gridCol w:w="754"/>
        <w:gridCol w:w="737"/>
        <w:gridCol w:w="737"/>
        <w:gridCol w:w="737"/>
        <w:gridCol w:w="737"/>
        <w:gridCol w:w="737"/>
      </w:tblGrid>
      <w:tr w:rsidR="00587FF1" w:rsidRPr="004B2783" w14:paraId="79B6A3C2" w14:textId="77777777" w:rsidTr="007A5557">
        <w:trPr>
          <w:trHeight w:val="300"/>
        </w:trPr>
        <w:tc>
          <w:tcPr>
            <w:tcW w:w="736" w:type="dxa"/>
            <w:vMerge w:val="restart"/>
            <w:tcBorders>
              <w:top w:val="single" w:sz="4" w:space="0" w:color="auto"/>
              <w:left w:val="nil"/>
              <w:bottom w:val="single" w:sz="4" w:space="0" w:color="auto"/>
              <w:right w:val="nil"/>
            </w:tcBorders>
            <w:shd w:val="clear" w:color="000000" w:fill="F5DADD"/>
            <w:vAlign w:val="center"/>
            <w:hideMark/>
          </w:tcPr>
          <w:p w14:paraId="6C4DA284"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Rok</w:t>
            </w:r>
          </w:p>
        </w:tc>
        <w:tc>
          <w:tcPr>
            <w:tcW w:w="737" w:type="dxa"/>
            <w:vMerge w:val="restart"/>
            <w:tcBorders>
              <w:top w:val="single" w:sz="4" w:space="0" w:color="auto"/>
              <w:left w:val="single" w:sz="4" w:space="0" w:color="auto"/>
              <w:bottom w:val="single" w:sz="4" w:space="0" w:color="auto"/>
              <w:right w:val="nil"/>
            </w:tcBorders>
            <w:shd w:val="clear" w:color="000000" w:fill="F2DBDB"/>
            <w:vAlign w:val="center"/>
            <w:hideMark/>
          </w:tcPr>
          <w:p w14:paraId="79608827" w14:textId="77777777" w:rsidR="00587FF1" w:rsidRPr="004B2783" w:rsidRDefault="00587FF1" w:rsidP="007A5557">
            <w:pPr>
              <w:spacing w:after="0" w:line="240" w:lineRule="auto"/>
              <w:jc w:val="center"/>
              <w:rPr>
                <w:rFonts w:cs="Arial"/>
                <w:b/>
                <w:bCs/>
                <w:color w:val="000000"/>
                <w:sz w:val="16"/>
                <w:szCs w:val="16"/>
              </w:rPr>
            </w:pPr>
            <w:r w:rsidRPr="004B2783">
              <w:rPr>
                <w:rFonts w:cs="Arial"/>
                <w:b/>
                <w:bCs/>
                <w:color w:val="000000"/>
                <w:sz w:val="16"/>
                <w:szCs w:val="16"/>
              </w:rPr>
              <w:t>Celkem</w:t>
            </w:r>
          </w:p>
        </w:tc>
        <w:tc>
          <w:tcPr>
            <w:tcW w:w="1470" w:type="dxa"/>
            <w:gridSpan w:val="2"/>
            <w:tcBorders>
              <w:top w:val="single" w:sz="4" w:space="0" w:color="auto"/>
              <w:left w:val="single" w:sz="4" w:space="0" w:color="auto"/>
              <w:bottom w:val="single" w:sz="4" w:space="0" w:color="auto"/>
              <w:right w:val="single" w:sz="4" w:space="0" w:color="auto"/>
            </w:tcBorders>
            <w:shd w:val="clear" w:color="000000" w:fill="F2DBDB"/>
            <w:vAlign w:val="center"/>
            <w:hideMark/>
          </w:tcPr>
          <w:p w14:paraId="07543715"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podle pohlaví</w:t>
            </w:r>
          </w:p>
        </w:tc>
        <w:tc>
          <w:tcPr>
            <w:tcW w:w="736" w:type="dxa"/>
            <w:vMerge w:val="restart"/>
            <w:tcBorders>
              <w:top w:val="single" w:sz="4" w:space="0" w:color="auto"/>
              <w:left w:val="nil"/>
              <w:bottom w:val="single" w:sz="4" w:space="0" w:color="auto"/>
              <w:right w:val="nil"/>
            </w:tcBorders>
            <w:shd w:val="clear" w:color="000000" w:fill="F2DBDB"/>
            <w:vAlign w:val="center"/>
            <w:hideMark/>
          </w:tcPr>
          <w:p w14:paraId="44D1DE4C"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Pro nemoc</w:t>
            </w:r>
          </w:p>
        </w:tc>
        <w:tc>
          <w:tcPr>
            <w:tcW w:w="1470" w:type="dxa"/>
            <w:gridSpan w:val="2"/>
            <w:tcBorders>
              <w:top w:val="single" w:sz="4" w:space="0" w:color="auto"/>
              <w:left w:val="single" w:sz="4" w:space="0" w:color="auto"/>
              <w:bottom w:val="single" w:sz="4" w:space="0" w:color="auto"/>
              <w:right w:val="single" w:sz="4" w:space="0" w:color="auto"/>
            </w:tcBorders>
            <w:shd w:val="clear" w:color="000000" w:fill="F2DBDB"/>
            <w:vAlign w:val="center"/>
            <w:hideMark/>
          </w:tcPr>
          <w:p w14:paraId="4249CFE4"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podle pohlaví</w:t>
            </w:r>
          </w:p>
        </w:tc>
        <w:tc>
          <w:tcPr>
            <w:tcW w:w="754" w:type="dxa"/>
            <w:vMerge w:val="restart"/>
            <w:tcBorders>
              <w:top w:val="single" w:sz="4" w:space="0" w:color="auto"/>
              <w:left w:val="single" w:sz="4" w:space="0" w:color="auto"/>
              <w:bottom w:val="single" w:sz="4" w:space="0" w:color="auto"/>
              <w:right w:val="nil"/>
            </w:tcBorders>
            <w:shd w:val="clear" w:color="000000" w:fill="F2DBDB"/>
            <w:vAlign w:val="center"/>
            <w:hideMark/>
          </w:tcPr>
          <w:p w14:paraId="24B94635"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Pro pracovní úrazy</w:t>
            </w:r>
          </w:p>
        </w:tc>
        <w:tc>
          <w:tcPr>
            <w:tcW w:w="1474" w:type="dxa"/>
            <w:gridSpan w:val="2"/>
            <w:tcBorders>
              <w:top w:val="single" w:sz="4" w:space="0" w:color="auto"/>
              <w:left w:val="single" w:sz="4" w:space="0" w:color="auto"/>
              <w:bottom w:val="single" w:sz="4" w:space="0" w:color="auto"/>
              <w:right w:val="single" w:sz="4" w:space="0" w:color="auto"/>
            </w:tcBorders>
            <w:shd w:val="clear" w:color="000000" w:fill="F2DBDB"/>
            <w:vAlign w:val="center"/>
            <w:hideMark/>
          </w:tcPr>
          <w:p w14:paraId="72C713B3"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podle pohlaví</w:t>
            </w:r>
          </w:p>
        </w:tc>
        <w:tc>
          <w:tcPr>
            <w:tcW w:w="737" w:type="dxa"/>
            <w:vMerge w:val="restart"/>
            <w:tcBorders>
              <w:top w:val="single" w:sz="4" w:space="0" w:color="auto"/>
              <w:left w:val="nil"/>
              <w:bottom w:val="single" w:sz="4" w:space="0" w:color="auto"/>
              <w:right w:val="nil"/>
            </w:tcBorders>
            <w:shd w:val="clear" w:color="000000" w:fill="F2DBDB"/>
            <w:vAlign w:val="center"/>
            <w:hideMark/>
          </w:tcPr>
          <w:p w14:paraId="5A4BBFEC"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Pro ostatní úrazy</w:t>
            </w:r>
          </w:p>
        </w:tc>
        <w:tc>
          <w:tcPr>
            <w:tcW w:w="1474" w:type="dxa"/>
            <w:gridSpan w:val="2"/>
            <w:tcBorders>
              <w:top w:val="single" w:sz="4" w:space="0" w:color="auto"/>
              <w:left w:val="single" w:sz="4" w:space="0" w:color="auto"/>
              <w:bottom w:val="single" w:sz="4" w:space="0" w:color="auto"/>
              <w:right w:val="nil"/>
            </w:tcBorders>
            <w:shd w:val="clear" w:color="000000" w:fill="F2DBDB"/>
            <w:vAlign w:val="center"/>
            <w:hideMark/>
          </w:tcPr>
          <w:p w14:paraId="270EB15A"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podle pohlaví</w:t>
            </w:r>
          </w:p>
        </w:tc>
      </w:tr>
      <w:tr w:rsidR="00587FF1" w:rsidRPr="004B2783" w14:paraId="1AABC36D" w14:textId="77777777" w:rsidTr="007A5557">
        <w:trPr>
          <w:trHeight w:val="405"/>
        </w:trPr>
        <w:tc>
          <w:tcPr>
            <w:tcW w:w="736" w:type="dxa"/>
            <w:vMerge/>
            <w:tcBorders>
              <w:top w:val="single" w:sz="4" w:space="0" w:color="auto"/>
              <w:left w:val="nil"/>
              <w:bottom w:val="single" w:sz="4" w:space="0" w:color="auto"/>
              <w:right w:val="nil"/>
            </w:tcBorders>
            <w:vAlign w:val="center"/>
            <w:hideMark/>
          </w:tcPr>
          <w:p w14:paraId="6EB5300D" w14:textId="77777777" w:rsidR="00587FF1" w:rsidRPr="004B2783" w:rsidRDefault="00587FF1" w:rsidP="007A5557">
            <w:pPr>
              <w:spacing w:after="0" w:line="240" w:lineRule="auto"/>
              <w:rPr>
                <w:rFonts w:cs="Arial"/>
                <w:color w:val="000000"/>
                <w:sz w:val="16"/>
                <w:szCs w:val="16"/>
              </w:rPr>
            </w:pPr>
          </w:p>
        </w:tc>
        <w:tc>
          <w:tcPr>
            <w:tcW w:w="737" w:type="dxa"/>
            <w:vMerge/>
            <w:tcBorders>
              <w:top w:val="single" w:sz="4" w:space="0" w:color="auto"/>
              <w:left w:val="single" w:sz="4" w:space="0" w:color="auto"/>
              <w:bottom w:val="single" w:sz="4" w:space="0" w:color="auto"/>
              <w:right w:val="nil"/>
            </w:tcBorders>
            <w:vAlign w:val="center"/>
            <w:hideMark/>
          </w:tcPr>
          <w:p w14:paraId="38015630" w14:textId="77777777" w:rsidR="00587FF1" w:rsidRPr="004B2783" w:rsidRDefault="00587FF1" w:rsidP="007A5557">
            <w:pPr>
              <w:spacing w:after="0" w:line="240" w:lineRule="auto"/>
              <w:rPr>
                <w:rFonts w:cs="Arial"/>
                <w:b/>
                <w:bCs/>
                <w:color w:val="000000"/>
                <w:sz w:val="16"/>
                <w:szCs w:val="16"/>
              </w:rPr>
            </w:pPr>
          </w:p>
        </w:tc>
        <w:tc>
          <w:tcPr>
            <w:tcW w:w="735" w:type="dxa"/>
            <w:tcBorders>
              <w:top w:val="nil"/>
              <w:left w:val="single" w:sz="4" w:space="0" w:color="auto"/>
              <w:bottom w:val="single" w:sz="4" w:space="0" w:color="auto"/>
              <w:right w:val="single" w:sz="4" w:space="0" w:color="auto"/>
            </w:tcBorders>
            <w:shd w:val="clear" w:color="000000" w:fill="F2DBDB"/>
            <w:vAlign w:val="center"/>
            <w:hideMark/>
          </w:tcPr>
          <w:p w14:paraId="265445D5"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muži</w:t>
            </w:r>
          </w:p>
        </w:tc>
        <w:tc>
          <w:tcPr>
            <w:tcW w:w="735" w:type="dxa"/>
            <w:tcBorders>
              <w:top w:val="nil"/>
              <w:left w:val="nil"/>
              <w:bottom w:val="single" w:sz="4" w:space="0" w:color="auto"/>
              <w:right w:val="single" w:sz="4" w:space="0" w:color="auto"/>
            </w:tcBorders>
            <w:shd w:val="clear" w:color="000000" w:fill="F2DBDB"/>
            <w:vAlign w:val="center"/>
            <w:hideMark/>
          </w:tcPr>
          <w:p w14:paraId="0A07C06B"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ženy</w:t>
            </w:r>
          </w:p>
        </w:tc>
        <w:tc>
          <w:tcPr>
            <w:tcW w:w="736" w:type="dxa"/>
            <w:vMerge/>
            <w:tcBorders>
              <w:left w:val="nil"/>
              <w:bottom w:val="single" w:sz="4" w:space="0" w:color="auto"/>
              <w:right w:val="nil"/>
            </w:tcBorders>
            <w:vAlign w:val="center"/>
            <w:hideMark/>
          </w:tcPr>
          <w:p w14:paraId="666D79A6" w14:textId="77777777" w:rsidR="00587FF1" w:rsidRPr="004B2783" w:rsidRDefault="00587FF1" w:rsidP="007A5557">
            <w:pPr>
              <w:spacing w:after="0" w:line="240" w:lineRule="auto"/>
              <w:rPr>
                <w:rFonts w:cs="Arial"/>
                <w:color w:val="000000"/>
                <w:sz w:val="16"/>
                <w:szCs w:val="16"/>
              </w:rPr>
            </w:pPr>
          </w:p>
        </w:tc>
        <w:tc>
          <w:tcPr>
            <w:tcW w:w="735" w:type="dxa"/>
            <w:tcBorders>
              <w:top w:val="nil"/>
              <w:left w:val="single" w:sz="4" w:space="0" w:color="auto"/>
              <w:bottom w:val="single" w:sz="4" w:space="0" w:color="auto"/>
              <w:right w:val="single" w:sz="4" w:space="0" w:color="auto"/>
            </w:tcBorders>
            <w:shd w:val="clear" w:color="000000" w:fill="F2DBDB"/>
            <w:vAlign w:val="center"/>
            <w:hideMark/>
          </w:tcPr>
          <w:p w14:paraId="10E0B8AA"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muži</w:t>
            </w:r>
          </w:p>
        </w:tc>
        <w:tc>
          <w:tcPr>
            <w:tcW w:w="735" w:type="dxa"/>
            <w:tcBorders>
              <w:top w:val="nil"/>
              <w:left w:val="nil"/>
              <w:bottom w:val="single" w:sz="4" w:space="0" w:color="auto"/>
              <w:right w:val="single" w:sz="4" w:space="0" w:color="auto"/>
            </w:tcBorders>
            <w:shd w:val="clear" w:color="000000" w:fill="F2DBDB"/>
            <w:vAlign w:val="center"/>
            <w:hideMark/>
          </w:tcPr>
          <w:p w14:paraId="1818FFB1"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ženy</w:t>
            </w:r>
          </w:p>
        </w:tc>
        <w:tc>
          <w:tcPr>
            <w:tcW w:w="754" w:type="dxa"/>
            <w:vMerge/>
            <w:tcBorders>
              <w:left w:val="single" w:sz="4" w:space="0" w:color="auto"/>
              <w:bottom w:val="single" w:sz="4" w:space="0" w:color="auto"/>
              <w:right w:val="nil"/>
            </w:tcBorders>
            <w:vAlign w:val="center"/>
            <w:hideMark/>
          </w:tcPr>
          <w:p w14:paraId="1215EA0B" w14:textId="77777777" w:rsidR="00587FF1" w:rsidRPr="004B2783" w:rsidRDefault="00587FF1" w:rsidP="007A5557">
            <w:pPr>
              <w:spacing w:after="0" w:line="240" w:lineRule="auto"/>
              <w:rPr>
                <w:rFonts w:cs="Arial"/>
                <w:color w:val="000000"/>
                <w:sz w:val="16"/>
                <w:szCs w:val="16"/>
              </w:rPr>
            </w:pPr>
          </w:p>
        </w:tc>
        <w:tc>
          <w:tcPr>
            <w:tcW w:w="737" w:type="dxa"/>
            <w:tcBorders>
              <w:top w:val="nil"/>
              <w:left w:val="single" w:sz="4" w:space="0" w:color="auto"/>
              <w:bottom w:val="single" w:sz="4" w:space="0" w:color="auto"/>
              <w:right w:val="single" w:sz="4" w:space="0" w:color="auto"/>
            </w:tcBorders>
            <w:shd w:val="clear" w:color="000000" w:fill="F2DBDB"/>
            <w:vAlign w:val="center"/>
            <w:hideMark/>
          </w:tcPr>
          <w:p w14:paraId="6DC05912"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muži</w:t>
            </w:r>
          </w:p>
        </w:tc>
        <w:tc>
          <w:tcPr>
            <w:tcW w:w="737" w:type="dxa"/>
            <w:tcBorders>
              <w:top w:val="nil"/>
              <w:left w:val="nil"/>
              <w:bottom w:val="single" w:sz="4" w:space="0" w:color="auto"/>
              <w:right w:val="single" w:sz="4" w:space="0" w:color="auto"/>
            </w:tcBorders>
            <w:shd w:val="clear" w:color="000000" w:fill="F2DBDB"/>
            <w:vAlign w:val="center"/>
            <w:hideMark/>
          </w:tcPr>
          <w:p w14:paraId="072606C5"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ženy</w:t>
            </w:r>
          </w:p>
        </w:tc>
        <w:tc>
          <w:tcPr>
            <w:tcW w:w="737" w:type="dxa"/>
            <w:vMerge/>
            <w:tcBorders>
              <w:left w:val="nil"/>
              <w:bottom w:val="single" w:sz="4" w:space="0" w:color="auto"/>
              <w:right w:val="nil"/>
            </w:tcBorders>
            <w:vAlign w:val="center"/>
            <w:hideMark/>
          </w:tcPr>
          <w:p w14:paraId="58DE7786" w14:textId="77777777" w:rsidR="00587FF1" w:rsidRPr="004B2783" w:rsidRDefault="00587FF1" w:rsidP="007A5557">
            <w:pPr>
              <w:spacing w:after="0" w:line="240" w:lineRule="auto"/>
              <w:rPr>
                <w:rFonts w:cs="Arial"/>
                <w:color w:val="000000"/>
                <w:sz w:val="16"/>
                <w:szCs w:val="16"/>
              </w:rPr>
            </w:pPr>
          </w:p>
        </w:tc>
        <w:tc>
          <w:tcPr>
            <w:tcW w:w="737" w:type="dxa"/>
            <w:tcBorders>
              <w:top w:val="nil"/>
              <w:left w:val="single" w:sz="4" w:space="0" w:color="auto"/>
              <w:bottom w:val="single" w:sz="4" w:space="0" w:color="auto"/>
              <w:right w:val="single" w:sz="4" w:space="0" w:color="auto"/>
            </w:tcBorders>
            <w:shd w:val="clear" w:color="000000" w:fill="F2DBDB"/>
            <w:vAlign w:val="center"/>
            <w:hideMark/>
          </w:tcPr>
          <w:p w14:paraId="699C4637"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muži</w:t>
            </w:r>
          </w:p>
        </w:tc>
        <w:tc>
          <w:tcPr>
            <w:tcW w:w="737" w:type="dxa"/>
            <w:tcBorders>
              <w:top w:val="nil"/>
              <w:left w:val="nil"/>
              <w:bottom w:val="single" w:sz="4" w:space="0" w:color="auto"/>
              <w:right w:val="nil"/>
            </w:tcBorders>
            <w:shd w:val="clear" w:color="000000" w:fill="F2DBDB"/>
            <w:vAlign w:val="center"/>
            <w:hideMark/>
          </w:tcPr>
          <w:p w14:paraId="2B3E9375"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ženy</w:t>
            </w:r>
          </w:p>
        </w:tc>
      </w:tr>
      <w:tr w:rsidR="00587FF1" w:rsidRPr="004B2783" w14:paraId="02E4C498" w14:textId="77777777" w:rsidTr="007A5557">
        <w:trPr>
          <w:trHeight w:val="300"/>
        </w:trPr>
        <w:tc>
          <w:tcPr>
            <w:tcW w:w="736" w:type="dxa"/>
            <w:tcBorders>
              <w:top w:val="nil"/>
              <w:left w:val="nil"/>
              <w:bottom w:val="nil"/>
              <w:right w:val="nil"/>
            </w:tcBorders>
            <w:shd w:val="clear" w:color="auto" w:fill="auto"/>
            <w:vAlign w:val="center"/>
            <w:hideMark/>
          </w:tcPr>
          <w:p w14:paraId="6EC67994"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2013</w:t>
            </w:r>
          </w:p>
        </w:tc>
        <w:tc>
          <w:tcPr>
            <w:tcW w:w="737" w:type="dxa"/>
            <w:tcBorders>
              <w:top w:val="nil"/>
              <w:left w:val="single" w:sz="4" w:space="0" w:color="auto"/>
              <w:bottom w:val="nil"/>
              <w:right w:val="nil"/>
            </w:tcBorders>
            <w:shd w:val="clear" w:color="auto" w:fill="auto"/>
            <w:vAlign w:val="center"/>
            <w:hideMark/>
          </w:tcPr>
          <w:p w14:paraId="4F330D63"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1 331,5</w:t>
            </w:r>
          </w:p>
        </w:tc>
        <w:tc>
          <w:tcPr>
            <w:tcW w:w="735" w:type="dxa"/>
            <w:tcBorders>
              <w:top w:val="nil"/>
              <w:left w:val="nil"/>
              <w:bottom w:val="nil"/>
              <w:right w:val="nil"/>
            </w:tcBorders>
            <w:shd w:val="clear" w:color="auto" w:fill="auto"/>
            <w:vAlign w:val="center"/>
            <w:hideMark/>
          </w:tcPr>
          <w:p w14:paraId="74957B15"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638,2</w:t>
            </w:r>
          </w:p>
        </w:tc>
        <w:tc>
          <w:tcPr>
            <w:tcW w:w="735" w:type="dxa"/>
            <w:tcBorders>
              <w:top w:val="nil"/>
              <w:left w:val="nil"/>
              <w:bottom w:val="nil"/>
              <w:right w:val="single" w:sz="4" w:space="0" w:color="auto"/>
            </w:tcBorders>
            <w:shd w:val="clear" w:color="auto" w:fill="auto"/>
            <w:vAlign w:val="center"/>
            <w:hideMark/>
          </w:tcPr>
          <w:p w14:paraId="259FD8F4"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693,3</w:t>
            </w:r>
          </w:p>
        </w:tc>
        <w:tc>
          <w:tcPr>
            <w:tcW w:w="736" w:type="dxa"/>
            <w:tcBorders>
              <w:top w:val="nil"/>
              <w:left w:val="nil"/>
              <w:bottom w:val="nil"/>
              <w:right w:val="nil"/>
            </w:tcBorders>
            <w:shd w:val="clear" w:color="auto" w:fill="auto"/>
            <w:vAlign w:val="center"/>
            <w:hideMark/>
          </w:tcPr>
          <w:p w14:paraId="0052DA18"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1 168,1</w:t>
            </w:r>
          </w:p>
        </w:tc>
        <w:tc>
          <w:tcPr>
            <w:tcW w:w="735" w:type="dxa"/>
            <w:tcBorders>
              <w:top w:val="nil"/>
              <w:left w:val="nil"/>
              <w:bottom w:val="nil"/>
              <w:right w:val="nil"/>
            </w:tcBorders>
            <w:shd w:val="clear" w:color="auto" w:fill="auto"/>
            <w:vAlign w:val="center"/>
            <w:hideMark/>
          </w:tcPr>
          <w:p w14:paraId="058568D8"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528,7</w:t>
            </w:r>
          </w:p>
        </w:tc>
        <w:tc>
          <w:tcPr>
            <w:tcW w:w="735" w:type="dxa"/>
            <w:tcBorders>
              <w:top w:val="nil"/>
              <w:left w:val="nil"/>
              <w:bottom w:val="nil"/>
              <w:right w:val="nil"/>
            </w:tcBorders>
            <w:shd w:val="clear" w:color="auto" w:fill="auto"/>
            <w:vAlign w:val="center"/>
            <w:hideMark/>
          </w:tcPr>
          <w:p w14:paraId="6A13DAB1"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639,4</w:t>
            </w:r>
          </w:p>
        </w:tc>
        <w:tc>
          <w:tcPr>
            <w:tcW w:w="754" w:type="dxa"/>
            <w:tcBorders>
              <w:top w:val="nil"/>
              <w:left w:val="single" w:sz="4" w:space="0" w:color="auto"/>
              <w:bottom w:val="nil"/>
              <w:right w:val="nil"/>
            </w:tcBorders>
            <w:shd w:val="clear" w:color="auto" w:fill="auto"/>
            <w:vAlign w:val="center"/>
            <w:hideMark/>
          </w:tcPr>
          <w:p w14:paraId="16B9B7AB"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42,9</w:t>
            </w:r>
          </w:p>
        </w:tc>
        <w:tc>
          <w:tcPr>
            <w:tcW w:w="737" w:type="dxa"/>
            <w:tcBorders>
              <w:top w:val="nil"/>
              <w:left w:val="nil"/>
              <w:bottom w:val="nil"/>
              <w:right w:val="nil"/>
            </w:tcBorders>
            <w:shd w:val="clear" w:color="auto" w:fill="auto"/>
            <w:vAlign w:val="center"/>
            <w:hideMark/>
          </w:tcPr>
          <w:p w14:paraId="6DC7D603"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30,4</w:t>
            </w:r>
          </w:p>
        </w:tc>
        <w:tc>
          <w:tcPr>
            <w:tcW w:w="737" w:type="dxa"/>
            <w:tcBorders>
              <w:top w:val="nil"/>
              <w:left w:val="nil"/>
              <w:bottom w:val="nil"/>
              <w:right w:val="single" w:sz="4" w:space="0" w:color="auto"/>
            </w:tcBorders>
            <w:shd w:val="clear" w:color="auto" w:fill="auto"/>
            <w:vAlign w:val="center"/>
            <w:hideMark/>
          </w:tcPr>
          <w:p w14:paraId="266A2874"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12,5</w:t>
            </w:r>
          </w:p>
        </w:tc>
        <w:tc>
          <w:tcPr>
            <w:tcW w:w="737" w:type="dxa"/>
            <w:tcBorders>
              <w:top w:val="nil"/>
              <w:left w:val="nil"/>
              <w:bottom w:val="nil"/>
              <w:right w:val="nil"/>
            </w:tcBorders>
            <w:shd w:val="clear" w:color="auto" w:fill="auto"/>
            <w:vAlign w:val="center"/>
            <w:hideMark/>
          </w:tcPr>
          <w:p w14:paraId="519EAB41"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120,5</w:t>
            </w:r>
          </w:p>
        </w:tc>
        <w:tc>
          <w:tcPr>
            <w:tcW w:w="737" w:type="dxa"/>
            <w:tcBorders>
              <w:top w:val="nil"/>
              <w:left w:val="nil"/>
              <w:bottom w:val="nil"/>
              <w:right w:val="nil"/>
            </w:tcBorders>
            <w:shd w:val="clear" w:color="auto" w:fill="auto"/>
            <w:vAlign w:val="center"/>
            <w:hideMark/>
          </w:tcPr>
          <w:p w14:paraId="4F1CB088"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79,1</w:t>
            </w:r>
          </w:p>
        </w:tc>
        <w:tc>
          <w:tcPr>
            <w:tcW w:w="737" w:type="dxa"/>
            <w:tcBorders>
              <w:top w:val="nil"/>
              <w:left w:val="nil"/>
              <w:bottom w:val="nil"/>
              <w:right w:val="nil"/>
            </w:tcBorders>
            <w:shd w:val="clear" w:color="auto" w:fill="auto"/>
            <w:vAlign w:val="center"/>
            <w:hideMark/>
          </w:tcPr>
          <w:p w14:paraId="1AAD3C08"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41,4</w:t>
            </w:r>
          </w:p>
        </w:tc>
      </w:tr>
      <w:tr w:rsidR="00587FF1" w:rsidRPr="004B2783" w14:paraId="508A8D7F" w14:textId="77777777" w:rsidTr="007A5557">
        <w:trPr>
          <w:trHeight w:val="300"/>
        </w:trPr>
        <w:tc>
          <w:tcPr>
            <w:tcW w:w="736" w:type="dxa"/>
            <w:tcBorders>
              <w:top w:val="nil"/>
              <w:left w:val="nil"/>
              <w:bottom w:val="nil"/>
              <w:right w:val="nil"/>
            </w:tcBorders>
            <w:shd w:val="clear" w:color="auto" w:fill="auto"/>
            <w:vAlign w:val="center"/>
            <w:hideMark/>
          </w:tcPr>
          <w:p w14:paraId="1D56ABDA"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2014</w:t>
            </w:r>
          </w:p>
        </w:tc>
        <w:tc>
          <w:tcPr>
            <w:tcW w:w="737" w:type="dxa"/>
            <w:tcBorders>
              <w:top w:val="nil"/>
              <w:left w:val="single" w:sz="4" w:space="0" w:color="auto"/>
              <w:bottom w:val="nil"/>
              <w:right w:val="nil"/>
            </w:tcBorders>
            <w:shd w:val="clear" w:color="auto" w:fill="auto"/>
            <w:vAlign w:val="center"/>
            <w:hideMark/>
          </w:tcPr>
          <w:p w14:paraId="210B7941"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1 314,8</w:t>
            </w:r>
          </w:p>
        </w:tc>
        <w:tc>
          <w:tcPr>
            <w:tcW w:w="735" w:type="dxa"/>
            <w:tcBorders>
              <w:top w:val="nil"/>
              <w:left w:val="nil"/>
              <w:bottom w:val="nil"/>
              <w:right w:val="nil"/>
            </w:tcBorders>
            <w:shd w:val="clear" w:color="auto" w:fill="auto"/>
            <w:vAlign w:val="center"/>
            <w:hideMark/>
          </w:tcPr>
          <w:p w14:paraId="50377FCA"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631,7</w:t>
            </w:r>
          </w:p>
        </w:tc>
        <w:tc>
          <w:tcPr>
            <w:tcW w:w="735" w:type="dxa"/>
            <w:tcBorders>
              <w:top w:val="nil"/>
              <w:left w:val="nil"/>
              <w:bottom w:val="nil"/>
              <w:right w:val="single" w:sz="4" w:space="0" w:color="auto"/>
            </w:tcBorders>
            <w:shd w:val="clear" w:color="auto" w:fill="auto"/>
            <w:vAlign w:val="center"/>
            <w:hideMark/>
          </w:tcPr>
          <w:p w14:paraId="7C2E45AA"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683,1</w:t>
            </w:r>
          </w:p>
        </w:tc>
        <w:tc>
          <w:tcPr>
            <w:tcW w:w="736" w:type="dxa"/>
            <w:tcBorders>
              <w:top w:val="nil"/>
              <w:left w:val="nil"/>
              <w:bottom w:val="nil"/>
              <w:right w:val="nil"/>
            </w:tcBorders>
            <w:shd w:val="clear" w:color="auto" w:fill="auto"/>
            <w:vAlign w:val="center"/>
            <w:hideMark/>
          </w:tcPr>
          <w:p w14:paraId="1633906F"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1 146,3</w:t>
            </w:r>
          </w:p>
        </w:tc>
        <w:tc>
          <w:tcPr>
            <w:tcW w:w="735" w:type="dxa"/>
            <w:tcBorders>
              <w:top w:val="nil"/>
              <w:left w:val="nil"/>
              <w:bottom w:val="nil"/>
              <w:right w:val="nil"/>
            </w:tcBorders>
            <w:shd w:val="clear" w:color="auto" w:fill="auto"/>
            <w:vAlign w:val="center"/>
            <w:hideMark/>
          </w:tcPr>
          <w:p w14:paraId="5338A799"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518,5</w:t>
            </w:r>
          </w:p>
        </w:tc>
        <w:tc>
          <w:tcPr>
            <w:tcW w:w="735" w:type="dxa"/>
            <w:tcBorders>
              <w:top w:val="nil"/>
              <w:left w:val="nil"/>
              <w:bottom w:val="nil"/>
              <w:right w:val="nil"/>
            </w:tcBorders>
            <w:shd w:val="clear" w:color="auto" w:fill="auto"/>
            <w:vAlign w:val="center"/>
            <w:hideMark/>
          </w:tcPr>
          <w:p w14:paraId="3F82780B"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627,8</w:t>
            </w:r>
          </w:p>
        </w:tc>
        <w:tc>
          <w:tcPr>
            <w:tcW w:w="754" w:type="dxa"/>
            <w:tcBorders>
              <w:top w:val="nil"/>
              <w:left w:val="single" w:sz="4" w:space="0" w:color="auto"/>
              <w:bottom w:val="nil"/>
              <w:right w:val="nil"/>
            </w:tcBorders>
            <w:shd w:val="clear" w:color="auto" w:fill="auto"/>
            <w:vAlign w:val="center"/>
            <w:hideMark/>
          </w:tcPr>
          <w:p w14:paraId="0B440136"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45,1</w:t>
            </w:r>
          </w:p>
        </w:tc>
        <w:tc>
          <w:tcPr>
            <w:tcW w:w="737" w:type="dxa"/>
            <w:tcBorders>
              <w:top w:val="nil"/>
              <w:left w:val="nil"/>
              <w:bottom w:val="nil"/>
              <w:right w:val="nil"/>
            </w:tcBorders>
            <w:shd w:val="clear" w:color="auto" w:fill="auto"/>
            <w:vAlign w:val="center"/>
            <w:hideMark/>
          </w:tcPr>
          <w:p w14:paraId="4AEF2578"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31,7</w:t>
            </w:r>
          </w:p>
        </w:tc>
        <w:tc>
          <w:tcPr>
            <w:tcW w:w="737" w:type="dxa"/>
            <w:tcBorders>
              <w:top w:val="nil"/>
              <w:left w:val="nil"/>
              <w:bottom w:val="nil"/>
              <w:right w:val="single" w:sz="4" w:space="0" w:color="auto"/>
            </w:tcBorders>
            <w:shd w:val="clear" w:color="auto" w:fill="auto"/>
            <w:vAlign w:val="center"/>
            <w:hideMark/>
          </w:tcPr>
          <w:p w14:paraId="537D56EB"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13,3</w:t>
            </w:r>
          </w:p>
        </w:tc>
        <w:tc>
          <w:tcPr>
            <w:tcW w:w="737" w:type="dxa"/>
            <w:tcBorders>
              <w:top w:val="nil"/>
              <w:left w:val="nil"/>
              <w:bottom w:val="nil"/>
              <w:right w:val="nil"/>
            </w:tcBorders>
            <w:shd w:val="clear" w:color="auto" w:fill="auto"/>
            <w:vAlign w:val="center"/>
            <w:hideMark/>
          </w:tcPr>
          <w:p w14:paraId="0A7C458C"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123,4</w:t>
            </w:r>
          </w:p>
        </w:tc>
        <w:tc>
          <w:tcPr>
            <w:tcW w:w="737" w:type="dxa"/>
            <w:tcBorders>
              <w:top w:val="nil"/>
              <w:left w:val="nil"/>
              <w:bottom w:val="nil"/>
              <w:right w:val="nil"/>
            </w:tcBorders>
            <w:shd w:val="clear" w:color="auto" w:fill="auto"/>
            <w:vAlign w:val="center"/>
            <w:hideMark/>
          </w:tcPr>
          <w:p w14:paraId="5C84CCF8"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81,5</w:t>
            </w:r>
          </w:p>
        </w:tc>
        <w:tc>
          <w:tcPr>
            <w:tcW w:w="737" w:type="dxa"/>
            <w:tcBorders>
              <w:top w:val="nil"/>
              <w:left w:val="nil"/>
              <w:bottom w:val="nil"/>
              <w:right w:val="nil"/>
            </w:tcBorders>
            <w:shd w:val="clear" w:color="auto" w:fill="auto"/>
            <w:vAlign w:val="center"/>
            <w:hideMark/>
          </w:tcPr>
          <w:p w14:paraId="6DB84060"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42,0</w:t>
            </w:r>
          </w:p>
        </w:tc>
      </w:tr>
      <w:tr w:rsidR="00587FF1" w:rsidRPr="004B2783" w14:paraId="3AA95DD6" w14:textId="77777777" w:rsidTr="007A5557">
        <w:trPr>
          <w:trHeight w:val="300"/>
        </w:trPr>
        <w:tc>
          <w:tcPr>
            <w:tcW w:w="736" w:type="dxa"/>
            <w:tcBorders>
              <w:top w:val="nil"/>
              <w:left w:val="nil"/>
              <w:bottom w:val="nil"/>
              <w:right w:val="nil"/>
            </w:tcBorders>
            <w:shd w:val="clear" w:color="auto" w:fill="auto"/>
            <w:vAlign w:val="center"/>
            <w:hideMark/>
          </w:tcPr>
          <w:p w14:paraId="6E632D41"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2015</w:t>
            </w:r>
          </w:p>
        </w:tc>
        <w:tc>
          <w:tcPr>
            <w:tcW w:w="737" w:type="dxa"/>
            <w:tcBorders>
              <w:top w:val="nil"/>
              <w:left w:val="single" w:sz="4" w:space="0" w:color="auto"/>
              <w:bottom w:val="nil"/>
              <w:right w:val="nil"/>
            </w:tcBorders>
            <w:shd w:val="clear" w:color="auto" w:fill="auto"/>
            <w:vAlign w:val="center"/>
            <w:hideMark/>
          </w:tcPr>
          <w:p w14:paraId="6DCC1AEF"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1 563,5</w:t>
            </w:r>
          </w:p>
        </w:tc>
        <w:tc>
          <w:tcPr>
            <w:tcW w:w="735" w:type="dxa"/>
            <w:tcBorders>
              <w:top w:val="nil"/>
              <w:left w:val="nil"/>
              <w:bottom w:val="nil"/>
              <w:right w:val="nil"/>
            </w:tcBorders>
            <w:shd w:val="clear" w:color="auto" w:fill="auto"/>
            <w:vAlign w:val="center"/>
            <w:hideMark/>
          </w:tcPr>
          <w:p w14:paraId="4A323AA2"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751,8</w:t>
            </w:r>
          </w:p>
        </w:tc>
        <w:tc>
          <w:tcPr>
            <w:tcW w:w="735" w:type="dxa"/>
            <w:tcBorders>
              <w:top w:val="nil"/>
              <w:left w:val="nil"/>
              <w:bottom w:val="nil"/>
              <w:right w:val="single" w:sz="4" w:space="0" w:color="auto"/>
            </w:tcBorders>
            <w:shd w:val="clear" w:color="auto" w:fill="auto"/>
            <w:vAlign w:val="center"/>
            <w:hideMark/>
          </w:tcPr>
          <w:p w14:paraId="040043C7"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811,7</w:t>
            </w:r>
          </w:p>
        </w:tc>
        <w:tc>
          <w:tcPr>
            <w:tcW w:w="736" w:type="dxa"/>
            <w:tcBorders>
              <w:top w:val="nil"/>
              <w:left w:val="nil"/>
              <w:bottom w:val="nil"/>
              <w:right w:val="nil"/>
            </w:tcBorders>
            <w:shd w:val="clear" w:color="auto" w:fill="auto"/>
            <w:vAlign w:val="center"/>
            <w:hideMark/>
          </w:tcPr>
          <w:p w14:paraId="1934E47D"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1 383,9</w:t>
            </w:r>
          </w:p>
        </w:tc>
        <w:tc>
          <w:tcPr>
            <w:tcW w:w="735" w:type="dxa"/>
            <w:tcBorders>
              <w:top w:val="nil"/>
              <w:left w:val="nil"/>
              <w:bottom w:val="nil"/>
              <w:right w:val="nil"/>
            </w:tcBorders>
            <w:shd w:val="clear" w:color="auto" w:fill="auto"/>
            <w:vAlign w:val="center"/>
            <w:hideMark/>
          </w:tcPr>
          <w:p w14:paraId="1D2E55EC"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632,6</w:t>
            </w:r>
          </w:p>
        </w:tc>
        <w:tc>
          <w:tcPr>
            <w:tcW w:w="735" w:type="dxa"/>
            <w:tcBorders>
              <w:top w:val="nil"/>
              <w:left w:val="nil"/>
              <w:bottom w:val="nil"/>
              <w:right w:val="nil"/>
            </w:tcBorders>
            <w:shd w:val="clear" w:color="auto" w:fill="auto"/>
            <w:vAlign w:val="center"/>
            <w:hideMark/>
          </w:tcPr>
          <w:p w14:paraId="15A2EF4A"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751,3</w:t>
            </w:r>
          </w:p>
        </w:tc>
        <w:tc>
          <w:tcPr>
            <w:tcW w:w="754" w:type="dxa"/>
            <w:tcBorders>
              <w:top w:val="nil"/>
              <w:left w:val="single" w:sz="4" w:space="0" w:color="auto"/>
              <w:bottom w:val="nil"/>
              <w:right w:val="nil"/>
            </w:tcBorders>
            <w:shd w:val="clear" w:color="auto" w:fill="auto"/>
            <w:vAlign w:val="center"/>
            <w:hideMark/>
          </w:tcPr>
          <w:p w14:paraId="26C2B856"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46,3</w:t>
            </w:r>
          </w:p>
        </w:tc>
        <w:tc>
          <w:tcPr>
            <w:tcW w:w="737" w:type="dxa"/>
            <w:tcBorders>
              <w:top w:val="nil"/>
              <w:left w:val="nil"/>
              <w:bottom w:val="nil"/>
              <w:right w:val="nil"/>
            </w:tcBorders>
            <w:shd w:val="clear" w:color="auto" w:fill="auto"/>
            <w:vAlign w:val="center"/>
            <w:hideMark/>
          </w:tcPr>
          <w:p w14:paraId="1726758A"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32,1</w:t>
            </w:r>
          </w:p>
        </w:tc>
        <w:tc>
          <w:tcPr>
            <w:tcW w:w="737" w:type="dxa"/>
            <w:tcBorders>
              <w:top w:val="nil"/>
              <w:left w:val="nil"/>
              <w:bottom w:val="nil"/>
              <w:right w:val="single" w:sz="4" w:space="0" w:color="auto"/>
            </w:tcBorders>
            <w:shd w:val="clear" w:color="auto" w:fill="auto"/>
            <w:vAlign w:val="center"/>
            <w:hideMark/>
          </w:tcPr>
          <w:p w14:paraId="3977EEBF"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14,2</w:t>
            </w:r>
          </w:p>
        </w:tc>
        <w:tc>
          <w:tcPr>
            <w:tcW w:w="737" w:type="dxa"/>
            <w:tcBorders>
              <w:top w:val="nil"/>
              <w:left w:val="nil"/>
              <w:bottom w:val="nil"/>
              <w:right w:val="nil"/>
            </w:tcBorders>
            <w:shd w:val="clear" w:color="auto" w:fill="auto"/>
            <w:vAlign w:val="center"/>
            <w:hideMark/>
          </w:tcPr>
          <w:p w14:paraId="490EF765"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133,3</w:t>
            </w:r>
          </w:p>
        </w:tc>
        <w:tc>
          <w:tcPr>
            <w:tcW w:w="737" w:type="dxa"/>
            <w:tcBorders>
              <w:top w:val="nil"/>
              <w:left w:val="nil"/>
              <w:bottom w:val="nil"/>
              <w:right w:val="nil"/>
            </w:tcBorders>
            <w:shd w:val="clear" w:color="auto" w:fill="auto"/>
            <w:vAlign w:val="center"/>
            <w:hideMark/>
          </w:tcPr>
          <w:p w14:paraId="5E35A7A5"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87,0</w:t>
            </w:r>
          </w:p>
        </w:tc>
        <w:tc>
          <w:tcPr>
            <w:tcW w:w="737" w:type="dxa"/>
            <w:tcBorders>
              <w:top w:val="nil"/>
              <w:left w:val="nil"/>
              <w:bottom w:val="nil"/>
              <w:right w:val="nil"/>
            </w:tcBorders>
            <w:shd w:val="clear" w:color="auto" w:fill="auto"/>
            <w:vAlign w:val="center"/>
            <w:hideMark/>
          </w:tcPr>
          <w:p w14:paraId="4B6D497F"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46,2</w:t>
            </w:r>
          </w:p>
        </w:tc>
      </w:tr>
      <w:tr w:rsidR="00587FF1" w:rsidRPr="004B2783" w14:paraId="0FEE741A" w14:textId="77777777" w:rsidTr="007A5557">
        <w:trPr>
          <w:trHeight w:val="300"/>
        </w:trPr>
        <w:tc>
          <w:tcPr>
            <w:tcW w:w="736" w:type="dxa"/>
            <w:tcBorders>
              <w:top w:val="nil"/>
              <w:left w:val="nil"/>
              <w:bottom w:val="nil"/>
              <w:right w:val="nil"/>
            </w:tcBorders>
            <w:shd w:val="clear" w:color="auto" w:fill="auto"/>
            <w:vAlign w:val="center"/>
            <w:hideMark/>
          </w:tcPr>
          <w:p w14:paraId="0E81A646"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2016</w:t>
            </w:r>
          </w:p>
        </w:tc>
        <w:tc>
          <w:tcPr>
            <w:tcW w:w="737" w:type="dxa"/>
            <w:tcBorders>
              <w:top w:val="nil"/>
              <w:left w:val="single" w:sz="4" w:space="0" w:color="auto"/>
              <w:bottom w:val="nil"/>
              <w:right w:val="nil"/>
            </w:tcBorders>
            <w:shd w:val="clear" w:color="auto" w:fill="auto"/>
            <w:vAlign w:val="center"/>
            <w:hideMark/>
          </w:tcPr>
          <w:p w14:paraId="1ED48281"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1 633,3</w:t>
            </w:r>
          </w:p>
        </w:tc>
        <w:tc>
          <w:tcPr>
            <w:tcW w:w="735" w:type="dxa"/>
            <w:tcBorders>
              <w:top w:val="nil"/>
              <w:left w:val="nil"/>
              <w:bottom w:val="nil"/>
              <w:right w:val="nil"/>
            </w:tcBorders>
            <w:shd w:val="clear" w:color="auto" w:fill="auto"/>
            <w:vAlign w:val="center"/>
            <w:hideMark/>
          </w:tcPr>
          <w:p w14:paraId="599F55BF"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784,1</w:t>
            </w:r>
          </w:p>
        </w:tc>
        <w:tc>
          <w:tcPr>
            <w:tcW w:w="735" w:type="dxa"/>
            <w:tcBorders>
              <w:top w:val="nil"/>
              <w:left w:val="nil"/>
              <w:bottom w:val="nil"/>
              <w:right w:val="single" w:sz="4" w:space="0" w:color="auto"/>
            </w:tcBorders>
            <w:shd w:val="clear" w:color="auto" w:fill="auto"/>
            <w:vAlign w:val="center"/>
            <w:hideMark/>
          </w:tcPr>
          <w:p w14:paraId="50A953C8"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849,3</w:t>
            </w:r>
          </w:p>
        </w:tc>
        <w:tc>
          <w:tcPr>
            <w:tcW w:w="736" w:type="dxa"/>
            <w:tcBorders>
              <w:top w:val="nil"/>
              <w:left w:val="nil"/>
              <w:bottom w:val="nil"/>
              <w:right w:val="nil"/>
            </w:tcBorders>
            <w:shd w:val="clear" w:color="auto" w:fill="auto"/>
            <w:vAlign w:val="center"/>
            <w:hideMark/>
          </w:tcPr>
          <w:p w14:paraId="0AFFFFDE"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1 440,9</w:t>
            </w:r>
          </w:p>
        </w:tc>
        <w:tc>
          <w:tcPr>
            <w:tcW w:w="735" w:type="dxa"/>
            <w:tcBorders>
              <w:top w:val="nil"/>
              <w:left w:val="nil"/>
              <w:bottom w:val="nil"/>
              <w:right w:val="nil"/>
            </w:tcBorders>
            <w:shd w:val="clear" w:color="auto" w:fill="auto"/>
            <w:vAlign w:val="center"/>
            <w:hideMark/>
          </w:tcPr>
          <w:p w14:paraId="1A07A3D2"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658,2</w:t>
            </w:r>
          </w:p>
        </w:tc>
        <w:tc>
          <w:tcPr>
            <w:tcW w:w="735" w:type="dxa"/>
            <w:tcBorders>
              <w:top w:val="nil"/>
              <w:left w:val="nil"/>
              <w:bottom w:val="nil"/>
              <w:right w:val="nil"/>
            </w:tcBorders>
            <w:shd w:val="clear" w:color="auto" w:fill="auto"/>
            <w:vAlign w:val="center"/>
            <w:hideMark/>
          </w:tcPr>
          <w:p w14:paraId="32245D4C"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782,7</w:t>
            </w:r>
          </w:p>
        </w:tc>
        <w:tc>
          <w:tcPr>
            <w:tcW w:w="754" w:type="dxa"/>
            <w:tcBorders>
              <w:top w:val="nil"/>
              <w:left w:val="single" w:sz="4" w:space="0" w:color="auto"/>
              <w:bottom w:val="nil"/>
              <w:right w:val="nil"/>
            </w:tcBorders>
            <w:shd w:val="clear" w:color="auto" w:fill="auto"/>
            <w:vAlign w:val="center"/>
            <w:hideMark/>
          </w:tcPr>
          <w:p w14:paraId="381BF451"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47,4</w:t>
            </w:r>
          </w:p>
        </w:tc>
        <w:tc>
          <w:tcPr>
            <w:tcW w:w="737" w:type="dxa"/>
            <w:tcBorders>
              <w:top w:val="nil"/>
              <w:left w:val="nil"/>
              <w:bottom w:val="nil"/>
              <w:right w:val="nil"/>
            </w:tcBorders>
            <w:shd w:val="clear" w:color="auto" w:fill="auto"/>
            <w:vAlign w:val="center"/>
            <w:hideMark/>
          </w:tcPr>
          <w:p w14:paraId="23789AC0"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32,6</w:t>
            </w:r>
          </w:p>
        </w:tc>
        <w:tc>
          <w:tcPr>
            <w:tcW w:w="737" w:type="dxa"/>
            <w:tcBorders>
              <w:top w:val="nil"/>
              <w:left w:val="nil"/>
              <w:bottom w:val="nil"/>
              <w:right w:val="single" w:sz="4" w:space="0" w:color="auto"/>
            </w:tcBorders>
            <w:shd w:val="clear" w:color="auto" w:fill="auto"/>
            <w:vAlign w:val="center"/>
            <w:hideMark/>
          </w:tcPr>
          <w:p w14:paraId="64D56AA0"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14,8</w:t>
            </w:r>
          </w:p>
        </w:tc>
        <w:tc>
          <w:tcPr>
            <w:tcW w:w="737" w:type="dxa"/>
            <w:tcBorders>
              <w:top w:val="nil"/>
              <w:left w:val="nil"/>
              <w:bottom w:val="nil"/>
              <w:right w:val="nil"/>
            </w:tcBorders>
            <w:shd w:val="clear" w:color="auto" w:fill="auto"/>
            <w:vAlign w:val="center"/>
            <w:hideMark/>
          </w:tcPr>
          <w:p w14:paraId="6A6862C6"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145,0</w:t>
            </w:r>
          </w:p>
        </w:tc>
        <w:tc>
          <w:tcPr>
            <w:tcW w:w="737" w:type="dxa"/>
            <w:tcBorders>
              <w:top w:val="nil"/>
              <w:left w:val="nil"/>
              <w:bottom w:val="nil"/>
              <w:right w:val="nil"/>
            </w:tcBorders>
            <w:shd w:val="clear" w:color="auto" w:fill="auto"/>
            <w:vAlign w:val="center"/>
            <w:hideMark/>
          </w:tcPr>
          <w:p w14:paraId="41A2404A"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93,2</w:t>
            </w:r>
          </w:p>
        </w:tc>
        <w:tc>
          <w:tcPr>
            <w:tcW w:w="737" w:type="dxa"/>
            <w:tcBorders>
              <w:top w:val="nil"/>
              <w:left w:val="nil"/>
              <w:bottom w:val="nil"/>
              <w:right w:val="nil"/>
            </w:tcBorders>
            <w:shd w:val="clear" w:color="auto" w:fill="auto"/>
            <w:vAlign w:val="center"/>
            <w:hideMark/>
          </w:tcPr>
          <w:p w14:paraId="0889221D"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51,8</w:t>
            </w:r>
          </w:p>
        </w:tc>
      </w:tr>
      <w:tr w:rsidR="00587FF1" w:rsidRPr="004B2783" w14:paraId="118A256D" w14:textId="77777777" w:rsidTr="007A5557">
        <w:trPr>
          <w:trHeight w:val="300"/>
        </w:trPr>
        <w:tc>
          <w:tcPr>
            <w:tcW w:w="736" w:type="dxa"/>
            <w:tcBorders>
              <w:top w:val="nil"/>
              <w:left w:val="nil"/>
              <w:bottom w:val="nil"/>
              <w:right w:val="nil"/>
            </w:tcBorders>
            <w:shd w:val="clear" w:color="auto" w:fill="auto"/>
            <w:vAlign w:val="center"/>
            <w:hideMark/>
          </w:tcPr>
          <w:p w14:paraId="49E8BA73"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2017</w:t>
            </w:r>
          </w:p>
        </w:tc>
        <w:tc>
          <w:tcPr>
            <w:tcW w:w="737" w:type="dxa"/>
            <w:tcBorders>
              <w:top w:val="nil"/>
              <w:left w:val="single" w:sz="4" w:space="0" w:color="auto"/>
              <w:bottom w:val="nil"/>
              <w:right w:val="nil"/>
            </w:tcBorders>
            <w:shd w:val="clear" w:color="auto" w:fill="auto"/>
            <w:vAlign w:val="center"/>
            <w:hideMark/>
          </w:tcPr>
          <w:p w14:paraId="00459FAE"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1 707,5</w:t>
            </w:r>
          </w:p>
        </w:tc>
        <w:tc>
          <w:tcPr>
            <w:tcW w:w="735" w:type="dxa"/>
            <w:tcBorders>
              <w:top w:val="nil"/>
              <w:left w:val="nil"/>
              <w:bottom w:val="nil"/>
              <w:right w:val="nil"/>
            </w:tcBorders>
            <w:shd w:val="clear" w:color="auto" w:fill="auto"/>
            <w:vAlign w:val="center"/>
            <w:hideMark/>
          </w:tcPr>
          <w:p w14:paraId="0A0B77C8"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814,5</w:t>
            </w:r>
          </w:p>
        </w:tc>
        <w:tc>
          <w:tcPr>
            <w:tcW w:w="735" w:type="dxa"/>
            <w:tcBorders>
              <w:top w:val="nil"/>
              <w:left w:val="nil"/>
              <w:bottom w:val="nil"/>
              <w:right w:val="single" w:sz="4" w:space="0" w:color="auto"/>
            </w:tcBorders>
            <w:shd w:val="clear" w:color="auto" w:fill="auto"/>
            <w:vAlign w:val="center"/>
            <w:hideMark/>
          </w:tcPr>
          <w:p w14:paraId="74FEF584"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893,0</w:t>
            </w:r>
          </w:p>
        </w:tc>
        <w:tc>
          <w:tcPr>
            <w:tcW w:w="736" w:type="dxa"/>
            <w:tcBorders>
              <w:top w:val="nil"/>
              <w:left w:val="nil"/>
              <w:bottom w:val="nil"/>
              <w:right w:val="nil"/>
            </w:tcBorders>
            <w:shd w:val="clear" w:color="auto" w:fill="auto"/>
            <w:vAlign w:val="center"/>
            <w:hideMark/>
          </w:tcPr>
          <w:p w14:paraId="741DCA91"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1 510,9</w:t>
            </w:r>
          </w:p>
        </w:tc>
        <w:tc>
          <w:tcPr>
            <w:tcW w:w="735" w:type="dxa"/>
            <w:tcBorders>
              <w:top w:val="nil"/>
              <w:left w:val="nil"/>
              <w:bottom w:val="nil"/>
              <w:right w:val="nil"/>
            </w:tcBorders>
            <w:shd w:val="clear" w:color="auto" w:fill="auto"/>
            <w:vAlign w:val="center"/>
            <w:hideMark/>
          </w:tcPr>
          <w:p w14:paraId="35F116E3"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687,8</w:t>
            </w:r>
          </w:p>
        </w:tc>
        <w:tc>
          <w:tcPr>
            <w:tcW w:w="735" w:type="dxa"/>
            <w:tcBorders>
              <w:top w:val="nil"/>
              <w:left w:val="nil"/>
              <w:bottom w:val="nil"/>
              <w:right w:val="nil"/>
            </w:tcBorders>
            <w:shd w:val="clear" w:color="auto" w:fill="auto"/>
            <w:vAlign w:val="center"/>
            <w:hideMark/>
          </w:tcPr>
          <w:p w14:paraId="7D07BFD4"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823,1</w:t>
            </w:r>
          </w:p>
        </w:tc>
        <w:tc>
          <w:tcPr>
            <w:tcW w:w="754" w:type="dxa"/>
            <w:tcBorders>
              <w:top w:val="nil"/>
              <w:left w:val="single" w:sz="4" w:space="0" w:color="auto"/>
              <w:bottom w:val="nil"/>
              <w:right w:val="nil"/>
            </w:tcBorders>
            <w:shd w:val="clear" w:color="auto" w:fill="auto"/>
            <w:vAlign w:val="center"/>
            <w:hideMark/>
          </w:tcPr>
          <w:p w14:paraId="2D571F27"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47,5</w:t>
            </w:r>
          </w:p>
        </w:tc>
        <w:tc>
          <w:tcPr>
            <w:tcW w:w="737" w:type="dxa"/>
            <w:tcBorders>
              <w:top w:val="nil"/>
              <w:left w:val="nil"/>
              <w:bottom w:val="nil"/>
              <w:right w:val="nil"/>
            </w:tcBorders>
            <w:shd w:val="clear" w:color="auto" w:fill="auto"/>
            <w:vAlign w:val="center"/>
            <w:hideMark/>
          </w:tcPr>
          <w:p w14:paraId="0252EDD1"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32,6</w:t>
            </w:r>
          </w:p>
        </w:tc>
        <w:tc>
          <w:tcPr>
            <w:tcW w:w="737" w:type="dxa"/>
            <w:tcBorders>
              <w:top w:val="nil"/>
              <w:left w:val="nil"/>
              <w:bottom w:val="nil"/>
              <w:right w:val="single" w:sz="4" w:space="0" w:color="auto"/>
            </w:tcBorders>
            <w:shd w:val="clear" w:color="auto" w:fill="auto"/>
            <w:vAlign w:val="center"/>
            <w:hideMark/>
          </w:tcPr>
          <w:p w14:paraId="427A2BD0"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14,9</w:t>
            </w:r>
          </w:p>
        </w:tc>
        <w:tc>
          <w:tcPr>
            <w:tcW w:w="737" w:type="dxa"/>
            <w:tcBorders>
              <w:top w:val="nil"/>
              <w:left w:val="nil"/>
              <w:bottom w:val="nil"/>
              <w:right w:val="nil"/>
            </w:tcBorders>
            <w:shd w:val="clear" w:color="auto" w:fill="auto"/>
            <w:vAlign w:val="center"/>
            <w:hideMark/>
          </w:tcPr>
          <w:p w14:paraId="63EFAFF1"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149,1</w:t>
            </w:r>
          </w:p>
        </w:tc>
        <w:tc>
          <w:tcPr>
            <w:tcW w:w="737" w:type="dxa"/>
            <w:tcBorders>
              <w:top w:val="nil"/>
              <w:left w:val="nil"/>
              <w:bottom w:val="nil"/>
              <w:right w:val="nil"/>
            </w:tcBorders>
            <w:shd w:val="clear" w:color="auto" w:fill="auto"/>
            <w:vAlign w:val="center"/>
            <w:hideMark/>
          </w:tcPr>
          <w:p w14:paraId="7D3D982C"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94,1</w:t>
            </w:r>
          </w:p>
        </w:tc>
        <w:tc>
          <w:tcPr>
            <w:tcW w:w="737" w:type="dxa"/>
            <w:tcBorders>
              <w:top w:val="nil"/>
              <w:left w:val="nil"/>
              <w:bottom w:val="nil"/>
              <w:right w:val="nil"/>
            </w:tcBorders>
            <w:shd w:val="clear" w:color="auto" w:fill="auto"/>
            <w:vAlign w:val="center"/>
            <w:hideMark/>
          </w:tcPr>
          <w:p w14:paraId="3F03D834"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55,1</w:t>
            </w:r>
          </w:p>
        </w:tc>
      </w:tr>
      <w:tr w:rsidR="00587FF1" w:rsidRPr="004B2783" w14:paraId="4160AC24" w14:textId="77777777" w:rsidTr="007A5557">
        <w:trPr>
          <w:trHeight w:val="300"/>
        </w:trPr>
        <w:tc>
          <w:tcPr>
            <w:tcW w:w="736" w:type="dxa"/>
            <w:tcBorders>
              <w:top w:val="nil"/>
              <w:left w:val="nil"/>
              <w:bottom w:val="nil"/>
              <w:right w:val="nil"/>
            </w:tcBorders>
            <w:shd w:val="clear" w:color="auto" w:fill="auto"/>
            <w:vAlign w:val="center"/>
            <w:hideMark/>
          </w:tcPr>
          <w:p w14:paraId="7BCA749A"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2018</w:t>
            </w:r>
          </w:p>
        </w:tc>
        <w:tc>
          <w:tcPr>
            <w:tcW w:w="737" w:type="dxa"/>
            <w:tcBorders>
              <w:top w:val="nil"/>
              <w:left w:val="single" w:sz="4" w:space="0" w:color="auto"/>
              <w:bottom w:val="nil"/>
              <w:right w:val="nil"/>
            </w:tcBorders>
            <w:shd w:val="clear" w:color="auto" w:fill="auto"/>
            <w:vAlign w:val="center"/>
            <w:hideMark/>
          </w:tcPr>
          <w:p w14:paraId="20E82604"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1 849,5</w:t>
            </w:r>
          </w:p>
        </w:tc>
        <w:tc>
          <w:tcPr>
            <w:tcW w:w="735" w:type="dxa"/>
            <w:tcBorders>
              <w:top w:val="nil"/>
              <w:left w:val="nil"/>
              <w:bottom w:val="nil"/>
              <w:right w:val="nil"/>
            </w:tcBorders>
            <w:shd w:val="clear" w:color="auto" w:fill="auto"/>
            <w:vAlign w:val="center"/>
            <w:hideMark/>
          </w:tcPr>
          <w:p w14:paraId="05073ADA"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874,3</w:t>
            </w:r>
          </w:p>
        </w:tc>
        <w:tc>
          <w:tcPr>
            <w:tcW w:w="735" w:type="dxa"/>
            <w:tcBorders>
              <w:top w:val="nil"/>
              <w:left w:val="nil"/>
              <w:bottom w:val="nil"/>
              <w:right w:val="single" w:sz="4" w:space="0" w:color="auto"/>
            </w:tcBorders>
            <w:shd w:val="clear" w:color="auto" w:fill="auto"/>
            <w:vAlign w:val="center"/>
            <w:hideMark/>
          </w:tcPr>
          <w:p w14:paraId="0169770B"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975,2</w:t>
            </w:r>
          </w:p>
        </w:tc>
        <w:tc>
          <w:tcPr>
            <w:tcW w:w="736" w:type="dxa"/>
            <w:tcBorders>
              <w:top w:val="nil"/>
              <w:left w:val="nil"/>
              <w:bottom w:val="nil"/>
              <w:right w:val="nil"/>
            </w:tcBorders>
            <w:shd w:val="clear" w:color="auto" w:fill="auto"/>
            <w:vAlign w:val="center"/>
            <w:hideMark/>
          </w:tcPr>
          <w:p w14:paraId="46089D2A"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1 650,3</w:t>
            </w:r>
          </w:p>
        </w:tc>
        <w:tc>
          <w:tcPr>
            <w:tcW w:w="735" w:type="dxa"/>
            <w:tcBorders>
              <w:top w:val="nil"/>
              <w:left w:val="nil"/>
              <w:bottom w:val="nil"/>
              <w:right w:val="nil"/>
            </w:tcBorders>
            <w:shd w:val="clear" w:color="auto" w:fill="auto"/>
            <w:vAlign w:val="center"/>
            <w:hideMark/>
          </w:tcPr>
          <w:p w14:paraId="538228A1"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746,8</w:t>
            </w:r>
          </w:p>
        </w:tc>
        <w:tc>
          <w:tcPr>
            <w:tcW w:w="735" w:type="dxa"/>
            <w:tcBorders>
              <w:top w:val="nil"/>
              <w:left w:val="nil"/>
              <w:bottom w:val="nil"/>
              <w:right w:val="nil"/>
            </w:tcBorders>
            <w:shd w:val="clear" w:color="auto" w:fill="auto"/>
            <w:vAlign w:val="center"/>
            <w:hideMark/>
          </w:tcPr>
          <w:p w14:paraId="435D7BA9"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903,5</w:t>
            </w:r>
          </w:p>
        </w:tc>
        <w:tc>
          <w:tcPr>
            <w:tcW w:w="754" w:type="dxa"/>
            <w:tcBorders>
              <w:top w:val="nil"/>
              <w:left w:val="single" w:sz="4" w:space="0" w:color="auto"/>
              <w:bottom w:val="nil"/>
              <w:right w:val="nil"/>
            </w:tcBorders>
            <w:shd w:val="clear" w:color="auto" w:fill="auto"/>
            <w:vAlign w:val="center"/>
            <w:hideMark/>
          </w:tcPr>
          <w:p w14:paraId="745DCDB2"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46,2</w:t>
            </w:r>
          </w:p>
        </w:tc>
        <w:tc>
          <w:tcPr>
            <w:tcW w:w="737" w:type="dxa"/>
            <w:tcBorders>
              <w:top w:val="nil"/>
              <w:left w:val="nil"/>
              <w:bottom w:val="nil"/>
              <w:right w:val="nil"/>
            </w:tcBorders>
            <w:shd w:val="clear" w:color="auto" w:fill="auto"/>
            <w:vAlign w:val="center"/>
            <w:hideMark/>
          </w:tcPr>
          <w:p w14:paraId="4DA9148F"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31,3</w:t>
            </w:r>
          </w:p>
        </w:tc>
        <w:tc>
          <w:tcPr>
            <w:tcW w:w="737" w:type="dxa"/>
            <w:tcBorders>
              <w:top w:val="nil"/>
              <w:left w:val="nil"/>
              <w:bottom w:val="nil"/>
              <w:right w:val="single" w:sz="4" w:space="0" w:color="auto"/>
            </w:tcBorders>
            <w:shd w:val="clear" w:color="auto" w:fill="auto"/>
            <w:vAlign w:val="center"/>
            <w:hideMark/>
          </w:tcPr>
          <w:p w14:paraId="6A868531"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14,9</w:t>
            </w:r>
          </w:p>
        </w:tc>
        <w:tc>
          <w:tcPr>
            <w:tcW w:w="737" w:type="dxa"/>
            <w:tcBorders>
              <w:top w:val="nil"/>
              <w:left w:val="nil"/>
              <w:bottom w:val="nil"/>
              <w:right w:val="nil"/>
            </w:tcBorders>
            <w:shd w:val="clear" w:color="auto" w:fill="auto"/>
            <w:vAlign w:val="center"/>
            <w:hideMark/>
          </w:tcPr>
          <w:p w14:paraId="45B0A16F"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153,0</w:t>
            </w:r>
          </w:p>
        </w:tc>
        <w:tc>
          <w:tcPr>
            <w:tcW w:w="737" w:type="dxa"/>
            <w:tcBorders>
              <w:top w:val="nil"/>
              <w:left w:val="nil"/>
              <w:bottom w:val="nil"/>
              <w:right w:val="nil"/>
            </w:tcBorders>
            <w:shd w:val="clear" w:color="auto" w:fill="auto"/>
            <w:vAlign w:val="center"/>
            <w:hideMark/>
          </w:tcPr>
          <w:p w14:paraId="242E0A19"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96,1</w:t>
            </w:r>
          </w:p>
        </w:tc>
        <w:tc>
          <w:tcPr>
            <w:tcW w:w="737" w:type="dxa"/>
            <w:tcBorders>
              <w:top w:val="nil"/>
              <w:left w:val="nil"/>
              <w:bottom w:val="nil"/>
              <w:right w:val="nil"/>
            </w:tcBorders>
            <w:shd w:val="clear" w:color="auto" w:fill="auto"/>
            <w:vAlign w:val="center"/>
            <w:hideMark/>
          </w:tcPr>
          <w:p w14:paraId="154634B4"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56,8</w:t>
            </w:r>
          </w:p>
        </w:tc>
      </w:tr>
      <w:tr w:rsidR="00587FF1" w:rsidRPr="004B2783" w14:paraId="7958CC2A" w14:textId="77777777" w:rsidTr="007A5557">
        <w:trPr>
          <w:trHeight w:val="300"/>
        </w:trPr>
        <w:tc>
          <w:tcPr>
            <w:tcW w:w="736" w:type="dxa"/>
            <w:tcBorders>
              <w:top w:val="nil"/>
              <w:left w:val="nil"/>
              <w:bottom w:val="nil"/>
              <w:right w:val="nil"/>
            </w:tcBorders>
            <w:shd w:val="clear" w:color="auto" w:fill="auto"/>
            <w:vAlign w:val="center"/>
            <w:hideMark/>
          </w:tcPr>
          <w:p w14:paraId="34B8B73F"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2019</w:t>
            </w:r>
          </w:p>
        </w:tc>
        <w:tc>
          <w:tcPr>
            <w:tcW w:w="737" w:type="dxa"/>
            <w:tcBorders>
              <w:top w:val="nil"/>
              <w:left w:val="single" w:sz="4" w:space="0" w:color="auto"/>
              <w:bottom w:val="nil"/>
              <w:right w:val="nil"/>
            </w:tcBorders>
            <w:shd w:val="clear" w:color="auto" w:fill="auto"/>
            <w:vAlign w:val="center"/>
            <w:hideMark/>
          </w:tcPr>
          <w:p w14:paraId="2D5AC162"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1 914,8</w:t>
            </w:r>
          </w:p>
        </w:tc>
        <w:tc>
          <w:tcPr>
            <w:tcW w:w="735" w:type="dxa"/>
            <w:tcBorders>
              <w:top w:val="nil"/>
              <w:left w:val="nil"/>
              <w:bottom w:val="nil"/>
              <w:right w:val="nil"/>
            </w:tcBorders>
            <w:shd w:val="clear" w:color="auto" w:fill="auto"/>
            <w:vAlign w:val="center"/>
            <w:hideMark/>
          </w:tcPr>
          <w:p w14:paraId="0DB989BF"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902,3</w:t>
            </w:r>
          </w:p>
        </w:tc>
        <w:tc>
          <w:tcPr>
            <w:tcW w:w="735" w:type="dxa"/>
            <w:tcBorders>
              <w:top w:val="nil"/>
              <w:left w:val="nil"/>
              <w:bottom w:val="nil"/>
              <w:right w:val="single" w:sz="4" w:space="0" w:color="auto"/>
            </w:tcBorders>
            <w:shd w:val="clear" w:color="auto" w:fill="auto"/>
            <w:vAlign w:val="center"/>
            <w:hideMark/>
          </w:tcPr>
          <w:p w14:paraId="21E62042"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1 012,5</w:t>
            </w:r>
          </w:p>
        </w:tc>
        <w:tc>
          <w:tcPr>
            <w:tcW w:w="736" w:type="dxa"/>
            <w:tcBorders>
              <w:top w:val="nil"/>
              <w:left w:val="nil"/>
              <w:bottom w:val="nil"/>
              <w:right w:val="nil"/>
            </w:tcBorders>
            <w:shd w:val="clear" w:color="auto" w:fill="auto"/>
            <w:vAlign w:val="center"/>
            <w:hideMark/>
          </w:tcPr>
          <w:p w14:paraId="14703C7A"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1 711,2</w:t>
            </w:r>
          </w:p>
        </w:tc>
        <w:tc>
          <w:tcPr>
            <w:tcW w:w="735" w:type="dxa"/>
            <w:tcBorders>
              <w:top w:val="nil"/>
              <w:left w:val="nil"/>
              <w:bottom w:val="nil"/>
              <w:right w:val="nil"/>
            </w:tcBorders>
            <w:shd w:val="clear" w:color="auto" w:fill="auto"/>
            <w:vAlign w:val="center"/>
            <w:hideMark/>
          </w:tcPr>
          <w:p w14:paraId="30CCC626"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772,9</w:t>
            </w:r>
          </w:p>
        </w:tc>
        <w:tc>
          <w:tcPr>
            <w:tcW w:w="735" w:type="dxa"/>
            <w:tcBorders>
              <w:top w:val="nil"/>
              <w:left w:val="nil"/>
              <w:bottom w:val="nil"/>
              <w:right w:val="nil"/>
            </w:tcBorders>
            <w:shd w:val="clear" w:color="auto" w:fill="auto"/>
            <w:vAlign w:val="center"/>
            <w:hideMark/>
          </w:tcPr>
          <w:p w14:paraId="3ADA71A1"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938,3</w:t>
            </w:r>
          </w:p>
        </w:tc>
        <w:tc>
          <w:tcPr>
            <w:tcW w:w="754" w:type="dxa"/>
            <w:tcBorders>
              <w:top w:val="nil"/>
              <w:left w:val="single" w:sz="4" w:space="0" w:color="auto"/>
              <w:bottom w:val="nil"/>
              <w:right w:val="nil"/>
            </w:tcBorders>
            <w:shd w:val="clear" w:color="auto" w:fill="auto"/>
            <w:vAlign w:val="center"/>
            <w:hideMark/>
          </w:tcPr>
          <w:p w14:paraId="6945EE73"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44,6</w:t>
            </w:r>
          </w:p>
        </w:tc>
        <w:tc>
          <w:tcPr>
            <w:tcW w:w="737" w:type="dxa"/>
            <w:tcBorders>
              <w:top w:val="nil"/>
              <w:left w:val="nil"/>
              <w:bottom w:val="nil"/>
              <w:right w:val="nil"/>
            </w:tcBorders>
            <w:shd w:val="clear" w:color="auto" w:fill="auto"/>
            <w:vAlign w:val="center"/>
            <w:hideMark/>
          </w:tcPr>
          <w:p w14:paraId="3AD99E20"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30,1</w:t>
            </w:r>
          </w:p>
        </w:tc>
        <w:tc>
          <w:tcPr>
            <w:tcW w:w="737" w:type="dxa"/>
            <w:tcBorders>
              <w:top w:val="nil"/>
              <w:left w:val="nil"/>
              <w:bottom w:val="nil"/>
              <w:right w:val="single" w:sz="4" w:space="0" w:color="auto"/>
            </w:tcBorders>
            <w:shd w:val="clear" w:color="auto" w:fill="auto"/>
            <w:vAlign w:val="center"/>
            <w:hideMark/>
          </w:tcPr>
          <w:p w14:paraId="4993FE20"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14,5</w:t>
            </w:r>
          </w:p>
        </w:tc>
        <w:tc>
          <w:tcPr>
            <w:tcW w:w="737" w:type="dxa"/>
            <w:tcBorders>
              <w:top w:val="nil"/>
              <w:left w:val="nil"/>
              <w:bottom w:val="nil"/>
              <w:right w:val="nil"/>
            </w:tcBorders>
            <w:shd w:val="clear" w:color="auto" w:fill="auto"/>
            <w:vAlign w:val="center"/>
            <w:hideMark/>
          </w:tcPr>
          <w:p w14:paraId="4D88FCEC"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159,0</w:t>
            </w:r>
          </w:p>
        </w:tc>
        <w:tc>
          <w:tcPr>
            <w:tcW w:w="737" w:type="dxa"/>
            <w:tcBorders>
              <w:top w:val="nil"/>
              <w:left w:val="nil"/>
              <w:bottom w:val="nil"/>
              <w:right w:val="nil"/>
            </w:tcBorders>
            <w:shd w:val="clear" w:color="auto" w:fill="auto"/>
            <w:vAlign w:val="center"/>
            <w:hideMark/>
          </w:tcPr>
          <w:p w14:paraId="1B5BC7C6"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99,3</w:t>
            </w:r>
          </w:p>
        </w:tc>
        <w:tc>
          <w:tcPr>
            <w:tcW w:w="737" w:type="dxa"/>
            <w:tcBorders>
              <w:top w:val="nil"/>
              <w:left w:val="nil"/>
              <w:bottom w:val="nil"/>
              <w:right w:val="nil"/>
            </w:tcBorders>
            <w:shd w:val="clear" w:color="auto" w:fill="auto"/>
            <w:vAlign w:val="center"/>
            <w:hideMark/>
          </w:tcPr>
          <w:p w14:paraId="2B0BA8D5"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59,7</w:t>
            </w:r>
          </w:p>
        </w:tc>
      </w:tr>
      <w:tr w:rsidR="00587FF1" w:rsidRPr="004B2783" w14:paraId="3E301CE1" w14:textId="77777777" w:rsidTr="007A5557">
        <w:trPr>
          <w:trHeight w:val="300"/>
        </w:trPr>
        <w:tc>
          <w:tcPr>
            <w:tcW w:w="736" w:type="dxa"/>
            <w:tcBorders>
              <w:top w:val="nil"/>
              <w:left w:val="nil"/>
              <w:bottom w:val="nil"/>
              <w:right w:val="single" w:sz="4" w:space="0" w:color="auto"/>
            </w:tcBorders>
            <w:shd w:val="clear" w:color="auto" w:fill="auto"/>
            <w:vAlign w:val="center"/>
            <w:hideMark/>
          </w:tcPr>
          <w:p w14:paraId="5E9D70D3" w14:textId="77777777" w:rsidR="00587FF1" w:rsidRPr="004B2783" w:rsidRDefault="00587FF1" w:rsidP="007A5557">
            <w:pPr>
              <w:spacing w:after="0" w:line="240" w:lineRule="auto"/>
              <w:jc w:val="center"/>
              <w:rPr>
                <w:rFonts w:cs="Arial"/>
                <w:color w:val="000000"/>
                <w:sz w:val="16"/>
                <w:szCs w:val="16"/>
              </w:rPr>
            </w:pPr>
            <w:r w:rsidRPr="004B2783">
              <w:rPr>
                <w:rFonts w:cs="Arial"/>
                <w:color w:val="000000"/>
                <w:sz w:val="16"/>
                <w:szCs w:val="16"/>
              </w:rPr>
              <w:t>2020</w:t>
            </w:r>
          </w:p>
        </w:tc>
        <w:tc>
          <w:tcPr>
            <w:tcW w:w="737" w:type="dxa"/>
            <w:tcBorders>
              <w:top w:val="nil"/>
              <w:left w:val="nil"/>
              <w:bottom w:val="nil"/>
              <w:right w:val="nil"/>
            </w:tcBorders>
            <w:shd w:val="clear" w:color="auto" w:fill="auto"/>
            <w:vAlign w:val="center"/>
            <w:hideMark/>
          </w:tcPr>
          <w:p w14:paraId="58FE3B5F"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2 391,0</w:t>
            </w:r>
          </w:p>
        </w:tc>
        <w:tc>
          <w:tcPr>
            <w:tcW w:w="735" w:type="dxa"/>
            <w:tcBorders>
              <w:top w:val="nil"/>
              <w:left w:val="nil"/>
              <w:bottom w:val="nil"/>
              <w:right w:val="nil"/>
            </w:tcBorders>
            <w:shd w:val="clear" w:color="auto" w:fill="auto"/>
            <w:vAlign w:val="center"/>
            <w:hideMark/>
          </w:tcPr>
          <w:p w14:paraId="2C389ADB"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1 141,8</w:t>
            </w:r>
          </w:p>
        </w:tc>
        <w:tc>
          <w:tcPr>
            <w:tcW w:w="735" w:type="dxa"/>
            <w:tcBorders>
              <w:top w:val="nil"/>
              <w:left w:val="nil"/>
              <w:bottom w:val="nil"/>
              <w:right w:val="single" w:sz="4" w:space="0" w:color="auto"/>
            </w:tcBorders>
            <w:shd w:val="clear" w:color="auto" w:fill="auto"/>
            <w:vAlign w:val="center"/>
            <w:hideMark/>
          </w:tcPr>
          <w:p w14:paraId="12999A41"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1 249,2</w:t>
            </w:r>
          </w:p>
        </w:tc>
        <w:tc>
          <w:tcPr>
            <w:tcW w:w="736" w:type="dxa"/>
            <w:tcBorders>
              <w:top w:val="nil"/>
              <w:left w:val="nil"/>
              <w:bottom w:val="nil"/>
              <w:right w:val="nil"/>
            </w:tcBorders>
            <w:shd w:val="clear" w:color="auto" w:fill="auto"/>
            <w:vAlign w:val="center"/>
            <w:hideMark/>
          </w:tcPr>
          <w:p w14:paraId="29BF6929"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2 202,7</w:t>
            </w:r>
          </w:p>
        </w:tc>
        <w:tc>
          <w:tcPr>
            <w:tcW w:w="735" w:type="dxa"/>
            <w:tcBorders>
              <w:top w:val="nil"/>
              <w:left w:val="nil"/>
              <w:bottom w:val="nil"/>
              <w:right w:val="nil"/>
            </w:tcBorders>
            <w:shd w:val="clear" w:color="auto" w:fill="auto"/>
            <w:vAlign w:val="center"/>
            <w:hideMark/>
          </w:tcPr>
          <w:p w14:paraId="2F32108E"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1 022,3</w:t>
            </w:r>
          </w:p>
        </w:tc>
        <w:tc>
          <w:tcPr>
            <w:tcW w:w="735" w:type="dxa"/>
            <w:tcBorders>
              <w:top w:val="nil"/>
              <w:left w:val="nil"/>
              <w:bottom w:val="nil"/>
              <w:right w:val="nil"/>
            </w:tcBorders>
            <w:shd w:val="clear" w:color="auto" w:fill="auto"/>
            <w:vAlign w:val="center"/>
            <w:hideMark/>
          </w:tcPr>
          <w:p w14:paraId="2EB1D614"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1 180,4</w:t>
            </w:r>
          </w:p>
        </w:tc>
        <w:tc>
          <w:tcPr>
            <w:tcW w:w="754" w:type="dxa"/>
            <w:tcBorders>
              <w:top w:val="nil"/>
              <w:left w:val="single" w:sz="4" w:space="0" w:color="auto"/>
              <w:bottom w:val="nil"/>
              <w:right w:val="nil"/>
            </w:tcBorders>
            <w:shd w:val="clear" w:color="auto" w:fill="auto"/>
            <w:vAlign w:val="center"/>
            <w:hideMark/>
          </w:tcPr>
          <w:p w14:paraId="776E8378"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41,4</w:t>
            </w:r>
          </w:p>
        </w:tc>
        <w:tc>
          <w:tcPr>
            <w:tcW w:w="737" w:type="dxa"/>
            <w:tcBorders>
              <w:top w:val="nil"/>
              <w:left w:val="nil"/>
              <w:bottom w:val="nil"/>
              <w:right w:val="nil"/>
            </w:tcBorders>
            <w:shd w:val="clear" w:color="auto" w:fill="auto"/>
            <w:vAlign w:val="center"/>
            <w:hideMark/>
          </w:tcPr>
          <w:p w14:paraId="65B69A5D"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28,7</w:t>
            </w:r>
          </w:p>
        </w:tc>
        <w:tc>
          <w:tcPr>
            <w:tcW w:w="737" w:type="dxa"/>
            <w:tcBorders>
              <w:top w:val="nil"/>
              <w:left w:val="nil"/>
              <w:bottom w:val="nil"/>
              <w:right w:val="single" w:sz="4" w:space="0" w:color="auto"/>
            </w:tcBorders>
            <w:shd w:val="clear" w:color="auto" w:fill="auto"/>
            <w:vAlign w:val="center"/>
            <w:hideMark/>
          </w:tcPr>
          <w:p w14:paraId="294CC0B9"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12,7</w:t>
            </w:r>
          </w:p>
        </w:tc>
        <w:tc>
          <w:tcPr>
            <w:tcW w:w="737" w:type="dxa"/>
            <w:tcBorders>
              <w:top w:val="nil"/>
              <w:left w:val="nil"/>
              <w:bottom w:val="nil"/>
              <w:right w:val="nil"/>
            </w:tcBorders>
            <w:shd w:val="clear" w:color="auto" w:fill="auto"/>
            <w:vAlign w:val="center"/>
            <w:hideMark/>
          </w:tcPr>
          <w:p w14:paraId="008A3202"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147,0</w:t>
            </w:r>
          </w:p>
        </w:tc>
        <w:tc>
          <w:tcPr>
            <w:tcW w:w="737" w:type="dxa"/>
            <w:tcBorders>
              <w:top w:val="nil"/>
              <w:left w:val="nil"/>
              <w:bottom w:val="nil"/>
              <w:right w:val="nil"/>
            </w:tcBorders>
            <w:shd w:val="clear" w:color="auto" w:fill="auto"/>
            <w:vAlign w:val="center"/>
            <w:hideMark/>
          </w:tcPr>
          <w:p w14:paraId="50AD1E10"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90,9</w:t>
            </w:r>
          </w:p>
        </w:tc>
        <w:tc>
          <w:tcPr>
            <w:tcW w:w="737" w:type="dxa"/>
            <w:tcBorders>
              <w:top w:val="nil"/>
              <w:left w:val="nil"/>
              <w:bottom w:val="nil"/>
              <w:right w:val="nil"/>
            </w:tcBorders>
            <w:shd w:val="clear" w:color="auto" w:fill="auto"/>
            <w:vAlign w:val="center"/>
            <w:hideMark/>
          </w:tcPr>
          <w:p w14:paraId="1C673384" w14:textId="77777777" w:rsidR="00587FF1" w:rsidRPr="004B2783" w:rsidRDefault="00587FF1" w:rsidP="007A5557">
            <w:pPr>
              <w:spacing w:after="0" w:line="240" w:lineRule="auto"/>
              <w:jc w:val="right"/>
              <w:rPr>
                <w:rFonts w:cs="Arial"/>
                <w:color w:val="000000"/>
                <w:sz w:val="16"/>
                <w:szCs w:val="16"/>
              </w:rPr>
            </w:pPr>
            <w:r w:rsidRPr="004B2783">
              <w:rPr>
                <w:rFonts w:cs="Arial"/>
                <w:color w:val="000000"/>
                <w:sz w:val="16"/>
                <w:szCs w:val="16"/>
              </w:rPr>
              <w:t>56,1</w:t>
            </w:r>
          </w:p>
        </w:tc>
      </w:tr>
      <w:tr w:rsidR="00587FF1" w:rsidRPr="004B2783" w14:paraId="5C7456BC" w14:textId="77777777" w:rsidTr="007A5557">
        <w:trPr>
          <w:trHeight w:val="300"/>
        </w:trPr>
        <w:tc>
          <w:tcPr>
            <w:tcW w:w="736" w:type="dxa"/>
            <w:tcBorders>
              <w:top w:val="nil"/>
              <w:left w:val="nil"/>
              <w:bottom w:val="nil"/>
              <w:right w:val="single" w:sz="4" w:space="0" w:color="auto"/>
            </w:tcBorders>
            <w:shd w:val="clear" w:color="auto" w:fill="auto"/>
            <w:vAlign w:val="center"/>
            <w:hideMark/>
          </w:tcPr>
          <w:p w14:paraId="56D0B9FB" w14:textId="78FFB616" w:rsidR="00587FF1" w:rsidRPr="004B2783" w:rsidRDefault="00587FF1" w:rsidP="007A5557">
            <w:pPr>
              <w:spacing w:after="0" w:line="240" w:lineRule="auto"/>
              <w:jc w:val="center"/>
              <w:rPr>
                <w:rFonts w:cs="Arial"/>
                <w:color w:val="000000"/>
                <w:sz w:val="16"/>
                <w:szCs w:val="16"/>
              </w:rPr>
            </w:pPr>
            <w:r w:rsidRPr="004B2783">
              <w:rPr>
                <w:sz w:val="16"/>
              </w:rPr>
              <w:t>2021</w:t>
            </w:r>
          </w:p>
        </w:tc>
        <w:tc>
          <w:tcPr>
            <w:tcW w:w="737" w:type="dxa"/>
            <w:tcBorders>
              <w:top w:val="nil"/>
              <w:left w:val="nil"/>
              <w:bottom w:val="nil"/>
              <w:right w:val="nil"/>
            </w:tcBorders>
            <w:shd w:val="clear" w:color="auto" w:fill="auto"/>
            <w:vAlign w:val="center"/>
            <w:hideMark/>
          </w:tcPr>
          <w:p w14:paraId="207BAEA6" w14:textId="7F124741" w:rsidR="00587FF1" w:rsidRPr="004B2783" w:rsidRDefault="00587FF1" w:rsidP="007A5557">
            <w:pPr>
              <w:spacing w:after="0" w:line="240" w:lineRule="auto"/>
              <w:jc w:val="right"/>
              <w:rPr>
                <w:rFonts w:cs="Arial"/>
                <w:color w:val="000000"/>
                <w:sz w:val="16"/>
                <w:szCs w:val="16"/>
              </w:rPr>
            </w:pPr>
            <w:r w:rsidRPr="004B2783">
              <w:rPr>
                <w:sz w:val="16"/>
              </w:rPr>
              <w:t>2 754,8</w:t>
            </w:r>
          </w:p>
        </w:tc>
        <w:tc>
          <w:tcPr>
            <w:tcW w:w="735" w:type="dxa"/>
            <w:tcBorders>
              <w:top w:val="nil"/>
              <w:left w:val="nil"/>
              <w:bottom w:val="nil"/>
              <w:right w:val="nil"/>
            </w:tcBorders>
            <w:shd w:val="clear" w:color="auto" w:fill="auto"/>
            <w:vAlign w:val="center"/>
            <w:hideMark/>
          </w:tcPr>
          <w:p w14:paraId="43E7CF53" w14:textId="77777777" w:rsidR="00587FF1" w:rsidRPr="004B2783" w:rsidRDefault="00587FF1" w:rsidP="007A5557">
            <w:pPr>
              <w:spacing w:after="0" w:line="240" w:lineRule="auto"/>
              <w:jc w:val="right"/>
              <w:rPr>
                <w:rFonts w:cs="Arial"/>
                <w:color w:val="000000"/>
                <w:sz w:val="16"/>
                <w:szCs w:val="16"/>
              </w:rPr>
            </w:pPr>
            <w:r w:rsidRPr="004B2783">
              <w:rPr>
                <w:sz w:val="16"/>
              </w:rPr>
              <w:t>1 342,9</w:t>
            </w:r>
          </w:p>
        </w:tc>
        <w:tc>
          <w:tcPr>
            <w:tcW w:w="735" w:type="dxa"/>
            <w:tcBorders>
              <w:top w:val="nil"/>
              <w:left w:val="nil"/>
              <w:bottom w:val="nil"/>
              <w:right w:val="single" w:sz="4" w:space="0" w:color="auto"/>
            </w:tcBorders>
            <w:shd w:val="clear" w:color="auto" w:fill="auto"/>
            <w:vAlign w:val="center"/>
            <w:hideMark/>
          </w:tcPr>
          <w:p w14:paraId="2F0985C2" w14:textId="77777777" w:rsidR="00587FF1" w:rsidRPr="004B2783" w:rsidRDefault="00587FF1" w:rsidP="007A5557">
            <w:pPr>
              <w:spacing w:after="0" w:line="240" w:lineRule="auto"/>
              <w:jc w:val="right"/>
              <w:rPr>
                <w:rFonts w:cs="Arial"/>
                <w:color w:val="000000"/>
                <w:sz w:val="16"/>
                <w:szCs w:val="16"/>
              </w:rPr>
            </w:pPr>
            <w:r w:rsidRPr="004B2783">
              <w:rPr>
                <w:sz w:val="16"/>
              </w:rPr>
              <w:t>1 411,9</w:t>
            </w:r>
          </w:p>
        </w:tc>
        <w:tc>
          <w:tcPr>
            <w:tcW w:w="736" w:type="dxa"/>
            <w:tcBorders>
              <w:top w:val="nil"/>
              <w:left w:val="nil"/>
              <w:bottom w:val="nil"/>
              <w:right w:val="nil"/>
            </w:tcBorders>
            <w:shd w:val="clear" w:color="auto" w:fill="auto"/>
            <w:vAlign w:val="center"/>
            <w:hideMark/>
          </w:tcPr>
          <w:p w14:paraId="1B5D3ED1" w14:textId="77777777" w:rsidR="00587FF1" w:rsidRPr="004B2783" w:rsidRDefault="00587FF1" w:rsidP="007A5557">
            <w:pPr>
              <w:spacing w:after="0" w:line="240" w:lineRule="auto"/>
              <w:jc w:val="right"/>
              <w:rPr>
                <w:rFonts w:cs="Arial"/>
                <w:color w:val="000000"/>
                <w:sz w:val="16"/>
                <w:szCs w:val="16"/>
              </w:rPr>
            </w:pPr>
            <w:r w:rsidRPr="004B2783">
              <w:rPr>
                <w:sz w:val="16"/>
              </w:rPr>
              <w:t>2 549,7</w:t>
            </w:r>
          </w:p>
        </w:tc>
        <w:tc>
          <w:tcPr>
            <w:tcW w:w="735" w:type="dxa"/>
            <w:tcBorders>
              <w:top w:val="nil"/>
              <w:left w:val="nil"/>
              <w:bottom w:val="nil"/>
              <w:right w:val="nil"/>
            </w:tcBorders>
            <w:shd w:val="clear" w:color="auto" w:fill="auto"/>
            <w:vAlign w:val="center"/>
            <w:hideMark/>
          </w:tcPr>
          <w:p w14:paraId="633F9B82" w14:textId="77777777" w:rsidR="00587FF1" w:rsidRPr="004B2783" w:rsidRDefault="00587FF1" w:rsidP="007A5557">
            <w:pPr>
              <w:spacing w:after="0" w:line="240" w:lineRule="auto"/>
              <w:jc w:val="right"/>
              <w:rPr>
                <w:rFonts w:cs="Arial"/>
                <w:color w:val="000000"/>
                <w:sz w:val="16"/>
                <w:szCs w:val="16"/>
              </w:rPr>
            </w:pPr>
            <w:r w:rsidRPr="004B2783">
              <w:rPr>
                <w:sz w:val="16"/>
              </w:rPr>
              <w:t>1 213,5</w:t>
            </w:r>
          </w:p>
        </w:tc>
        <w:tc>
          <w:tcPr>
            <w:tcW w:w="735" w:type="dxa"/>
            <w:tcBorders>
              <w:top w:val="nil"/>
              <w:left w:val="nil"/>
              <w:bottom w:val="nil"/>
              <w:right w:val="nil"/>
            </w:tcBorders>
            <w:shd w:val="clear" w:color="auto" w:fill="auto"/>
            <w:vAlign w:val="center"/>
            <w:hideMark/>
          </w:tcPr>
          <w:p w14:paraId="1A3DC44A" w14:textId="77777777" w:rsidR="00587FF1" w:rsidRPr="004B2783" w:rsidRDefault="00587FF1" w:rsidP="007A5557">
            <w:pPr>
              <w:spacing w:after="0" w:line="240" w:lineRule="auto"/>
              <w:jc w:val="right"/>
              <w:rPr>
                <w:rFonts w:cs="Arial"/>
                <w:color w:val="000000"/>
                <w:sz w:val="16"/>
                <w:szCs w:val="16"/>
              </w:rPr>
            </w:pPr>
            <w:r w:rsidRPr="004B2783">
              <w:rPr>
                <w:sz w:val="16"/>
              </w:rPr>
              <w:t>1 336,3</w:t>
            </w:r>
          </w:p>
        </w:tc>
        <w:tc>
          <w:tcPr>
            <w:tcW w:w="754" w:type="dxa"/>
            <w:tcBorders>
              <w:top w:val="nil"/>
              <w:left w:val="single" w:sz="4" w:space="0" w:color="auto"/>
              <w:bottom w:val="nil"/>
              <w:right w:val="nil"/>
            </w:tcBorders>
            <w:shd w:val="clear" w:color="auto" w:fill="auto"/>
            <w:vAlign w:val="center"/>
            <w:hideMark/>
          </w:tcPr>
          <w:p w14:paraId="4E9FFA3D" w14:textId="77777777" w:rsidR="00587FF1" w:rsidRPr="004B2783" w:rsidRDefault="00587FF1" w:rsidP="007A5557">
            <w:pPr>
              <w:spacing w:after="0" w:line="240" w:lineRule="auto"/>
              <w:jc w:val="right"/>
              <w:rPr>
                <w:rFonts w:cs="Arial"/>
                <w:color w:val="000000"/>
                <w:sz w:val="16"/>
                <w:szCs w:val="16"/>
              </w:rPr>
            </w:pPr>
            <w:r w:rsidRPr="004B2783">
              <w:rPr>
                <w:sz w:val="16"/>
              </w:rPr>
              <w:t>44,9</w:t>
            </w:r>
          </w:p>
        </w:tc>
        <w:tc>
          <w:tcPr>
            <w:tcW w:w="737" w:type="dxa"/>
            <w:tcBorders>
              <w:top w:val="nil"/>
              <w:left w:val="nil"/>
              <w:bottom w:val="nil"/>
              <w:right w:val="nil"/>
            </w:tcBorders>
            <w:shd w:val="clear" w:color="auto" w:fill="auto"/>
            <w:vAlign w:val="center"/>
            <w:hideMark/>
          </w:tcPr>
          <w:p w14:paraId="6A4FC834" w14:textId="77777777" w:rsidR="00587FF1" w:rsidRPr="004B2783" w:rsidRDefault="00587FF1" w:rsidP="007A5557">
            <w:pPr>
              <w:spacing w:after="0" w:line="240" w:lineRule="auto"/>
              <w:jc w:val="right"/>
              <w:rPr>
                <w:rFonts w:cs="Arial"/>
                <w:color w:val="000000"/>
                <w:sz w:val="16"/>
                <w:szCs w:val="16"/>
              </w:rPr>
            </w:pPr>
            <w:r w:rsidRPr="004B2783">
              <w:rPr>
                <w:sz w:val="16"/>
              </w:rPr>
              <w:t>31,1</w:t>
            </w:r>
          </w:p>
        </w:tc>
        <w:tc>
          <w:tcPr>
            <w:tcW w:w="737" w:type="dxa"/>
            <w:tcBorders>
              <w:top w:val="nil"/>
              <w:left w:val="nil"/>
              <w:bottom w:val="nil"/>
              <w:right w:val="single" w:sz="4" w:space="0" w:color="auto"/>
            </w:tcBorders>
            <w:shd w:val="clear" w:color="auto" w:fill="auto"/>
            <w:vAlign w:val="center"/>
            <w:hideMark/>
          </w:tcPr>
          <w:p w14:paraId="11C06F20" w14:textId="77777777" w:rsidR="00587FF1" w:rsidRPr="004B2783" w:rsidRDefault="00587FF1" w:rsidP="007A5557">
            <w:pPr>
              <w:spacing w:after="0" w:line="240" w:lineRule="auto"/>
              <w:jc w:val="right"/>
              <w:rPr>
                <w:rFonts w:cs="Arial"/>
                <w:color w:val="000000"/>
                <w:sz w:val="16"/>
                <w:szCs w:val="16"/>
              </w:rPr>
            </w:pPr>
            <w:r w:rsidRPr="004B2783">
              <w:rPr>
                <w:sz w:val="16"/>
              </w:rPr>
              <w:t>13,8</w:t>
            </w:r>
          </w:p>
        </w:tc>
        <w:tc>
          <w:tcPr>
            <w:tcW w:w="737" w:type="dxa"/>
            <w:tcBorders>
              <w:top w:val="nil"/>
              <w:left w:val="nil"/>
              <w:bottom w:val="nil"/>
              <w:right w:val="nil"/>
            </w:tcBorders>
            <w:shd w:val="clear" w:color="auto" w:fill="auto"/>
            <w:vAlign w:val="center"/>
            <w:hideMark/>
          </w:tcPr>
          <w:p w14:paraId="1E73D83F" w14:textId="77777777" w:rsidR="00587FF1" w:rsidRPr="004B2783" w:rsidRDefault="00587FF1" w:rsidP="007A5557">
            <w:pPr>
              <w:spacing w:after="0" w:line="240" w:lineRule="auto"/>
              <w:jc w:val="right"/>
              <w:rPr>
                <w:rFonts w:cs="Arial"/>
                <w:color w:val="000000"/>
                <w:sz w:val="16"/>
                <w:szCs w:val="16"/>
              </w:rPr>
            </w:pPr>
            <w:r w:rsidRPr="004B2783">
              <w:rPr>
                <w:sz w:val="16"/>
              </w:rPr>
              <w:t>160,1</w:t>
            </w:r>
          </w:p>
        </w:tc>
        <w:tc>
          <w:tcPr>
            <w:tcW w:w="737" w:type="dxa"/>
            <w:tcBorders>
              <w:top w:val="nil"/>
              <w:left w:val="nil"/>
              <w:bottom w:val="nil"/>
              <w:right w:val="nil"/>
            </w:tcBorders>
            <w:shd w:val="clear" w:color="auto" w:fill="auto"/>
            <w:vAlign w:val="center"/>
            <w:hideMark/>
          </w:tcPr>
          <w:p w14:paraId="5D3BB683" w14:textId="77777777" w:rsidR="00587FF1" w:rsidRPr="004B2783" w:rsidRDefault="00587FF1" w:rsidP="007A5557">
            <w:pPr>
              <w:spacing w:after="0" w:line="240" w:lineRule="auto"/>
              <w:jc w:val="right"/>
              <w:rPr>
                <w:rFonts w:cs="Arial"/>
                <w:color w:val="000000"/>
                <w:sz w:val="16"/>
                <w:szCs w:val="16"/>
              </w:rPr>
            </w:pPr>
            <w:r w:rsidRPr="004B2783">
              <w:rPr>
                <w:sz w:val="16"/>
              </w:rPr>
              <w:t>98,3</w:t>
            </w:r>
          </w:p>
        </w:tc>
        <w:tc>
          <w:tcPr>
            <w:tcW w:w="737" w:type="dxa"/>
            <w:tcBorders>
              <w:top w:val="nil"/>
              <w:left w:val="nil"/>
              <w:bottom w:val="nil"/>
              <w:right w:val="nil"/>
            </w:tcBorders>
            <w:shd w:val="clear" w:color="auto" w:fill="auto"/>
            <w:vAlign w:val="center"/>
            <w:hideMark/>
          </w:tcPr>
          <w:p w14:paraId="56D5A052" w14:textId="77777777" w:rsidR="00587FF1" w:rsidRPr="004B2783" w:rsidRDefault="00587FF1" w:rsidP="007A5557">
            <w:pPr>
              <w:spacing w:after="0" w:line="240" w:lineRule="auto"/>
              <w:jc w:val="right"/>
              <w:rPr>
                <w:rFonts w:cs="Arial"/>
                <w:color w:val="000000"/>
                <w:sz w:val="16"/>
                <w:szCs w:val="16"/>
              </w:rPr>
            </w:pPr>
            <w:r w:rsidRPr="004B2783">
              <w:rPr>
                <w:sz w:val="16"/>
              </w:rPr>
              <w:t>61,8</w:t>
            </w:r>
          </w:p>
        </w:tc>
      </w:tr>
      <w:tr w:rsidR="00587FF1" w:rsidRPr="004B2783" w14:paraId="508F32DE" w14:textId="77777777" w:rsidTr="00587FF1">
        <w:trPr>
          <w:trHeight w:val="300"/>
        </w:trPr>
        <w:tc>
          <w:tcPr>
            <w:tcW w:w="736" w:type="dxa"/>
            <w:tcBorders>
              <w:top w:val="nil"/>
              <w:left w:val="nil"/>
              <w:bottom w:val="nil"/>
              <w:right w:val="single" w:sz="4" w:space="0" w:color="auto"/>
            </w:tcBorders>
            <w:shd w:val="clear" w:color="auto" w:fill="auto"/>
            <w:vAlign w:val="center"/>
          </w:tcPr>
          <w:p w14:paraId="7630482E" w14:textId="3688D79D" w:rsidR="00587FF1" w:rsidRPr="004B2783" w:rsidRDefault="00587FF1" w:rsidP="00587FF1">
            <w:pPr>
              <w:spacing w:after="0" w:line="240" w:lineRule="auto"/>
              <w:jc w:val="center"/>
              <w:rPr>
                <w:sz w:val="16"/>
              </w:rPr>
            </w:pPr>
            <w:r w:rsidRPr="004B2783">
              <w:rPr>
                <w:sz w:val="16"/>
              </w:rPr>
              <w:t>2022</w:t>
            </w:r>
            <w:r w:rsidR="00AF51E3">
              <w:rPr>
                <w:sz w:val="16"/>
              </w:rPr>
              <w:t>*</w:t>
            </w:r>
          </w:p>
        </w:tc>
        <w:tc>
          <w:tcPr>
            <w:tcW w:w="737" w:type="dxa"/>
            <w:tcBorders>
              <w:top w:val="nil"/>
              <w:left w:val="nil"/>
              <w:bottom w:val="nil"/>
              <w:right w:val="nil"/>
            </w:tcBorders>
            <w:shd w:val="clear" w:color="auto" w:fill="auto"/>
            <w:vAlign w:val="center"/>
          </w:tcPr>
          <w:p w14:paraId="354DFD67" w14:textId="0640FA12" w:rsidR="00587FF1" w:rsidRPr="004B2783" w:rsidRDefault="00587FF1" w:rsidP="00587FF1">
            <w:pPr>
              <w:spacing w:after="0" w:line="240" w:lineRule="auto"/>
              <w:jc w:val="right"/>
              <w:rPr>
                <w:sz w:val="16"/>
              </w:rPr>
            </w:pPr>
            <w:r w:rsidRPr="004B2783">
              <w:rPr>
                <w:sz w:val="16"/>
              </w:rPr>
              <w:t>3 457,6</w:t>
            </w:r>
          </w:p>
        </w:tc>
        <w:tc>
          <w:tcPr>
            <w:tcW w:w="735" w:type="dxa"/>
            <w:tcBorders>
              <w:top w:val="nil"/>
              <w:left w:val="nil"/>
              <w:bottom w:val="nil"/>
              <w:right w:val="nil"/>
            </w:tcBorders>
            <w:shd w:val="clear" w:color="auto" w:fill="auto"/>
            <w:vAlign w:val="center"/>
          </w:tcPr>
          <w:p w14:paraId="0BFF3974" w14:textId="77777777" w:rsidR="00587FF1" w:rsidRPr="004B2783" w:rsidRDefault="00587FF1" w:rsidP="00587FF1">
            <w:pPr>
              <w:spacing w:after="0" w:line="240" w:lineRule="auto"/>
              <w:jc w:val="right"/>
              <w:rPr>
                <w:sz w:val="16"/>
              </w:rPr>
            </w:pPr>
            <w:r w:rsidRPr="004B2783">
              <w:rPr>
                <w:sz w:val="16"/>
              </w:rPr>
              <w:t>1 588,5</w:t>
            </w:r>
          </w:p>
        </w:tc>
        <w:tc>
          <w:tcPr>
            <w:tcW w:w="735" w:type="dxa"/>
            <w:tcBorders>
              <w:top w:val="nil"/>
              <w:left w:val="nil"/>
              <w:bottom w:val="nil"/>
              <w:right w:val="single" w:sz="4" w:space="0" w:color="auto"/>
            </w:tcBorders>
            <w:shd w:val="clear" w:color="auto" w:fill="auto"/>
            <w:vAlign w:val="center"/>
          </w:tcPr>
          <w:p w14:paraId="594BD33B" w14:textId="77777777" w:rsidR="00587FF1" w:rsidRPr="004B2783" w:rsidRDefault="00587FF1" w:rsidP="00587FF1">
            <w:pPr>
              <w:spacing w:after="0" w:line="240" w:lineRule="auto"/>
              <w:jc w:val="right"/>
              <w:rPr>
                <w:sz w:val="16"/>
              </w:rPr>
            </w:pPr>
            <w:r w:rsidRPr="004B2783">
              <w:rPr>
                <w:sz w:val="16"/>
              </w:rPr>
              <w:t>1 869,1</w:t>
            </w:r>
          </w:p>
        </w:tc>
        <w:tc>
          <w:tcPr>
            <w:tcW w:w="736" w:type="dxa"/>
            <w:tcBorders>
              <w:top w:val="nil"/>
              <w:left w:val="nil"/>
              <w:bottom w:val="nil"/>
              <w:right w:val="nil"/>
            </w:tcBorders>
            <w:shd w:val="clear" w:color="auto" w:fill="auto"/>
            <w:vAlign w:val="center"/>
          </w:tcPr>
          <w:p w14:paraId="4CF37233" w14:textId="77777777" w:rsidR="00587FF1" w:rsidRPr="004B2783" w:rsidRDefault="00587FF1" w:rsidP="00587FF1">
            <w:pPr>
              <w:spacing w:after="0" w:line="240" w:lineRule="auto"/>
              <w:jc w:val="right"/>
              <w:rPr>
                <w:sz w:val="16"/>
              </w:rPr>
            </w:pPr>
            <w:r w:rsidRPr="004B2783">
              <w:rPr>
                <w:sz w:val="16"/>
              </w:rPr>
              <w:t>3 240,3</w:t>
            </w:r>
          </w:p>
        </w:tc>
        <w:tc>
          <w:tcPr>
            <w:tcW w:w="735" w:type="dxa"/>
            <w:tcBorders>
              <w:top w:val="nil"/>
              <w:left w:val="nil"/>
              <w:bottom w:val="nil"/>
              <w:right w:val="nil"/>
            </w:tcBorders>
            <w:shd w:val="clear" w:color="auto" w:fill="auto"/>
            <w:vAlign w:val="center"/>
          </w:tcPr>
          <w:p w14:paraId="3270DA5B" w14:textId="77777777" w:rsidR="00587FF1" w:rsidRPr="004B2783" w:rsidRDefault="00587FF1" w:rsidP="00587FF1">
            <w:pPr>
              <w:spacing w:after="0" w:line="240" w:lineRule="auto"/>
              <w:jc w:val="right"/>
              <w:rPr>
                <w:sz w:val="16"/>
              </w:rPr>
            </w:pPr>
            <w:r w:rsidRPr="004B2783">
              <w:rPr>
                <w:sz w:val="16"/>
              </w:rPr>
              <w:t>1 453,3</w:t>
            </w:r>
          </w:p>
        </w:tc>
        <w:tc>
          <w:tcPr>
            <w:tcW w:w="735" w:type="dxa"/>
            <w:tcBorders>
              <w:top w:val="nil"/>
              <w:left w:val="nil"/>
              <w:bottom w:val="nil"/>
              <w:right w:val="nil"/>
            </w:tcBorders>
            <w:shd w:val="clear" w:color="auto" w:fill="auto"/>
            <w:vAlign w:val="center"/>
          </w:tcPr>
          <w:p w14:paraId="2E75A801" w14:textId="77777777" w:rsidR="00587FF1" w:rsidRPr="004B2783" w:rsidRDefault="00587FF1" w:rsidP="00587FF1">
            <w:pPr>
              <w:spacing w:after="0" w:line="240" w:lineRule="auto"/>
              <w:jc w:val="right"/>
              <w:rPr>
                <w:sz w:val="16"/>
              </w:rPr>
            </w:pPr>
            <w:r w:rsidRPr="004B2783">
              <w:rPr>
                <w:sz w:val="16"/>
              </w:rPr>
              <w:t>1 787,1</w:t>
            </w:r>
          </w:p>
        </w:tc>
        <w:tc>
          <w:tcPr>
            <w:tcW w:w="754" w:type="dxa"/>
            <w:tcBorders>
              <w:top w:val="nil"/>
              <w:left w:val="single" w:sz="4" w:space="0" w:color="auto"/>
              <w:bottom w:val="nil"/>
              <w:right w:val="nil"/>
            </w:tcBorders>
            <w:shd w:val="clear" w:color="auto" w:fill="auto"/>
            <w:vAlign w:val="center"/>
          </w:tcPr>
          <w:p w14:paraId="72BB0B1F" w14:textId="77777777" w:rsidR="00587FF1" w:rsidRPr="004B2783" w:rsidRDefault="00587FF1" w:rsidP="00587FF1">
            <w:pPr>
              <w:spacing w:after="0" w:line="240" w:lineRule="auto"/>
              <w:jc w:val="right"/>
              <w:rPr>
                <w:sz w:val="16"/>
              </w:rPr>
            </w:pPr>
            <w:r w:rsidRPr="004B2783">
              <w:rPr>
                <w:sz w:val="16"/>
              </w:rPr>
              <w:t>44,6</w:t>
            </w:r>
          </w:p>
        </w:tc>
        <w:tc>
          <w:tcPr>
            <w:tcW w:w="737" w:type="dxa"/>
            <w:tcBorders>
              <w:top w:val="nil"/>
              <w:left w:val="nil"/>
              <w:bottom w:val="nil"/>
              <w:right w:val="nil"/>
            </w:tcBorders>
            <w:shd w:val="clear" w:color="auto" w:fill="auto"/>
            <w:vAlign w:val="center"/>
          </w:tcPr>
          <w:p w14:paraId="0CA69F86" w14:textId="77777777" w:rsidR="00587FF1" w:rsidRPr="004B2783" w:rsidRDefault="00587FF1" w:rsidP="00587FF1">
            <w:pPr>
              <w:spacing w:after="0" w:line="240" w:lineRule="auto"/>
              <w:jc w:val="right"/>
              <w:rPr>
                <w:sz w:val="16"/>
              </w:rPr>
            </w:pPr>
            <w:r w:rsidRPr="004B2783">
              <w:rPr>
                <w:sz w:val="16"/>
              </w:rPr>
              <w:t>29,9</w:t>
            </w:r>
          </w:p>
        </w:tc>
        <w:tc>
          <w:tcPr>
            <w:tcW w:w="737" w:type="dxa"/>
            <w:tcBorders>
              <w:top w:val="nil"/>
              <w:left w:val="nil"/>
              <w:bottom w:val="nil"/>
              <w:right w:val="single" w:sz="4" w:space="0" w:color="auto"/>
            </w:tcBorders>
            <w:shd w:val="clear" w:color="auto" w:fill="auto"/>
            <w:vAlign w:val="center"/>
          </w:tcPr>
          <w:p w14:paraId="6F428383" w14:textId="77777777" w:rsidR="00587FF1" w:rsidRPr="004B2783" w:rsidRDefault="00587FF1" w:rsidP="00587FF1">
            <w:pPr>
              <w:spacing w:after="0" w:line="240" w:lineRule="auto"/>
              <w:jc w:val="right"/>
              <w:rPr>
                <w:sz w:val="16"/>
              </w:rPr>
            </w:pPr>
            <w:r w:rsidRPr="004B2783">
              <w:rPr>
                <w:sz w:val="16"/>
              </w:rPr>
              <w:t>14,7</w:t>
            </w:r>
          </w:p>
        </w:tc>
        <w:tc>
          <w:tcPr>
            <w:tcW w:w="737" w:type="dxa"/>
            <w:tcBorders>
              <w:top w:val="nil"/>
              <w:left w:val="nil"/>
              <w:bottom w:val="nil"/>
              <w:right w:val="nil"/>
            </w:tcBorders>
            <w:shd w:val="clear" w:color="auto" w:fill="auto"/>
            <w:vAlign w:val="center"/>
          </w:tcPr>
          <w:p w14:paraId="65BC1C64" w14:textId="77777777" w:rsidR="00587FF1" w:rsidRPr="004B2783" w:rsidRDefault="00587FF1" w:rsidP="00587FF1">
            <w:pPr>
              <w:spacing w:after="0" w:line="240" w:lineRule="auto"/>
              <w:jc w:val="right"/>
              <w:rPr>
                <w:sz w:val="16"/>
              </w:rPr>
            </w:pPr>
            <w:r w:rsidRPr="004B2783">
              <w:rPr>
                <w:sz w:val="16"/>
              </w:rPr>
              <w:t>172,7</w:t>
            </w:r>
          </w:p>
        </w:tc>
        <w:tc>
          <w:tcPr>
            <w:tcW w:w="737" w:type="dxa"/>
            <w:tcBorders>
              <w:top w:val="nil"/>
              <w:left w:val="nil"/>
              <w:bottom w:val="nil"/>
              <w:right w:val="nil"/>
            </w:tcBorders>
            <w:shd w:val="clear" w:color="auto" w:fill="auto"/>
            <w:vAlign w:val="center"/>
          </w:tcPr>
          <w:p w14:paraId="7C9A266E" w14:textId="77777777" w:rsidR="00587FF1" w:rsidRPr="004B2783" w:rsidRDefault="00587FF1" w:rsidP="00587FF1">
            <w:pPr>
              <w:spacing w:after="0" w:line="240" w:lineRule="auto"/>
              <w:jc w:val="right"/>
              <w:rPr>
                <w:sz w:val="16"/>
              </w:rPr>
            </w:pPr>
            <w:r w:rsidRPr="004B2783">
              <w:rPr>
                <w:sz w:val="16"/>
              </w:rPr>
              <w:t>105,4</w:t>
            </w:r>
          </w:p>
        </w:tc>
        <w:tc>
          <w:tcPr>
            <w:tcW w:w="737" w:type="dxa"/>
            <w:tcBorders>
              <w:top w:val="nil"/>
              <w:left w:val="nil"/>
              <w:bottom w:val="nil"/>
              <w:right w:val="nil"/>
            </w:tcBorders>
            <w:shd w:val="clear" w:color="auto" w:fill="auto"/>
            <w:vAlign w:val="center"/>
          </w:tcPr>
          <w:p w14:paraId="40C13EB3" w14:textId="77777777" w:rsidR="00587FF1" w:rsidRPr="004B2783" w:rsidRDefault="00587FF1" w:rsidP="00587FF1">
            <w:pPr>
              <w:spacing w:after="0" w:line="240" w:lineRule="auto"/>
              <w:jc w:val="right"/>
              <w:rPr>
                <w:sz w:val="16"/>
              </w:rPr>
            </w:pPr>
            <w:r w:rsidRPr="004B2783">
              <w:rPr>
                <w:sz w:val="16"/>
              </w:rPr>
              <w:t>67,3</w:t>
            </w:r>
          </w:p>
        </w:tc>
      </w:tr>
      <w:tr w:rsidR="00587FF1" w:rsidRPr="00587FF1" w14:paraId="6CE4C347" w14:textId="77777777" w:rsidTr="00587FF1">
        <w:trPr>
          <w:trHeight w:val="300"/>
        </w:trPr>
        <w:tc>
          <w:tcPr>
            <w:tcW w:w="736" w:type="dxa"/>
            <w:tcBorders>
              <w:top w:val="nil"/>
              <w:left w:val="nil"/>
              <w:bottom w:val="nil"/>
              <w:right w:val="single" w:sz="4" w:space="0" w:color="auto"/>
            </w:tcBorders>
            <w:shd w:val="clear" w:color="auto" w:fill="auto"/>
            <w:vAlign w:val="center"/>
          </w:tcPr>
          <w:p w14:paraId="77E80A6F" w14:textId="6209C5F7" w:rsidR="00587FF1" w:rsidRPr="00587FF1" w:rsidRDefault="00587FF1" w:rsidP="00587FF1">
            <w:pPr>
              <w:spacing w:after="0" w:line="240" w:lineRule="auto"/>
              <w:jc w:val="center"/>
              <w:rPr>
                <w:sz w:val="16"/>
              </w:rPr>
            </w:pPr>
            <w:r w:rsidRPr="00587FF1">
              <w:rPr>
                <w:sz w:val="16"/>
              </w:rPr>
              <w:t>2023</w:t>
            </w:r>
          </w:p>
        </w:tc>
        <w:tc>
          <w:tcPr>
            <w:tcW w:w="737" w:type="dxa"/>
            <w:tcBorders>
              <w:top w:val="nil"/>
              <w:left w:val="nil"/>
              <w:bottom w:val="nil"/>
              <w:right w:val="nil"/>
            </w:tcBorders>
            <w:shd w:val="clear" w:color="auto" w:fill="auto"/>
            <w:vAlign w:val="center"/>
          </w:tcPr>
          <w:p w14:paraId="1BE53B2A" w14:textId="01A63C1E" w:rsidR="00587FF1" w:rsidRPr="00587FF1" w:rsidRDefault="00587FF1" w:rsidP="00587FF1">
            <w:pPr>
              <w:spacing w:after="0" w:line="240" w:lineRule="auto"/>
              <w:jc w:val="right"/>
              <w:rPr>
                <w:sz w:val="16"/>
              </w:rPr>
            </w:pPr>
            <w:r w:rsidRPr="00587FF1">
              <w:rPr>
                <w:sz w:val="16"/>
              </w:rPr>
              <w:t>2 535,2</w:t>
            </w:r>
          </w:p>
        </w:tc>
        <w:tc>
          <w:tcPr>
            <w:tcW w:w="735" w:type="dxa"/>
            <w:tcBorders>
              <w:top w:val="nil"/>
              <w:left w:val="nil"/>
              <w:bottom w:val="nil"/>
              <w:right w:val="nil"/>
            </w:tcBorders>
            <w:shd w:val="clear" w:color="auto" w:fill="auto"/>
            <w:vAlign w:val="center"/>
          </w:tcPr>
          <w:p w14:paraId="441B7108" w14:textId="128036CB" w:rsidR="00587FF1" w:rsidRPr="00587FF1" w:rsidRDefault="00587FF1" w:rsidP="00587FF1">
            <w:pPr>
              <w:spacing w:after="0" w:line="240" w:lineRule="auto"/>
              <w:jc w:val="right"/>
              <w:rPr>
                <w:sz w:val="16"/>
              </w:rPr>
            </w:pPr>
            <w:r w:rsidRPr="00587FF1">
              <w:rPr>
                <w:sz w:val="16"/>
              </w:rPr>
              <w:t>1 134,2</w:t>
            </w:r>
          </w:p>
        </w:tc>
        <w:tc>
          <w:tcPr>
            <w:tcW w:w="735" w:type="dxa"/>
            <w:tcBorders>
              <w:top w:val="nil"/>
              <w:left w:val="nil"/>
              <w:bottom w:val="nil"/>
              <w:right w:val="single" w:sz="4" w:space="0" w:color="auto"/>
            </w:tcBorders>
            <w:shd w:val="clear" w:color="auto" w:fill="auto"/>
            <w:vAlign w:val="center"/>
          </w:tcPr>
          <w:p w14:paraId="6BCC1147" w14:textId="5BC2D14D" w:rsidR="00587FF1" w:rsidRPr="00587FF1" w:rsidRDefault="00587FF1" w:rsidP="00587FF1">
            <w:pPr>
              <w:spacing w:after="0" w:line="240" w:lineRule="auto"/>
              <w:jc w:val="right"/>
              <w:rPr>
                <w:sz w:val="16"/>
              </w:rPr>
            </w:pPr>
            <w:r w:rsidRPr="00587FF1">
              <w:rPr>
                <w:sz w:val="16"/>
              </w:rPr>
              <w:t>1 401,0</w:t>
            </w:r>
          </w:p>
        </w:tc>
        <w:tc>
          <w:tcPr>
            <w:tcW w:w="736" w:type="dxa"/>
            <w:tcBorders>
              <w:top w:val="nil"/>
              <w:left w:val="nil"/>
              <w:bottom w:val="nil"/>
              <w:right w:val="nil"/>
            </w:tcBorders>
            <w:shd w:val="clear" w:color="auto" w:fill="auto"/>
            <w:vAlign w:val="center"/>
          </w:tcPr>
          <w:p w14:paraId="0EBFB4AD" w14:textId="5BE462B8" w:rsidR="00587FF1" w:rsidRPr="00587FF1" w:rsidRDefault="00587FF1" w:rsidP="00587FF1">
            <w:pPr>
              <w:spacing w:after="0" w:line="240" w:lineRule="auto"/>
              <w:jc w:val="right"/>
              <w:rPr>
                <w:sz w:val="16"/>
              </w:rPr>
            </w:pPr>
            <w:r w:rsidRPr="00587FF1">
              <w:rPr>
                <w:sz w:val="16"/>
              </w:rPr>
              <w:t>2 323,2</w:t>
            </w:r>
          </w:p>
        </w:tc>
        <w:tc>
          <w:tcPr>
            <w:tcW w:w="735" w:type="dxa"/>
            <w:tcBorders>
              <w:top w:val="nil"/>
              <w:left w:val="nil"/>
              <w:bottom w:val="nil"/>
              <w:right w:val="nil"/>
            </w:tcBorders>
            <w:shd w:val="clear" w:color="auto" w:fill="auto"/>
            <w:vAlign w:val="center"/>
          </w:tcPr>
          <w:p w14:paraId="6B830944" w14:textId="63AC0E53" w:rsidR="00587FF1" w:rsidRPr="00587FF1" w:rsidRDefault="00587FF1" w:rsidP="00587FF1">
            <w:pPr>
              <w:spacing w:after="0" w:line="240" w:lineRule="auto"/>
              <w:jc w:val="right"/>
              <w:rPr>
                <w:sz w:val="16"/>
              </w:rPr>
            </w:pPr>
            <w:r w:rsidRPr="00587FF1">
              <w:rPr>
                <w:sz w:val="16"/>
              </w:rPr>
              <w:t>1 004,5</w:t>
            </w:r>
          </w:p>
        </w:tc>
        <w:tc>
          <w:tcPr>
            <w:tcW w:w="735" w:type="dxa"/>
            <w:tcBorders>
              <w:top w:val="nil"/>
              <w:left w:val="nil"/>
              <w:bottom w:val="nil"/>
              <w:right w:val="nil"/>
            </w:tcBorders>
            <w:shd w:val="clear" w:color="auto" w:fill="auto"/>
            <w:vAlign w:val="center"/>
          </w:tcPr>
          <w:p w14:paraId="1D076D4B" w14:textId="5AAE6C0E" w:rsidR="00587FF1" w:rsidRPr="00587FF1" w:rsidRDefault="00587FF1" w:rsidP="00587FF1">
            <w:pPr>
              <w:spacing w:after="0" w:line="240" w:lineRule="auto"/>
              <w:jc w:val="right"/>
              <w:rPr>
                <w:sz w:val="16"/>
              </w:rPr>
            </w:pPr>
            <w:r w:rsidRPr="00587FF1">
              <w:rPr>
                <w:sz w:val="16"/>
              </w:rPr>
              <w:t>1 318,7</w:t>
            </w:r>
          </w:p>
        </w:tc>
        <w:tc>
          <w:tcPr>
            <w:tcW w:w="754" w:type="dxa"/>
            <w:tcBorders>
              <w:top w:val="nil"/>
              <w:left w:val="single" w:sz="4" w:space="0" w:color="auto"/>
              <w:bottom w:val="nil"/>
              <w:right w:val="nil"/>
            </w:tcBorders>
            <w:shd w:val="clear" w:color="auto" w:fill="auto"/>
            <w:vAlign w:val="center"/>
          </w:tcPr>
          <w:p w14:paraId="40F885D3" w14:textId="7074301F" w:rsidR="00587FF1" w:rsidRPr="00587FF1" w:rsidRDefault="00587FF1" w:rsidP="00587FF1">
            <w:pPr>
              <w:spacing w:after="0" w:line="240" w:lineRule="auto"/>
              <w:jc w:val="right"/>
              <w:rPr>
                <w:sz w:val="16"/>
              </w:rPr>
            </w:pPr>
            <w:r w:rsidRPr="00587FF1">
              <w:rPr>
                <w:sz w:val="16"/>
              </w:rPr>
              <w:t>43,5</w:t>
            </w:r>
          </w:p>
        </w:tc>
        <w:tc>
          <w:tcPr>
            <w:tcW w:w="737" w:type="dxa"/>
            <w:tcBorders>
              <w:top w:val="nil"/>
              <w:left w:val="nil"/>
              <w:bottom w:val="nil"/>
              <w:right w:val="nil"/>
            </w:tcBorders>
            <w:shd w:val="clear" w:color="auto" w:fill="auto"/>
            <w:vAlign w:val="center"/>
          </w:tcPr>
          <w:p w14:paraId="1932D69B" w14:textId="346709B4" w:rsidR="00587FF1" w:rsidRPr="00587FF1" w:rsidRDefault="00587FF1" w:rsidP="00587FF1">
            <w:pPr>
              <w:spacing w:after="0" w:line="240" w:lineRule="auto"/>
              <w:jc w:val="right"/>
              <w:rPr>
                <w:sz w:val="16"/>
              </w:rPr>
            </w:pPr>
            <w:r w:rsidRPr="00587FF1">
              <w:rPr>
                <w:sz w:val="16"/>
              </w:rPr>
              <w:t>28,5</w:t>
            </w:r>
          </w:p>
        </w:tc>
        <w:tc>
          <w:tcPr>
            <w:tcW w:w="737" w:type="dxa"/>
            <w:tcBorders>
              <w:top w:val="nil"/>
              <w:left w:val="nil"/>
              <w:bottom w:val="nil"/>
              <w:right w:val="single" w:sz="4" w:space="0" w:color="auto"/>
            </w:tcBorders>
            <w:shd w:val="clear" w:color="auto" w:fill="auto"/>
            <w:vAlign w:val="center"/>
          </w:tcPr>
          <w:p w14:paraId="4E5FC1D0" w14:textId="6FEBFC5B" w:rsidR="00587FF1" w:rsidRPr="00587FF1" w:rsidRDefault="00587FF1" w:rsidP="00587FF1">
            <w:pPr>
              <w:spacing w:after="0" w:line="240" w:lineRule="auto"/>
              <w:jc w:val="right"/>
              <w:rPr>
                <w:sz w:val="16"/>
              </w:rPr>
            </w:pPr>
            <w:r w:rsidRPr="00587FF1">
              <w:rPr>
                <w:sz w:val="16"/>
              </w:rPr>
              <w:t>14,9</w:t>
            </w:r>
          </w:p>
        </w:tc>
        <w:tc>
          <w:tcPr>
            <w:tcW w:w="737" w:type="dxa"/>
            <w:tcBorders>
              <w:top w:val="nil"/>
              <w:left w:val="nil"/>
              <w:bottom w:val="nil"/>
              <w:right w:val="nil"/>
            </w:tcBorders>
            <w:shd w:val="clear" w:color="auto" w:fill="auto"/>
            <w:vAlign w:val="center"/>
          </w:tcPr>
          <w:p w14:paraId="4A9B29AB" w14:textId="4B3D1137" w:rsidR="00587FF1" w:rsidRPr="00587FF1" w:rsidRDefault="00587FF1" w:rsidP="00587FF1">
            <w:pPr>
              <w:spacing w:after="0" w:line="240" w:lineRule="auto"/>
              <w:jc w:val="right"/>
              <w:rPr>
                <w:sz w:val="16"/>
              </w:rPr>
            </w:pPr>
            <w:r w:rsidRPr="00587FF1">
              <w:rPr>
                <w:sz w:val="16"/>
              </w:rPr>
              <w:t>168,4</w:t>
            </w:r>
          </w:p>
        </w:tc>
        <w:tc>
          <w:tcPr>
            <w:tcW w:w="737" w:type="dxa"/>
            <w:tcBorders>
              <w:top w:val="nil"/>
              <w:left w:val="nil"/>
              <w:bottom w:val="nil"/>
              <w:right w:val="nil"/>
            </w:tcBorders>
            <w:shd w:val="clear" w:color="auto" w:fill="auto"/>
            <w:vAlign w:val="center"/>
          </w:tcPr>
          <w:p w14:paraId="3D9A6E8C" w14:textId="00CA4307" w:rsidR="00587FF1" w:rsidRPr="00587FF1" w:rsidRDefault="00587FF1" w:rsidP="00587FF1">
            <w:pPr>
              <w:spacing w:after="0" w:line="240" w:lineRule="auto"/>
              <w:jc w:val="right"/>
              <w:rPr>
                <w:sz w:val="16"/>
              </w:rPr>
            </w:pPr>
            <w:r w:rsidRPr="00587FF1">
              <w:rPr>
                <w:sz w:val="16"/>
              </w:rPr>
              <w:t>101,1</w:t>
            </w:r>
          </w:p>
        </w:tc>
        <w:tc>
          <w:tcPr>
            <w:tcW w:w="737" w:type="dxa"/>
            <w:tcBorders>
              <w:top w:val="nil"/>
              <w:left w:val="nil"/>
              <w:bottom w:val="nil"/>
              <w:right w:val="nil"/>
            </w:tcBorders>
            <w:shd w:val="clear" w:color="auto" w:fill="auto"/>
            <w:vAlign w:val="center"/>
          </w:tcPr>
          <w:p w14:paraId="688FBA23" w14:textId="6A7A0110" w:rsidR="00587FF1" w:rsidRPr="00587FF1" w:rsidRDefault="00587FF1" w:rsidP="00587FF1">
            <w:pPr>
              <w:spacing w:after="0" w:line="240" w:lineRule="auto"/>
              <w:jc w:val="right"/>
              <w:rPr>
                <w:sz w:val="16"/>
              </w:rPr>
            </w:pPr>
            <w:r w:rsidRPr="00587FF1">
              <w:rPr>
                <w:sz w:val="16"/>
              </w:rPr>
              <w:t>67,4</w:t>
            </w:r>
          </w:p>
        </w:tc>
      </w:tr>
    </w:tbl>
    <w:p w14:paraId="5591E7FE" w14:textId="6615E57F" w:rsidR="007A3D14" w:rsidRDefault="007A3D14" w:rsidP="007A3D14">
      <w:pPr>
        <w:spacing w:before="120" w:after="120" w:line="240" w:lineRule="auto"/>
        <w:jc w:val="both"/>
        <w:rPr>
          <w:rFonts w:cs="Arial"/>
          <w:color w:val="000000"/>
          <w:sz w:val="16"/>
          <w:szCs w:val="16"/>
        </w:rPr>
      </w:pPr>
      <w:r>
        <w:rPr>
          <w:rFonts w:cs="Arial"/>
          <w:color w:val="000000"/>
          <w:sz w:val="16"/>
          <w:szCs w:val="16"/>
        </w:rPr>
        <w:t>* Údaje za rok 2022 (celkem a pro nemoc) nejsou</w:t>
      </w:r>
      <w:r w:rsidR="00735747">
        <w:rPr>
          <w:rFonts w:cs="Arial"/>
          <w:color w:val="000000"/>
          <w:sz w:val="16"/>
          <w:szCs w:val="16"/>
        </w:rPr>
        <w:t xml:space="preserve"> srovnatelné</w:t>
      </w:r>
      <w:r>
        <w:rPr>
          <w:rFonts w:cs="Arial"/>
          <w:color w:val="000000"/>
          <w:sz w:val="16"/>
          <w:szCs w:val="16"/>
        </w:rPr>
        <w:t xml:space="preserve"> s údaji za ostatní roky.</w:t>
      </w:r>
    </w:p>
    <w:p w14:paraId="284986FD" w14:textId="42E836D5" w:rsidR="00587FF1" w:rsidRPr="004B2783" w:rsidRDefault="00587FF1" w:rsidP="00587FF1">
      <w:pPr>
        <w:spacing w:before="120" w:after="120" w:line="240" w:lineRule="auto"/>
        <w:jc w:val="both"/>
        <w:rPr>
          <w:rFonts w:cs="Arial"/>
          <w:color w:val="000000"/>
          <w:sz w:val="16"/>
          <w:szCs w:val="16"/>
        </w:rPr>
      </w:pPr>
      <w:r w:rsidRPr="004B2783">
        <w:rPr>
          <w:rFonts w:cs="Arial"/>
          <w:color w:val="000000"/>
          <w:sz w:val="16"/>
          <w:szCs w:val="16"/>
        </w:rPr>
        <w:t>Zdroj: ČSÚ</w:t>
      </w:r>
    </w:p>
    <w:p w14:paraId="49CE8033" w14:textId="7B7D1B9E" w:rsidR="00587FF1" w:rsidRPr="00251BF8" w:rsidRDefault="00CD7870" w:rsidP="00CD7870">
      <w:pPr>
        <w:spacing w:before="120" w:after="120"/>
        <w:jc w:val="both"/>
        <w:rPr>
          <w:rFonts w:cs="Arial"/>
          <w:szCs w:val="20"/>
        </w:rPr>
      </w:pPr>
      <w:r w:rsidRPr="00CD7870">
        <w:t>Za druhé pololetí roku 202</w:t>
      </w:r>
      <w:r>
        <w:t>3 bylo nahlášeno celkem 1</w:t>
      </w:r>
      <w:r w:rsidR="00545FDA">
        <w:t> </w:t>
      </w:r>
      <w:r>
        <w:t>207</w:t>
      </w:r>
      <w:r w:rsidR="00545FDA">
        <w:t xml:space="preserve"> </w:t>
      </w:r>
      <w:r>
        <w:t xml:space="preserve">tis. případů dočasné pracovní neschopnosti, z toho 91 % (1 102 tis.) případů bylo pro nemoc. Meziročně je to </w:t>
      </w:r>
      <w:r w:rsidR="000D52D6">
        <w:t xml:space="preserve">u neschopností pro nemoc </w:t>
      </w:r>
      <w:r>
        <w:t>o 15 % (195 tis.) případů méně.</w:t>
      </w:r>
      <w:r w:rsidR="00E75117" w:rsidRPr="00251BF8">
        <w:t xml:space="preserve"> </w:t>
      </w:r>
      <w:r w:rsidR="00BF7D81" w:rsidRPr="00251BF8">
        <w:t>Na rozdíl od let 2020 a 2021 už je v pololetních datech roku 2023 vidět větší rozdíl v počtu případů v prvním a druhém pololetí, ve prospěch toho prvního</w:t>
      </w:r>
      <w:r w:rsidR="00545FDA">
        <w:t>, jak dokládá graf 2.1 (resp. 2.3)</w:t>
      </w:r>
      <w:r w:rsidR="00BF7D81" w:rsidRPr="00251BF8">
        <w:t xml:space="preserve">. </w:t>
      </w:r>
    </w:p>
    <w:p w14:paraId="7B83DC77" w14:textId="77777777" w:rsidR="000D52D6" w:rsidRDefault="00587FF1" w:rsidP="00587FF1">
      <w:pPr>
        <w:spacing w:before="120" w:after="120"/>
        <w:jc w:val="both"/>
        <w:rPr>
          <w:bCs/>
        </w:rPr>
      </w:pPr>
      <w:r w:rsidRPr="00251BF8">
        <w:rPr>
          <w:bCs/>
        </w:rPr>
        <w:t xml:space="preserve">Vedle pandemie mělo na nárůst počtu případů pracovní neschopnosti v posledních </w:t>
      </w:r>
      <w:r w:rsidR="00F97C4B" w:rsidRPr="00251BF8">
        <w:rPr>
          <w:bCs/>
        </w:rPr>
        <w:t>4</w:t>
      </w:r>
      <w:r w:rsidRPr="00251BF8">
        <w:rPr>
          <w:bCs/>
        </w:rPr>
        <w:t xml:space="preserve"> letech vliv (ačkoliv ve srovnání s pandemií podružný) i </w:t>
      </w:r>
      <w:r w:rsidRPr="00251BF8">
        <w:rPr>
          <w:b/>
          <w:bCs/>
        </w:rPr>
        <w:t>zrušení karenční doby od 1. července 2019</w:t>
      </w:r>
      <w:r w:rsidRPr="00251BF8">
        <w:rPr>
          <w:bCs/>
        </w:rPr>
        <w:t>, kdy zaměstnanec dostává náhradu mzdy již od prvního dne, a nikoliv až od čtvrtého, jako tomu bylo od roku 2009 až do června 2019.</w:t>
      </w:r>
      <w:r w:rsidR="00545FDA">
        <w:rPr>
          <w:bCs/>
        </w:rPr>
        <w:t xml:space="preserve"> </w:t>
      </w:r>
      <w:r w:rsidR="00545FDA" w:rsidRPr="00545FDA">
        <w:rPr>
          <w:bCs/>
        </w:rPr>
        <w:t xml:space="preserve">Ve srovnání s </w:t>
      </w:r>
      <w:r w:rsidR="00545FDA">
        <w:rPr>
          <w:bCs/>
        </w:rPr>
        <w:t>2</w:t>
      </w:r>
      <w:r w:rsidR="00545FDA" w:rsidRPr="00545FDA">
        <w:rPr>
          <w:bCs/>
        </w:rPr>
        <w:t>. pol</w:t>
      </w:r>
      <w:r w:rsidR="00545FDA">
        <w:rPr>
          <w:bCs/>
        </w:rPr>
        <w:t xml:space="preserve">oletím </w:t>
      </w:r>
      <w:r w:rsidR="00545FDA" w:rsidRPr="00545FDA">
        <w:rPr>
          <w:bCs/>
        </w:rPr>
        <w:t xml:space="preserve">2019 (tedy obdobím před pandemií), se počet neschopenek pro nemoc </w:t>
      </w:r>
      <w:r w:rsidR="00545FDA">
        <w:rPr>
          <w:bCs/>
        </w:rPr>
        <w:t xml:space="preserve">v druhé polovině roku 2023 </w:t>
      </w:r>
      <w:r w:rsidR="00545FDA" w:rsidRPr="00545FDA">
        <w:rPr>
          <w:bCs/>
        </w:rPr>
        <w:t xml:space="preserve">zvýšil o </w:t>
      </w:r>
      <w:r w:rsidR="0034529B">
        <w:rPr>
          <w:bCs/>
        </w:rPr>
        <w:t xml:space="preserve">necelou třetinu </w:t>
      </w:r>
      <w:r w:rsidR="00545FDA">
        <w:rPr>
          <w:bCs/>
        </w:rPr>
        <w:t>(</w:t>
      </w:r>
      <w:r w:rsidR="0034529B">
        <w:rPr>
          <w:bCs/>
        </w:rPr>
        <w:t>31</w:t>
      </w:r>
      <w:r w:rsidR="00545FDA">
        <w:rPr>
          <w:bCs/>
        </w:rPr>
        <w:t xml:space="preserve"> </w:t>
      </w:r>
      <w:r w:rsidR="00545FDA" w:rsidRPr="00545FDA">
        <w:rPr>
          <w:bCs/>
        </w:rPr>
        <w:t>%</w:t>
      </w:r>
      <w:r w:rsidR="00545FDA">
        <w:rPr>
          <w:bCs/>
        </w:rPr>
        <w:t>), což v absolutním vyjádření představuje nárůst</w:t>
      </w:r>
      <w:r w:rsidR="0034529B">
        <w:rPr>
          <w:bCs/>
        </w:rPr>
        <w:t xml:space="preserve"> o 264 tis. případů. Pokud bychom srovnali prvních šest měsíců těchto dvou let, počet neschopenek pro nemoc se zvýšil dokonce o 40 % (348 tis. případů)</w:t>
      </w:r>
      <w:r w:rsidR="00545FDA" w:rsidRPr="00545FDA">
        <w:rPr>
          <w:bCs/>
        </w:rPr>
        <w:t>.</w:t>
      </w:r>
    </w:p>
    <w:p w14:paraId="151C49CE" w14:textId="2FCD2F04" w:rsidR="000D52D6" w:rsidRPr="00251BF8" w:rsidRDefault="000D52D6" w:rsidP="000D52D6">
      <w:pPr>
        <w:spacing w:before="120" w:after="120"/>
        <w:jc w:val="both"/>
      </w:pPr>
      <w:r w:rsidRPr="00251BF8">
        <w:t xml:space="preserve">Počet nově hlášených případů </w:t>
      </w:r>
      <w:r>
        <w:t xml:space="preserve">za celý rok </w:t>
      </w:r>
      <w:r w:rsidRPr="00251BF8">
        <w:t xml:space="preserve">2023 se dostal mezi hodnoty z let 2020 a 2021. Ve srovnání </w:t>
      </w:r>
      <w:r w:rsidRPr="000D52D6">
        <w:rPr>
          <w:b/>
        </w:rPr>
        <w:t>s </w:t>
      </w:r>
      <w:proofErr w:type="spellStart"/>
      <w:r w:rsidRPr="000D52D6">
        <w:rPr>
          <w:b/>
        </w:rPr>
        <w:t>předpandemickým</w:t>
      </w:r>
      <w:proofErr w:type="spellEnd"/>
      <w:r w:rsidRPr="000D52D6">
        <w:rPr>
          <w:b/>
        </w:rPr>
        <w:t xml:space="preserve"> rokem 2019</w:t>
      </w:r>
      <w:r w:rsidRPr="00251BF8">
        <w:t xml:space="preserve"> přibylo 620 tis. (32 %) případů. Největší nárůst je patrný u případů pro nemoc. Činil 612 tis., tj. 36 %. Mezi ženami vzrostl počet případů pro nemoc</w:t>
      </w:r>
      <w:r>
        <w:t xml:space="preserve"> v tomto období </w:t>
      </w:r>
      <w:r w:rsidRPr="00251BF8">
        <w:t>o 380 tis. (41 %). U mužů se zvýšil o 232</w:t>
      </w:r>
      <w:r>
        <w:t> </w:t>
      </w:r>
      <w:r w:rsidRPr="00251BF8">
        <w:t>tis. (30 %).</w:t>
      </w:r>
      <w:r>
        <w:t xml:space="preserve"> </w:t>
      </w:r>
    </w:p>
    <w:p w14:paraId="79482971" w14:textId="77777777" w:rsidR="000D52D6" w:rsidRPr="00251BF8" w:rsidRDefault="000D52D6" w:rsidP="000D52D6">
      <w:pPr>
        <w:spacing w:before="120" w:after="120"/>
        <w:jc w:val="both"/>
      </w:pPr>
      <w:r w:rsidRPr="00251BF8">
        <w:t xml:space="preserve">V roce 2023 bylo vystaveno 44 tis. neschopenek pro </w:t>
      </w:r>
      <w:r w:rsidRPr="00251BF8">
        <w:rPr>
          <w:b/>
        </w:rPr>
        <w:t>pracovní úraz</w:t>
      </w:r>
      <w:r w:rsidRPr="00251BF8">
        <w:t xml:space="preserve">. Po jednoletém poklesu v roce 2020, kdy došlo </w:t>
      </w:r>
      <w:proofErr w:type="gramStart"/>
      <w:r w:rsidRPr="00251BF8">
        <w:t>ke</w:t>
      </w:r>
      <w:proofErr w:type="gramEnd"/>
      <w:r w:rsidRPr="00251BF8">
        <w:t> 41 tis. pracovních úrazů vyžadujících pracovní neschopnost, se čísla vrátila na hodnotu z roku 2019. Meziročně se počet neschopností z důvodu pracovních úrazů o 1,1 tis. snížil. Stejně tak ubylo i </w:t>
      </w:r>
      <w:r w:rsidRPr="00251BF8">
        <w:rPr>
          <w:b/>
        </w:rPr>
        <w:t>mimopracovních úrazů</w:t>
      </w:r>
      <w:r w:rsidRPr="00251BF8">
        <w:t>,</w:t>
      </w:r>
      <w:r w:rsidRPr="00251BF8">
        <w:rPr>
          <w:b/>
        </w:rPr>
        <w:t xml:space="preserve"> </w:t>
      </w:r>
      <w:r w:rsidRPr="00251BF8">
        <w:t>kvůli nimž byla vydána neschopenka. Ze 173 tis. na 168 tis.</w:t>
      </w:r>
    </w:p>
    <w:p w14:paraId="0144C04E" w14:textId="1CF84536" w:rsidR="00587FF1" w:rsidRPr="00A57309" w:rsidRDefault="00545FDA" w:rsidP="00587FF1">
      <w:pPr>
        <w:spacing w:before="120" w:after="120"/>
        <w:jc w:val="both"/>
        <w:rPr>
          <w:bCs/>
        </w:rPr>
      </w:pPr>
      <w:r w:rsidRPr="00545FDA">
        <w:rPr>
          <w:bCs/>
        </w:rPr>
        <w:t xml:space="preserve"> </w:t>
      </w:r>
    </w:p>
    <w:p w14:paraId="0573525E" w14:textId="77777777" w:rsidR="000D52D6" w:rsidRDefault="000D52D6">
      <w:pPr>
        <w:spacing w:after="0" w:line="240" w:lineRule="auto"/>
        <w:rPr>
          <w:b/>
        </w:rPr>
      </w:pPr>
      <w:r>
        <w:rPr>
          <w:b/>
        </w:rPr>
        <w:br w:type="page"/>
      </w:r>
    </w:p>
    <w:p w14:paraId="0FB35C3F" w14:textId="79E29B78" w:rsidR="00587FF1" w:rsidRDefault="00587FF1" w:rsidP="009E4E0A">
      <w:pPr>
        <w:spacing w:before="120" w:after="120"/>
        <w:jc w:val="both"/>
        <w:rPr>
          <w:b/>
        </w:rPr>
      </w:pPr>
      <w:r w:rsidRPr="00587FF1">
        <w:rPr>
          <w:b/>
        </w:rPr>
        <w:lastRenderedPageBreak/>
        <w:t>Graf 2.1: Nově hlášené případy dočasné pracovní neschopnosti, 2015–2023</w:t>
      </w:r>
    </w:p>
    <w:p w14:paraId="79A5D732" w14:textId="38400D08" w:rsidR="00E75117" w:rsidRDefault="00E75117" w:rsidP="009E4E0A">
      <w:pPr>
        <w:spacing w:before="120" w:after="120"/>
        <w:jc w:val="both"/>
        <w:rPr>
          <w:b/>
        </w:rPr>
      </w:pPr>
      <w:r>
        <w:rPr>
          <w:noProof/>
        </w:rPr>
        <w:drawing>
          <wp:inline distT="0" distB="0" distL="0" distR="0" wp14:anchorId="588D5A87" wp14:editId="0C40B710">
            <wp:extent cx="6134100" cy="2840400"/>
            <wp:effectExtent l="0" t="0" r="0" b="17145"/>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C7DEBF1" w14:textId="77777777" w:rsidR="007A3D14" w:rsidRDefault="007A3D14" w:rsidP="007A3D14">
      <w:pPr>
        <w:spacing w:before="120" w:after="120" w:line="240" w:lineRule="auto"/>
        <w:jc w:val="both"/>
        <w:rPr>
          <w:rFonts w:cs="Arial"/>
          <w:color w:val="000000"/>
          <w:sz w:val="16"/>
          <w:szCs w:val="16"/>
        </w:rPr>
      </w:pPr>
      <w:r>
        <w:rPr>
          <w:rFonts w:cs="Arial"/>
          <w:color w:val="000000"/>
          <w:sz w:val="16"/>
          <w:szCs w:val="16"/>
        </w:rPr>
        <w:t>* 1. pol. 2022 není srovnatelné s ostatními 1. pololetími.</w:t>
      </w:r>
    </w:p>
    <w:p w14:paraId="66B53634" w14:textId="0A3E4ED6" w:rsidR="00587FF1" w:rsidRDefault="00587FF1" w:rsidP="00587FF1">
      <w:pPr>
        <w:spacing w:before="120" w:after="120" w:line="240" w:lineRule="auto"/>
        <w:jc w:val="both"/>
        <w:rPr>
          <w:rFonts w:cs="Arial"/>
          <w:color w:val="000000"/>
          <w:sz w:val="16"/>
          <w:szCs w:val="16"/>
        </w:rPr>
      </w:pPr>
      <w:r w:rsidRPr="004B2783">
        <w:rPr>
          <w:rFonts w:cs="Arial"/>
          <w:color w:val="000000"/>
          <w:sz w:val="16"/>
          <w:szCs w:val="16"/>
        </w:rPr>
        <w:t>Zdroj: ČSÚ</w:t>
      </w:r>
    </w:p>
    <w:p w14:paraId="2D620CE3" w14:textId="556878A0" w:rsidR="00275CB4" w:rsidRPr="00251BF8" w:rsidRDefault="00275CB4" w:rsidP="00275CB4">
      <w:pPr>
        <w:spacing w:before="120" w:after="120"/>
        <w:jc w:val="both"/>
      </w:pPr>
      <w:r w:rsidRPr="00251BF8">
        <w:rPr>
          <w:b/>
        </w:rPr>
        <w:t>Ženy</w:t>
      </w:r>
      <w:r w:rsidRPr="00251BF8">
        <w:t xml:space="preserve"> nastupují do pracovní neschopnosti častěji, v roce 2023 v 55 % případů, což je nebývale vysoký podíl, který opět může mít souvislost s migrací z Ukrajiny. Celkem bylo evidováno 1 401 tis. případů pracovní neschopnosti žen. Počet neschopenek mužů byl o 267 tis. nižší.  Pokud se zaměříme na dočasné pracovní neschopnosti </w:t>
      </w:r>
      <w:r w:rsidRPr="00251BF8">
        <w:rPr>
          <w:b/>
        </w:rPr>
        <w:t>pro nemoc</w:t>
      </w:r>
      <w:r w:rsidRPr="00251BF8">
        <w:t xml:space="preserve">, je rozdíl ještě větší. Ženy vykázaly o 314 tis. případů dočasné pracovní neschopnosti </w:t>
      </w:r>
      <w:r w:rsidRPr="00251BF8">
        <w:rPr>
          <w:b/>
        </w:rPr>
        <w:t>pro nemoc</w:t>
      </w:r>
      <w:r w:rsidRPr="00251BF8">
        <w:t xml:space="preserve"> více než muži. </w:t>
      </w:r>
    </w:p>
    <w:p w14:paraId="0DFA0F42" w14:textId="49D39A74" w:rsidR="00275CB4" w:rsidRPr="00251BF8" w:rsidRDefault="00275CB4" w:rsidP="00275CB4">
      <w:pPr>
        <w:spacing w:before="120" w:after="120"/>
        <w:jc w:val="both"/>
        <w:rPr>
          <w:bCs/>
        </w:rPr>
      </w:pPr>
      <w:r w:rsidRPr="00251BF8">
        <w:rPr>
          <w:bCs/>
        </w:rPr>
        <w:t xml:space="preserve">Z celkového počtu nově hlášených případů PN (pracovní neschopnosti) pro </w:t>
      </w:r>
      <w:r w:rsidRPr="00251BF8">
        <w:rPr>
          <w:b/>
          <w:bCs/>
        </w:rPr>
        <w:t>pracovní úrazy</w:t>
      </w:r>
      <w:r w:rsidRPr="00251BF8">
        <w:rPr>
          <w:bCs/>
        </w:rPr>
        <w:t xml:space="preserve"> připadala v roce 202</w:t>
      </w:r>
      <w:r w:rsidR="00E022D3" w:rsidRPr="00251BF8">
        <w:rPr>
          <w:bCs/>
        </w:rPr>
        <w:t>3</w:t>
      </w:r>
      <w:r w:rsidRPr="00251BF8">
        <w:rPr>
          <w:bCs/>
        </w:rPr>
        <w:t xml:space="preserve"> na ženy třetina </w:t>
      </w:r>
      <w:r w:rsidR="00E022D3" w:rsidRPr="00251BF8">
        <w:rPr>
          <w:bCs/>
        </w:rPr>
        <w:t xml:space="preserve">(34 %) </w:t>
      </w:r>
      <w:r w:rsidRPr="00251BF8">
        <w:rPr>
          <w:bCs/>
        </w:rPr>
        <w:t>z nich. Tato skutečnost je dána i odlišnou odvětvovou strukturou zaměstnanosti žen a mužů. Odvětví, kde převládají muži a vyskytují se zvýšená rizika pracovního úrazu, jsou např. Těžba a dobývání, Zpracovatelský průmysl, Stavebnictví, Doprava a skladování či Zemědělství, lesnictví, rybářství. Naopak odvětvové sekce, kde převažují v zaměstnání ženy a rizika pracovních úrazů bývají méně častá, jsou Peněžnictví a pojišťovnictví, Veřejná správa, Vzdělávání nebo Zdravotní a sociální péče.</w:t>
      </w:r>
      <w:r w:rsidRPr="00251BF8">
        <w:rPr>
          <w:noProof/>
        </w:rPr>
        <w:t xml:space="preserve"> </w:t>
      </w:r>
    </w:p>
    <w:p w14:paraId="4D282128" w14:textId="4DF31E86" w:rsidR="00275CB4" w:rsidRPr="00251BF8" w:rsidRDefault="00275CB4" w:rsidP="00275CB4">
      <w:pPr>
        <w:spacing w:before="120" w:after="120"/>
        <w:jc w:val="both"/>
        <w:rPr>
          <w:bCs/>
        </w:rPr>
      </w:pPr>
      <w:r w:rsidRPr="00251BF8">
        <w:rPr>
          <w:bCs/>
        </w:rPr>
        <w:t xml:space="preserve">Až do roku 2020 byl u pracovních neschopností </w:t>
      </w:r>
      <w:r w:rsidRPr="00251BF8">
        <w:rPr>
          <w:b/>
          <w:bCs/>
        </w:rPr>
        <w:t>z důvodu nemoci</w:t>
      </w:r>
      <w:r w:rsidRPr="00251BF8">
        <w:rPr>
          <w:bCs/>
        </w:rPr>
        <w:t xml:space="preserve"> podíl </w:t>
      </w:r>
      <w:r w:rsidRPr="00251BF8">
        <w:rPr>
          <w:b/>
          <w:bCs/>
        </w:rPr>
        <w:t xml:space="preserve">podle pohlaví </w:t>
      </w:r>
      <w:r w:rsidRPr="00251BF8">
        <w:rPr>
          <w:bCs/>
        </w:rPr>
        <w:t xml:space="preserve">dlouhodobě relativně konstantní. Neschopenky mužů činily maximálně 46 %. V roce 2021 se podíl zvýšil na 48 % a o rok později opět poklesl na 45 %. </w:t>
      </w:r>
      <w:r w:rsidR="0004277C" w:rsidRPr="00251BF8">
        <w:rPr>
          <w:bCs/>
        </w:rPr>
        <w:t xml:space="preserve">V roce 2023 se muži na pracovních neschopnostech z důvodu nemoci podíleli ze 43 %. </w:t>
      </w:r>
      <w:r w:rsidRPr="00251BF8">
        <w:rPr>
          <w:bCs/>
        </w:rPr>
        <w:t>U pracovních neschopností zapříčiněných úrazem podíl žen v čase roste. Toto je zřejmé zejména u jiných než pracovních úrazů, kdy v roce 201</w:t>
      </w:r>
      <w:r w:rsidR="0004277C" w:rsidRPr="00251BF8">
        <w:rPr>
          <w:bCs/>
        </w:rPr>
        <w:t>3</w:t>
      </w:r>
      <w:r w:rsidRPr="00251BF8">
        <w:rPr>
          <w:bCs/>
        </w:rPr>
        <w:t xml:space="preserve"> ženy nahlásily </w:t>
      </w:r>
      <w:r w:rsidR="0004277C" w:rsidRPr="00251BF8">
        <w:rPr>
          <w:bCs/>
        </w:rPr>
        <w:t>41</w:t>
      </w:r>
      <w:r w:rsidRPr="00251BF8">
        <w:rPr>
          <w:bCs/>
        </w:rPr>
        <w:t xml:space="preserve"> tis. případů, kdežto v roce 202</w:t>
      </w:r>
      <w:r w:rsidR="0004277C" w:rsidRPr="00251BF8">
        <w:rPr>
          <w:bCs/>
        </w:rPr>
        <w:t>3</w:t>
      </w:r>
      <w:r w:rsidRPr="00251BF8">
        <w:rPr>
          <w:bCs/>
        </w:rPr>
        <w:t xml:space="preserve"> to bylo 67 tis. úrazů. Absolutní nárůst je však patrný i u mužů, počet nově hlášených případů pracovní neschopnosti z důvodu </w:t>
      </w:r>
      <w:r w:rsidRPr="00251BF8">
        <w:rPr>
          <w:b/>
          <w:bCs/>
        </w:rPr>
        <w:t>nepracovních (ostatních) úrazů</w:t>
      </w:r>
      <w:r w:rsidRPr="00251BF8">
        <w:rPr>
          <w:bCs/>
        </w:rPr>
        <w:t xml:space="preserve"> v roce 201</w:t>
      </w:r>
      <w:r w:rsidR="0004277C" w:rsidRPr="00251BF8">
        <w:rPr>
          <w:bCs/>
        </w:rPr>
        <w:t>3</w:t>
      </w:r>
      <w:r w:rsidRPr="00251BF8">
        <w:rPr>
          <w:bCs/>
        </w:rPr>
        <w:t xml:space="preserve"> činil </w:t>
      </w:r>
      <w:r w:rsidR="0004277C" w:rsidRPr="00251BF8">
        <w:rPr>
          <w:bCs/>
        </w:rPr>
        <w:t>79</w:t>
      </w:r>
      <w:r w:rsidRPr="00251BF8">
        <w:rPr>
          <w:bCs/>
        </w:rPr>
        <w:t xml:space="preserve"> tis. a o 10 let </w:t>
      </w:r>
      <w:r w:rsidR="0004277C" w:rsidRPr="00251BF8">
        <w:rPr>
          <w:bCs/>
        </w:rPr>
        <w:t xml:space="preserve">to bylo více než </w:t>
      </w:r>
      <w:r w:rsidRPr="00251BF8">
        <w:rPr>
          <w:bCs/>
        </w:rPr>
        <w:t>100 tis.</w:t>
      </w:r>
    </w:p>
    <w:p w14:paraId="0FDFBAD3" w14:textId="7C3E97AF" w:rsidR="00275CB4" w:rsidRPr="00251BF8" w:rsidRDefault="00275CB4" w:rsidP="00275CB4">
      <w:pPr>
        <w:spacing w:before="120" w:after="120"/>
        <w:jc w:val="both"/>
        <w:rPr>
          <w:rFonts w:cs="Arial"/>
          <w:lang w:val="en-US"/>
        </w:rPr>
      </w:pPr>
      <w:r w:rsidRPr="00251BF8">
        <w:rPr>
          <w:rFonts w:cs="Arial"/>
        </w:rPr>
        <w:t xml:space="preserve">Z hlediska </w:t>
      </w:r>
      <w:r w:rsidRPr="00251BF8">
        <w:rPr>
          <w:rFonts w:cs="Arial"/>
          <w:b/>
          <w:bCs/>
        </w:rPr>
        <w:t>příčin</w:t>
      </w:r>
      <w:r w:rsidRPr="00251BF8">
        <w:rPr>
          <w:rFonts w:cs="Arial"/>
        </w:rPr>
        <w:t xml:space="preserve"> se</w:t>
      </w:r>
      <w:r w:rsidR="00530F00">
        <w:rPr>
          <w:rFonts w:cs="Arial"/>
        </w:rPr>
        <w:t xml:space="preserve"> u</w:t>
      </w:r>
      <w:r w:rsidRPr="00251BF8">
        <w:rPr>
          <w:rFonts w:cs="Arial"/>
        </w:rPr>
        <w:t xml:space="preserve"> </w:t>
      </w:r>
      <w:r w:rsidR="00530F00" w:rsidRPr="00297429">
        <w:rPr>
          <w:rFonts w:cs="Arial"/>
          <w:b/>
        </w:rPr>
        <w:t>žen</w:t>
      </w:r>
      <w:r w:rsidR="00530F00" w:rsidRPr="00251BF8">
        <w:rPr>
          <w:rFonts w:cs="Arial"/>
        </w:rPr>
        <w:t xml:space="preserve"> </w:t>
      </w:r>
      <w:r w:rsidR="0034529B">
        <w:rPr>
          <w:rFonts w:cs="Arial"/>
        </w:rPr>
        <w:t xml:space="preserve">v minulém roce </w:t>
      </w:r>
      <w:r w:rsidRPr="00251BF8">
        <w:rPr>
          <w:rFonts w:cs="Arial"/>
        </w:rPr>
        <w:t>1</w:t>
      </w:r>
      <w:r w:rsidR="0004277C" w:rsidRPr="00251BF8">
        <w:rPr>
          <w:rFonts w:cs="Arial"/>
        </w:rPr>
        <w:t xml:space="preserve"> 319 </w:t>
      </w:r>
      <w:r w:rsidRPr="00251BF8">
        <w:rPr>
          <w:rFonts w:cs="Arial"/>
        </w:rPr>
        <w:t>tis. (9</w:t>
      </w:r>
      <w:r w:rsidR="0004277C" w:rsidRPr="00251BF8">
        <w:rPr>
          <w:rFonts w:cs="Arial"/>
        </w:rPr>
        <w:t>4</w:t>
      </w:r>
      <w:r w:rsidRPr="00251BF8">
        <w:rPr>
          <w:rFonts w:cs="Arial"/>
        </w:rPr>
        <w:t xml:space="preserve"> %) nově hlášených případů dočasné pracovní neschopnosti týkalo nemoci, 15 tis. (</w:t>
      </w:r>
      <w:r w:rsidR="0004277C" w:rsidRPr="00251BF8">
        <w:rPr>
          <w:rFonts w:cs="Arial"/>
        </w:rPr>
        <w:t>1</w:t>
      </w:r>
      <w:r w:rsidRPr="00251BF8">
        <w:rPr>
          <w:rFonts w:cs="Arial"/>
        </w:rPr>
        <w:t xml:space="preserve"> %) pracovních úrazů a 67 tis. (</w:t>
      </w:r>
      <w:r w:rsidR="0004277C" w:rsidRPr="00251BF8">
        <w:rPr>
          <w:rFonts w:cs="Arial"/>
        </w:rPr>
        <w:t>5</w:t>
      </w:r>
      <w:r w:rsidRPr="00251BF8">
        <w:rPr>
          <w:rFonts w:cs="Arial"/>
        </w:rPr>
        <w:t xml:space="preserve"> %) ostatních úrazů. </w:t>
      </w:r>
      <w:r w:rsidRPr="00251BF8">
        <w:rPr>
          <w:rFonts w:cs="Arial"/>
          <w:b/>
        </w:rPr>
        <w:t>Muži</w:t>
      </w:r>
      <w:r w:rsidRPr="00251BF8">
        <w:rPr>
          <w:rFonts w:cs="Arial"/>
        </w:rPr>
        <w:t xml:space="preserve"> byli v</w:t>
      </w:r>
      <w:r w:rsidR="0034529B">
        <w:rPr>
          <w:rFonts w:cs="Arial"/>
        </w:rPr>
        <w:t xml:space="preserve"> roce 2023 v </w:t>
      </w:r>
      <w:r w:rsidRPr="00251BF8">
        <w:rPr>
          <w:rFonts w:cs="Arial"/>
        </w:rPr>
        <w:t xml:space="preserve">pracovní neschopnosti z důvodu nemoci v 1 </w:t>
      </w:r>
      <w:r w:rsidR="0004277C" w:rsidRPr="00251BF8">
        <w:rPr>
          <w:rFonts w:cs="Arial"/>
        </w:rPr>
        <w:t>005</w:t>
      </w:r>
      <w:r w:rsidR="00C369BF" w:rsidRPr="00251BF8">
        <w:rPr>
          <w:rFonts w:cs="Arial"/>
        </w:rPr>
        <w:t xml:space="preserve"> tis. případů</w:t>
      </w:r>
      <w:r w:rsidRPr="00251BF8">
        <w:rPr>
          <w:rFonts w:cs="Arial"/>
        </w:rPr>
        <w:t xml:space="preserve"> (</w:t>
      </w:r>
      <w:r w:rsidR="0004277C" w:rsidRPr="00251BF8">
        <w:rPr>
          <w:rFonts w:cs="Arial"/>
        </w:rPr>
        <w:t>89</w:t>
      </w:r>
      <w:r w:rsidRPr="00251BF8">
        <w:rPr>
          <w:rFonts w:cs="Arial"/>
        </w:rPr>
        <w:t xml:space="preserve"> %), kvůli pracovnímu úrazu ve </w:t>
      </w:r>
      <w:r w:rsidR="0004277C" w:rsidRPr="00251BF8">
        <w:rPr>
          <w:rFonts w:cs="Arial"/>
        </w:rPr>
        <w:t>29</w:t>
      </w:r>
      <w:r w:rsidRPr="00251BF8">
        <w:rPr>
          <w:rFonts w:cs="Arial"/>
        </w:rPr>
        <w:t xml:space="preserve"> tis. případech (2 %) a z důvodu ostatních úrazů </w:t>
      </w:r>
      <w:proofErr w:type="gramStart"/>
      <w:r w:rsidRPr="00251BF8">
        <w:rPr>
          <w:rFonts w:cs="Arial"/>
        </w:rPr>
        <w:t>ve 10</w:t>
      </w:r>
      <w:r w:rsidR="0004277C" w:rsidRPr="00251BF8">
        <w:rPr>
          <w:rFonts w:cs="Arial"/>
        </w:rPr>
        <w:t>1</w:t>
      </w:r>
      <w:proofErr w:type="gramEnd"/>
      <w:r w:rsidR="00336A9E" w:rsidRPr="00251BF8">
        <w:rPr>
          <w:rFonts w:cs="Arial"/>
        </w:rPr>
        <w:t xml:space="preserve"> tis. případů</w:t>
      </w:r>
      <w:r w:rsidRPr="00251BF8">
        <w:rPr>
          <w:rFonts w:cs="Arial"/>
        </w:rPr>
        <w:t xml:space="preserve"> (</w:t>
      </w:r>
      <w:r w:rsidR="0004277C" w:rsidRPr="00251BF8">
        <w:rPr>
          <w:rFonts w:cs="Arial"/>
        </w:rPr>
        <w:t>9</w:t>
      </w:r>
      <w:r w:rsidRPr="00251BF8">
        <w:rPr>
          <w:rFonts w:cs="Arial"/>
        </w:rPr>
        <w:t xml:space="preserve"> %)</w:t>
      </w:r>
      <w:r w:rsidRPr="00251BF8">
        <w:rPr>
          <w:rFonts w:cs="Arial"/>
          <w:lang w:val="en-US"/>
        </w:rPr>
        <w:t>.</w:t>
      </w:r>
    </w:p>
    <w:p w14:paraId="31DFE0DE" w14:textId="69D1B76F" w:rsidR="0004277C" w:rsidRPr="000A1C7A" w:rsidRDefault="00E6417F" w:rsidP="00275CB4">
      <w:pPr>
        <w:spacing w:before="120" w:after="120"/>
        <w:jc w:val="both"/>
        <w:rPr>
          <w:rFonts w:cs="Arial"/>
          <w:lang w:val="en-US"/>
        </w:rPr>
      </w:pPr>
      <w:r w:rsidRPr="00E6417F">
        <w:rPr>
          <w:noProof/>
        </w:rPr>
        <w:lastRenderedPageBreak/>
        <mc:AlternateContent>
          <mc:Choice Requires="wps">
            <w:drawing>
              <wp:anchor distT="0" distB="0" distL="114300" distR="114300" simplePos="0" relativeHeight="251672064" behindDoc="0" locked="0" layoutInCell="1" allowOverlap="1" wp14:anchorId="36194D38" wp14:editId="0C40DF07">
                <wp:simplePos x="0" y="0"/>
                <wp:positionH relativeFrom="column">
                  <wp:posOffset>813435</wp:posOffset>
                </wp:positionH>
                <wp:positionV relativeFrom="paragraph">
                  <wp:posOffset>1288415</wp:posOffset>
                </wp:positionV>
                <wp:extent cx="857250" cy="342900"/>
                <wp:effectExtent l="0" t="0" r="0" b="0"/>
                <wp:wrapNone/>
                <wp:docPr id="24" name="TextovéPole 3"/>
                <wp:cNvGraphicFramePr/>
                <a:graphic xmlns:a="http://schemas.openxmlformats.org/drawingml/2006/main">
                  <a:graphicData uri="http://schemas.microsoft.com/office/word/2010/wordprocessingShape">
                    <wps:wsp>
                      <wps:cNvSpPr txBox="1"/>
                      <wps:spPr>
                        <a:xfrm>
                          <a:off x="0" y="0"/>
                          <a:ext cx="857250" cy="3429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91FB6C0" w14:textId="77777777" w:rsidR="00EA74DB" w:rsidRDefault="00EA74DB" w:rsidP="00E6417F">
                            <w:pPr>
                              <w:pStyle w:val="Normlnweb"/>
                              <w:spacing w:before="0" w:beforeAutospacing="0" w:after="0" w:afterAutospacing="0"/>
                            </w:pPr>
                            <w:r>
                              <w:rPr>
                                <w:rFonts w:ascii="Arial" w:hAnsi="Arial" w:cs="Arial"/>
                                <w:b/>
                                <w:bCs/>
                                <w:color w:val="000000" w:themeColor="dark1"/>
                                <w:sz w:val="20"/>
                                <w:szCs w:val="20"/>
                              </w:rPr>
                              <w:t>1 134,2 tis.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6194D38" id="TextovéPole 3" o:spid="_x0000_s1033" type="#_x0000_t202" style="position:absolute;left:0;text-align:left;margin-left:64.05pt;margin-top:101.45pt;width:67.5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" filled="f" stroked="f">
                <v:textbox>
                  <w:txbxContent>
                    <w:p w14:paraId="691FB6C0" w14:textId="77777777" w:rsidR="00EA74DB" w:rsidRDefault="00EA74DB" w:rsidP="00E6417F">
                      <w:pPr>
                        <w:pStyle w:val="Normlnweb"/>
                        <w:spacing w:before="0" w:beforeAutospacing="0" w:after="0" w:afterAutospacing="0"/>
                      </w:pPr>
                      <w:r>
                        <w:rPr>
                          <w:rFonts w:ascii="Arial" w:hAnsi="Arial" w:cs="Arial"/>
                          <w:b/>
                          <w:bCs/>
                          <w:color w:val="000000" w:themeColor="dark1"/>
                          <w:sz w:val="20"/>
                          <w:szCs w:val="20"/>
                        </w:rPr>
                        <w:t>1 134,2 tis.</w:t>
                      </w:r>
                    </w:p>
                  </w:txbxContent>
                </v:textbox>
              </v:shape>
            </w:pict>
          </mc:Fallback>
        </mc:AlternateContent>
      </w:r>
      <w:r>
        <w:rPr>
          <w:noProof/>
        </w:rPr>
        <w:drawing>
          <wp:anchor distT="0" distB="0" distL="114300" distR="114300" simplePos="0" relativeHeight="251670016" behindDoc="1" locked="0" layoutInCell="1" allowOverlap="1" wp14:anchorId="65858B04" wp14:editId="66FB98A5">
            <wp:simplePos x="0" y="0"/>
            <wp:positionH relativeFrom="margin">
              <wp:align>right</wp:align>
            </wp:positionH>
            <wp:positionV relativeFrom="paragraph">
              <wp:posOffset>250190</wp:posOffset>
            </wp:positionV>
            <wp:extent cx="3268345" cy="2077085"/>
            <wp:effectExtent l="0" t="0" r="8255" b="18415"/>
            <wp:wrapTight wrapText="bothSides">
              <wp:wrapPolygon edited="0">
                <wp:start x="0" y="0"/>
                <wp:lineTo x="0" y="21593"/>
                <wp:lineTo x="21529" y="21593"/>
                <wp:lineTo x="21529" y="0"/>
                <wp:lineTo x="0" y="0"/>
              </wp:wrapPolygon>
            </wp:wrapTight>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04277C" w:rsidRPr="000A1C7A">
        <w:rPr>
          <w:rFonts w:cs="Arial"/>
          <w:b/>
          <w:lang w:val="en-US"/>
        </w:rPr>
        <w:t>Graf 2.</w:t>
      </w:r>
      <w:r w:rsidR="0004277C">
        <w:rPr>
          <w:rFonts w:cs="Arial"/>
          <w:b/>
          <w:lang w:val="en-US"/>
        </w:rPr>
        <w:t>2</w:t>
      </w:r>
      <w:r w:rsidR="0004277C" w:rsidRPr="000A1C7A">
        <w:rPr>
          <w:rFonts w:cs="Arial"/>
          <w:b/>
          <w:lang w:val="en-US"/>
        </w:rPr>
        <w:t xml:space="preserve">: </w:t>
      </w:r>
      <w:r w:rsidR="0004277C" w:rsidRPr="000A1C7A">
        <w:rPr>
          <w:rFonts w:cs="Arial"/>
          <w:b/>
        </w:rPr>
        <w:t xml:space="preserve">Nově hlášené případy dočasné pracovní neschopnosti podle příčiny a pohlaví, </w:t>
      </w:r>
      <w:r w:rsidR="0004277C">
        <w:rPr>
          <w:rFonts w:cs="Arial"/>
          <w:b/>
          <w:lang w:val="en-US"/>
        </w:rPr>
        <w:t>2023</w:t>
      </w:r>
    </w:p>
    <w:p w14:paraId="329168B7" w14:textId="77777777" w:rsidR="00E6417F" w:rsidRDefault="00E6417F" w:rsidP="00E6417F">
      <w:pPr>
        <w:spacing w:before="120" w:after="120" w:line="240" w:lineRule="auto"/>
        <w:jc w:val="both"/>
        <w:rPr>
          <w:rFonts w:cs="Arial"/>
          <w:color w:val="000000"/>
          <w:sz w:val="16"/>
          <w:szCs w:val="16"/>
        </w:rPr>
      </w:pPr>
      <w:r>
        <w:rPr>
          <w:noProof/>
        </w:rPr>
        <w:drawing>
          <wp:anchor distT="0" distB="0" distL="114300" distR="114300" simplePos="0" relativeHeight="251668992" behindDoc="1" locked="0" layoutInCell="1" allowOverlap="1" wp14:anchorId="6B50D9F3" wp14:editId="209CA6A5">
            <wp:simplePos x="0" y="0"/>
            <wp:positionH relativeFrom="column">
              <wp:posOffset>3810</wp:posOffset>
            </wp:positionH>
            <wp:positionV relativeFrom="paragraph">
              <wp:posOffset>3810</wp:posOffset>
            </wp:positionV>
            <wp:extent cx="3322800" cy="2077200"/>
            <wp:effectExtent l="0" t="0" r="11430" b="18415"/>
            <wp:wrapTight wrapText="bothSides">
              <wp:wrapPolygon edited="0">
                <wp:start x="0" y="0"/>
                <wp:lineTo x="0" y="21593"/>
                <wp:lineTo x="21550" y="21593"/>
                <wp:lineTo x="21550" y="0"/>
                <wp:lineTo x="0" y="0"/>
              </wp:wrapPolygon>
            </wp:wrapTight>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Pr="00E6417F">
        <w:rPr>
          <w:noProof/>
        </w:rPr>
        <w:t xml:space="preserve"> </w:t>
      </w:r>
      <w:r w:rsidRPr="004B2783">
        <w:rPr>
          <w:rFonts w:cs="Arial"/>
          <w:color w:val="000000"/>
          <w:sz w:val="16"/>
          <w:szCs w:val="16"/>
        </w:rPr>
        <w:t>Zdroj: ČSÚ</w:t>
      </w:r>
    </w:p>
    <w:p w14:paraId="4E6E6351" w14:textId="77777777" w:rsidR="00E6417F" w:rsidRPr="0002281B" w:rsidRDefault="00E6417F" w:rsidP="00E6417F">
      <w:pPr>
        <w:pStyle w:val="Seznam"/>
        <w:spacing w:before="120" w:after="120"/>
        <w:contextualSpacing w:val="0"/>
        <w:jc w:val="both"/>
      </w:pPr>
      <w:r w:rsidRPr="0002281B">
        <w:t xml:space="preserve">Dopad legislativních změn na výskyt pracovní neschopnosti je zřejmý zejména na vývoji případů pracovní neschopnosti </w:t>
      </w:r>
      <w:r w:rsidRPr="0002281B">
        <w:rPr>
          <w:b/>
        </w:rPr>
        <w:t>pro nemoc</w:t>
      </w:r>
      <w:r w:rsidRPr="0002281B">
        <w:t>. Na počet případů pracovní neschopnosti pro úrazy takový vliv nemají. Legislativní úpravy ve vyplácení dávek nemocenského se nejvíce projevují v četnosti případů méně závažných a</w:t>
      </w:r>
      <w:r>
        <w:t> </w:t>
      </w:r>
      <w:r w:rsidRPr="0002281B">
        <w:t>krátkodobých pracovních neschopností, např. u nemocí dýchacích cest (běžná nachlazení, záněty horních cest dýchacích apod.).</w:t>
      </w:r>
    </w:p>
    <w:p w14:paraId="630DF37E" w14:textId="53D39DEA" w:rsidR="007A3D14" w:rsidRPr="00251BF8" w:rsidRDefault="00E6417F" w:rsidP="00E6417F">
      <w:pPr>
        <w:pStyle w:val="Seznam"/>
        <w:spacing w:before="120" w:after="120"/>
        <w:contextualSpacing w:val="0"/>
        <w:jc w:val="both"/>
      </w:pPr>
      <w:r w:rsidRPr="00251BF8">
        <w:t xml:space="preserve">Do roku 2018 platil trend, že </w:t>
      </w:r>
      <w:r w:rsidRPr="00251BF8">
        <w:rPr>
          <w:b/>
        </w:rPr>
        <w:t>v prvním půlroce</w:t>
      </w:r>
      <w:r w:rsidRPr="00251BF8">
        <w:t xml:space="preserve"> je hlášeno značně více případů pracovní neschopnosti než v pololetí druhém. Možným vysvětlením mohou být jarní chřipkové epidemie. Naopak poklesu v druhém pololetí nahrávají prázdniny, zejména letní, ale také podzimní a vánoční. Pokud se nejedná o onemocnění závažnějšího charakteru, může se pojištěnec během dovolené sám zotavit bez nutnosti návštěvy lékaře a vystavení pracovní neschopnosti. Jak již bylo zmíněno výše, jedním z faktorů, které zapříčinily meziroční nárůst počtu nových případů pracovní neschopnosti </w:t>
      </w:r>
      <w:r w:rsidRPr="00251BF8">
        <w:rPr>
          <w:b/>
        </w:rPr>
        <w:t>způsobených nemocí</w:t>
      </w:r>
      <w:r w:rsidRPr="00251BF8">
        <w:t xml:space="preserve"> oproti </w:t>
      </w:r>
      <w:r w:rsidR="008073B7">
        <w:t>2</w:t>
      </w:r>
      <w:r w:rsidRPr="00251BF8">
        <w:t xml:space="preserve">. pol. 2018, je patrně </w:t>
      </w:r>
      <w:r w:rsidRPr="00251BF8">
        <w:rPr>
          <w:b/>
        </w:rPr>
        <w:t>zrušení karenční doby od 1. července 2019</w:t>
      </w:r>
      <w:r w:rsidRPr="00251BF8">
        <w:t>, kdy je náhrada mzdy od zaměstnavatele zaměstnanci vyplácena již od prvního dne, a nikoliv až od čtvrtého. Rozdíl mezi prvním a druhým pololetím v roce 2019 již tedy ne</w:t>
      </w:r>
      <w:r w:rsidR="007A3D14" w:rsidRPr="00251BF8">
        <w:t>byl</w:t>
      </w:r>
      <w:r w:rsidRPr="00251BF8">
        <w:t xml:space="preserve"> tak </w:t>
      </w:r>
      <w:r w:rsidR="0094493F">
        <w:t xml:space="preserve">výrazný </w:t>
      </w:r>
      <w:r w:rsidR="00530F00">
        <w:t>jako v předchozích letech</w:t>
      </w:r>
      <w:r w:rsidRPr="00251BF8">
        <w:t>.</w:t>
      </w:r>
    </w:p>
    <w:p w14:paraId="09938CC9" w14:textId="04A62424" w:rsidR="007A3D14" w:rsidRPr="00251BF8" w:rsidRDefault="007A3D14" w:rsidP="007A3D14">
      <w:pPr>
        <w:pStyle w:val="Seznam"/>
        <w:spacing w:before="120" w:after="120"/>
        <w:contextualSpacing w:val="0"/>
        <w:jc w:val="both"/>
      </w:pPr>
      <w:r w:rsidRPr="00251BF8">
        <w:t>V roce 2020 statistiky pracovní neschopnosti ovládla</w:t>
      </w:r>
      <w:r w:rsidRPr="00251BF8">
        <w:rPr>
          <w:b/>
        </w:rPr>
        <w:t xml:space="preserve"> </w:t>
      </w:r>
      <w:proofErr w:type="spellStart"/>
      <w:r w:rsidRPr="00251BF8">
        <w:rPr>
          <w:b/>
        </w:rPr>
        <w:t>koronavirová</w:t>
      </w:r>
      <w:proofErr w:type="spellEnd"/>
      <w:r w:rsidRPr="00251BF8">
        <w:rPr>
          <w:b/>
        </w:rPr>
        <w:t xml:space="preserve"> pandemie</w:t>
      </w:r>
      <w:r w:rsidRPr="00251BF8">
        <w:t>, kdy v druhém pololetí Česko zasáhla podzimní vlna onemocnění. Zatímco mezi prvními pololetími roku 2019 a 2020 došlo k nárůstu o 104 tis. (o 12 %) případů pracovní neschopnosti pro nemoc, mezi druhými pololetími se počet navýšil o 387 tis. (o 46 %). Přestože se v 1. pol. 2021 začalo s očkováním proti onemocnění covid-19, počet neschopenek</w:t>
      </w:r>
      <w:r w:rsidR="006A65FC" w:rsidRPr="00251BF8">
        <w:t xml:space="preserve"> zejména</w:t>
      </w:r>
      <w:r w:rsidRPr="00251BF8">
        <w:t xml:space="preserve"> z důvodu karantén byl i nadále mimořádný. Za 1. pol. 2021 bylo nahlášeno celkem 1 300 tis. případů dočasné pracovní neschopnosti pro nemoc, tedy o polovinu více než v době před pandemií.</w:t>
      </w:r>
    </w:p>
    <w:p w14:paraId="7C8CBC94" w14:textId="77777777" w:rsidR="007A3D14" w:rsidRPr="00251BF8" w:rsidRDefault="007A3D14" w:rsidP="007A3D14">
      <w:pPr>
        <w:pStyle w:val="Seznam"/>
        <w:spacing w:before="120" w:after="120"/>
        <w:contextualSpacing w:val="0"/>
        <w:jc w:val="both"/>
      </w:pPr>
      <w:r w:rsidRPr="00251BF8">
        <w:t>Během 1. pol. 2020 se počet nově hlášených případů pracovní neschopnosti pro nemoc blížil milionu. Dva roky nato už se (pravděpodobně vlivem vysoce infekční a na očkování nereagující varianty covidu-19 omikron, ale rovněž z výše zmíněných metodologických důvodů) blížil dvěma milionům. Za prvních 6 měsíců roku 2022 bylo nahlášeno více případů než za celý rok 2019.</w:t>
      </w:r>
    </w:p>
    <w:p w14:paraId="18E0D4F5" w14:textId="77777777" w:rsidR="000D52D6" w:rsidRDefault="007A3D14" w:rsidP="007A3D14">
      <w:pPr>
        <w:pStyle w:val="Seznam"/>
        <w:spacing w:before="120" w:after="120"/>
        <w:contextualSpacing w:val="0"/>
        <w:jc w:val="both"/>
      </w:pPr>
      <w:r w:rsidRPr="00251BF8">
        <w:t xml:space="preserve">Počet nově hlášených případů se zatím neblíží (neklesá k) hodnotám z roku 2019. Důvodem může být oslabená imunita po nucené izolaci a nošení respirátorů. V souvislosti se zkušenostmi během pandemie se patrně snížila i společenská přijatelnost týkající se přecházeného akutního onemocnění. Naopak s utlumením </w:t>
      </w:r>
      <w:proofErr w:type="spellStart"/>
      <w:r w:rsidRPr="00251BF8">
        <w:t>covidového</w:t>
      </w:r>
      <w:proofErr w:type="spellEnd"/>
      <w:r w:rsidRPr="00251BF8">
        <w:t xml:space="preserve"> náporu se dá předpokládat, že pacienti podstupují plánované zákroky, jež byly během pandemie odkládány, které následně vyžadují dočasnou pracovní neschopnost.</w:t>
      </w:r>
    </w:p>
    <w:p w14:paraId="03B96C46" w14:textId="77777777" w:rsidR="000D52D6" w:rsidRDefault="000D52D6">
      <w:pPr>
        <w:spacing w:after="0" w:line="240" w:lineRule="auto"/>
      </w:pPr>
      <w:r>
        <w:br w:type="page"/>
      </w:r>
    </w:p>
    <w:p w14:paraId="1B26EC22" w14:textId="4313643E" w:rsidR="007A3D14" w:rsidRPr="0002281B" w:rsidRDefault="007A3D14" w:rsidP="007A3D14">
      <w:pPr>
        <w:spacing w:before="120" w:after="0"/>
        <w:jc w:val="both"/>
        <w:rPr>
          <w:b/>
          <w:bCs/>
        </w:rPr>
      </w:pPr>
      <w:r w:rsidRPr="0002281B">
        <w:rPr>
          <w:b/>
          <w:bCs/>
        </w:rPr>
        <w:lastRenderedPageBreak/>
        <w:t>Graf 2.</w:t>
      </w:r>
      <w:r>
        <w:rPr>
          <w:b/>
          <w:bCs/>
        </w:rPr>
        <w:t>3</w:t>
      </w:r>
      <w:r w:rsidRPr="0002281B">
        <w:rPr>
          <w:b/>
          <w:bCs/>
        </w:rPr>
        <w:t xml:space="preserve">: Nově hlášené případy dočasné pracovní neschopnosti </w:t>
      </w:r>
      <w:r w:rsidRPr="008E48CF">
        <w:rPr>
          <w:b/>
          <w:bCs/>
          <w:u w:val="single"/>
        </w:rPr>
        <w:t>pro nemoc</w:t>
      </w:r>
      <w:r w:rsidRPr="0002281B">
        <w:rPr>
          <w:b/>
          <w:bCs/>
        </w:rPr>
        <w:t>, 2015–202</w:t>
      </w:r>
      <w:r>
        <w:rPr>
          <w:b/>
          <w:bCs/>
        </w:rPr>
        <w:t>3</w:t>
      </w:r>
    </w:p>
    <w:p w14:paraId="6077DC10" w14:textId="00438632" w:rsidR="007A3D14" w:rsidRDefault="00797463" w:rsidP="007A3D14">
      <w:pPr>
        <w:pStyle w:val="Seznam"/>
        <w:spacing w:before="120" w:after="120"/>
        <w:contextualSpacing w:val="0"/>
        <w:jc w:val="both"/>
      </w:pPr>
      <w:r>
        <w:rPr>
          <w:noProof/>
        </w:rPr>
        <w:drawing>
          <wp:inline distT="0" distB="0" distL="0" distR="0" wp14:anchorId="397FEA81" wp14:editId="68A58DC3">
            <wp:extent cx="6010275" cy="2933700"/>
            <wp:effectExtent l="0" t="0" r="9525"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0DE1B0B" w14:textId="77777777" w:rsidR="007A3D14" w:rsidRDefault="007A3D14" w:rsidP="007A3D14">
      <w:pPr>
        <w:spacing w:before="120" w:after="120" w:line="240" w:lineRule="auto"/>
        <w:jc w:val="both"/>
        <w:rPr>
          <w:rFonts w:cs="Arial"/>
          <w:color w:val="000000"/>
          <w:sz w:val="16"/>
          <w:szCs w:val="16"/>
        </w:rPr>
      </w:pPr>
      <w:r>
        <w:rPr>
          <w:rFonts w:cs="Arial"/>
          <w:color w:val="000000"/>
          <w:sz w:val="16"/>
          <w:szCs w:val="16"/>
        </w:rPr>
        <w:t>* 1. pol. 2022 není srovnatelné s ostatními 1. pololetími.</w:t>
      </w:r>
    </w:p>
    <w:p w14:paraId="76AA86F6" w14:textId="306BD643" w:rsidR="007A3D14" w:rsidRPr="00EB50A1" w:rsidRDefault="007A3D14" w:rsidP="007A3D14">
      <w:pPr>
        <w:pStyle w:val="Seznam"/>
        <w:spacing w:before="120" w:after="120"/>
        <w:contextualSpacing w:val="0"/>
        <w:jc w:val="both"/>
      </w:pPr>
      <w:r w:rsidRPr="004B2783">
        <w:rPr>
          <w:rFonts w:cs="Arial"/>
          <w:color w:val="000000"/>
          <w:sz w:val="16"/>
          <w:szCs w:val="16"/>
        </w:rPr>
        <w:t>Zdroj: ČSÚ</w:t>
      </w:r>
    </w:p>
    <w:p w14:paraId="3C305094" w14:textId="77777777" w:rsidR="007A3D14" w:rsidRPr="00251BF8" w:rsidRDefault="007A3D14" w:rsidP="007A3D14">
      <w:pPr>
        <w:spacing w:before="120" w:after="120"/>
        <w:jc w:val="both"/>
      </w:pPr>
      <w:r w:rsidRPr="00251BF8">
        <w:t xml:space="preserve">V porovnání počtu nově hlášených případů pracovní neschopnosti z důvodu nemoci v druhém pololetí roku 2018 a stejného období v roce 2020 došlo k nárůstu o 72 %. Graf 2.3 dále ilustruje vysoké hodnoty v druhých pololetích let 2020 a 2021, kam spadají podzimní vlny onemocnění covid-19. Toto období už ovšem nevykazuje takový meziroční nárůst. Na podobné úrovni se nachází údaj za 2. polovinu roku 2022. Dramatické zvýšení počtu případů pracovní neschopnosti pro nemoc (+642 tis., 49 %) lze vidět v 1. pololetí roku 2022. To je ovšem do určité míry zkresleno. Jak již bylo zmíněno výše, ve statistikách ze začátku roku 2022 se mohou nacházet duplicity vzniklé v zájmu zajištění co nejrychlejšího zabránění šíření onemocnění. Tyto případy však není možné identifikovat a z celkových dat vyloučit. </w:t>
      </w:r>
    </w:p>
    <w:p w14:paraId="047F3FAE" w14:textId="6F20823E" w:rsidR="007A3D14" w:rsidRPr="00251BF8" w:rsidRDefault="007A3D14" w:rsidP="007A3D14">
      <w:pPr>
        <w:pStyle w:val="Seznam"/>
        <w:spacing w:before="120" w:after="120"/>
        <w:contextualSpacing w:val="0"/>
        <w:jc w:val="both"/>
      </w:pPr>
      <w:r w:rsidRPr="000D52D6">
        <w:rPr>
          <w:b/>
        </w:rPr>
        <w:t>V relativním přepočtu na 100 pojištěnců</w:t>
      </w:r>
      <w:r w:rsidRPr="00251BF8">
        <w:t xml:space="preserve"> v </w:t>
      </w:r>
      <w:r w:rsidR="00735747" w:rsidRPr="00251BF8">
        <w:t>roce</w:t>
      </w:r>
      <w:r w:rsidRPr="00251BF8">
        <w:t xml:space="preserve"> 2023 oproti </w:t>
      </w:r>
      <w:r w:rsidR="00735747" w:rsidRPr="00251BF8">
        <w:t>době před pandemií</w:t>
      </w:r>
      <w:r w:rsidR="0034529B">
        <w:t xml:space="preserve">, tj. rokem 2019 </w:t>
      </w:r>
      <w:r w:rsidRPr="00251BF8">
        <w:t xml:space="preserve">přibylo </w:t>
      </w:r>
      <w:r w:rsidR="00735747" w:rsidRPr="00251BF8">
        <w:t>13</w:t>
      </w:r>
      <w:r w:rsidR="00957C5B">
        <w:t> </w:t>
      </w:r>
      <w:r w:rsidRPr="00251BF8">
        <w:t xml:space="preserve">případů pracovní neschopnosti bez ohledu na příčinu a hodnota tak činila </w:t>
      </w:r>
      <w:r w:rsidR="00735747" w:rsidRPr="00251BF8">
        <w:t>53</w:t>
      </w:r>
      <w:r w:rsidRPr="00251BF8">
        <w:t xml:space="preserve"> případů. Na 100 pojištěnců připadalo </w:t>
      </w:r>
      <w:r w:rsidR="00735747" w:rsidRPr="00251BF8">
        <w:t>49</w:t>
      </w:r>
      <w:r w:rsidRPr="00251BF8">
        <w:t xml:space="preserve"> nově hlášených případů dočasné pracovní neschopnosti </w:t>
      </w:r>
      <w:r w:rsidRPr="00251BF8">
        <w:rPr>
          <w:b/>
        </w:rPr>
        <w:t>pro nemoc</w:t>
      </w:r>
      <w:r w:rsidRPr="00251BF8">
        <w:t>, což byl dvojnásobek oproti</w:t>
      </w:r>
      <w:r w:rsidR="00797463" w:rsidRPr="00251BF8">
        <w:t> roku 201</w:t>
      </w:r>
      <w:r w:rsidR="00735747" w:rsidRPr="00251BF8">
        <w:t>2</w:t>
      </w:r>
      <w:r w:rsidRPr="00251BF8">
        <w:t xml:space="preserve">. Zatímco u mužů počet případů </w:t>
      </w:r>
      <w:r w:rsidR="008073B7">
        <w:t xml:space="preserve">pracovní neschopnosti celkem (ať už pro nemoc nebo úraz) </w:t>
      </w:r>
      <w:r w:rsidRPr="00251BF8">
        <w:t xml:space="preserve">dosáhl </w:t>
      </w:r>
      <w:r w:rsidR="00735747" w:rsidRPr="00251BF8">
        <w:t>48,</w:t>
      </w:r>
      <w:r w:rsidRPr="00251BF8">
        <w:t xml:space="preserve"> mezi ženami se jednalo o </w:t>
      </w:r>
      <w:r w:rsidR="00735747" w:rsidRPr="00251BF8">
        <w:t>58</w:t>
      </w:r>
      <w:r w:rsidRPr="00251BF8">
        <w:t xml:space="preserve"> neschopností.</w:t>
      </w:r>
    </w:p>
    <w:p w14:paraId="00FC7DCC" w14:textId="0C64F625" w:rsidR="000D52D6" w:rsidRDefault="007A3D14" w:rsidP="00735747">
      <w:pPr>
        <w:pStyle w:val="Seznam"/>
        <w:spacing w:before="120" w:after="120"/>
        <w:contextualSpacing w:val="0"/>
        <w:jc w:val="both"/>
      </w:pPr>
      <w:r w:rsidRPr="00251BF8">
        <w:t xml:space="preserve">Co se týče počtu neschopenek z důvodu </w:t>
      </w:r>
      <w:r w:rsidRPr="00251BF8">
        <w:rPr>
          <w:b/>
        </w:rPr>
        <w:t>úrazů</w:t>
      </w:r>
      <w:r w:rsidRPr="00251BF8">
        <w:t xml:space="preserve">, tak pokud pomineme </w:t>
      </w:r>
      <w:r w:rsidR="00735747" w:rsidRPr="00251BF8">
        <w:t>rok</w:t>
      </w:r>
      <w:r w:rsidRPr="00251BF8">
        <w:t xml:space="preserve"> 2020, kdy počet úrazů na 100 pojištěnců poklesl, panuje zde víceméně stagnace. Dá se předpokládat, že výkyv </w:t>
      </w:r>
      <w:r w:rsidR="00797463" w:rsidRPr="00251BF8">
        <w:t>v</w:t>
      </w:r>
      <w:r w:rsidR="001664E8" w:rsidRPr="00251BF8">
        <w:t xml:space="preserve">e zmíněném </w:t>
      </w:r>
      <w:r w:rsidR="00797463" w:rsidRPr="00251BF8">
        <w:t xml:space="preserve">roce </w:t>
      </w:r>
      <w:r w:rsidRPr="00251BF8">
        <w:t xml:space="preserve">souvisel s vyhlášením nouzového stavu, celkovým omezením pohybu, uzavřením některých podniků a větší mírou práce z domova. </w:t>
      </w:r>
      <w:r w:rsidR="00735747" w:rsidRPr="00251BF8">
        <w:t xml:space="preserve">Počet neschopenek z důvodu </w:t>
      </w:r>
      <w:r w:rsidR="00735747" w:rsidRPr="00251BF8">
        <w:rPr>
          <w:b/>
        </w:rPr>
        <w:t>pracovního úrazu</w:t>
      </w:r>
      <w:r w:rsidR="00735747" w:rsidRPr="00251BF8">
        <w:t xml:space="preserve"> se pohybuje okolo 1 případu na 100 pojištěnců. </w:t>
      </w:r>
      <w:r w:rsidR="00735747" w:rsidRPr="00251BF8">
        <w:rPr>
          <w:b/>
        </w:rPr>
        <w:t>U mimopracovních úrazů</w:t>
      </w:r>
      <w:r w:rsidR="00735747" w:rsidRPr="00251BF8">
        <w:t xml:space="preserve"> hodnota v roce 2023 činila 3,5.</w:t>
      </w:r>
    </w:p>
    <w:p w14:paraId="18439354" w14:textId="77777777" w:rsidR="000D52D6" w:rsidRDefault="000D52D6">
      <w:pPr>
        <w:spacing w:after="0" w:line="240" w:lineRule="auto"/>
      </w:pPr>
      <w:r>
        <w:br w:type="page"/>
      </w:r>
    </w:p>
    <w:p w14:paraId="28641CE9" w14:textId="436E7E9F" w:rsidR="007A3D14" w:rsidRPr="00653F8C" w:rsidRDefault="007A3D14" w:rsidP="007A3D14">
      <w:pPr>
        <w:pStyle w:val="Seznam"/>
        <w:spacing w:before="120" w:after="120"/>
        <w:contextualSpacing w:val="0"/>
        <w:jc w:val="both"/>
      </w:pPr>
      <w:r w:rsidRPr="00653F8C">
        <w:rPr>
          <w:b/>
          <w:spacing w:val="-4"/>
        </w:rPr>
        <w:lastRenderedPageBreak/>
        <w:t>Graf 2.</w:t>
      </w:r>
      <w:r>
        <w:rPr>
          <w:b/>
          <w:spacing w:val="-4"/>
        </w:rPr>
        <w:t>4</w:t>
      </w:r>
      <w:r w:rsidRPr="00653F8C">
        <w:rPr>
          <w:b/>
          <w:spacing w:val="-4"/>
        </w:rPr>
        <w:t>: Nově hlášené případy dočasné pracovní neschopnosti na 10</w:t>
      </w:r>
      <w:r>
        <w:rPr>
          <w:b/>
          <w:spacing w:val="-4"/>
        </w:rPr>
        <w:t>0 pojištěnců podle příčiny, 2013–2023</w:t>
      </w:r>
      <w:r w:rsidRPr="00653F8C">
        <w:rPr>
          <w:b/>
        </w:rPr>
        <w:t xml:space="preserve"> </w:t>
      </w:r>
      <w:r w:rsidRPr="00653F8C">
        <w:t xml:space="preserve"> </w:t>
      </w:r>
    </w:p>
    <w:p w14:paraId="40BA32E7" w14:textId="3306CF5C" w:rsidR="008073B7" w:rsidRPr="00CF382E" w:rsidRDefault="008073B7" w:rsidP="007A3D14">
      <w:pPr>
        <w:spacing w:after="120"/>
        <w:jc w:val="both"/>
      </w:pPr>
      <w:r>
        <w:rPr>
          <w:noProof/>
        </w:rPr>
        <w:drawing>
          <wp:inline distT="0" distB="0" distL="0" distR="0" wp14:anchorId="274DD729" wp14:editId="7ECFEED2">
            <wp:extent cx="6120130" cy="2585085"/>
            <wp:effectExtent l="0" t="0" r="13970" b="5715"/>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193B35C" w14:textId="5D61022C" w:rsidR="00735747" w:rsidRDefault="00735747" w:rsidP="00735747">
      <w:pPr>
        <w:spacing w:before="120" w:after="120" w:line="240" w:lineRule="auto"/>
        <w:jc w:val="both"/>
        <w:rPr>
          <w:rFonts w:cs="Arial"/>
          <w:color w:val="000000"/>
          <w:sz w:val="16"/>
          <w:szCs w:val="16"/>
        </w:rPr>
      </w:pPr>
      <w:r>
        <w:rPr>
          <w:rFonts w:cs="Arial"/>
          <w:color w:val="000000"/>
          <w:sz w:val="16"/>
          <w:szCs w:val="16"/>
        </w:rPr>
        <w:t>* Údaje za rok 2022 (celkem a pro nemoc) nejsou srovnatelné s údaji za ostatní roky.</w:t>
      </w:r>
    </w:p>
    <w:p w14:paraId="6BB5191A" w14:textId="77777777" w:rsidR="007A3D14" w:rsidRPr="00EB50A1" w:rsidRDefault="007A3D14" w:rsidP="007A3D14">
      <w:pPr>
        <w:pStyle w:val="Seznam"/>
        <w:spacing w:before="120" w:after="120"/>
        <w:contextualSpacing w:val="0"/>
        <w:jc w:val="both"/>
      </w:pPr>
      <w:r w:rsidRPr="004B2783">
        <w:rPr>
          <w:rFonts w:cs="Arial"/>
          <w:color w:val="000000"/>
          <w:sz w:val="16"/>
          <w:szCs w:val="16"/>
        </w:rPr>
        <w:t>Zdroj: ČSÚ</w:t>
      </w:r>
    </w:p>
    <w:p w14:paraId="39075D5D" w14:textId="5AAFAF30" w:rsidR="00735747" w:rsidRPr="00251BF8" w:rsidRDefault="00735747" w:rsidP="00735747">
      <w:pPr>
        <w:autoSpaceDE w:val="0"/>
        <w:autoSpaceDN w:val="0"/>
        <w:adjustRightInd w:val="0"/>
        <w:spacing w:before="120" w:after="120"/>
        <w:jc w:val="both"/>
        <w:rPr>
          <w:rFonts w:cs="Arial"/>
        </w:rPr>
      </w:pPr>
      <w:r w:rsidRPr="00251BF8">
        <w:rPr>
          <w:rFonts w:cs="Arial"/>
        </w:rPr>
        <w:t xml:space="preserve">Nejvíce nových případů dočasné pracovní neschopnosti bylo v roce 2023 nahlášeno v subjektech, které dle převažující ekonomické činnosti spadají do </w:t>
      </w:r>
      <w:r w:rsidRPr="00251BF8">
        <w:rPr>
          <w:rFonts w:cs="Arial"/>
          <w:b/>
        </w:rPr>
        <w:t>odvětvové sekce</w:t>
      </w:r>
      <w:r w:rsidRPr="00251BF8">
        <w:rPr>
          <w:rFonts w:cs="Arial"/>
        </w:rPr>
        <w:t xml:space="preserve"> Zpracovatelský průmysl (</w:t>
      </w:r>
      <w:r w:rsidR="005F4628" w:rsidRPr="00251BF8">
        <w:rPr>
          <w:rFonts w:cs="Arial"/>
        </w:rPr>
        <w:t>814</w:t>
      </w:r>
      <w:r w:rsidRPr="00251BF8">
        <w:rPr>
          <w:rFonts w:cs="Arial"/>
        </w:rPr>
        <w:t xml:space="preserve"> tis. případů) a Velkoobchod a maloobchod; opravy a údržba motorových vozidel (</w:t>
      </w:r>
      <w:r w:rsidR="005F4628" w:rsidRPr="00251BF8">
        <w:rPr>
          <w:rFonts w:cs="Arial"/>
        </w:rPr>
        <w:t>322</w:t>
      </w:r>
      <w:r w:rsidRPr="00251BF8">
        <w:rPr>
          <w:rFonts w:cs="Arial"/>
        </w:rPr>
        <w:t xml:space="preserve"> tis.). Není divu, protože jde o odvětví, kde pracuje nejvíce osob, jak bylo uvedeno výše v kap. 4.1. Naopak nejméně případů bylo v absolutních číslech hlášeno v odvětvích Těžba a dobývání (</w:t>
      </w:r>
      <w:r w:rsidR="005F4628" w:rsidRPr="00251BF8">
        <w:rPr>
          <w:rFonts w:cs="Arial"/>
        </w:rPr>
        <w:t>10</w:t>
      </w:r>
      <w:r w:rsidRPr="00251BF8">
        <w:rPr>
          <w:rFonts w:cs="Arial"/>
        </w:rPr>
        <w:t xml:space="preserve"> tis.) a Výroba a rozvod elektřiny, plynu, tepla a klimatizovaného vzduchu (</w:t>
      </w:r>
      <w:r w:rsidR="005F4628" w:rsidRPr="00251BF8">
        <w:rPr>
          <w:rFonts w:cs="Arial"/>
        </w:rPr>
        <w:t>14</w:t>
      </w:r>
      <w:r w:rsidRPr="00251BF8">
        <w:rPr>
          <w:rFonts w:cs="Arial"/>
        </w:rPr>
        <w:t xml:space="preserve"> tis.).</w:t>
      </w:r>
    </w:p>
    <w:p w14:paraId="603DC93F" w14:textId="16E44D8D" w:rsidR="005F4628" w:rsidRPr="00251BF8" w:rsidRDefault="005F4628" w:rsidP="005F4628">
      <w:pPr>
        <w:autoSpaceDE w:val="0"/>
        <w:autoSpaceDN w:val="0"/>
        <w:adjustRightInd w:val="0"/>
        <w:spacing w:before="120" w:after="120"/>
        <w:jc w:val="both"/>
        <w:rPr>
          <w:rFonts w:cs="Arial"/>
        </w:rPr>
      </w:pPr>
      <w:r w:rsidRPr="00251BF8">
        <w:rPr>
          <w:rFonts w:cs="Arial"/>
        </w:rPr>
        <w:t xml:space="preserve">V porovnání </w:t>
      </w:r>
      <w:r w:rsidRPr="00F20D12">
        <w:rPr>
          <w:rFonts w:cs="Arial"/>
          <w:b/>
        </w:rPr>
        <w:t>s rokem 2019</w:t>
      </w:r>
      <w:r w:rsidRPr="00251BF8">
        <w:rPr>
          <w:rFonts w:cs="Arial"/>
        </w:rPr>
        <w:t xml:space="preserve"> vzrostl počet případů dočasné pracovní neschopnosti ve všech sekcích ekonomické činnosti</w:t>
      </w:r>
      <w:r w:rsidR="004E2061" w:rsidRPr="00251BF8">
        <w:rPr>
          <w:rFonts w:cs="Arial"/>
        </w:rPr>
        <w:t xml:space="preserve"> kromě sekcí Těžba a dobývání a Ostatní činnosti</w:t>
      </w:r>
      <w:r w:rsidR="001664E8" w:rsidRPr="00251BF8">
        <w:rPr>
          <w:rFonts w:cs="Arial"/>
        </w:rPr>
        <w:t xml:space="preserve"> (sekce S)</w:t>
      </w:r>
      <w:r w:rsidR="002D6845">
        <w:rPr>
          <w:rFonts w:cs="Arial"/>
        </w:rPr>
        <w:t>, kam spadají například č</w:t>
      </w:r>
      <w:r w:rsidR="002D6845" w:rsidRPr="002D6845">
        <w:rPr>
          <w:rFonts w:cs="Arial"/>
        </w:rPr>
        <w:t>innosti podnikatelských, zaměstnavatelských</w:t>
      </w:r>
      <w:r w:rsidR="002D6845">
        <w:rPr>
          <w:rFonts w:cs="Arial"/>
        </w:rPr>
        <w:t xml:space="preserve">, </w:t>
      </w:r>
      <w:r w:rsidR="002D6845" w:rsidRPr="002D6845">
        <w:rPr>
          <w:rFonts w:cs="Arial"/>
        </w:rPr>
        <w:t xml:space="preserve">profesních </w:t>
      </w:r>
      <w:r w:rsidR="002D6845">
        <w:rPr>
          <w:rFonts w:cs="Arial"/>
        </w:rPr>
        <w:t xml:space="preserve">a odborových </w:t>
      </w:r>
      <w:r w:rsidR="002D6845" w:rsidRPr="002D6845">
        <w:rPr>
          <w:rFonts w:cs="Arial"/>
        </w:rPr>
        <w:t>organizac</w:t>
      </w:r>
      <w:r w:rsidR="002D6845">
        <w:rPr>
          <w:rFonts w:cs="Arial"/>
        </w:rPr>
        <w:t>í nebo i kadeřnické, kosmetické a obdobn</w:t>
      </w:r>
      <w:r w:rsidR="008073B7">
        <w:rPr>
          <w:rFonts w:cs="Arial"/>
        </w:rPr>
        <w:t>é</w:t>
      </w:r>
      <w:r w:rsidR="002D6845">
        <w:rPr>
          <w:rFonts w:cs="Arial"/>
        </w:rPr>
        <w:t xml:space="preserve"> činnosti.</w:t>
      </w:r>
      <w:r w:rsidRPr="00251BF8">
        <w:rPr>
          <w:rFonts w:cs="Arial"/>
        </w:rPr>
        <w:t xml:space="preserve"> Procentuálně nejvíce v odvětvové sekci Vzdělávání, a to </w:t>
      </w:r>
      <w:r w:rsidR="004E2061" w:rsidRPr="00251BF8">
        <w:rPr>
          <w:rFonts w:cs="Arial"/>
        </w:rPr>
        <w:t>téměř jednou tolik, o</w:t>
      </w:r>
      <w:r w:rsidR="00FC18CE">
        <w:rPr>
          <w:rFonts w:cs="Arial"/>
        </w:rPr>
        <w:t> </w:t>
      </w:r>
      <w:r w:rsidR="004E2061" w:rsidRPr="00251BF8">
        <w:rPr>
          <w:rFonts w:cs="Arial"/>
        </w:rPr>
        <w:t>96 % (130 tis.).</w:t>
      </w:r>
      <w:r w:rsidRPr="00251BF8">
        <w:rPr>
          <w:rFonts w:cs="Arial"/>
        </w:rPr>
        <w:t xml:space="preserve"> Absolutně nejvíce (o </w:t>
      </w:r>
      <w:r w:rsidR="004E2061" w:rsidRPr="00251BF8">
        <w:rPr>
          <w:rFonts w:cs="Arial"/>
        </w:rPr>
        <w:t>14</w:t>
      </w:r>
      <w:r w:rsidRPr="00251BF8">
        <w:rPr>
          <w:rFonts w:cs="Arial"/>
        </w:rPr>
        <w:t xml:space="preserve">9 tis.) se počet případů zvýšil ve Zpracovatelském průmyslu. </w:t>
      </w:r>
    </w:p>
    <w:p w14:paraId="6A958D14" w14:textId="0A0BC09B" w:rsidR="00735747" w:rsidRPr="00251BF8" w:rsidRDefault="002E40F8" w:rsidP="00735747">
      <w:pPr>
        <w:autoSpaceDE w:val="0"/>
        <w:autoSpaceDN w:val="0"/>
        <w:adjustRightInd w:val="0"/>
        <w:spacing w:before="120" w:after="120"/>
        <w:jc w:val="both"/>
        <w:rPr>
          <w:rFonts w:cs="Arial"/>
        </w:rPr>
      </w:pPr>
      <w:r>
        <w:rPr>
          <w:rFonts w:cs="Arial"/>
        </w:rPr>
        <w:t>I v</w:t>
      </w:r>
      <w:r w:rsidR="00BE60AD">
        <w:rPr>
          <w:rFonts w:cs="Arial"/>
        </w:rPr>
        <w:t xml:space="preserve"> </w:t>
      </w:r>
      <w:r w:rsidR="002D6845">
        <w:rPr>
          <w:rFonts w:cs="Arial"/>
        </w:rPr>
        <w:t>porovnání s rokem 20</w:t>
      </w:r>
      <w:r w:rsidR="00F20D12">
        <w:rPr>
          <w:rFonts w:cs="Arial"/>
        </w:rPr>
        <w:t>1</w:t>
      </w:r>
      <w:r w:rsidR="002D6845">
        <w:rPr>
          <w:rFonts w:cs="Arial"/>
        </w:rPr>
        <w:t xml:space="preserve">3, tj. </w:t>
      </w:r>
      <w:r w:rsidR="002D6845" w:rsidRPr="00FC18CE">
        <w:rPr>
          <w:rFonts w:cs="Arial"/>
          <w:b/>
        </w:rPr>
        <w:t>za deset let</w:t>
      </w:r>
      <w:r w:rsidR="002D6845">
        <w:rPr>
          <w:rFonts w:cs="Arial"/>
        </w:rPr>
        <w:t xml:space="preserve">, vzrostl </w:t>
      </w:r>
      <w:r w:rsidR="00735747" w:rsidRPr="00251BF8">
        <w:rPr>
          <w:rFonts w:cs="Arial"/>
        </w:rPr>
        <w:t>počet případů dočasné pracovní neschopnosti</w:t>
      </w:r>
      <w:r>
        <w:rPr>
          <w:rFonts w:cs="Arial"/>
        </w:rPr>
        <w:t xml:space="preserve"> nejvíce v odvětvové sekci Vzdělávání, a to více než </w:t>
      </w:r>
      <w:r w:rsidR="00F20D12">
        <w:rPr>
          <w:rFonts w:cs="Arial"/>
        </w:rPr>
        <w:t>čtyřnásobně</w:t>
      </w:r>
      <w:r>
        <w:rPr>
          <w:rFonts w:cs="Arial"/>
        </w:rPr>
        <w:t xml:space="preserve"> (+ </w:t>
      </w:r>
      <w:r w:rsidR="00946B1F">
        <w:rPr>
          <w:rFonts w:cs="Arial"/>
        </w:rPr>
        <w:t>2</w:t>
      </w:r>
      <w:r>
        <w:rPr>
          <w:rFonts w:cs="Arial"/>
        </w:rPr>
        <w:t xml:space="preserve">12 %). </w:t>
      </w:r>
      <w:r w:rsidR="00F20D12">
        <w:rPr>
          <w:rFonts w:cs="Arial"/>
        </w:rPr>
        <w:t>Více než tři</w:t>
      </w:r>
      <w:r>
        <w:rPr>
          <w:rFonts w:cs="Arial"/>
        </w:rPr>
        <w:t>krát (+</w:t>
      </w:r>
      <w:r w:rsidR="00946B1F">
        <w:rPr>
          <w:rFonts w:cs="Arial"/>
        </w:rPr>
        <w:t>1</w:t>
      </w:r>
      <w:r>
        <w:rPr>
          <w:rFonts w:cs="Arial"/>
        </w:rPr>
        <w:t>73 %) vzrostl tento ukazatel i v subjektech s převažující ekonomickou činností Zdravotní a sociální péče. Dvojnásobně pak</w:t>
      </w:r>
      <w:r w:rsidRPr="002E40F8">
        <w:t xml:space="preserve"> </w:t>
      </w:r>
      <w:r w:rsidRPr="002E40F8">
        <w:rPr>
          <w:rFonts w:cs="Arial"/>
        </w:rPr>
        <w:t>počet případů dočasné pracovní neschopnosti</w:t>
      </w:r>
      <w:r>
        <w:rPr>
          <w:rFonts w:cs="Arial"/>
        </w:rPr>
        <w:t xml:space="preserve"> za deset let vzrostl například i v</w:t>
      </w:r>
      <w:r w:rsidR="008073B7">
        <w:rPr>
          <w:rFonts w:cs="Arial"/>
        </w:rPr>
        <w:t> sekcích Veřejná správa</w:t>
      </w:r>
      <w:r w:rsidR="008073B7">
        <w:rPr>
          <w:rStyle w:val="Znakapoznpodarou"/>
          <w:rFonts w:cs="Arial"/>
        </w:rPr>
        <w:footnoteReference w:id="9"/>
      </w:r>
      <w:r w:rsidR="008073B7">
        <w:rPr>
          <w:rFonts w:cs="Arial"/>
        </w:rPr>
        <w:t>, V</w:t>
      </w:r>
      <w:r w:rsidR="008073B7" w:rsidRPr="008073B7">
        <w:rPr>
          <w:rFonts w:cs="Arial"/>
        </w:rPr>
        <w:t>elkoobchod a maloobchod; opravy a údržba motorových vozidel</w:t>
      </w:r>
      <w:r w:rsidR="008073B7">
        <w:rPr>
          <w:rFonts w:cs="Arial"/>
        </w:rPr>
        <w:t xml:space="preserve"> či Doprava.</w:t>
      </w:r>
      <w:r>
        <w:rPr>
          <w:rFonts w:cs="Arial"/>
        </w:rPr>
        <w:t xml:space="preserve"> </w:t>
      </w:r>
      <w:r w:rsidR="00935896" w:rsidRPr="00251BF8">
        <w:rPr>
          <w:rFonts w:cs="Arial"/>
        </w:rPr>
        <w:t xml:space="preserve"> </w:t>
      </w:r>
    </w:p>
    <w:p w14:paraId="06521F5F" w14:textId="2435857C" w:rsidR="00FC18CE" w:rsidRDefault="00735747" w:rsidP="00735747">
      <w:pPr>
        <w:autoSpaceDE w:val="0"/>
        <w:autoSpaceDN w:val="0"/>
        <w:adjustRightInd w:val="0"/>
        <w:spacing w:before="120" w:after="120"/>
        <w:jc w:val="both"/>
        <w:rPr>
          <w:rFonts w:cs="Arial"/>
        </w:rPr>
      </w:pPr>
      <w:r w:rsidRPr="00251BF8">
        <w:rPr>
          <w:rFonts w:cs="Arial"/>
        </w:rPr>
        <w:t>Absolutní počty nově hlášených případů jsou ovlivněny odvětvovou strukturou národního hospodářství a zaměstnaností v jednotlivých odvětvích. Z toho důvodu má vyšší vypovídací schopnost již zmíněný relativní ukazatel – počet nově hlášených případů na 100 pojištěnců v daném odvětví.</w:t>
      </w:r>
    </w:p>
    <w:p w14:paraId="344E9E18" w14:textId="77777777" w:rsidR="00FC18CE" w:rsidRDefault="00FC18CE">
      <w:pPr>
        <w:spacing w:after="0" w:line="240" w:lineRule="auto"/>
        <w:rPr>
          <w:rFonts w:cs="Arial"/>
        </w:rPr>
      </w:pPr>
      <w:r>
        <w:rPr>
          <w:rFonts w:cs="Arial"/>
        </w:rPr>
        <w:br w:type="page"/>
      </w:r>
    </w:p>
    <w:p w14:paraId="6E57D926" w14:textId="3788CF2F" w:rsidR="00735747" w:rsidRDefault="00735747" w:rsidP="00735747">
      <w:pPr>
        <w:spacing w:after="0"/>
        <w:jc w:val="both"/>
        <w:rPr>
          <w:b/>
        </w:rPr>
      </w:pPr>
      <w:r w:rsidRPr="003B41D2">
        <w:rPr>
          <w:b/>
        </w:rPr>
        <w:lastRenderedPageBreak/>
        <w:t>Graf 2.</w:t>
      </w:r>
      <w:r>
        <w:rPr>
          <w:b/>
        </w:rPr>
        <w:t>5</w:t>
      </w:r>
      <w:r w:rsidRPr="003B41D2">
        <w:rPr>
          <w:b/>
        </w:rPr>
        <w:t>: Nově hlášené případy dočasné pracovní neschopnosti na 100 pojištěnců podle odvětví (sekce CZ-NACE), 2019 a 202</w:t>
      </w:r>
      <w:r>
        <w:rPr>
          <w:b/>
        </w:rPr>
        <w:t>3</w:t>
      </w:r>
    </w:p>
    <w:p w14:paraId="1680FC7E" w14:textId="031E4B38" w:rsidR="00735747" w:rsidRPr="003B41D2" w:rsidRDefault="00735747" w:rsidP="00735747">
      <w:pPr>
        <w:spacing w:after="0"/>
        <w:jc w:val="both"/>
        <w:rPr>
          <w:b/>
        </w:rPr>
      </w:pPr>
      <w:r>
        <w:rPr>
          <w:noProof/>
        </w:rPr>
        <w:drawing>
          <wp:inline distT="0" distB="0" distL="0" distR="0" wp14:anchorId="3C384AAF" wp14:editId="209E9803">
            <wp:extent cx="6120130" cy="5111115"/>
            <wp:effectExtent l="0" t="0" r="13970" b="13335"/>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4C27B2F" w14:textId="77777777" w:rsidR="00E4304F" w:rsidRPr="00EB50A1" w:rsidRDefault="00E4304F" w:rsidP="00E4304F">
      <w:pPr>
        <w:pStyle w:val="Seznam"/>
        <w:spacing w:before="120" w:after="120"/>
        <w:contextualSpacing w:val="0"/>
        <w:jc w:val="both"/>
      </w:pPr>
      <w:r w:rsidRPr="004B2783">
        <w:rPr>
          <w:rFonts w:cs="Arial"/>
          <w:color w:val="000000"/>
          <w:sz w:val="16"/>
          <w:szCs w:val="16"/>
        </w:rPr>
        <w:t>Zdroj: ČSÚ</w:t>
      </w:r>
    </w:p>
    <w:p w14:paraId="392AB593" w14:textId="128C82CA" w:rsidR="00935896" w:rsidRPr="00251BF8" w:rsidRDefault="00935896" w:rsidP="00935896">
      <w:pPr>
        <w:pStyle w:val="Seznam"/>
        <w:spacing w:after="120"/>
        <w:contextualSpacing w:val="0"/>
        <w:jc w:val="both"/>
      </w:pPr>
      <w:r w:rsidRPr="00251BF8">
        <w:rPr>
          <w:rFonts w:cs="Arial"/>
        </w:rPr>
        <w:t xml:space="preserve">Nejvíce případů dočasné pracovní neschopnosti </w:t>
      </w:r>
      <w:r w:rsidRPr="00251BF8">
        <w:rPr>
          <w:rFonts w:cs="Arial"/>
          <w:b/>
        </w:rPr>
        <w:t>na 100 pojištěnců</w:t>
      </w:r>
      <w:r w:rsidRPr="00251BF8">
        <w:rPr>
          <w:rFonts w:cs="Arial"/>
        </w:rPr>
        <w:t xml:space="preserve"> bylo v roce 2023 zaznamenáno rovněž v odvětví Zpracovatelský průmysl (69). Následovalo Vzdělávání (63) a Zásobování vodou; činnosti související s odpady a sanacemi (57). </w:t>
      </w:r>
    </w:p>
    <w:p w14:paraId="36849A4D" w14:textId="7DCD39F5" w:rsidR="00935896" w:rsidRPr="00251BF8" w:rsidRDefault="00935896" w:rsidP="00935896">
      <w:pPr>
        <w:autoSpaceDE w:val="0"/>
        <w:autoSpaceDN w:val="0"/>
        <w:adjustRightInd w:val="0"/>
        <w:spacing w:before="120" w:after="120"/>
        <w:jc w:val="both"/>
        <w:rPr>
          <w:rFonts w:cs="Arial"/>
        </w:rPr>
      </w:pPr>
      <w:r w:rsidRPr="00251BF8">
        <w:rPr>
          <w:rFonts w:cs="Arial"/>
        </w:rPr>
        <w:t xml:space="preserve">Nejnižší počet případů dočasné pracovní neschopnosti v přepočtu na 100 </w:t>
      </w:r>
      <w:proofErr w:type="spellStart"/>
      <w:r w:rsidRPr="00251BF8">
        <w:rPr>
          <w:rFonts w:cs="Arial"/>
        </w:rPr>
        <w:t>nemocensky</w:t>
      </w:r>
      <w:proofErr w:type="spellEnd"/>
      <w:r w:rsidRPr="00251BF8">
        <w:rPr>
          <w:rFonts w:cs="Arial"/>
        </w:rPr>
        <w:t xml:space="preserve"> pojištěných byl evidován v odvětví Činnosti v oblasti nemovitostí (25) a Profesní, vědecké a technické činnosti (29). Celorepublikový průměr bez ohledu na odvětví činil již zmíněných 53 případů na 100 pojištěnců.</w:t>
      </w:r>
    </w:p>
    <w:p w14:paraId="182043E8" w14:textId="7FF40595" w:rsidR="00935896" w:rsidRPr="00251BF8" w:rsidRDefault="00935896" w:rsidP="00935896">
      <w:pPr>
        <w:spacing w:before="120" w:after="120"/>
        <w:jc w:val="both"/>
        <w:rPr>
          <w:rFonts w:cs="Arial"/>
          <w:color w:val="000000"/>
          <w:szCs w:val="16"/>
        </w:rPr>
      </w:pPr>
      <w:r w:rsidRPr="00251BF8">
        <w:rPr>
          <w:rFonts w:cs="Arial"/>
          <w:color w:val="000000"/>
          <w:szCs w:val="16"/>
        </w:rPr>
        <w:t xml:space="preserve">Vývoj počtu případů pracovní neschopnosti na 100 pojištěnců v jednotlivých odvětvích je zřejmý z grafu 2.5, resp. z tabulky 2.2. V roce 2023 bylo nahlášeno o </w:t>
      </w:r>
      <w:r w:rsidR="00B02AC4" w:rsidRPr="00251BF8">
        <w:rPr>
          <w:rFonts w:cs="Arial"/>
          <w:color w:val="000000"/>
          <w:szCs w:val="16"/>
        </w:rPr>
        <w:t xml:space="preserve">23 případů na 100 pojištěnců </w:t>
      </w:r>
      <w:r w:rsidR="00797463" w:rsidRPr="00251BF8">
        <w:rPr>
          <w:rFonts w:cs="Arial"/>
          <w:color w:val="000000"/>
          <w:szCs w:val="16"/>
        </w:rPr>
        <w:t>více</w:t>
      </w:r>
      <w:r w:rsidR="00B02AC4" w:rsidRPr="00251BF8">
        <w:rPr>
          <w:rFonts w:cs="Arial"/>
          <w:color w:val="000000"/>
          <w:szCs w:val="16"/>
        </w:rPr>
        <w:t xml:space="preserve"> než před 10 lety.</w:t>
      </w:r>
      <w:r w:rsidRPr="00251BF8">
        <w:rPr>
          <w:rFonts w:cs="Arial"/>
          <w:color w:val="000000"/>
          <w:szCs w:val="16"/>
        </w:rPr>
        <w:t xml:space="preserve"> Nejdynamičtější nárůst za tu dobu je patrný ve Vzdělávání (+</w:t>
      </w:r>
      <w:r w:rsidR="00B02AC4" w:rsidRPr="00251BF8">
        <w:rPr>
          <w:rFonts w:cs="Arial"/>
          <w:color w:val="000000"/>
          <w:szCs w:val="16"/>
        </w:rPr>
        <w:t>38</w:t>
      </w:r>
      <w:r w:rsidRPr="00251BF8">
        <w:rPr>
          <w:rFonts w:cs="Arial"/>
          <w:color w:val="000000"/>
          <w:szCs w:val="16"/>
        </w:rPr>
        <w:t xml:space="preserve"> případů, tj. </w:t>
      </w:r>
      <w:r w:rsidR="00B02AC4" w:rsidRPr="00251BF8">
        <w:rPr>
          <w:rFonts w:cs="Arial"/>
          <w:color w:val="000000"/>
          <w:szCs w:val="16"/>
        </w:rPr>
        <w:t>150</w:t>
      </w:r>
      <w:r w:rsidRPr="00251BF8">
        <w:rPr>
          <w:rFonts w:cs="Arial"/>
          <w:color w:val="000000"/>
          <w:szCs w:val="16"/>
        </w:rPr>
        <w:t xml:space="preserve"> %)</w:t>
      </w:r>
      <w:r w:rsidR="00797463" w:rsidRPr="00251BF8">
        <w:rPr>
          <w:rFonts w:cs="Arial"/>
          <w:color w:val="000000"/>
          <w:szCs w:val="16"/>
        </w:rPr>
        <w:t>,</w:t>
      </w:r>
      <w:r w:rsidRPr="00251BF8">
        <w:rPr>
          <w:rFonts w:cs="Arial"/>
          <w:color w:val="000000"/>
          <w:szCs w:val="16"/>
        </w:rPr>
        <w:t xml:space="preserve"> resp. </w:t>
      </w:r>
      <w:r w:rsidR="00797463" w:rsidRPr="00251BF8">
        <w:rPr>
          <w:rFonts w:cs="Arial"/>
          <w:color w:val="000000"/>
          <w:szCs w:val="16"/>
        </w:rPr>
        <w:t xml:space="preserve">ve </w:t>
      </w:r>
      <w:r w:rsidRPr="00251BF8">
        <w:rPr>
          <w:rFonts w:cs="Arial"/>
          <w:color w:val="000000"/>
          <w:szCs w:val="16"/>
        </w:rPr>
        <w:t xml:space="preserve">Zpracovatelském průmyslu, kde hodnota ukazatele vzrostla o </w:t>
      </w:r>
      <w:r w:rsidR="00B02AC4" w:rsidRPr="00251BF8">
        <w:rPr>
          <w:rFonts w:cs="Arial"/>
          <w:color w:val="000000"/>
          <w:szCs w:val="16"/>
        </w:rPr>
        <w:t>32</w:t>
      </w:r>
      <w:r w:rsidRPr="00251BF8">
        <w:rPr>
          <w:rFonts w:cs="Arial"/>
          <w:color w:val="000000"/>
          <w:szCs w:val="16"/>
        </w:rPr>
        <w:t xml:space="preserve"> případů</w:t>
      </w:r>
      <w:r w:rsidR="00B02AC4" w:rsidRPr="00251BF8">
        <w:rPr>
          <w:rFonts w:cs="Arial"/>
          <w:color w:val="000000"/>
          <w:szCs w:val="16"/>
        </w:rPr>
        <w:t xml:space="preserve"> </w:t>
      </w:r>
      <w:r w:rsidR="00E4304F" w:rsidRPr="00251BF8">
        <w:rPr>
          <w:rFonts w:cs="Arial"/>
          <w:color w:val="000000"/>
          <w:szCs w:val="16"/>
        </w:rPr>
        <w:t xml:space="preserve">v přepočtu </w:t>
      </w:r>
      <w:r w:rsidR="00B02AC4" w:rsidRPr="00251BF8">
        <w:rPr>
          <w:rFonts w:cs="Arial"/>
          <w:color w:val="000000"/>
          <w:szCs w:val="16"/>
        </w:rPr>
        <w:t>na 100 pojištěných</w:t>
      </w:r>
      <w:r w:rsidRPr="00251BF8">
        <w:rPr>
          <w:rFonts w:cs="Arial"/>
          <w:color w:val="000000"/>
          <w:szCs w:val="16"/>
        </w:rPr>
        <w:t xml:space="preserve">, tj. </w:t>
      </w:r>
      <w:r w:rsidR="00B02AC4" w:rsidRPr="00251BF8">
        <w:rPr>
          <w:rFonts w:cs="Arial"/>
          <w:color w:val="000000"/>
          <w:szCs w:val="16"/>
        </w:rPr>
        <w:t>84</w:t>
      </w:r>
      <w:r w:rsidRPr="00251BF8">
        <w:rPr>
          <w:rFonts w:cs="Arial"/>
          <w:color w:val="000000"/>
          <w:szCs w:val="16"/>
        </w:rPr>
        <w:t xml:space="preserve"> %). Ve všech sekcích došlo za zmiňované období ke zvýšení počtu případů na 100 pojištěných osob.</w:t>
      </w:r>
    </w:p>
    <w:p w14:paraId="0A0659DC" w14:textId="2025B105" w:rsidR="00E4304F" w:rsidRPr="00CD649D" w:rsidRDefault="00056319" w:rsidP="00E4304F">
      <w:pPr>
        <w:spacing w:before="120" w:after="120"/>
        <w:jc w:val="both"/>
      </w:pPr>
      <w:r w:rsidRPr="00251BF8">
        <w:t xml:space="preserve">Nejvyšší počet (63) případů pracovní neschopnosti </w:t>
      </w:r>
      <w:r w:rsidRPr="00251BF8">
        <w:rPr>
          <w:b/>
        </w:rPr>
        <w:t>pro nemoc</w:t>
      </w:r>
      <w:r w:rsidRPr="00251BF8">
        <w:t xml:space="preserve"> v přepočtu </w:t>
      </w:r>
      <w:r w:rsidRPr="00251BF8">
        <w:rPr>
          <w:b/>
        </w:rPr>
        <w:t>na 100 pojištěnců</w:t>
      </w:r>
      <w:r w:rsidRPr="00251BF8">
        <w:t xml:space="preserve"> zaznamenal Zpracovatelský průmysl a v závěsu s 6</w:t>
      </w:r>
      <w:r w:rsidR="001664E8" w:rsidRPr="00251BF8">
        <w:t>0</w:t>
      </w:r>
      <w:r w:rsidRPr="00251BF8">
        <w:t xml:space="preserve"> případy se umístila sekce Vzdělávání. U druhé zmiňované sekce se počet neschopností oproti období před pandemií zvýšil o 27 případů.</w:t>
      </w:r>
      <w:r w:rsidR="00E4304F" w:rsidRPr="00251BF8">
        <w:t xml:space="preserve"> Enormní nárůst by mohl souviset s nelehkými výzvami, kterými si prac</w:t>
      </w:r>
      <w:r w:rsidR="001664E8" w:rsidRPr="00251BF8">
        <w:t>ovníci ve školství za uplynulé 4</w:t>
      </w:r>
      <w:r w:rsidR="00E4304F" w:rsidRPr="00251BF8">
        <w:t xml:space="preserve"> roky prošli. Od distanční výuky, přes opětovnou adaptaci na prezenční výuku, až po integraci ukrajinských dětí. Nárůsty přes </w:t>
      </w:r>
      <w:r w:rsidRPr="00251BF8">
        <w:t>15</w:t>
      </w:r>
      <w:r w:rsidR="00E4304F" w:rsidRPr="00251BF8">
        <w:t xml:space="preserve"> případů pracovní neschopnosti pro nemoc na 100 pojištěnců zaznamenaly i sekce Zpracovatelský průmysl či Veřejná správa </w:t>
      </w:r>
      <w:r w:rsidR="00E4304F" w:rsidRPr="00251BF8">
        <w:lastRenderedPageBreak/>
        <w:t>a</w:t>
      </w:r>
      <w:r w:rsidRPr="00251BF8">
        <w:t> </w:t>
      </w:r>
      <w:r w:rsidR="00E4304F" w:rsidRPr="00251BF8">
        <w:t xml:space="preserve">obrana; povinné sociální zabezpečení. </w:t>
      </w:r>
      <w:r w:rsidR="00E4304F" w:rsidRPr="00251BF8">
        <w:rPr>
          <w:rFonts w:cs="Arial"/>
        </w:rPr>
        <w:t>Naopak v</w:t>
      </w:r>
      <w:r w:rsidR="00E4304F" w:rsidRPr="00251BF8">
        <w:t> sek</w:t>
      </w:r>
      <w:r w:rsidRPr="00251BF8">
        <w:t xml:space="preserve">ci Peněžnictví a pojišťovnictví; </w:t>
      </w:r>
      <w:r w:rsidR="00E4304F" w:rsidRPr="00251BF8">
        <w:t>Informační a</w:t>
      </w:r>
      <w:r w:rsidRPr="00251BF8">
        <w:t> </w:t>
      </w:r>
      <w:r w:rsidR="00E4304F" w:rsidRPr="00251BF8">
        <w:t xml:space="preserve">komunikační činnosti </w:t>
      </w:r>
      <w:r w:rsidRPr="00251BF8">
        <w:t xml:space="preserve">či Ostatní činnosti (sekce S) </w:t>
      </w:r>
      <w:r w:rsidR="00E4304F" w:rsidRPr="00251BF8">
        <w:t xml:space="preserve">došlo k nejmenším nárůstům, a sice o </w:t>
      </w:r>
      <w:r w:rsidRPr="00251BF8">
        <w:t>3 případy</w:t>
      </w:r>
      <w:r w:rsidR="00E4304F" w:rsidRPr="00251BF8">
        <w:t xml:space="preserve"> na 100</w:t>
      </w:r>
      <w:r w:rsidR="00957C5B">
        <w:t> </w:t>
      </w:r>
      <w:r w:rsidR="00E4304F" w:rsidRPr="00251BF8">
        <w:t>pojištěnců.</w:t>
      </w:r>
    </w:p>
    <w:p w14:paraId="5D3C416B" w14:textId="7103EE35" w:rsidR="00056319" w:rsidRPr="00554433" w:rsidRDefault="00056319" w:rsidP="00056319">
      <w:pPr>
        <w:pStyle w:val="Seznam"/>
        <w:spacing w:after="0"/>
        <w:contextualSpacing w:val="0"/>
        <w:jc w:val="both"/>
      </w:pPr>
      <w:r w:rsidRPr="00554433">
        <w:rPr>
          <w:b/>
        </w:rPr>
        <w:t>Tab. 2.2: Nově hlášené případy dočasné pracovní neschopnosti na 100 pojištěnců podle odvětví (sekce CZ-NACE), 201</w:t>
      </w:r>
      <w:r>
        <w:rPr>
          <w:b/>
        </w:rPr>
        <w:t>3–2023</w:t>
      </w:r>
    </w:p>
    <w:tbl>
      <w:tblPr>
        <w:tblW w:w="9638" w:type="dxa"/>
        <w:tblCellMar>
          <w:left w:w="70" w:type="dxa"/>
          <w:right w:w="70" w:type="dxa"/>
        </w:tblCellMar>
        <w:tblLook w:val="04A0" w:firstRow="1" w:lastRow="0" w:firstColumn="1" w:lastColumn="0" w:noHBand="0" w:noVBand="1"/>
      </w:tblPr>
      <w:tblGrid>
        <w:gridCol w:w="3476"/>
        <w:gridCol w:w="567"/>
        <w:gridCol w:w="567"/>
        <w:gridCol w:w="567"/>
        <w:gridCol w:w="567"/>
        <w:gridCol w:w="567"/>
        <w:gridCol w:w="567"/>
        <w:gridCol w:w="567"/>
        <w:gridCol w:w="567"/>
        <w:gridCol w:w="567"/>
        <w:gridCol w:w="559"/>
        <w:gridCol w:w="500"/>
      </w:tblGrid>
      <w:tr w:rsidR="00AF51E3" w:rsidRPr="00554433" w14:paraId="524D9427" w14:textId="14893924" w:rsidTr="00AF51E3">
        <w:trPr>
          <w:trHeight w:val="300"/>
        </w:trPr>
        <w:tc>
          <w:tcPr>
            <w:tcW w:w="3476" w:type="dxa"/>
            <w:tcBorders>
              <w:top w:val="single" w:sz="4" w:space="0" w:color="auto"/>
              <w:left w:val="nil"/>
              <w:bottom w:val="single" w:sz="4" w:space="0" w:color="auto"/>
              <w:right w:val="single" w:sz="4" w:space="0" w:color="auto"/>
            </w:tcBorders>
            <w:shd w:val="clear" w:color="000000" w:fill="F5DADD"/>
            <w:noWrap/>
            <w:vAlign w:val="center"/>
            <w:hideMark/>
          </w:tcPr>
          <w:p w14:paraId="6BA6845A"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Sekce CZ-NACE</w:t>
            </w:r>
          </w:p>
        </w:tc>
        <w:tc>
          <w:tcPr>
            <w:tcW w:w="567" w:type="dxa"/>
            <w:tcBorders>
              <w:top w:val="single" w:sz="4" w:space="0" w:color="auto"/>
              <w:left w:val="nil"/>
              <w:bottom w:val="single" w:sz="4" w:space="0" w:color="auto"/>
              <w:right w:val="nil"/>
            </w:tcBorders>
            <w:shd w:val="clear" w:color="000000" w:fill="F5DADD"/>
            <w:noWrap/>
            <w:vAlign w:val="center"/>
            <w:hideMark/>
          </w:tcPr>
          <w:p w14:paraId="53AFD5FE"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2013</w:t>
            </w:r>
          </w:p>
        </w:tc>
        <w:tc>
          <w:tcPr>
            <w:tcW w:w="567" w:type="dxa"/>
            <w:tcBorders>
              <w:top w:val="single" w:sz="4" w:space="0" w:color="auto"/>
              <w:left w:val="nil"/>
              <w:bottom w:val="single" w:sz="4" w:space="0" w:color="auto"/>
              <w:right w:val="nil"/>
            </w:tcBorders>
            <w:shd w:val="clear" w:color="000000" w:fill="F5DADD"/>
            <w:noWrap/>
            <w:vAlign w:val="center"/>
            <w:hideMark/>
          </w:tcPr>
          <w:p w14:paraId="1BB156CE"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2014</w:t>
            </w:r>
          </w:p>
        </w:tc>
        <w:tc>
          <w:tcPr>
            <w:tcW w:w="567" w:type="dxa"/>
            <w:tcBorders>
              <w:top w:val="single" w:sz="4" w:space="0" w:color="auto"/>
              <w:left w:val="nil"/>
              <w:bottom w:val="single" w:sz="4" w:space="0" w:color="auto"/>
              <w:right w:val="nil"/>
            </w:tcBorders>
            <w:shd w:val="clear" w:color="000000" w:fill="F5DADD"/>
            <w:noWrap/>
            <w:vAlign w:val="center"/>
            <w:hideMark/>
          </w:tcPr>
          <w:p w14:paraId="7D5BD507"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2015</w:t>
            </w:r>
          </w:p>
        </w:tc>
        <w:tc>
          <w:tcPr>
            <w:tcW w:w="567" w:type="dxa"/>
            <w:tcBorders>
              <w:top w:val="single" w:sz="4" w:space="0" w:color="auto"/>
              <w:left w:val="nil"/>
              <w:bottom w:val="single" w:sz="4" w:space="0" w:color="auto"/>
              <w:right w:val="nil"/>
            </w:tcBorders>
            <w:shd w:val="clear" w:color="000000" w:fill="F5DADD"/>
            <w:noWrap/>
            <w:vAlign w:val="center"/>
            <w:hideMark/>
          </w:tcPr>
          <w:p w14:paraId="47087696"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2016</w:t>
            </w:r>
          </w:p>
        </w:tc>
        <w:tc>
          <w:tcPr>
            <w:tcW w:w="567" w:type="dxa"/>
            <w:tcBorders>
              <w:top w:val="single" w:sz="4" w:space="0" w:color="auto"/>
              <w:left w:val="nil"/>
              <w:bottom w:val="single" w:sz="4" w:space="0" w:color="auto"/>
              <w:right w:val="nil"/>
            </w:tcBorders>
            <w:shd w:val="clear" w:color="000000" w:fill="F5DADD"/>
            <w:noWrap/>
            <w:vAlign w:val="center"/>
            <w:hideMark/>
          </w:tcPr>
          <w:p w14:paraId="2ABA3AE0"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2017</w:t>
            </w:r>
          </w:p>
        </w:tc>
        <w:tc>
          <w:tcPr>
            <w:tcW w:w="567" w:type="dxa"/>
            <w:tcBorders>
              <w:top w:val="single" w:sz="4" w:space="0" w:color="auto"/>
              <w:left w:val="nil"/>
              <w:bottom w:val="single" w:sz="4" w:space="0" w:color="auto"/>
              <w:right w:val="nil"/>
            </w:tcBorders>
            <w:shd w:val="clear" w:color="000000" w:fill="F5DADD"/>
            <w:noWrap/>
            <w:vAlign w:val="center"/>
            <w:hideMark/>
          </w:tcPr>
          <w:p w14:paraId="457169CF"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2018</w:t>
            </w:r>
          </w:p>
        </w:tc>
        <w:tc>
          <w:tcPr>
            <w:tcW w:w="567" w:type="dxa"/>
            <w:tcBorders>
              <w:top w:val="single" w:sz="4" w:space="0" w:color="auto"/>
              <w:left w:val="nil"/>
              <w:bottom w:val="single" w:sz="4" w:space="0" w:color="auto"/>
              <w:right w:val="nil"/>
            </w:tcBorders>
            <w:shd w:val="clear" w:color="000000" w:fill="F5DADD"/>
            <w:noWrap/>
            <w:vAlign w:val="center"/>
            <w:hideMark/>
          </w:tcPr>
          <w:p w14:paraId="2AF4FA26"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2019</w:t>
            </w:r>
          </w:p>
        </w:tc>
        <w:tc>
          <w:tcPr>
            <w:tcW w:w="567" w:type="dxa"/>
            <w:tcBorders>
              <w:top w:val="single" w:sz="4" w:space="0" w:color="auto"/>
              <w:left w:val="nil"/>
              <w:bottom w:val="single" w:sz="4" w:space="0" w:color="auto"/>
              <w:right w:val="nil"/>
            </w:tcBorders>
            <w:shd w:val="clear" w:color="000000" w:fill="F5DADD"/>
            <w:noWrap/>
            <w:vAlign w:val="center"/>
            <w:hideMark/>
          </w:tcPr>
          <w:p w14:paraId="132D5661"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2020</w:t>
            </w:r>
          </w:p>
        </w:tc>
        <w:tc>
          <w:tcPr>
            <w:tcW w:w="567" w:type="dxa"/>
            <w:tcBorders>
              <w:top w:val="single" w:sz="4" w:space="0" w:color="auto"/>
              <w:left w:val="nil"/>
              <w:bottom w:val="single" w:sz="4" w:space="0" w:color="auto"/>
              <w:right w:val="nil"/>
            </w:tcBorders>
            <w:shd w:val="clear" w:color="000000" w:fill="F5DADD"/>
            <w:noWrap/>
            <w:vAlign w:val="center"/>
            <w:hideMark/>
          </w:tcPr>
          <w:p w14:paraId="4D578128"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2021</w:t>
            </w:r>
          </w:p>
        </w:tc>
        <w:tc>
          <w:tcPr>
            <w:tcW w:w="559" w:type="dxa"/>
            <w:tcBorders>
              <w:top w:val="single" w:sz="4" w:space="0" w:color="auto"/>
              <w:bottom w:val="single" w:sz="4" w:space="0" w:color="auto"/>
            </w:tcBorders>
            <w:shd w:val="clear" w:color="auto" w:fill="F5DADD"/>
            <w:vAlign w:val="center"/>
          </w:tcPr>
          <w:p w14:paraId="3102C508" w14:textId="7DF239AC"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2022</w:t>
            </w:r>
            <w:r>
              <w:rPr>
                <w:rFonts w:cs="Arial"/>
                <w:color w:val="000000"/>
                <w:sz w:val="16"/>
                <w:szCs w:val="16"/>
              </w:rPr>
              <w:t>*</w:t>
            </w:r>
          </w:p>
        </w:tc>
        <w:tc>
          <w:tcPr>
            <w:tcW w:w="500" w:type="dxa"/>
            <w:tcBorders>
              <w:top w:val="single" w:sz="4" w:space="0" w:color="auto"/>
              <w:bottom w:val="single" w:sz="4" w:space="0" w:color="auto"/>
            </w:tcBorders>
            <w:shd w:val="clear" w:color="auto" w:fill="F5DADD"/>
            <w:vAlign w:val="center"/>
          </w:tcPr>
          <w:p w14:paraId="6F61D6B1" w14:textId="6C705A14" w:rsidR="00AF51E3" w:rsidRPr="00554433" w:rsidRDefault="00AF51E3" w:rsidP="00AF51E3">
            <w:pPr>
              <w:spacing w:after="0" w:line="240" w:lineRule="auto"/>
              <w:jc w:val="center"/>
              <w:rPr>
                <w:rFonts w:cs="Arial"/>
                <w:color w:val="000000"/>
                <w:sz w:val="16"/>
                <w:szCs w:val="16"/>
              </w:rPr>
            </w:pPr>
            <w:r>
              <w:rPr>
                <w:rFonts w:cs="Arial"/>
                <w:color w:val="000000"/>
                <w:sz w:val="16"/>
                <w:szCs w:val="16"/>
              </w:rPr>
              <w:t>2023</w:t>
            </w:r>
          </w:p>
        </w:tc>
      </w:tr>
      <w:tr w:rsidR="00AF51E3" w:rsidRPr="00554433" w14:paraId="6E4C74C8" w14:textId="1776427C" w:rsidTr="00AF51E3">
        <w:trPr>
          <w:trHeight w:val="300"/>
        </w:trPr>
        <w:tc>
          <w:tcPr>
            <w:tcW w:w="3476" w:type="dxa"/>
            <w:tcBorders>
              <w:top w:val="nil"/>
              <w:left w:val="nil"/>
              <w:bottom w:val="nil"/>
              <w:right w:val="single" w:sz="4" w:space="0" w:color="auto"/>
            </w:tcBorders>
            <w:shd w:val="clear" w:color="auto" w:fill="auto"/>
            <w:vAlign w:val="center"/>
            <w:hideMark/>
          </w:tcPr>
          <w:p w14:paraId="05398A9E" w14:textId="77777777" w:rsidR="00AF51E3" w:rsidRPr="00554433" w:rsidRDefault="00AF51E3" w:rsidP="00AF51E3">
            <w:pPr>
              <w:spacing w:after="0" w:line="240" w:lineRule="auto"/>
              <w:rPr>
                <w:rFonts w:cs="Arial"/>
                <w:b/>
                <w:bCs/>
                <w:color w:val="000000"/>
                <w:sz w:val="16"/>
                <w:szCs w:val="16"/>
              </w:rPr>
            </w:pPr>
            <w:r w:rsidRPr="00554433">
              <w:rPr>
                <w:rFonts w:cs="Arial"/>
                <w:b/>
                <w:bCs/>
                <w:color w:val="000000"/>
                <w:sz w:val="16"/>
                <w:szCs w:val="16"/>
              </w:rPr>
              <w:t xml:space="preserve">Celkem </w:t>
            </w:r>
          </w:p>
        </w:tc>
        <w:tc>
          <w:tcPr>
            <w:tcW w:w="567" w:type="dxa"/>
            <w:tcBorders>
              <w:top w:val="nil"/>
              <w:left w:val="nil"/>
              <w:bottom w:val="nil"/>
              <w:right w:val="nil"/>
            </w:tcBorders>
            <w:shd w:val="clear" w:color="auto" w:fill="auto"/>
            <w:noWrap/>
            <w:vAlign w:val="center"/>
            <w:hideMark/>
          </w:tcPr>
          <w:p w14:paraId="67336E60" w14:textId="77777777" w:rsidR="00AF51E3" w:rsidRPr="00554433" w:rsidRDefault="00AF51E3" w:rsidP="00AF51E3">
            <w:pPr>
              <w:spacing w:after="0" w:line="240" w:lineRule="auto"/>
              <w:jc w:val="center"/>
              <w:rPr>
                <w:rFonts w:cs="Arial"/>
                <w:b/>
                <w:bCs/>
                <w:color w:val="000000"/>
                <w:sz w:val="16"/>
                <w:szCs w:val="16"/>
              </w:rPr>
            </w:pPr>
            <w:r w:rsidRPr="00554433">
              <w:rPr>
                <w:rFonts w:cs="Arial"/>
                <w:b/>
                <w:bCs/>
                <w:color w:val="000000"/>
                <w:sz w:val="16"/>
                <w:szCs w:val="16"/>
              </w:rPr>
              <w:t>30,0</w:t>
            </w:r>
          </w:p>
        </w:tc>
        <w:tc>
          <w:tcPr>
            <w:tcW w:w="567" w:type="dxa"/>
            <w:tcBorders>
              <w:top w:val="nil"/>
              <w:left w:val="nil"/>
              <w:bottom w:val="nil"/>
              <w:right w:val="nil"/>
            </w:tcBorders>
            <w:shd w:val="clear" w:color="auto" w:fill="auto"/>
            <w:noWrap/>
            <w:vAlign w:val="center"/>
            <w:hideMark/>
          </w:tcPr>
          <w:p w14:paraId="3B1E4167" w14:textId="77777777" w:rsidR="00AF51E3" w:rsidRPr="00554433" w:rsidRDefault="00AF51E3" w:rsidP="00AF51E3">
            <w:pPr>
              <w:spacing w:after="0" w:line="240" w:lineRule="auto"/>
              <w:jc w:val="center"/>
              <w:rPr>
                <w:rFonts w:cs="Arial"/>
                <w:b/>
                <w:bCs/>
                <w:color w:val="000000"/>
                <w:sz w:val="16"/>
                <w:szCs w:val="16"/>
              </w:rPr>
            </w:pPr>
            <w:r w:rsidRPr="00554433">
              <w:rPr>
                <w:rFonts w:cs="Arial"/>
                <w:b/>
                <w:bCs/>
                <w:color w:val="000000"/>
                <w:sz w:val="16"/>
                <w:szCs w:val="16"/>
              </w:rPr>
              <w:t>29,5</w:t>
            </w:r>
          </w:p>
        </w:tc>
        <w:tc>
          <w:tcPr>
            <w:tcW w:w="567" w:type="dxa"/>
            <w:tcBorders>
              <w:top w:val="nil"/>
              <w:left w:val="nil"/>
              <w:bottom w:val="nil"/>
              <w:right w:val="nil"/>
            </w:tcBorders>
            <w:shd w:val="clear" w:color="auto" w:fill="auto"/>
            <w:noWrap/>
            <w:vAlign w:val="center"/>
            <w:hideMark/>
          </w:tcPr>
          <w:p w14:paraId="12BFCECF" w14:textId="77777777" w:rsidR="00AF51E3" w:rsidRPr="00554433" w:rsidRDefault="00AF51E3" w:rsidP="00AF51E3">
            <w:pPr>
              <w:spacing w:after="0" w:line="240" w:lineRule="auto"/>
              <w:jc w:val="center"/>
              <w:rPr>
                <w:rFonts w:cs="Arial"/>
                <w:b/>
                <w:bCs/>
                <w:color w:val="000000"/>
                <w:sz w:val="16"/>
                <w:szCs w:val="16"/>
              </w:rPr>
            </w:pPr>
            <w:r w:rsidRPr="00554433">
              <w:rPr>
                <w:rFonts w:cs="Arial"/>
                <w:b/>
                <w:bCs/>
                <w:color w:val="000000"/>
                <w:sz w:val="16"/>
                <w:szCs w:val="16"/>
              </w:rPr>
              <w:t>34,7</w:t>
            </w:r>
          </w:p>
        </w:tc>
        <w:tc>
          <w:tcPr>
            <w:tcW w:w="567" w:type="dxa"/>
            <w:tcBorders>
              <w:top w:val="nil"/>
              <w:left w:val="nil"/>
              <w:bottom w:val="nil"/>
              <w:right w:val="nil"/>
            </w:tcBorders>
            <w:shd w:val="clear" w:color="auto" w:fill="auto"/>
            <w:noWrap/>
            <w:vAlign w:val="center"/>
            <w:hideMark/>
          </w:tcPr>
          <w:p w14:paraId="636D8C20" w14:textId="77777777" w:rsidR="00AF51E3" w:rsidRPr="00554433" w:rsidRDefault="00AF51E3" w:rsidP="00AF51E3">
            <w:pPr>
              <w:spacing w:after="0" w:line="240" w:lineRule="auto"/>
              <w:jc w:val="center"/>
              <w:rPr>
                <w:rFonts w:cs="Arial"/>
                <w:b/>
                <w:bCs/>
                <w:color w:val="000000"/>
                <w:sz w:val="16"/>
                <w:szCs w:val="16"/>
              </w:rPr>
            </w:pPr>
            <w:r w:rsidRPr="00554433">
              <w:rPr>
                <w:rFonts w:cs="Arial"/>
                <w:b/>
                <w:bCs/>
                <w:color w:val="000000"/>
                <w:sz w:val="16"/>
                <w:szCs w:val="16"/>
              </w:rPr>
              <w:t>35,7</w:t>
            </w:r>
          </w:p>
        </w:tc>
        <w:tc>
          <w:tcPr>
            <w:tcW w:w="567" w:type="dxa"/>
            <w:tcBorders>
              <w:top w:val="nil"/>
              <w:left w:val="nil"/>
              <w:bottom w:val="nil"/>
              <w:right w:val="nil"/>
            </w:tcBorders>
            <w:shd w:val="clear" w:color="auto" w:fill="auto"/>
            <w:noWrap/>
            <w:vAlign w:val="center"/>
            <w:hideMark/>
          </w:tcPr>
          <w:p w14:paraId="7CA598EA" w14:textId="77777777" w:rsidR="00AF51E3" w:rsidRPr="00554433" w:rsidRDefault="00AF51E3" w:rsidP="00AF51E3">
            <w:pPr>
              <w:spacing w:after="0" w:line="240" w:lineRule="auto"/>
              <w:jc w:val="center"/>
              <w:rPr>
                <w:rFonts w:cs="Arial"/>
                <w:b/>
                <w:bCs/>
                <w:color w:val="000000"/>
                <w:sz w:val="16"/>
                <w:szCs w:val="16"/>
              </w:rPr>
            </w:pPr>
            <w:r w:rsidRPr="00554433">
              <w:rPr>
                <w:rFonts w:cs="Arial"/>
                <w:b/>
                <w:bCs/>
                <w:color w:val="000000"/>
                <w:sz w:val="16"/>
                <w:szCs w:val="16"/>
              </w:rPr>
              <w:t>36,6</w:t>
            </w:r>
          </w:p>
        </w:tc>
        <w:tc>
          <w:tcPr>
            <w:tcW w:w="567" w:type="dxa"/>
            <w:tcBorders>
              <w:top w:val="nil"/>
              <w:left w:val="nil"/>
              <w:bottom w:val="nil"/>
              <w:right w:val="nil"/>
            </w:tcBorders>
            <w:shd w:val="clear" w:color="auto" w:fill="auto"/>
            <w:noWrap/>
            <w:vAlign w:val="center"/>
            <w:hideMark/>
          </w:tcPr>
          <w:p w14:paraId="77E83B6C" w14:textId="77777777" w:rsidR="00AF51E3" w:rsidRPr="00554433" w:rsidRDefault="00AF51E3" w:rsidP="00AF51E3">
            <w:pPr>
              <w:spacing w:after="0" w:line="240" w:lineRule="auto"/>
              <w:jc w:val="center"/>
              <w:rPr>
                <w:rFonts w:cs="Arial"/>
                <w:b/>
                <w:bCs/>
                <w:color w:val="000000"/>
                <w:sz w:val="16"/>
                <w:szCs w:val="16"/>
              </w:rPr>
            </w:pPr>
            <w:r w:rsidRPr="00554433">
              <w:rPr>
                <w:rFonts w:cs="Arial"/>
                <w:b/>
                <w:bCs/>
                <w:color w:val="000000"/>
                <w:sz w:val="16"/>
                <w:szCs w:val="16"/>
              </w:rPr>
              <w:t>39,1</w:t>
            </w:r>
          </w:p>
        </w:tc>
        <w:tc>
          <w:tcPr>
            <w:tcW w:w="567" w:type="dxa"/>
            <w:tcBorders>
              <w:top w:val="nil"/>
              <w:left w:val="nil"/>
              <w:bottom w:val="nil"/>
              <w:right w:val="nil"/>
            </w:tcBorders>
            <w:shd w:val="clear" w:color="auto" w:fill="auto"/>
            <w:noWrap/>
            <w:vAlign w:val="center"/>
            <w:hideMark/>
          </w:tcPr>
          <w:p w14:paraId="233C8629" w14:textId="77777777" w:rsidR="00AF51E3" w:rsidRPr="00554433" w:rsidRDefault="00AF51E3" w:rsidP="00AF51E3">
            <w:pPr>
              <w:spacing w:after="0" w:line="240" w:lineRule="auto"/>
              <w:jc w:val="center"/>
              <w:rPr>
                <w:rFonts w:cs="Arial"/>
                <w:b/>
                <w:bCs/>
                <w:color w:val="000000"/>
                <w:sz w:val="16"/>
                <w:szCs w:val="16"/>
              </w:rPr>
            </w:pPr>
            <w:r w:rsidRPr="00554433">
              <w:rPr>
                <w:rFonts w:cs="Arial"/>
                <w:b/>
                <w:bCs/>
                <w:color w:val="000000"/>
                <w:sz w:val="16"/>
                <w:szCs w:val="16"/>
              </w:rPr>
              <w:t>40,5</w:t>
            </w:r>
          </w:p>
        </w:tc>
        <w:tc>
          <w:tcPr>
            <w:tcW w:w="567" w:type="dxa"/>
            <w:tcBorders>
              <w:top w:val="nil"/>
              <w:left w:val="nil"/>
              <w:bottom w:val="nil"/>
              <w:right w:val="nil"/>
            </w:tcBorders>
            <w:shd w:val="clear" w:color="auto" w:fill="auto"/>
            <w:noWrap/>
            <w:vAlign w:val="center"/>
            <w:hideMark/>
          </w:tcPr>
          <w:p w14:paraId="63F3AA55" w14:textId="77777777" w:rsidR="00AF51E3" w:rsidRPr="00554433" w:rsidRDefault="00AF51E3" w:rsidP="00AF51E3">
            <w:pPr>
              <w:spacing w:after="0" w:line="240" w:lineRule="auto"/>
              <w:jc w:val="center"/>
              <w:rPr>
                <w:rFonts w:cs="Arial"/>
                <w:b/>
                <w:bCs/>
                <w:color w:val="000000"/>
                <w:sz w:val="16"/>
                <w:szCs w:val="16"/>
              </w:rPr>
            </w:pPr>
            <w:r w:rsidRPr="00554433">
              <w:rPr>
                <w:rFonts w:cs="Arial"/>
                <w:b/>
                <w:bCs/>
                <w:color w:val="000000"/>
                <w:sz w:val="16"/>
                <w:szCs w:val="16"/>
              </w:rPr>
              <w:t>51,0</w:t>
            </w:r>
          </w:p>
        </w:tc>
        <w:tc>
          <w:tcPr>
            <w:tcW w:w="567" w:type="dxa"/>
            <w:tcBorders>
              <w:top w:val="nil"/>
              <w:left w:val="nil"/>
              <w:bottom w:val="nil"/>
              <w:right w:val="nil"/>
            </w:tcBorders>
            <w:shd w:val="clear" w:color="auto" w:fill="auto"/>
            <w:noWrap/>
            <w:vAlign w:val="center"/>
            <w:hideMark/>
          </w:tcPr>
          <w:p w14:paraId="15DA7E1C" w14:textId="77777777" w:rsidR="00AF51E3" w:rsidRPr="00554433" w:rsidRDefault="00AF51E3" w:rsidP="00AF51E3">
            <w:pPr>
              <w:spacing w:after="0" w:line="240" w:lineRule="auto"/>
              <w:jc w:val="center"/>
              <w:rPr>
                <w:rFonts w:cs="Arial"/>
                <w:b/>
                <w:bCs/>
                <w:color w:val="000000"/>
                <w:sz w:val="16"/>
                <w:szCs w:val="16"/>
              </w:rPr>
            </w:pPr>
            <w:r w:rsidRPr="00554433">
              <w:rPr>
                <w:rFonts w:cs="Arial"/>
                <w:b/>
                <w:bCs/>
                <w:color w:val="000000"/>
                <w:sz w:val="16"/>
                <w:szCs w:val="16"/>
              </w:rPr>
              <w:t>58,5</w:t>
            </w:r>
          </w:p>
        </w:tc>
        <w:tc>
          <w:tcPr>
            <w:tcW w:w="559" w:type="dxa"/>
            <w:tcBorders>
              <w:top w:val="single" w:sz="4" w:space="0" w:color="auto"/>
            </w:tcBorders>
            <w:vAlign w:val="center"/>
          </w:tcPr>
          <w:p w14:paraId="7A24BBFB" w14:textId="77777777" w:rsidR="00AF51E3" w:rsidRPr="000C02B0" w:rsidRDefault="00AF51E3" w:rsidP="00AF51E3">
            <w:pPr>
              <w:spacing w:after="0" w:line="240" w:lineRule="auto"/>
              <w:jc w:val="center"/>
              <w:rPr>
                <w:rFonts w:cs="Arial"/>
                <w:b/>
                <w:color w:val="000000"/>
                <w:sz w:val="16"/>
                <w:szCs w:val="16"/>
              </w:rPr>
            </w:pPr>
            <w:r w:rsidRPr="000C02B0">
              <w:rPr>
                <w:rFonts w:cs="Arial"/>
                <w:b/>
                <w:color w:val="000000"/>
                <w:sz w:val="16"/>
                <w:szCs w:val="16"/>
              </w:rPr>
              <w:t>72,8</w:t>
            </w:r>
          </w:p>
        </w:tc>
        <w:tc>
          <w:tcPr>
            <w:tcW w:w="500" w:type="dxa"/>
            <w:tcBorders>
              <w:top w:val="single" w:sz="4" w:space="0" w:color="auto"/>
            </w:tcBorders>
            <w:vAlign w:val="center"/>
          </w:tcPr>
          <w:p w14:paraId="2EE13E07" w14:textId="2D3C95BF" w:rsidR="00AF51E3" w:rsidRPr="000C02B0" w:rsidRDefault="00AF51E3" w:rsidP="00AF51E3">
            <w:pPr>
              <w:spacing w:after="0" w:line="240" w:lineRule="auto"/>
              <w:jc w:val="right"/>
              <w:rPr>
                <w:rFonts w:cs="Arial"/>
                <w:b/>
                <w:color w:val="000000"/>
                <w:sz w:val="16"/>
                <w:szCs w:val="16"/>
              </w:rPr>
            </w:pPr>
            <w:r>
              <w:rPr>
                <w:rFonts w:cs="Arial"/>
                <w:b/>
                <w:bCs/>
                <w:color w:val="000000"/>
                <w:sz w:val="16"/>
                <w:szCs w:val="16"/>
              </w:rPr>
              <w:t>53,2</w:t>
            </w:r>
          </w:p>
        </w:tc>
      </w:tr>
      <w:tr w:rsidR="00AF51E3" w:rsidRPr="00554433" w14:paraId="02A2AFD6" w14:textId="1215681D" w:rsidTr="00AF51E3">
        <w:trPr>
          <w:trHeight w:val="300"/>
        </w:trPr>
        <w:tc>
          <w:tcPr>
            <w:tcW w:w="3476" w:type="dxa"/>
            <w:tcBorders>
              <w:top w:val="nil"/>
              <w:left w:val="nil"/>
              <w:bottom w:val="nil"/>
              <w:right w:val="single" w:sz="4" w:space="0" w:color="auto"/>
            </w:tcBorders>
            <w:shd w:val="clear" w:color="auto" w:fill="auto"/>
            <w:vAlign w:val="center"/>
            <w:hideMark/>
          </w:tcPr>
          <w:p w14:paraId="06290C61" w14:textId="77777777" w:rsidR="00AF51E3" w:rsidRPr="00554433" w:rsidRDefault="00AF51E3" w:rsidP="00AF51E3">
            <w:pPr>
              <w:spacing w:after="0" w:line="240" w:lineRule="auto"/>
              <w:ind w:firstLineChars="100" w:firstLine="160"/>
              <w:rPr>
                <w:rFonts w:cs="Arial"/>
                <w:color w:val="000000"/>
                <w:sz w:val="16"/>
                <w:szCs w:val="16"/>
              </w:rPr>
            </w:pPr>
            <w:r w:rsidRPr="00554433">
              <w:rPr>
                <w:rFonts w:cs="Arial"/>
                <w:color w:val="000000"/>
                <w:sz w:val="16"/>
                <w:szCs w:val="16"/>
              </w:rPr>
              <w:t>A – Zemědělství, lesnictví a rybářství</w:t>
            </w:r>
          </w:p>
        </w:tc>
        <w:tc>
          <w:tcPr>
            <w:tcW w:w="567" w:type="dxa"/>
            <w:tcBorders>
              <w:top w:val="nil"/>
              <w:left w:val="nil"/>
              <w:bottom w:val="nil"/>
              <w:right w:val="nil"/>
            </w:tcBorders>
            <w:shd w:val="clear" w:color="auto" w:fill="auto"/>
            <w:noWrap/>
            <w:vAlign w:val="center"/>
            <w:hideMark/>
          </w:tcPr>
          <w:p w14:paraId="160E8189"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27,4</w:t>
            </w:r>
          </w:p>
        </w:tc>
        <w:tc>
          <w:tcPr>
            <w:tcW w:w="567" w:type="dxa"/>
            <w:tcBorders>
              <w:top w:val="nil"/>
              <w:left w:val="nil"/>
              <w:bottom w:val="nil"/>
              <w:right w:val="nil"/>
            </w:tcBorders>
            <w:shd w:val="clear" w:color="auto" w:fill="auto"/>
            <w:noWrap/>
            <w:vAlign w:val="center"/>
            <w:hideMark/>
          </w:tcPr>
          <w:p w14:paraId="458C2954"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26,5</w:t>
            </w:r>
          </w:p>
        </w:tc>
        <w:tc>
          <w:tcPr>
            <w:tcW w:w="567" w:type="dxa"/>
            <w:tcBorders>
              <w:top w:val="nil"/>
              <w:left w:val="nil"/>
              <w:bottom w:val="nil"/>
              <w:right w:val="nil"/>
            </w:tcBorders>
            <w:shd w:val="clear" w:color="auto" w:fill="auto"/>
            <w:noWrap/>
            <w:vAlign w:val="center"/>
            <w:hideMark/>
          </w:tcPr>
          <w:p w14:paraId="2D1A5D13"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30,6</w:t>
            </w:r>
          </w:p>
        </w:tc>
        <w:tc>
          <w:tcPr>
            <w:tcW w:w="567" w:type="dxa"/>
            <w:tcBorders>
              <w:top w:val="nil"/>
              <w:left w:val="nil"/>
              <w:bottom w:val="nil"/>
              <w:right w:val="nil"/>
            </w:tcBorders>
            <w:shd w:val="clear" w:color="auto" w:fill="auto"/>
            <w:noWrap/>
            <w:vAlign w:val="center"/>
            <w:hideMark/>
          </w:tcPr>
          <w:p w14:paraId="67716868"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30,9</w:t>
            </w:r>
          </w:p>
        </w:tc>
        <w:tc>
          <w:tcPr>
            <w:tcW w:w="567" w:type="dxa"/>
            <w:tcBorders>
              <w:top w:val="nil"/>
              <w:left w:val="nil"/>
              <w:bottom w:val="nil"/>
              <w:right w:val="nil"/>
            </w:tcBorders>
            <w:shd w:val="clear" w:color="auto" w:fill="auto"/>
            <w:noWrap/>
            <w:vAlign w:val="center"/>
            <w:hideMark/>
          </w:tcPr>
          <w:p w14:paraId="04BF5B11"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32,4</w:t>
            </w:r>
          </w:p>
        </w:tc>
        <w:tc>
          <w:tcPr>
            <w:tcW w:w="567" w:type="dxa"/>
            <w:tcBorders>
              <w:top w:val="nil"/>
              <w:left w:val="nil"/>
              <w:bottom w:val="nil"/>
              <w:right w:val="nil"/>
            </w:tcBorders>
            <w:shd w:val="clear" w:color="auto" w:fill="auto"/>
            <w:noWrap/>
            <w:vAlign w:val="center"/>
            <w:hideMark/>
          </w:tcPr>
          <w:p w14:paraId="3C154343"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34,4</w:t>
            </w:r>
          </w:p>
        </w:tc>
        <w:tc>
          <w:tcPr>
            <w:tcW w:w="567" w:type="dxa"/>
            <w:tcBorders>
              <w:top w:val="nil"/>
              <w:left w:val="nil"/>
              <w:bottom w:val="nil"/>
              <w:right w:val="nil"/>
            </w:tcBorders>
            <w:shd w:val="clear" w:color="auto" w:fill="auto"/>
            <w:noWrap/>
            <w:vAlign w:val="center"/>
            <w:hideMark/>
          </w:tcPr>
          <w:p w14:paraId="16C24200"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34,6</w:t>
            </w:r>
          </w:p>
        </w:tc>
        <w:tc>
          <w:tcPr>
            <w:tcW w:w="567" w:type="dxa"/>
            <w:tcBorders>
              <w:top w:val="nil"/>
              <w:left w:val="nil"/>
              <w:bottom w:val="nil"/>
              <w:right w:val="nil"/>
            </w:tcBorders>
            <w:shd w:val="clear" w:color="auto" w:fill="auto"/>
            <w:noWrap/>
            <w:vAlign w:val="center"/>
            <w:hideMark/>
          </w:tcPr>
          <w:p w14:paraId="356AB99D"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43,0</w:t>
            </w:r>
          </w:p>
        </w:tc>
        <w:tc>
          <w:tcPr>
            <w:tcW w:w="567" w:type="dxa"/>
            <w:tcBorders>
              <w:top w:val="nil"/>
              <w:left w:val="nil"/>
              <w:bottom w:val="nil"/>
              <w:right w:val="nil"/>
            </w:tcBorders>
            <w:shd w:val="clear" w:color="auto" w:fill="auto"/>
            <w:noWrap/>
            <w:vAlign w:val="center"/>
            <w:hideMark/>
          </w:tcPr>
          <w:p w14:paraId="5A5F9E0A"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52,8</w:t>
            </w:r>
          </w:p>
        </w:tc>
        <w:tc>
          <w:tcPr>
            <w:tcW w:w="559" w:type="dxa"/>
            <w:vAlign w:val="center"/>
          </w:tcPr>
          <w:p w14:paraId="213ED5F4"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58,1</w:t>
            </w:r>
          </w:p>
        </w:tc>
        <w:tc>
          <w:tcPr>
            <w:tcW w:w="500" w:type="dxa"/>
            <w:vAlign w:val="center"/>
          </w:tcPr>
          <w:p w14:paraId="5A47E4A5" w14:textId="08498A32" w:rsidR="00AF51E3" w:rsidRPr="00554433" w:rsidRDefault="00AF51E3" w:rsidP="00AF51E3">
            <w:pPr>
              <w:spacing w:after="0" w:line="240" w:lineRule="auto"/>
              <w:jc w:val="right"/>
              <w:rPr>
                <w:rFonts w:cs="Arial"/>
                <w:color w:val="000000"/>
                <w:sz w:val="16"/>
                <w:szCs w:val="16"/>
              </w:rPr>
            </w:pPr>
            <w:r>
              <w:rPr>
                <w:rFonts w:cs="Arial"/>
                <w:color w:val="000000"/>
                <w:sz w:val="16"/>
                <w:szCs w:val="16"/>
              </w:rPr>
              <w:t>41,7</w:t>
            </w:r>
          </w:p>
        </w:tc>
      </w:tr>
      <w:tr w:rsidR="00AF51E3" w:rsidRPr="00554433" w14:paraId="422912B9" w14:textId="131B6C0E" w:rsidTr="00AF51E3">
        <w:trPr>
          <w:trHeight w:val="300"/>
        </w:trPr>
        <w:tc>
          <w:tcPr>
            <w:tcW w:w="3476" w:type="dxa"/>
            <w:tcBorders>
              <w:top w:val="nil"/>
              <w:left w:val="nil"/>
              <w:bottom w:val="nil"/>
              <w:right w:val="single" w:sz="4" w:space="0" w:color="auto"/>
            </w:tcBorders>
            <w:shd w:val="clear" w:color="auto" w:fill="auto"/>
            <w:vAlign w:val="center"/>
            <w:hideMark/>
          </w:tcPr>
          <w:p w14:paraId="36404F14" w14:textId="77777777" w:rsidR="00AF51E3" w:rsidRPr="00554433" w:rsidRDefault="00AF51E3" w:rsidP="00AF51E3">
            <w:pPr>
              <w:spacing w:after="0" w:line="240" w:lineRule="auto"/>
              <w:ind w:firstLineChars="100" w:firstLine="160"/>
              <w:rPr>
                <w:rFonts w:cs="Arial"/>
                <w:color w:val="000000"/>
                <w:sz w:val="16"/>
                <w:szCs w:val="16"/>
              </w:rPr>
            </w:pPr>
            <w:r w:rsidRPr="00554433">
              <w:rPr>
                <w:rFonts w:cs="Arial"/>
                <w:color w:val="000000"/>
                <w:sz w:val="16"/>
                <w:szCs w:val="16"/>
              </w:rPr>
              <w:t>B – Těžba a dobývání</w:t>
            </w:r>
          </w:p>
        </w:tc>
        <w:tc>
          <w:tcPr>
            <w:tcW w:w="567" w:type="dxa"/>
            <w:tcBorders>
              <w:top w:val="nil"/>
              <w:left w:val="nil"/>
              <w:bottom w:val="nil"/>
              <w:right w:val="nil"/>
            </w:tcBorders>
            <w:shd w:val="clear" w:color="auto" w:fill="auto"/>
            <w:noWrap/>
            <w:vAlign w:val="center"/>
            <w:hideMark/>
          </w:tcPr>
          <w:p w14:paraId="4BB4C92F"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38,9</w:t>
            </w:r>
          </w:p>
        </w:tc>
        <w:tc>
          <w:tcPr>
            <w:tcW w:w="567" w:type="dxa"/>
            <w:tcBorders>
              <w:top w:val="nil"/>
              <w:left w:val="nil"/>
              <w:bottom w:val="nil"/>
              <w:right w:val="nil"/>
            </w:tcBorders>
            <w:shd w:val="clear" w:color="auto" w:fill="auto"/>
            <w:noWrap/>
            <w:vAlign w:val="center"/>
            <w:hideMark/>
          </w:tcPr>
          <w:p w14:paraId="7196F440"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36,0</w:t>
            </w:r>
          </w:p>
        </w:tc>
        <w:tc>
          <w:tcPr>
            <w:tcW w:w="567" w:type="dxa"/>
            <w:tcBorders>
              <w:top w:val="nil"/>
              <w:left w:val="nil"/>
              <w:bottom w:val="nil"/>
              <w:right w:val="nil"/>
            </w:tcBorders>
            <w:shd w:val="clear" w:color="auto" w:fill="auto"/>
            <w:noWrap/>
            <w:vAlign w:val="center"/>
            <w:hideMark/>
          </w:tcPr>
          <w:p w14:paraId="472535D5"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39,7</w:t>
            </w:r>
          </w:p>
        </w:tc>
        <w:tc>
          <w:tcPr>
            <w:tcW w:w="567" w:type="dxa"/>
            <w:tcBorders>
              <w:top w:val="nil"/>
              <w:left w:val="nil"/>
              <w:bottom w:val="nil"/>
              <w:right w:val="nil"/>
            </w:tcBorders>
            <w:shd w:val="clear" w:color="auto" w:fill="auto"/>
            <w:noWrap/>
            <w:vAlign w:val="center"/>
            <w:hideMark/>
          </w:tcPr>
          <w:p w14:paraId="798F0C82"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39,7</w:t>
            </w:r>
          </w:p>
        </w:tc>
        <w:tc>
          <w:tcPr>
            <w:tcW w:w="567" w:type="dxa"/>
            <w:tcBorders>
              <w:top w:val="nil"/>
              <w:left w:val="nil"/>
              <w:bottom w:val="nil"/>
              <w:right w:val="nil"/>
            </w:tcBorders>
            <w:shd w:val="clear" w:color="auto" w:fill="auto"/>
            <w:noWrap/>
            <w:vAlign w:val="center"/>
            <w:hideMark/>
          </w:tcPr>
          <w:p w14:paraId="7FDFD926"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39,5</w:t>
            </w:r>
          </w:p>
        </w:tc>
        <w:tc>
          <w:tcPr>
            <w:tcW w:w="567" w:type="dxa"/>
            <w:tcBorders>
              <w:top w:val="nil"/>
              <w:left w:val="nil"/>
              <w:bottom w:val="nil"/>
              <w:right w:val="nil"/>
            </w:tcBorders>
            <w:shd w:val="clear" w:color="auto" w:fill="auto"/>
            <w:noWrap/>
            <w:vAlign w:val="center"/>
            <w:hideMark/>
          </w:tcPr>
          <w:p w14:paraId="499A85CF"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42,7</w:t>
            </w:r>
          </w:p>
        </w:tc>
        <w:tc>
          <w:tcPr>
            <w:tcW w:w="567" w:type="dxa"/>
            <w:tcBorders>
              <w:top w:val="nil"/>
              <w:left w:val="nil"/>
              <w:bottom w:val="nil"/>
              <w:right w:val="nil"/>
            </w:tcBorders>
            <w:shd w:val="clear" w:color="auto" w:fill="auto"/>
            <w:noWrap/>
            <w:vAlign w:val="center"/>
            <w:hideMark/>
          </w:tcPr>
          <w:p w14:paraId="480C2B8B"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44,5</w:t>
            </w:r>
          </w:p>
        </w:tc>
        <w:tc>
          <w:tcPr>
            <w:tcW w:w="567" w:type="dxa"/>
            <w:tcBorders>
              <w:top w:val="nil"/>
              <w:left w:val="nil"/>
              <w:bottom w:val="nil"/>
              <w:right w:val="nil"/>
            </w:tcBorders>
            <w:shd w:val="clear" w:color="auto" w:fill="auto"/>
            <w:noWrap/>
            <w:vAlign w:val="center"/>
            <w:hideMark/>
          </w:tcPr>
          <w:p w14:paraId="15EF4911"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71,1</w:t>
            </w:r>
          </w:p>
        </w:tc>
        <w:tc>
          <w:tcPr>
            <w:tcW w:w="567" w:type="dxa"/>
            <w:tcBorders>
              <w:top w:val="nil"/>
              <w:left w:val="nil"/>
              <w:bottom w:val="nil"/>
              <w:right w:val="nil"/>
            </w:tcBorders>
            <w:shd w:val="clear" w:color="auto" w:fill="auto"/>
            <w:noWrap/>
            <w:vAlign w:val="center"/>
            <w:hideMark/>
          </w:tcPr>
          <w:p w14:paraId="17D2D54A"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70,1</w:t>
            </w:r>
          </w:p>
        </w:tc>
        <w:tc>
          <w:tcPr>
            <w:tcW w:w="559" w:type="dxa"/>
            <w:vAlign w:val="center"/>
          </w:tcPr>
          <w:p w14:paraId="0E4D2FA2"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75,3</w:t>
            </w:r>
          </w:p>
        </w:tc>
        <w:tc>
          <w:tcPr>
            <w:tcW w:w="500" w:type="dxa"/>
            <w:vAlign w:val="center"/>
          </w:tcPr>
          <w:p w14:paraId="1E0D0DF5" w14:textId="0847506C" w:rsidR="00AF51E3" w:rsidRPr="00554433" w:rsidRDefault="00AF51E3" w:rsidP="00AF51E3">
            <w:pPr>
              <w:spacing w:after="0" w:line="240" w:lineRule="auto"/>
              <w:jc w:val="right"/>
              <w:rPr>
                <w:rFonts w:cs="Arial"/>
                <w:color w:val="000000"/>
                <w:sz w:val="16"/>
                <w:szCs w:val="16"/>
              </w:rPr>
            </w:pPr>
            <w:r>
              <w:rPr>
                <w:rFonts w:cs="Arial"/>
                <w:color w:val="000000"/>
                <w:sz w:val="16"/>
                <w:szCs w:val="16"/>
              </w:rPr>
              <w:t>51,9</w:t>
            </w:r>
          </w:p>
        </w:tc>
      </w:tr>
      <w:tr w:rsidR="00AF51E3" w:rsidRPr="00554433" w14:paraId="1F9468BB" w14:textId="75DD44AB" w:rsidTr="00AF51E3">
        <w:trPr>
          <w:trHeight w:val="300"/>
        </w:trPr>
        <w:tc>
          <w:tcPr>
            <w:tcW w:w="3476" w:type="dxa"/>
            <w:tcBorders>
              <w:top w:val="nil"/>
              <w:left w:val="nil"/>
              <w:bottom w:val="nil"/>
              <w:right w:val="single" w:sz="4" w:space="0" w:color="auto"/>
            </w:tcBorders>
            <w:shd w:val="clear" w:color="auto" w:fill="auto"/>
            <w:vAlign w:val="center"/>
            <w:hideMark/>
          </w:tcPr>
          <w:p w14:paraId="3CC017E0" w14:textId="77777777" w:rsidR="00AF51E3" w:rsidRPr="00554433" w:rsidRDefault="00AF51E3" w:rsidP="00AF51E3">
            <w:pPr>
              <w:spacing w:after="0" w:line="240" w:lineRule="auto"/>
              <w:ind w:firstLineChars="100" w:firstLine="160"/>
              <w:rPr>
                <w:rFonts w:cs="Arial"/>
                <w:color w:val="000000"/>
                <w:sz w:val="16"/>
                <w:szCs w:val="16"/>
              </w:rPr>
            </w:pPr>
            <w:r w:rsidRPr="00554433">
              <w:rPr>
                <w:rFonts w:cs="Arial"/>
                <w:color w:val="000000"/>
                <w:sz w:val="16"/>
                <w:szCs w:val="16"/>
              </w:rPr>
              <w:t>C – Zpracovatelský průmysl</w:t>
            </w:r>
          </w:p>
        </w:tc>
        <w:tc>
          <w:tcPr>
            <w:tcW w:w="567" w:type="dxa"/>
            <w:tcBorders>
              <w:top w:val="nil"/>
              <w:left w:val="nil"/>
              <w:bottom w:val="nil"/>
              <w:right w:val="nil"/>
            </w:tcBorders>
            <w:shd w:val="clear" w:color="auto" w:fill="auto"/>
            <w:noWrap/>
            <w:vAlign w:val="center"/>
            <w:hideMark/>
          </w:tcPr>
          <w:p w14:paraId="0D16ACD8"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37,6</w:t>
            </w:r>
          </w:p>
        </w:tc>
        <w:tc>
          <w:tcPr>
            <w:tcW w:w="567" w:type="dxa"/>
            <w:tcBorders>
              <w:top w:val="nil"/>
              <w:left w:val="nil"/>
              <w:bottom w:val="nil"/>
              <w:right w:val="nil"/>
            </w:tcBorders>
            <w:shd w:val="clear" w:color="auto" w:fill="auto"/>
            <w:noWrap/>
            <w:vAlign w:val="center"/>
            <w:hideMark/>
          </w:tcPr>
          <w:p w14:paraId="39F18ED8"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37,7</w:t>
            </w:r>
          </w:p>
        </w:tc>
        <w:tc>
          <w:tcPr>
            <w:tcW w:w="567" w:type="dxa"/>
            <w:tcBorders>
              <w:top w:val="nil"/>
              <w:left w:val="nil"/>
              <w:bottom w:val="nil"/>
              <w:right w:val="nil"/>
            </w:tcBorders>
            <w:shd w:val="clear" w:color="auto" w:fill="auto"/>
            <w:noWrap/>
            <w:vAlign w:val="center"/>
            <w:hideMark/>
          </w:tcPr>
          <w:p w14:paraId="0301CD0A"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45,1</w:t>
            </w:r>
          </w:p>
        </w:tc>
        <w:tc>
          <w:tcPr>
            <w:tcW w:w="567" w:type="dxa"/>
            <w:tcBorders>
              <w:top w:val="nil"/>
              <w:left w:val="nil"/>
              <w:bottom w:val="nil"/>
              <w:right w:val="nil"/>
            </w:tcBorders>
            <w:shd w:val="clear" w:color="auto" w:fill="auto"/>
            <w:noWrap/>
            <w:vAlign w:val="center"/>
            <w:hideMark/>
          </w:tcPr>
          <w:p w14:paraId="7723A091"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47,2</w:t>
            </w:r>
          </w:p>
        </w:tc>
        <w:tc>
          <w:tcPr>
            <w:tcW w:w="567" w:type="dxa"/>
            <w:tcBorders>
              <w:top w:val="nil"/>
              <w:left w:val="nil"/>
              <w:bottom w:val="nil"/>
              <w:right w:val="nil"/>
            </w:tcBorders>
            <w:shd w:val="clear" w:color="auto" w:fill="auto"/>
            <w:noWrap/>
            <w:vAlign w:val="center"/>
            <w:hideMark/>
          </w:tcPr>
          <w:p w14:paraId="2CD3D3C4"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48,2</w:t>
            </w:r>
          </w:p>
        </w:tc>
        <w:tc>
          <w:tcPr>
            <w:tcW w:w="567" w:type="dxa"/>
            <w:tcBorders>
              <w:top w:val="nil"/>
              <w:left w:val="nil"/>
              <w:bottom w:val="nil"/>
              <w:right w:val="nil"/>
            </w:tcBorders>
            <w:shd w:val="clear" w:color="auto" w:fill="auto"/>
            <w:noWrap/>
            <w:vAlign w:val="center"/>
            <w:hideMark/>
          </w:tcPr>
          <w:p w14:paraId="556FBEC6"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51,8</w:t>
            </w:r>
          </w:p>
        </w:tc>
        <w:tc>
          <w:tcPr>
            <w:tcW w:w="567" w:type="dxa"/>
            <w:tcBorders>
              <w:top w:val="nil"/>
              <w:left w:val="nil"/>
              <w:bottom w:val="nil"/>
              <w:right w:val="nil"/>
            </w:tcBorders>
            <w:shd w:val="clear" w:color="auto" w:fill="auto"/>
            <w:noWrap/>
            <w:vAlign w:val="center"/>
            <w:hideMark/>
          </w:tcPr>
          <w:p w14:paraId="3AF69117"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53,9</w:t>
            </w:r>
          </w:p>
        </w:tc>
        <w:tc>
          <w:tcPr>
            <w:tcW w:w="567" w:type="dxa"/>
            <w:tcBorders>
              <w:top w:val="nil"/>
              <w:left w:val="nil"/>
              <w:bottom w:val="nil"/>
              <w:right w:val="nil"/>
            </w:tcBorders>
            <w:shd w:val="clear" w:color="auto" w:fill="auto"/>
            <w:noWrap/>
            <w:vAlign w:val="center"/>
            <w:hideMark/>
          </w:tcPr>
          <w:p w14:paraId="2028ED0F"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67,1</w:t>
            </w:r>
          </w:p>
        </w:tc>
        <w:tc>
          <w:tcPr>
            <w:tcW w:w="567" w:type="dxa"/>
            <w:tcBorders>
              <w:top w:val="nil"/>
              <w:left w:val="nil"/>
              <w:bottom w:val="nil"/>
              <w:right w:val="nil"/>
            </w:tcBorders>
            <w:shd w:val="clear" w:color="auto" w:fill="auto"/>
            <w:noWrap/>
            <w:vAlign w:val="center"/>
            <w:hideMark/>
          </w:tcPr>
          <w:p w14:paraId="5D1B19C9"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80,4</w:t>
            </w:r>
          </w:p>
        </w:tc>
        <w:tc>
          <w:tcPr>
            <w:tcW w:w="559" w:type="dxa"/>
            <w:vAlign w:val="center"/>
          </w:tcPr>
          <w:p w14:paraId="73B91CD7"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94,6</w:t>
            </w:r>
          </w:p>
        </w:tc>
        <w:tc>
          <w:tcPr>
            <w:tcW w:w="500" w:type="dxa"/>
            <w:vAlign w:val="center"/>
          </w:tcPr>
          <w:p w14:paraId="44A05E10" w14:textId="32E4F1D0" w:rsidR="00AF51E3" w:rsidRPr="00554433" w:rsidRDefault="00AF51E3" w:rsidP="00AF51E3">
            <w:pPr>
              <w:spacing w:after="0" w:line="240" w:lineRule="auto"/>
              <w:jc w:val="right"/>
              <w:rPr>
                <w:rFonts w:cs="Arial"/>
                <w:color w:val="000000"/>
                <w:sz w:val="16"/>
                <w:szCs w:val="16"/>
              </w:rPr>
            </w:pPr>
            <w:r>
              <w:rPr>
                <w:rFonts w:cs="Arial"/>
                <w:color w:val="000000"/>
                <w:sz w:val="16"/>
                <w:szCs w:val="16"/>
              </w:rPr>
              <w:t>69,1</w:t>
            </w:r>
          </w:p>
        </w:tc>
      </w:tr>
      <w:tr w:rsidR="00AF51E3" w:rsidRPr="00554433" w14:paraId="77765A80" w14:textId="57457516" w:rsidTr="00AF51E3">
        <w:trPr>
          <w:trHeight w:val="480"/>
        </w:trPr>
        <w:tc>
          <w:tcPr>
            <w:tcW w:w="3476" w:type="dxa"/>
            <w:tcBorders>
              <w:top w:val="nil"/>
              <w:left w:val="nil"/>
              <w:bottom w:val="nil"/>
              <w:right w:val="single" w:sz="4" w:space="0" w:color="auto"/>
            </w:tcBorders>
            <w:shd w:val="clear" w:color="auto" w:fill="auto"/>
            <w:vAlign w:val="center"/>
            <w:hideMark/>
          </w:tcPr>
          <w:p w14:paraId="1B8294E5" w14:textId="77777777" w:rsidR="00AF51E3" w:rsidRPr="00554433" w:rsidRDefault="00AF51E3" w:rsidP="00AF51E3">
            <w:pPr>
              <w:spacing w:after="0" w:line="240" w:lineRule="auto"/>
              <w:ind w:firstLineChars="100" w:firstLine="160"/>
              <w:rPr>
                <w:rFonts w:cs="Arial"/>
                <w:color w:val="000000"/>
                <w:sz w:val="16"/>
                <w:szCs w:val="16"/>
              </w:rPr>
            </w:pPr>
            <w:r w:rsidRPr="00554433">
              <w:rPr>
                <w:rFonts w:cs="Arial"/>
                <w:color w:val="000000"/>
                <w:sz w:val="16"/>
                <w:szCs w:val="16"/>
              </w:rPr>
              <w:t xml:space="preserve">D – Výroba a rozvod elektřiny, plynu, </w:t>
            </w:r>
            <w:r w:rsidRPr="00554433">
              <w:rPr>
                <w:rFonts w:cs="Arial"/>
                <w:color w:val="000000"/>
                <w:sz w:val="16"/>
                <w:szCs w:val="16"/>
              </w:rPr>
              <w:br/>
              <w:t xml:space="preserve">          tepla a klimatizovaného vzduchu</w:t>
            </w:r>
          </w:p>
        </w:tc>
        <w:tc>
          <w:tcPr>
            <w:tcW w:w="567" w:type="dxa"/>
            <w:tcBorders>
              <w:top w:val="nil"/>
              <w:left w:val="nil"/>
              <w:bottom w:val="nil"/>
              <w:right w:val="nil"/>
            </w:tcBorders>
            <w:shd w:val="clear" w:color="auto" w:fill="auto"/>
            <w:noWrap/>
            <w:vAlign w:val="center"/>
            <w:hideMark/>
          </w:tcPr>
          <w:p w14:paraId="62B138E3"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20,2</w:t>
            </w:r>
          </w:p>
        </w:tc>
        <w:tc>
          <w:tcPr>
            <w:tcW w:w="567" w:type="dxa"/>
            <w:tcBorders>
              <w:top w:val="nil"/>
              <w:left w:val="nil"/>
              <w:bottom w:val="nil"/>
              <w:right w:val="nil"/>
            </w:tcBorders>
            <w:shd w:val="clear" w:color="auto" w:fill="auto"/>
            <w:noWrap/>
            <w:vAlign w:val="center"/>
            <w:hideMark/>
          </w:tcPr>
          <w:p w14:paraId="43E03F72"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19,7</w:t>
            </w:r>
          </w:p>
        </w:tc>
        <w:tc>
          <w:tcPr>
            <w:tcW w:w="567" w:type="dxa"/>
            <w:tcBorders>
              <w:top w:val="nil"/>
              <w:left w:val="nil"/>
              <w:bottom w:val="nil"/>
              <w:right w:val="nil"/>
            </w:tcBorders>
            <w:shd w:val="clear" w:color="auto" w:fill="auto"/>
            <w:noWrap/>
            <w:vAlign w:val="center"/>
            <w:hideMark/>
          </w:tcPr>
          <w:p w14:paraId="0CEED03C"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23,0</w:t>
            </w:r>
          </w:p>
        </w:tc>
        <w:tc>
          <w:tcPr>
            <w:tcW w:w="567" w:type="dxa"/>
            <w:tcBorders>
              <w:top w:val="nil"/>
              <w:left w:val="nil"/>
              <w:bottom w:val="nil"/>
              <w:right w:val="nil"/>
            </w:tcBorders>
            <w:shd w:val="clear" w:color="auto" w:fill="auto"/>
            <w:noWrap/>
            <w:vAlign w:val="center"/>
            <w:hideMark/>
          </w:tcPr>
          <w:p w14:paraId="40B73CC7"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23,5</w:t>
            </w:r>
          </w:p>
        </w:tc>
        <w:tc>
          <w:tcPr>
            <w:tcW w:w="567" w:type="dxa"/>
            <w:tcBorders>
              <w:top w:val="nil"/>
              <w:left w:val="nil"/>
              <w:bottom w:val="nil"/>
              <w:right w:val="nil"/>
            </w:tcBorders>
            <w:shd w:val="clear" w:color="auto" w:fill="auto"/>
            <w:noWrap/>
            <w:vAlign w:val="center"/>
            <w:hideMark/>
          </w:tcPr>
          <w:p w14:paraId="50A373DC"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25,3</w:t>
            </w:r>
          </w:p>
        </w:tc>
        <w:tc>
          <w:tcPr>
            <w:tcW w:w="567" w:type="dxa"/>
            <w:tcBorders>
              <w:top w:val="nil"/>
              <w:left w:val="nil"/>
              <w:bottom w:val="nil"/>
              <w:right w:val="nil"/>
            </w:tcBorders>
            <w:shd w:val="clear" w:color="auto" w:fill="auto"/>
            <w:noWrap/>
            <w:vAlign w:val="center"/>
            <w:hideMark/>
          </w:tcPr>
          <w:p w14:paraId="29A0A966"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29,0</w:t>
            </w:r>
          </w:p>
        </w:tc>
        <w:tc>
          <w:tcPr>
            <w:tcW w:w="567" w:type="dxa"/>
            <w:tcBorders>
              <w:top w:val="nil"/>
              <w:left w:val="nil"/>
              <w:bottom w:val="nil"/>
              <w:right w:val="nil"/>
            </w:tcBorders>
            <w:shd w:val="clear" w:color="auto" w:fill="auto"/>
            <w:noWrap/>
            <w:vAlign w:val="center"/>
            <w:hideMark/>
          </w:tcPr>
          <w:p w14:paraId="138F65CE"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30,0</w:t>
            </w:r>
          </w:p>
        </w:tc>
        <w:tc>
          <w:tcPr>
            <w:tcW w:w="567" w:type="dxa"/>
            <w:tcBorders>
              <w:top w:val="nil"/>
              <w:left w:val="nil"/>
              <w:bottom w:val="nil"/>
              <w:right w:val="nil"/>
            </w:tcBorders>
            <w:shd w:val="clear" w:color="auto" w:fill="auto"/>
            <w:noWrap/>
            <w:vAlign w:val="center"/>
            <w:hideMark/>
          </w:tcPr>
          <w:p w14:paraId="7F4148B4"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36,1</w:t>
            </w:r>
          </w:p>
        </w:tc>
        <w:tc>
          <w:tcPr>
            <w:tcW w:w="567" w:type="dxa"/>
            <w:tcBorders>
              <w:top w:val="nil"/>
              <w:left w:val="nil"/>
              <w:bottom w:val="nil"/>
              <w:right w:val="nil"/>
            </w:tcBorders>
            <w:shd w:val="clear" w:color="auto" w:fill="auto"/>
            <w:noWrap/>
            <w:vAlign w:val="center"/>
            <w:hideMark/>
          </w:tcPr>
          <w:p w14:paraId="068F1C6D"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41,9</w:t>
            </w:r>
          </w:p>
        </w:tc>
        <w:tc>
          <w:tcPr>
            <w:tcW w:w="559" w:type="dxa"/>
            <w:vAlign w:val="center"/>
          </w:tcPr>
          <w:p w14:paraId="3B423EF7"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51,5</w:t>
            </w:r>
          </w:p>
        </w:tc>
        <w:tc>
          <w:tcPr>
            <w:tcW w:w="500" w:type="dxa"/>
            <w:vAlign w:val="center"/>
          </w:tcPr>
          <w:p w14:paraId="1EA9AEB3" w14:textId="141D8358" w:rsidR="00AF51E3" w:rsidRPr="00554433" w:rsidRDefault="00AF51E3" w:rsidP="00AF51E3">
            <w:pPr>
              <w:spacing w:after="0" w:line="240" w:lineRule="auto"/>
              <w:jc w:val="right"/>
              <w:rPr>
                <w:rFonts w:cs="Arial"/>
                <w:color w:val="000000"/>
                <w:sz w:val="16"/>
                <w:szCs w:val="16"/>
              </w:rPr>
            </w:pPr>
            <w:r>
              <w:rPr>
                <w:rFonts w:cs="Arial"/>
                <w:color w:val="000000"/>
                <w:sz w:val="16"/>
                <w:szCs w:val="16"/>
              </w:rPr>
              <w:t>37,0</w:t>
            </w:r>
          </w:p>
        </w:tc>
      </w:tr>
      <w:tr w:rsidR="00AF51E3" w:rsidRPr="00554433" w14:paraId="492530FA" w14:textId="6E9FDD78" w:rsidTr="00AF51E3">
        <w:trPr>
          <w:trHeight w:val="480"/>
        </w:trPr>
        <w:tc>
          <w:tcPr>
            <w:tcW w:w="3476" w:type="dxa"/>
            <w:tcBorders>
              <w:top w:val="nil"/>
              <w:left w:val="nil"/>
              <w:bottom w:val="nil"/>
              <w:right w:val="single" w:sz="4" w:space="0" w:color="auto"/>
            </w:tcBorders>
            <w:shd w:val="clear" w:color="auto" w:fill="auto"/>
            <w:vAlign w:val="center"/>
            <w:hideMark/>
          </w:tcPr>
          <w:p w14:paraId="127AD95D" w14:textId="77777777" w:rsidR="00AF51E3" w:rsidRPr="00554433" w:rsidRDefault="00AF51E3" w:rsidP="00AF51E3">
            <w:pPr>
              <w:spacing w:after="0" w:line="240" w:lineRule="auto"/>
              <w:ind w:firstLineChars="100" w:firstLine="160"/>
              <w:rPr>
                <w:rFonts w:cs="Arial"/>
                <w:color w:val="000000"/>
                <w:sz w:val="16"/>
                <w:szCs w:val="16"/>
              </w:rPr>
            </w:pPr>
            <w:r w:rsidRPr="00554433">
              <w:rPr>
                <w:rFonts w:cs="Arial"/>
                <w:color w:val="000000"/>
                <w:sz w:val="16"/>
                <w:szCs w:val="16"/>
              </w:rPr>
              <w:t xml:space="preserve">E – Zásobování vodou; činnosti </w:t>
            </w:r>
            <w:r w:rsidRPr="00554433">
              <w:rPr>
                <w:rFonts w:cs="Arial"/>
                <w:color w:val="000000"/>
                <w:sz w:val="16"/>
                <w:szCs w:val="16"/>
              </w:rPr>
              <w:br/>
              <w:t xml:space="preserve">          související s odpady a sanacemi</w:t>
            </w:r>
          </w:p>
        </w:tc>
        <w:tc>
          <w:tcPr>
            <w:tcW w:w="567" w:type="dxa"/>
            <w:tcBorders>
              <w:top w:val="nil"/>
              <w:left w:val="nil"/>
              <w:bottom w:val="nil"/>
              <w:right w:val="nil"/>
            </w:tcBorders>
            <w:shd w:val="clear" w:color="auto" w:fill="auto"/>
            <w:noWrap/>
            <w:vAlign w:val="center"/>
            <w:hideMark/>
          </w:tcPr>
          <w:p w14:paraId="038E34CB"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29,8</w:t>
            </w:r>
          </w:p>
        </w:tc>
        <w:tc>
          <w:tcPr>
            <w:tcW w:w="567" w:type="dxa"/>
            <w:tcBorders>
              <w:top w:val="nil"/>
              <w:left w:val="nil"/>
              <w:bottom w:val="nil"/>
              <w:right w:val="nil"/>
            </w:tcBorders>
            <w:shd w:val="clear" w:color="auto" w:fill="auto"/>
            <w:noWrap/>
            <w:vAlign w:val="center"/>
            <w:hideMark/>
          </w:tcPr>
          <w:p w14:paraId="018BF524"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29,7</w:t>
            </w:r>
          </w:p>
        </w:tc>
        <w:tc>
          <w:tcPr>
            <w:tcW w:w="567" w:type="dxa"/>
            <w:tcBorders>
              <w:top w:val="nil"/>
              <w:left w:val="nil"/>
              <w:bottom w:val="nil"/>
              <w:right w:val="nil"/>
            </w:tcBorders>
            <w:shd w:val="clear" w:color="auto" w:fill="auto"/>
            <w:noWrap/>
            <w:vAlign w:val="center"/>
            <w:hideMark/>
          </w:tcPr>
          <w:p w14:paraId="71480BB0"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34,5</w:t>
            </w:r>
          </w:p>
        </w:tc>
        <w:tc>
          <w:tcPr>
            <w:tcW w:w="567" w:type="dxa"/>
            <w:tcBorders>
              <w:top w:val="nil"/>
              <w:left w:val="nil"/>
              <w:bottom w:val="nil"/>
              <w:right w:val="nil"/>
            </w:tcBorders>
            <w:shd w:val="clear" w:color="auto" w:fill="auto"/>
            <w:noWrap/>
            <w:vAlign w:val="center"/>
            <w:hideMark/>
          </w:tcPr>
          <w:p w14:paraId="73F5662E"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36,1</w:t>
            </w:r>
          </w:p>
        </w:tc>
        <w:tc>
          <w:tcPr>
            <w:tcW w:w="567" w:type="dxa"/>
            <w:tcBorders>
              <w:top w:val="nil"/>
              <w:left w:val="nil"/>
              <w:bottom w:val="nil"/>
              <w:right w:val="nil"/>
            </w:tcBorders>
            <w:shd w:val="clear" w:color="auto" w:fill="auto"/>
            <w:noWrap/>
            <w:vAlign w:val="center"/>
            <w:hideMark/>
          </w:tcPr>
          <w:p w14:paraId="285DF936"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37,7</w:t>
            </w:r>
          </w:p>
        </w:tc>
        <w:tc>
          <w:tcPr>
            <w:tcW w:w="567" w:type="dxa"/>
            <w:tcBorders>
              <w:top w:val="nil"/>
              <w:left w:val="nil"/>
              <w:bottom w:val="nil"/>
              <w:right w:val="nil"/>
            </w:tcBorders>
            <w:shd w:val="clear" w:color="auto" w:fill="auto"/>
            <w:noWrap/>
            <w:vAlign w:val="center"/>
            <w:hideMark/>
          </w:tcPr>
          <w:p w14:paraId="382E41E4"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40,9</w:t>
            </w:r>
          </w:p>
        </w:tc>
        <w:tc>
          <w:tcPr>
            <w:tcW w:w="567" w:type="dxa"/>
            <w:tcBorders>
              <w:top w:val="nil"/>
              <w:left w:val="nil"/>
              <w:bottom w:val="nil"/>
              <w:right w:val="nil"/>
            </w:tcBorders>
            <w:shd w:val="clear" w:color="auto" w:fill="auto"/>
            <w:noWrap/>
            <w:vAlign w:val="center"/>
            <w:hideMark/>
          </w:tcPr>
          <w:p w14:paraId="61A2A749"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42,6</w:t>
            </w:r>
          </w:p>
        </w:tc>
        <w:tc>
          <w:tcPr>
            <w:tcW w:w="567" w:type="dxa"/>
            <w:tcBorders>
              <w:top w:val="nil"/>
              <w:left w:val="nil"/>
              <w:bottom w:val="nil"/>
              <w:right w:val="nil"/>
            </w:tcBorders>
            <w:shd w:val="clear" w:color="auto" w:fill="auto"/>
            <w:noWrap/>
            <w:vAlign w:val="center"/>
            <w:hideMark/>
          </w:tcPr>
          <w:p w14:paraId="37F88518"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51,8</w:t>
            </w:r>
          </w:p>
        </w:tc>
        <w:tc>
          <w:tcPr>
            <w:tcW w:w="567" w:type="dxa"/>
            <w:tcBorders>
              <w:top w:val="nil"/>
              <w:left w:val="nil"/>
              <w:bottom w:val="nil"/>
              <w:right w:val="nil"/>
            </w:tcBorders>
            <w:shd w:val="clear" w:color="auto" w:fill="auto"/>
            <w:noWrap/>
            <w:vAlign w:val="center"/>
            <w:hideMark/>
          </w:tcPr>
          <w:p w14:paraId="5416C0EF"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65,6</w:t>
            </w:r>
          </w:p>
        </w:tc>
        <w:tc>
          <w:tcPr>
            <w:tcW w:w="559" w:type="dxa"/>
            <w:vAlign w:val="center"/>
          </w:tcPr>
          <w:p w14:paraId="07F47B27"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75,4</w:t>
            </w:r>
          </w:p>
        </w:tc>
        <w:tc>
          <w:tcPr>
            <w:tcW w:w="500" w:type="dxa"/>
            <w:vAlign w:val="center"/>
          </w:tcPr>
          <w:p w14:paraId="060039A3" w14:textId="4B448515" w:rsidR="00AF51E3" w:rsidRPr="00554433" w:rsidRDefault="00AF51E3" w:rsidP="00AF51E3">
            <w:pPr>
              <w:spacing w:after="0" w:line="240" w:lineRule="auto"/>
              <w:jc w:val="right"/>
              <w:rPr>
                <w:rFonts w:cs="Arial"/>
                <w:color w:val="000000"/>
                <w:sz w:val="16"/>
                <w:szCs w:val="16"/>
              </w:rPr>
            </w:pPr>
            <w:r>
              <w:rPr>
                <w:rFonts w:cs="Arial"/>
                <w:color w:val="000000"/>
                <w:sz w:val="16"/>
                <w:szCs w:val="16"/>
              </w:rPr>
              <w:t>56,7</w:t>
            </w:r>
          </w:p>
        </w:tc>
      </w:tr>
      <w:tr w:rsidR="00AF51E3" w:rsidRPr="00554433" w14:paraId="5B940738" w14:textId="51AFCB33" w:rsidTr="00AF51E3">
        <w:trPr>
          <w:trHeight w:val="300"/>
        </w:trPr>
        <w:tc>
          <w:tcPr>
            <w:tcW w:w="3476" w:type="dxa"/>
            <w:tcBorders>
              <w:top w:val="nil"/>
              <w:left w:val="nil"/>
              <w:bottom w:val="nil"/>
              <w:right w:val="single" w:sz="4" w:space="0" w:color="auto"/>
            </w:tcBorders>
            <w:shd w:val="clear" w:color="auto" w:fill="auto"/>
            <w:vAlign w:val="center"/>
            <w:hideMark/>
          </w:tcPr>
          <w:p w14:paraId="32D4CE4C" w14:textId="77777777" w:rsidR="00AF51E3" w:rsidRPr="00554433" w:rsidRDefault="00AF51E3" w:rsidP="00AF51E3">
            <w:pPr>
              <w:spacing w:after="0" w:line="240" w:lineRule="auto"/>
              <w:ind w:firstLineChars="100" w:firstLine="160"/>
              <w:rPr>
                <w:rFonts w:cs="Arial"/>
                <w:color w:val="000000"/>
                <w:sz w:val="16"/>
                <w:szCs w:val="16"/>
              </w:rPr>
            </w:pPr>
            <w:r w:rsidRPr="00554433">
              <w:rPr>
                <w:rFonts w:cs="Arial"/>
                <w:color w:val="000000"/>
                <w:sz w:val="16"/>
                <w:szCs w:val="16"/>
              </w:rPr>
              <w:t>F – Stavebnictví</w:t>
            </w:r>
          </w:p>
        </w:tc>
        <w:tc>
          <w:tcPr>
            <w:tcW w:w="567" w:type="dxa"/>
            <w:tcBorders>
              <w:top w:val="nil"/>
              <w:left w:val="nil"/>
              <w:bottom w:val="nil"/>
              <w:right w:val="nil"/>
            </w:tcBorders>
            <w:shd w:val="clear" w:color="auto" w:fill="auto"/>
            <w:noWrap/>
            <w:vAlign w:val="center"/>
            <w:hideMark/>
          </w:tcPr>
          <w:p w14:paraId="4242DEAB"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28,9</w:t>
            </w:r>
          </w:p>
        </w:tc>
        <w:tc>
          <w:tcPr>
            <w:tcW w:w="567" w:type="dxa"/>
            <w:tcBorders>
              <w:top w:val="nil"/>
              <w:left w:val="nil"/>
              <w:bottom w:val="nil"/>
              <w:right w:val="nil"/>
            </w:tcBorders>
            <w:shd w:val="clear" w:color="auto" w:fill="auto"/>
            <w:noWrap/>
            <w:vAlign w:val="center"/>
            <w:hideMark/>
          </w:tcPr>
          <w:p w14:paraId="1A650BCF"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27,0</w:t>
            </w:r>
          </w:p>
        </w:tc>
        <w:tc>
          <w:tcPr>
            <w:tcW w:w="567" w:type="dxa"/>
            <w:tcBorders>
              <w:top w:val="nil"/>
              <w:left w:val="nil"/>
              <w:bottom w:val="nil"/>
              <w:right w:val="nil"/>
            </w:tcBorders>
            <w:shd w:val="clear" w:color="auto" w:fill="auto"/>
            <w:noWrap/>
            <w:vAlign w:val="center"/>
            <w:hideMark/>
          </w:tcPr>
          <w:p w14:paraId="3182B4D4"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30,9</w:t>
            </w:r>
          </w:p>
        </w:tc>
        <w:tc>
          <w:tcPr>
            <w:tcW w:w="567" w:type="dxa"/>
            <w:tcBorders>
              <w:top w:val="nil"/>
              <w:left w:val="nil"/>
              <w:bottom w:val="nil"/>
              <w:right w:val="nil"/>
            </w:tcBorders>
            <w:shd w:val="clear" w:color="auto" w:fill="auto"/>
            <w:noWrap/>
            <w:vAlign w:val="center"/>
            <w:hideMark/>
          </w:tcPr>
          <w:p w14:paraId="7E5FFE6E"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31,2</w:t>
            </w:r>
          </w:p>
        </w:tc>
        <w:tc>
          <w:tcPr>
            <w:tcW w:w="567" w:type="dxa"/>
            <w:tcBorders>
              <w:top w:val="nil"/>
              <w:left w:val="nil"/>
              <w:bottom w:val="nil"/>
              <w:right w:val="nil"/>
            </w:tcBorders>
            <w:shd w:val="clear" w:color="auto" w:fill="auto"/>
            <w:noWrap/>
            <w:vAlign w:val="center"/>
            <w:hideMark/>
          </w:tcPr>
          <w:p w14:paraId="43B0C4DC"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31,6</w:t>
            </w:r>
          </w:p>
        </w:tc>
        <w:tc>
          <w:tcPr>
            <w:tcW w:w="567" w:type="dxa"/>
            <w:tcBorders>
              <w:top w:val="nil"/>
              <w:left w:val="nil"/>
              <w:bottom w:val="nil"/>
              <w:right w:val="nil"/>
            </w:tcBorders>
            <w:shd w:val="clear" w:color="auto" w:fill="auto"/>
            <w:noWrap/>
            <w:vAlign w:val="center"/>
            <w:hideMark/>
          </w:tcPr>
          <w:p w14:paraId="6F7D1259"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32,7</w:t>
            </w:r>
          </w:p>
        </w:tc>
        <w:tc>
          <w:tcPr>
            <w:tcW w:w="567" w:type="dxa"/>
            <w:tcBorders>
              <w:top w:val="nil"/>
              <w:left w:val="nil"/>
              <w:bottom w:val="nil"/>
              <w:right w:val="nil"/>
            </w:tcBorders>
            <w:shd w:val="clear" w:color="auto" w:fill="auto"/>
            <w:noWrap/>
            <w:vAlign w:val="center"/>
            <w:hideMark/>
          </w:tcPr>
          <w:p w14:paraId="2C35C5C9"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33,9</w:t>
            </w:r>
          </w:p>
        </w:tc>
        <w:tc>
          <w:tcPr>
            <w:tcW w:w="567" w:type="dxa"/>
            <w:tcBorders>
              <w:top w:val="nil"/>
              <w:left w:val="nil"/>
              <w:bottom w:val="nil"/>
              <w:right w:val="nil"/>
            </w:tcBorders>
            <w:shd w:val="clear" w:color="auto" w:fill="auto"/>
            <w:noWrap/>
            <w:vAlign w:val="center"/>
            <w:hideMark/>
          </w:tcPr>
          <w:p w14:paraId="25F187C3"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44,2</w:t>
            </w:r>
          </w:p>
        </w:tc>
        <w:tc>
          <w:tcPr>
            <w:tcW w:w="567" w:type="dxa"/>
            <w:tcBorders>
              <w:top w:val="nil"/>
              <w:left w:val="nil"/>
              <w:bottom w:val="nil"/>
              <w:right w:val="nil"/>
            </w:tcBorders>
            <w:shd w:val="clear" w:color="auto" w:fill="auto"/>
            <w:noWrap/>
            <w:vAlign w:val="center"/>
            <w:hideMark/>
          </w:tcPr>
          <w:p w14:paraId="3DF21237"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52,4</w:t>
            </w:r>
          </w:p>
        </w:tc>
        <w:tc>
          <w:tcPr>
            <w:tcW w:w="559" w:type="dxa"/>
            <w:vAlign w:val="center"/>
          </w:tcPr>
          <w:p w14:paraId="0AB1A1AC"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56,0</w:t>
            </w:r>
          </w:p>
        </w:tc>
        <w:tc>
          <w:tcPr>
            <w:tcW w:w="500" w:type="dxa"/>
            <w:vAlign w:val="center"/>
          </w:tcPr>
          <w:p w14:paraId="60134B14" w14:textId="1EB266B9" w:rsidR="00AF51E3" w:rsidRPr="00554433" w:rsidRDefault="00AF51E3" w:rsidP="00AF51E3">
            <w:pPr>
              <w:spacing w:after="0" w:line="240" w:lineRule="auto"/>
              <w:jc w:val="right"/>
              <w:rPr>
                <w:rFonts w:cs="Arial"/>
                <w:color w:val="000000"/>
                <w:sz w:val="16"/>
                <w:szCs w:val="16"/>
              </w:rPr>
            </w:pPr>
            <w:r>
              <w:rPr>
                <w:rFonts w:cs="Arial"/>
                <w:color w:val="000000"/>
                <w:sz w:val="16"/>
                <w:szCs w:val="16"/>
              </w:rPr>
              <w:t>41,0</w:t>
            </w:r>
          </w:p>
        </w:tc>
      </w:tr>
      <w:tr w:rsidR="00AF51E3" w:rsidRPr="00554433" w14:paraId="0ED2007F" w14:textId="5F341927" w:rsidTr="00AF51E3">
        <w:trPr>
          <w:trHeight w:val="480"/>
        </w:trPr>
        <w:tc>
          <w:tcPr>
            <w:tcW w:w="3476" w:type="dxa"/>
            <w:tcBorders>
              <w:top w:val="nil"/>
              <w:left w:val="nil"/>
              <w:bottom w:val="nil"/>
              <w:right w:val="single" w:sz="4" w:space="0" w:color="auto"/>
            </w:tcBorders>
            <w:shd w:val="clear" w:color="auto" w:fill="auto"/>
            <w:vAlign w:val="center"/>
            <w:hideMark/>
          </w:tcPr>
          <w:p w14:paraId="58E5D0F9" w14:textId="77777777" w:rsidR="00AF51E3" w:rsidRPr="00554433" w:rsidRDefault="00AF51E3" w:rsidP="00AF51E3">
            <w:pPr>
              <w:spacing w:after="0" w:line="240" w:lineRule="auto"/>
              <w:ind w:firstLineChars="100" w:firstLine="160"/>
              <w:rPr>
                <w:rFonts w:cs="Arial"/>
                <w:color w:val="000000"/>
                <w:sz w:val="16"/>
                <w:szCs w:val="16"/>
              </w:rPr>
            </w:pPr>
            <w:r w:rsidRPr="00554433">
              <w:rPr>
                <w:rFonts w:cs="Arial"/>
                <w:color w:val="000000"/>
                <w:sz w:val="16"/>
                <w:szCs w:val="16"/>
              </w:rPr>
              <w:t xml:space="preserve">G – Velkoobchod a maloobchod; </w:t>
            </w:r>
            <w:r w:rsidRPr="00554433">
              <w:rPr>
                <w:rFonts w:cs="Arial"/>
                <w:color w:val="000000"/>
                <w:sz w:val="16"/>
                <w:szCs w:val="16"/>
              </w:rPr>
              <w:br/>
              <w:t xml:space="preserve">          opravy a údržba motorových vozidel</w:t>
            </w:r>
          </w:p>
        </w:tc>
        <w:tc>
          <w:tcPr>
            <w:tcW w:w="567" w:type="dxa"/>
            <w:tcBorders>
              <w:top w:val="nil"/>
              <w:left w:val="nil"/>
              <w:bottom w:val="nil"/>
              <w:right w:val="nil"/>
            </w:tcBorders>
            <w:shd w:val="clear" w:color="auto" w:fill="auto"/>
            <w:noWrap/>
            <w:vAlign w:val="center"/>
            <w:hideMark/>
          </w:tcPr>
          <w:p w14:paraId="19733A68"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26,6</w:t>
            </w:r>
          </w:p>
        </w:tc>
        <w:tc>
          <w:tcPr>
            <w:tcW w:w="567" w:type="dxa"/>
            <w:tcBorders>
              <w:top w:val="nil"/>
              <w:left w:val="nil"/>
              <w:bottom w:val="nil"/>
              <w:right w:val="nil"/>
            </w:tcBorders>
            <w:shd w:val="clear" w:color="auto" w:fill="auto"/>
            <w:noWrap/>
            <w:vAlign w:val="center"/>
            <w:hideMark/>
          </w:tcPr>
          <w:p w14:paraId="7494769A"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26,3</w:t>
            </w:r>
          </w:p>
        </w:tc>
        <w:tc>
          <w:tcPr>
            <w:tcW w:w="567" w:type="dxa"/>
            <w:tcBorders>
              <w:top w:val="nil"/>
              <w:left w:val="nil"/>
              <w:bottom w:val="nil"/>
              <w:right w:val="nil"/>
            </w:tcBorders>
            <w:shd w:val="clear" w:color="auto" w:fill="auto"/>
            <w:noWrap/>
            <w:vAlign w:val="center"/>
            <w:hideMark/>
          </w:tcPr>
          <w:p w14:paraId="7E96F571"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30,3</w:t>
            </w:r>
          </w:p>
        </w:tc>
        <w:tc>
          <w:tcPr>
            <w:tcW w:w="567" w:type="dxa"/>
            <w:tcBorders>
              <w:top w:val="nil"/>
              <w:left w:val="nil"/>
              <w:bottom w:val="nil"/>
              <w:right w:val="nil"/>
            </w:tcBorders>
            <w:shd w:val="clear" w:color="auto" w:fill="auto"/>
            <w:noWrap/>
            <w:vAlign w:val="center"/>
            <w:hideMark/>
          </w:tcPr>
          <w:p w14:paraId="0052E7DE"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33,8</w:t>
            </w:r>
          </w:p>
        </w:tc>
        <w:tc>
          <w:tcPr>
            <w:tcW w:w="567" w:type="dxa"/>
            <w:tcBorders>
              <w:top w:val="nil"/>
              <w:left w:val="nil"/>
              <w:bottom w:val="nil"/>
              <w:right w:val="nil"/>
            </w:tcBorders>
            <w:shd w:val="clear" w:color="auto" w:fill="auto"/>
            <w:noWrap/>
            <w:vAlign w:val="center"/>
            <w:hideMark/>
          </w:tcPr>
          <w:p w14:paraId="0795CDD9"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34,5</w:t>
            </w:r>
          </w:p>
        </w:tc>
        <w:tc>
          <w:tcPr>
            <w:tcW w:w="567" w:type="dxa"/>
            <w:tcBorders>
              <w:top w:val="nil"/>
              <w:left w:val="nil"/>
              <w:bottom w:val="nil"/>
              <w:right w:val="nil"/>
            </w:tcBorders>
            <w:shd w:val="clear" w:color="auto" w:fill="auto"/>
            <w:noWrap/>
            <w:vAlign w:val="center"/>
            <w:hideMark/>
          </w:tcPr>
          <w:p w14:paraId="1906B908"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37,6</w:t>
            </w:r>
          </w:p>
        </w:tc>
        <w:tc>
          <w:tcPr>
            <w:tcW w:w="567" w:type="dxa"/>
            <w:tcBorders>
              <w:top w:val="nil"/>
              <w:left w:val="nil"/>
              <w:bottom w:val="nil"/>
              <w:right w:val="nil"/>
            </w:tcBorders>
            <w:shd w:val="clear" w:color="auto" w:fill="auto"/>
            <w:noWrap/>
            <w:vAlign w:val="center"/>
            <w:hideMark/>
          </w:tcPr>
          <w:p w14:paraId="31F5166E"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40,3</w:t>
            </w:r>
          </w:p>
        </w:tc>
        <w:tc>
          <w:tcPr>
            <w:tcW w:w="567" w:type="dxa"/>
            <w:tcBorders>
              <w:top w:val="nil"/>
              <w:left w:val="nil"/>
              <w:bottom w:val="nil"/>
              <w:right w:val="nil"/>
            </w:tcBorders>
            <w:shd w:val="clear" w:color="auto" w:fill="auto"/>
            <w:noWrap/>
            <w:vAlign w:val="center"/>
            <w:hideMark/>
          </w:tcPr>
          <w:p w14:paraId="226A3CD6"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49,9</w:t>
            </w:r>
          </w:p>
        </w:tc>
        <w:tc>
          <w:tcPr>
            <w:tcW w:w="567" w:type="dxa"/>
            <w:tcBorders>
              <w:top w:val="nil"/>
              <w:left w:val="nil"/>
              <w:bottom w:val="nil"/>
              <w:right w:val="nil"/>
            </w:tcBorders>
            <w:shd w:val="clear" w:color="auto" w:fill="auto"/>
            <w:noWrap/>
            <w:vAlign w:val="center"/>
            <w:hideMark/>
          </w:tcPr>
          <w:p w14:paraId="60ACA8C8"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56,9</w:t>
            </w:r>
          </w:p>
        </w:tc>
        <w:tc>
          <w:tcPr>
            <w:tcW w:w="559" w:type="dxa"/>
            <w:vAlign w:val="center"/>
          </w:tcPr>
          <w:p w14:paraId="5AD3EA57"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71,7</w:t>
            </w:r>
          </w:p>
        </w:tc>
        <w:tc>
          <w:tcPr>
            <w:tcW w:w="500" w:type="dxa"/>
            <w:vAlign w:val="center"/>
          </w:tcPr>
          <w:p w14:paraId="6CB5D3AB" w14:textId="3D1B96DB" w:rsidR="00AF51E3" w:rsidRPr="00554433" w:rsidRDefault="00AF51E3" w:rsidP="00AF51E3">
            <w:pPr>
              <w:spacing w:after="0" w:line="240" w:lineRule="auto"/>
              <w:jc w:val="right"/>
              <w:rPr>
                <w:rFonts w:cs="Arial"/>
                <w:color w:val="000000"/>
                <w:sz w:val="16"/>
                <w:szCs w:val="16"/>
              </w:rPr>
            </w:pPr>
            <w:r>
              <w:rPr>
                <w:rFonts w:cs="Arial"/>
                <w:color w:val="000000"/>
                <w:sz w:val="16"/>
                <w:szCs w:val="16"/>
              </w:rPr>
              <w:t>51,2</w:t>
            </w:r>
          </w:p>
        </w:tc>
      </w:tr>
      <w:tr w:rsidR="00AF51E3" w:rsidRPr="00554433" w14:paraId="583AD72E" w14:textId="1686338C" w:rsidTr="00AF51E3">
        <w:trPr>
          <w:trHeight w:val="300"/>
        </w:trPr>
        <w:tc>
          <w:tcPr>
            <w:tcW w:w="3476" w:type="dxa"/>
            <w:tcBorders>
              <w:top w:val="nil"/>
              <w:left w:val="nil"/>
              <w:bottom w:val="nil"/>
              <w:right w:val="single" w:sz="4" w:space="0" w:color="auto"/>
            </w:tcBorders>
            <w:shd w:val="clear" w:color="auto" w:fill="auto"/>
            <w:vAlign w:val="center"/>
            <w:hideMark/>
          </w:tcPr>
          <w:p w14:paraId="2969C967" w14:textId="77777777" w:rsidR="00AF51E3" w:rsidRPr="00554433" w:rsidRDefault="00AF51E3" w:rsidP="00AF51E3">
            <w:pPr>
              <w:spacing w:after="0" w:line="240" w:lineRule="auto"/>
              <w:ind w:firstLineChars="100" w:firstLine="160"/>
              <w:rPr>
                <w:rFonts w:cs="Arial"/>
                <w:color w:val="000000"/>
                <w:sz w:val="16"/>
                <w:szCs w:val="16"/>
              </w:rPr>
            </w:pPr>
            <w:r w:rsidRPr="00554433">
              <w:rPr>
                <w:rFonts w:cs="Arial"/>
                <w:color w:val="000000"/>
                <w:sz w:val="16"/>
                <w:szCs w:val="16"/>
              </w:rPr>
              <w:t>H – Doprava a skladování</w:t>
            </w:r>
          </w:p>
        </w:tc>
        <w:tc>
          <w:tcPr>
            <w:tcW w:w="567" w:type="dxa"/>
            <w:tcBorders>
              <w:top w:val="nil"/>
              <w:left w:val="nil"/>
              <w:bottom w:val="nil"/>
              <w:right w:val="nil"/>
            </w:tcBorders>
            <w:shd w:val="clear" w:color="auto" w:fill="auto"/>
            <w:noWrap/>
            <w:vAlign w:val="center"/>
            <w:hideMark/>
          </w:tcPr>
          <w:p w14:paraId="371AE007"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27,5</w:t>
            </w:r>
          </w:p>
        </w:tc>
        <w:tc>
          <w:tcPr>
            <w:tcW w:w="567" w:type="dxa"/>
            <w:tcBorders>
              <w:top w:val="nil"/>
              <w:left w:val="nil"/>
              <w:bottom w:val="nil"/>
              <w:right w:val="nil"/>
            </w:tcBorders>
            <w:shd w:val="clear" w:color="auto" w:fill="auto"/>
            <w:noWrap/>
            <w:vAlign w:val="center"/>
            <w:hideMark/>
          </w:tcPr>
          <w:p w14:paraId="1D1132FA"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27,3</w:t>
            </w:r>
          </w:p>
        </w:tc>
        <w:tc>
          <w:tcPr>
            <w:tcW w:w="567" w:type="dxa"/>
            <w:tcBorders>
              <w:top w:val="nil"/>
              <w:left w:val="nil"/>
              <w:bottom w:val="nil"/>
              <w:right w:val="nil"/>
            </w:tcBorders>
            <w:shd w:val="clear" w:color="auto" w:fill="auto"/>
            <w:noWrap/>
            <w:vAlign w:val="center"/>
            <w:hideMark/>
          </w:tcPr>
          <w:p w14:paraId="37DD70C5"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32,5</w:t>
            </w:r>
          </w:p>
        </w:tc>
        <w:tc>
          <w:tcPr>
            <w:tcW w:w="567" w:type="dxa"/>
            <w:tcBorders>
              <w:top w:val="nil"/>
              <w:left w:val="nil"/>
              <w:bottom w:val="nil"/>
              <w:right w:val="nil"/>
            </w:tcBorders>
            <w:shd w:val="clear" w:color="auto" w:fill="auto"/>
            <w:noWrap/>
            <w:vAlign w:val="center"/>
            <w:hideMark/>
          </w:tcPr>
          <w:p w14:paraId="453C0823"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33,6</w:t>
            </w:r>
          </w:p>
        </w:tc>
        <w:tc>
          <w:tcPr>
            <w:tcW w:w="567" w:type="dxa"/>
            <w:tcBorders>
              <w:top w:val="nil"/>
              <w:left w:val="nil"/>
              <w:bottom w:val="nil"/>
              <w:right w:val="nil"/>
            </w:tcBorders>
            <w:shd w:val="clear" w:color="auto" w:fill="auto"/>
            <w:noWrap/>
            <w:vAlign w:val="center"/>
            <w:hideMark/>
          </w:tcPr>
          <w:p w14:paraId="2B110700"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36,4</w:t>
            </w:r>
          </w:p>
        </w:tc>
        <w:tc>
          <w:tcPr>
            <w:tcW w:w="567" w:type="dxa"/>
            <w:tcBorders>
              <w:top w:val="nil"/>
              <w:left w:val="nil"/>
              <w:bottom w:val="nil"/>
              <w:right w:val="nil"/>
            </w:tcBorders>
            <w:shd w:val="clear" w:color="auto" w:fill="auto"/>
            <w:noWrap/>
            <w:vAlign w:val="center"/>
            <w:hideMark/>
          </w:tcPr>
          <w:p w14:paraId="47464E23"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39,2</w:t>
            </w:r>
          </w:p>
        </w:tc>
        <w:tc>
          <w:tcPr>
            <w:tcW w:w="567" w:type="dxa"/>
            <w:tcBorders>
              <w:top w:val="nil"/>
              <w:left w:val="nil"/>
              <w:bottom w:val="nil"/>
              <w:right w:val="nil"/>
            </w:tcBorders>
            <w:shd w:val="clear" w:color="auto" w:fill="auto"/>
            <w:noWrap/>
            <w:vAlign w:val="center"/>
            <w:hideMark/>
          </w:tcPr>
          <w:p w14:paraId="6F3064F6"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39,9</w:t>
            </w:r>
          </w:p>
        </w:tc>
        <w:tc>
          <w:tcPr>
            <w:tcW w:w="567" w:type="dxa"/>
            <w:tcBorders>
              <w:top w:val="nil"/>
              <w:left w:val="nil"/>
              <w:bottom w:val="nil"/>
              <w:right w:val="nil"/>
            </w:tcBorders>
            <w:shd w:val="clear" w:color="auto" w:fill="auto"/>
            <w:noWrap/>
            <w:vAlign w:val="center"/>
            <w:hideMark/>
          </w:tcPr>
          <w:p w14:paraId="2E9E1FD0"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50,0</w:t>
            </w:r>
          </w:p>
        </w:tc>
        <w:tc>
          <w:tcPr>
            <w:tcW w:w="567" w:type="dxa"/>
            <w:tcBorders>
              <w:top w:val="nil"/>
              <w:left w:val="nil"/>
              <w:bottom w:val="nil"/>
              <w:right w:val="nil"/>
            </w:tcBorders>
            <w:shd w:val="clear" w:color="auto" w:fill="auto"/>
            <w:noWrap/>
            <w:vAlign w:val="center"/>
            <w:hideMark/>
          </w:tcPr>
          <w:p w14:paraId="03373E84"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61,2</w:t>
            </w:r>
          </w:p>
        </w:tc>
        <w:tc>
          <w:tcPr>
            <w:tcW w:w="559" w:type="dxa"/>
            <w:vAlign w:val="center"/>
          </w:tcPr>
          <w:p w14:paraId="7965FA28"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70,0</w:t>
            </w:r>
          </w:p>
        </w:tc>
        <w:tc>
          <w:tcPr>
            <w:tcW w:w="500" w:type="dxa"/>
            <w:vAlign w:val="center"/>
          </w:tcPr>
          <w:p w14:paraId="35742F0B" w14:textId="66772C9E" w:rsidR="00AF51E3" w:rsidRPr="00554433" w:rsidRDefault="00AF51E3" w:rsidP="00AF51E3">
            <w:pPr>
              <w:spacing w:after="0" w:line="240" w:lineRule="auto"/>
              <w:jc w:val="right"/>
              <w:rPr>
                <w:rFonts w:cs="Arial"/>
                <w:color w:val="000000"/>
                <w:sz w:val="16"/>
                <w:szCs w:val="16"/>
              </w:rPr>
            </w:pPr>
            <w:r>
              <w:rPr>
                <w:rFonts w:cs="Arial"/>
                <w:color w:val="000000"/>
                <w:sz w:val="16"/>
                <w:szCs w:val="16"/>
              </w:rPr>
              <w:t>51,2</w:t>
            </w:r>
          </w:p>
        </w:tc>
      </w:tr>
      <w:tr w:rsidR="00AF51E3" w:rsidRPr="00554433" w14:paraId="6FC4EBF1" w14:textId="453D80C7" w:rsidTr="00AF51E3">
        <w:trPr>
          <w:trHeight w:val="480"/>
        </w:trPr>
        <w:tc>
          <w:tcPr>
            <w:tcW w:w="3476" w:type="dxa"/>
            <w:tcBorders>
              <w:top w:val="nil"/>
              <w:left w:val="nil"/>
              <w:bottom w:val="nil"/>
              <w:right w:val="single" w:sz="4" w:space="0" w:color="auto"/>
            </w:tcBorders>
            <w:shd w:val="clear" w:color="auto" w:fill="auto"/>
            <w:vAlign w:val="center"/>
            <w:hideMark/>
          </w:tcPr>
          <w:p w14:paraId="645DD9D9" w14:textId="77777777" w:rsidR="00AF51E3" w:rsidRPr="00554433" w:rsidRDefault="00AF51E3" w:rsidP="00AF51E3">
            <w:pPr>
              <w:spacing w:after="0" w:line="240" w:lineRule="auto"/>
              <w:ind w:firstLineChars="100" w:firstLine="160"/>
              <w:rPr>
                <w:rFonts w:cs="Arial"/>
                <w:color w:val="000000"/>
                <w:sz w:val="16"/>
                <w:szCs w:val="16"/>
              </w:rPr>
            </w:pPr>
            <w:r w:rsidRPr="00554433">
              <w:rPr>
                <w:rFonts w:cs="Arial"/>
                <w:color w:val="000000"/>
                <w:sz w:val="16"/>
                <w:szCs w:val="16"/>
              </w:rPr>
              <w:t xml:space="preserve">I – Ubytování, stravování </w:t>
            </w:r>
            <w:r w:rsidRPr="00554433">
              <w:rPr>
                <w:rFonts w:cs="Arial"/>
                <w:color w:val="000000"/>
                <w:sz w:val="16"/>
                <w:szCs w:val="16"/>
              </w:rPr>
              <w:br/>
              <w:t xml:space="preserve">         a pohostinství</w:t>
            </w:r>
          </w:p>
        </w:tc>
        <w:tc>
          <w:tcPr>
            <w:tcW w:w="567" w:type="dxa"/>
            <w:tcBorders>
              <w:top w:val="nil"/>
              <w:left w:val="nil"/>
              <w:bottom w:val="nil"/>
              <w:right w:val="nil"/>
            </w:tcBorders>
            <w:shd w:val="clear" w:color="auto" w:fill="auto"/>
            <w:noWrap/>
            <w:vAlign w:val="center"/>
            <w:hideMark/>
          </w:tcPr>
          <w:p w14:paraId="376E1D25"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23,7</w:t>
            </w:r>
          </w:p>
        </w:tc>
        <w:tc>
          <w:tcPr>
            <w:tcW w:w="567" w:type="dxa"/>
            <w:tcBorders>
              <w:top w:val="nil"/>
              <w:left w:val="nil"/>
              <w:bottom w:val="nil"/>
              <w:right w:val="nil"/>
            </w:tcBorders>
            <w:shd w:val="clear" w:color="auto" w:fill="auto"/>
            <w:noWrap/>
            <w:vAlign w:val="center"/>
            <w:hideMark/>
          </w:tcPr>
          <w:p w14:paraId="1660E43E"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23,7</w:t>
            </w:r>
          </w:p>
        </w:tc>
        <w:tc>
          <w:tcPr>
            <w:tcW w:w="567" w:type="dxa"/>
            <w:tcBorders>
              <w:top w:val="nil"/>
              <w:left w:val="nil"/>
              <w:bottom w:val="nil"/>
              <w:right w:val="nil"/>
            </w:tcBorders>
            <w:shd w:val="clear" w:color="auto" w:fill="auto"/>
            <w:noWrap/>
            <w:vAlign w:val="center"/>
            <w:hideMark/>
          </w:tcPr>
          <w:p w14:paraId="1E20E329"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26,9</w:t>
            </w:r>
          </w:p>
        </w:tc>
        <w:tc>
          <w:tcPr>
            <w:tcW w:w="567" w:type="dxa"/>
            <w:tcBorders>
              <w:top w:val="nil"/>
              <w:left w:val="nil"/>
              <w:bottom w:val="nil"/>
              <w:right w:val="nil"/>
            </w:tcBorders>
            <w:shd w:val="clear" w:color="auto" w:fill="auto"/>
            <w:noWrap/>
            <w:vAlign w:val="center"/>
            <w:hideMark/>
          </w:tcPr>
          <w:p w14:paraId="6EB75E0E"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28,0</w:t>
            </w:r>
          </w:p>
        </w:tc>
        <w:tc>
          <w:tcPr>
            <w:tcW w:w="567" w:type="dxa"/>
            <w:tcBorders>
              <w:top w:val="nil"/>
              <w:left w:val="nil"/>
              <w:bottom w:val="nil"/>
              <w:right w:val="nil"/>
            </w:tcBorders>
            <w:shd w:val="clear" w:color="auto" w:fill="auto"/>
            <w:noWrap/>
            <w:vAlign w:val="center"/>
            <w:hideMark/>
          </w:tcPr>
          <w:p w14:paraId="0BA027D7"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27,9</w:t>
            </w:r>
          </w:p>
        </w:tc>
        <w:tc>
          <w:tcPr>
            <w:tcW w:w="567" w:type="dxa"/>
            <w:tcBorders>
              <w:top w:val="nil"/>
              <w:left w:val="nil"/>
              <w:bottom w:val="nil"/>
              <w:right w:val="nil"/>
            </w:tcBorders>
            <w:shd w:val="clear" w:color="auto" w:fill="auto"/>
            <w:noWrap/>
            <w:vAlign w:val="center"/>
            <w:hideMark/>
          </w:tcPr>
          <w:p w14:paraId="1A251430"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29,9</w:t>
            </w:r>
          </w:p>
        </w:tc>
        <w:tc>
          <w:tcPr>
            <w:tcW w:w="567" w:type="dxa"/>
            <w:tcBorders>
              <w:top w:val="nil"/>
              <w:left w:val="nil"/>
              <w:bottom w:val="nil"/>
              <w:right w:val="nil"/>
            </w:tcBorders>
            <w:shd w:val="clear" w:color="auto" w:fill="auto"/>
            <w:noWrap/>
            <w:vAlign w:val="center"/>
            <w:hideMark/>
          </w:tcPr>
          <w:p w14:paraId="1B8427F1"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30,8</w:t>
            </w:r>
          </w:p>
        </w:tc>
        <w:tc>
          <w:tcPr>
            <w:tcW w:w="567" w:type="dxa"/>
            <w:tcBorders>
              <w:top w:val="nil"/>
              <w:left w:val="nil"/>
              <w:bottom w:val="nil"/>
              <w:right w:val="nil"/>
            </w:tcBorders>
            <w:shd w:val="clear" w:color="auto" w:fill="auto"/>
            <w:noWrap/>
            <w:vAlign w:val="center"/>
            <w:hideMark/>
          </w:tcPr>
          <w:p w14:paraId="37FD0C5D"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41,5</w:t>
            </w:r>
          </w:p>
        </w:tc>
        <w:tc>
          <w:tcPr>
            <w:tcW w:w="567" w:type="dxa"/>
            <w:tcBorders>
              <w:top w:val="nil"/>
              <w:left w:val="nil"/>
              <w:bottom w:val="nil"/>
              <w:right w:val="nil"/>
            </w:tcBorders>
            <w:shd w:val="clear" w:color="auto" w:fill="auto"/>
            <w:noWrap/>
            <w:vAlign w:val="center"/>
            <w:hideMark/>
          </w:tcPr>
          <w:p w14:paraId="01D00E07"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39,2</w:t>
            </w:r>
          </w:p>
        </w:tc>
        <w:tc>
          <w:tcPr>
            <w:tcW w:w="559" w:type="dxa"/>
            <w:vAlign w:val="center"/>
          </w:tcPr>
          <w:p w14:paraId="25B6C589"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51,9</w:t>
            </w:r>
          </w:p>
        </w:tc>
        <w:tc>
          <w:tcPr>
            <w:tcW w:w="500" w:type="dxa"/>
            <w:vAlign w:val="center"/>
          </w:tcPr>
          <w:p w14:paraId="63822C94" w14:textId="04F79A2B" w:rsidR="00AF51E3" w:rsidRPr="00554433" w:rsidRDefault="00AF51E3" w:rsidP="00AF51E3">
            <w:pPr>
              <w:spacing w:after="0" w:line="240" w:lineRule="auto"/>
              <w:jc w:val="right"/>
              <w:rPr>
                <w:rFonts w:cs="Arial"/>
                <w:color w:val="000000"/>
                <w:sz w:val="16"/>
                <w:szCs w:val="16"/>
              </w:rPr>
            </w:pPr>
            <w:r>
              <w:rPr>
                <w:rFonts w:cs="Arial"/>
                <w:color w:val="000000"/>
                <w:sz w:val="16"/>
                <w:szCs w:val="16"/>
              </w:rPr>
              <w:t>38,2</w:t>
            </w:r>
          </w:p>
        </w:tc>
      </w:tr>
      <w:tr w:rsidR="00AF51E3" w:rsidRPr="00554433" w14:paraId="1014BB26" w14:textId="13F52540" w:rsidTr="00AF51E3">
        <w:trPr>
          <w:trHeight w:val="300"/>
        </w:trPr>
        <w:tc>
          <w:tcPr>
            <w:tcW w:w="3476" w:type="dxa"/>
            <w:tcBorders>
              <w:top w:val="nil"/>
              <w:left w:val="nil"/>
              <w:bottom w:val="nil"/>
              <w:right w:val="single" w:sz="4" w:space="0" w:color="auto"/>
            </w:tcBorders>
            <w:shd w:val="clear" w:color="auto" w:fill="auto"/>
            <w:vAlign w:val="center"/>
            <w:hideMark/>
          </w:tcPr>
          <w:p w14:paraId="709C5EDB" w14:textId="77777777" w:rsidR="00AF51E3" w:rsidRPr="00554433" w:rsidRDefault="00AF51E3" w:rsidP="00AF51E3">
            <w:pPr>
              <w:spacing w:after="0" w:line="240" w:lineRule="auto"/>
              <w:ind w:firstLineChars="100" w:firstLine="160"/>
              <w:rPr>
                <w:rFonts w:cs="Arial"/>
                <w:color w:val="000000"/>
                <w:sz w:val="16"/>
                <w:szCs w:val="16"/>
              </w:rPr>
            </w:pPr>
            <w:r w:rsidRPr="00554433">
              <w:rPr>
                <w:rFonts w:cs="Arial"/>
                <w:color w:val="000000"/>
                <w:sz w:val="16"/>
                <w:szCs w:val="16"/>
              </w:rPr>
              <w:t>J – Informační a komunikační činnosti</w:t>
            </w:r>
          </w:p>
        </w:tc>
        <w:tc>
          <w:tcPr>
            <w:tcW w:w="567" w:type="dxa"/>
            <w:tcBorders>
              <w:top w:val="nil"/>
              <w:left w:val="nil"/>
              <w:bottom w:val="nil"/>
              <w:right w:val="nil"/>
            </w:tcBorders>
            <w:shd w:val="clear" w:color="auto" w:fill="auto"/>
            <w:noWrap/>
            <w:vAlign w:val="center"/>
            <w:hideMark/>
          </w:tcPr>
          <w:p w14:paraId="420CF31C"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23,0</w:t>
            </w:r>
          </w:p>
        </w:tc>
        <w:tc>
          <w:tcPr>
            <w:tcW w:w="567" w:type="dxa"/>
            <w:tcBorders>
              <w:top w:val="nil"/>
              <w:left w:val="nil"/>
              <w:bottom w:val="nil"/>
              <w:right w:val="nil"/>
            </w:tcBorders>
            <w:shd w:val="clear" w:color="auto" w:fill="auto"/>
            <w:noWrap/>
            <w:vAlign w:val="center"/>
            <w:hideMark/>
          </w:tcPr>
          <w:p w14:paraId="05D75257"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21,7</w:t>
            </w:r>
          </w:p>
        </w:tc>
        <w:tc>
          <w:tcPr>
            <w:tcW w:w="567" w:type="dxa"/>
            <w:tcBorders>
              <w:top w:val="nil"/>
              <w:left w:val="nil"/>
              <w:bottom w:val="nil"/>
              <w:right w:val="nil"/>
            </w:tcBorders>
            <w:shd w:val="clear" w:color="auto" w:fill="auto"/>
            <w:noWrap/>
            <w:vAlign w:val="center"/>
            <w:hideMark/>
          </w:tcPr>
          <w:p w14:paraId="307E8CED"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23,1</w:t>
            </w:r>
          </w:p>
        </w:tc>
        <w:tc>
          <w:tcPr>
            <w:tcW w:w="567" w:type="dxa"/>
            <w:tcBorders>
              <w:top w:val="nil"/>
              <w:left w:val="nil"/>
              <w:bottom w:val="nil"/>
              <w:right w:val="nil"/>
            </w:tcBorders>
            <w:shd w:val="clear" w:color="auto" w:fill="auto"/>
            <w:noWrap/>
            <w:vAlign w:val="center"/>
            <w:hideMark/>
          </w:tcPr>
          <w:p w14:paraId="01F13838"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23,8</w:t>
            </w:r>
          </w:p>
        </w:tc>
        <w:tc>
          <w:tcPr>
            <w:tcW w:w="567" w:type="dxa"/>
            <w:tcBorders>
              <w:top w:val="nil"/>
              <w:left w:val="nil"/>
              <w:bottom w:val="nil"/>
              <w:right w:val="nil"/>
            </w:tcBorders>
            <w:shd w:val="clear" w:color="auto" w:fill="auto"/>
            <w:noWrap/>
            <w:vAlign w:val="center"/>
            <w:hideMark/>
          </w:tcPr>
          <w:p w14:paraId="1E0660D6"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24,7</w:t>
            </w:r>
          </w:p>
        </w:tc>
        <w:tc>
          <w:tcPr>
            <w:tcW w:w="567" w:type="dxa"/>
            <w:tcBorders>
              <w:top w:val="nil"/>
              <w:left w:val="nil"/>
              <w:bottom w:val="nil"/>
              <w:right w:val="nil"/>
            </w:tcBorders>
            <w:shd w:val="clear" w:color="auto" w:fill="auto"/>
            <w:noWrap/>
            <w:vAlign w:val="center"/>
            <w:hideMark/>
          </w:tcPr>
          <w:p w14:paraId="75BDB6D3"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25,7</w:t>
            </w:r>
          </w:p>
        </w:tc>
        <w:tc>
          <w:tcPr>
            <w:tcW w:w="567" w:type="dxa"/>
            <w:tcBorders>
              <w:top w:val="nil"/>
              <w:left w:val="nil"/>
              <w:bottom w:val="nil"/>
              <w:right w:val="nil"/>
            </w:tcBorders>
            <w:shd w:val="clear" w:color="auto" w:fill="auto"/>
            <w:noWrap/>
            <w:vAlign w:val="center"/>
            <w:hideMark/>
          </w:tcPr>
          <w:p w14:paraId="0A1BBFA1"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27,3</w:t>
            </w:r>
          </w:p>
        </w:tc>
        <w:tc>
          <w:tcPr>
            <w:tcW w:w="567" w:type="dxa"/>
            <w:tcBorders>
              <w:top w:val="nil"/>
              <w:left w:val="nil"/>
              <w:bottom w:val="nil"/>
              <w:right w:val="nil"/>
            </w:tcBorders>
            <w:shd w:val="clear" w:color="auto" w:fill="auto"/>
            <w:noWrap/>
            <w:vAlign w:val="center"/>
            <w:hideMark/>
          </w:tcPr>
          <w:p w14:paraId="65934A72"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26,0</w:t>
            </w:r>
          </w:p>
        </w:tc>
        <w:tc>
          <w:tcPr>
            <w:tcW w:w="567" w:type="dxa"/>
            <w:tcBorders>
              <w:top w:val="nil"/>
              <w:left w:val="nil"/>
              <w:bottom w:val="nil"/>
              <w:right w:val="nil"/>
            </w:tcBorders>
            <w:shd w:val="clear" w:color="auto" w:fill="auto"/>
            <w:noWrap/>
            <w:vAlign w:val="center"/>
            <w:hideMark/>
          </w:tcPr>
          <w:p w14:paraId="5E9BD1C7"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28,9</w:t>
            </w:r>
          </w:p>
        </w:tc>
        <w:tc>
          <w:tcPr>
            <w:tcW w:w="559" w:type="dxa"/>
            <w:vAlign w:val="center"/>
          </w:tcPr>
          <w:p w14:paraId="1ACB9B62"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38,7</w:t>
            </w:r>
          </w:p>
        </w:tc>
        <w:tc>
          <w:tcPr>
            <w:tcW w:w="500" w:type="dxa"/>
            <w:vAlign w:val="center"/>
          </w:tcPr>
          <w:p w14:paraId="3EA2C8EA" w14:textId="29E22543" w:rsidR="00AF51E3" w:rsidRPr="00554433" w:rsidRDefault="00AF51E3" w:rsidP="00AF51E3">
            <w:pPr>
              <w:spacing w:after="0" w:line="240" w:lineRule="auto"/>
              <w:jc w:val="right"/>
              <w:rPr>
                <w:rFonts w:cs="Arial"/>
                <w:color w:val="000000"/>
                <w:sz w:val="16"/>
                <w:szCs w:val="16"/>
              </w:rPr>
            </w:pPr>
            <w:r>
              <w:rPr>
                <w:rFonts w:cs="Arial"/>
                <w:color w:val="000000"/>
                <w:sz w:val="16"/>
                <w:szCs w:val="16"/>
              </w:rPr>
              <w:t>30,2</w:t>
            </w:r>
          </w:p>
        </w:tc>
      </w:tr>
      <w:tr w:rsidR="00AF51E3" w:rsidRPr="00554433" w14:paraId="00D0E14A" w14:textId="0602897C" w:rsidTr="00AF51E3">
        <w:trPr>
          <w:trHeight w:val="300"/>
        </w:trPr>
        <w:tc>
          <w:tcPr>
            <w:tcW w:w="3476" w:type="dxa"/>
            <w:tcBorders>
              <w:top w:val="nil"/>
              <w:left w:val="nil"/>
              <w:bottom w:val="nil"/>
              <w:right w:val="single" w:sz="4" w:space="0" w:color="auto"/>
            </w:tcBorders>
            <w:shd w:val="clear" w:color="auto" w:fill="auto"/>
            <w:vAlign w:val="center"/>
            <w:hideMark/>
          </w:tcPr>
          <w:p w14:paraId="065C4B4B" w14:textId="77777777" w:rsidR="00AF51E3" w:rsidRPr="00554433" w:rsidRDefault="00AF51E3" w:rsidP="00AF51E3">
            <w:pPr>
              <w:spacing w:after="0" w:line="240" w:lineRule="auto"/>
              <w:ind w:firstLineChars="100" w:firstLine="160"/>
              <w:rPr>
                <w:rFonts w:cs="Arial"/>
                <w:color w:val="000000"/>
                <w:sz w:val="16"/>
                <w:szCs w:val="16"/>
              </w:rPr>
            </w:pPr>
            <w:r w:rsidRPr="00554433">
              <w:rPr>
                <w:rFonts w:cs="Arial"/>
                <w:color w:val="000000"/>
                <w:sz w:val="16"/>
                <w:szCs w:val="16"/>
              </w:rPr>
              <w:t>K – Peněžnictví a pojišťovnictví</w:t>
            </w:r>
          </w:p>
        </w:tc>
        <w:tc>
          <w:tcPr>
            <w:tcW w:w="567" w:type="dxa"/>
            <w:tcBorders>
              <w:top w:val="nil"/>
              <w:left w:val="nil"/>
              <w:bottom w:val="nil"/>
              <w:right w:val="nil"/>
            </w:tcBorders>
            <w:shd w:val="clear" w:color="auto" w:fill="auto"/>
            <w:noWrap/>
            <w:vAlign w:val="center"/>
            <w:hideMark/>
          </w:tcPr>
          <w:p w14:paraId="17423E87"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26,6</w:t>
            </w:r>
          </w:p>
        </w:tc>
        <w:tc>
          <w:tcPr>
            <w:tcW w:w="567" w:type="dxa"/>
            <w:tcBorders>
              <w:top w:val="nil"/>
              <w:left w:val="nil"/>
              <w:bottom w:val="nil"/>
              <w:right w:val="nil"/>
            </w:tcBorders>
            <w:shd w:val="clear" w:color="auto" w:fill="auto"/>
            <w:noWrap/>
            <w:vAlign w:val="center"/>
            <w:hideMark/>
          </w:tcPr>
          <w:p w14:paraId="636588AC"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25,2</w:t>
            </w:r>
          </w:p>
        </w:tc>
        <w:tc>
          <w:tcPr>
            <w:tcW w:w="567" w:type="dxa"/>
            <w:tcBorders>
              <w:top w:val="nil"/>
              <w:left w:val="nil"/>
              <w:bottom w:val="nil"/>
              <w:right w:val="nil"/>
            </w:tcBorders>
            <w:shd w:val="clear" w:color="auto" w:fill="auto"/>
            <w:noWrap/>
            <w:vAlign w:val="center"/>
            <w:hideMark/>
          </w:tcPr>
          <w:p w14:paraId="49392133"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28,3</w:t>
            </w:r>
          </w:p>
        </w:tc>
        <w:tc>
          <w:tcPr>
            <w:tcW w:w="567" w:type="dxa"/>
            <w:tcBorders>
              <w:top w:val="nil"/>
              <w:left w:val="nil"/>
              <w:bottom w:val="nil"/>
              <w:right w:val="nil"/>
            </w:tcBorders>
            <w:shd w:val="clear" w:color="auto" w:fill="auto"/>
            <w:noWrap/>
            <w:vAlign w:val="center"/>
            <w:hideMark/>
          </w:tcPr>
          <w:p w14:paraId="2FBB7EE4"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27,8</w:t>
            </w:r>
          </w:p>
        </w:tc>
        <w:tc>
          <w:tcPr>
            <w:tcW w:w="567" w:type="dxa"/>
            <w:tcBorders>
              <w:top w:val="nil"/>
              <w:left w:val="nil"/>
              <w:bottom w:val="nil"/>
              <w:right w:val="nil"/>
            </w:tcBorders>
            <w:shd w:val="clear" w:color="auto" w:fill="auto"/>
            <w:noWrap/>
            <w:vAlign w:val="center"/>
            <w:hideMark/>
          </w:tcPr>
          <w:p w14:paraId="46FFB0BE"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27,3</w:t>
            </w:r>
          </w:p>
        </w:tc>
        <w:tc>
          <w:tcPr>
            <w:tcW w:w="567" w:type="dxa"/>
            <w:tcBorders>
              <w:top w:val="nil"/>
              <w:left w:val="nil"/>
              <w:bottom w:val="nil"/>
              <w:right w:val="nil"/>
            </w:tcBorders>
            <w:shd w:val="clear" w:color="auto" w:fill="auto"/>
            <w:noWrap/>
            <w:vAlign w:val="center"/>
            <w:hideMark/>
          </w:tcPr>
          <w:p w14:paraId="5A2C408A"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29,4</w:t>
            </w:r>
          </w:p>
        </w:tc>
        <w:tc>
          <w:tcPr>
            <w:tcW w:w="567" w:type="dxa"/>
            <w:tcBorders>
              <w:top w:val="nil"/>
              <w:left w:val="nil"/>
              <w:bottom w:val="nil"/>
              <w:right w:val="nil"/>
            </w:tcBorders>
            <w:shd w:val="clear" w:color="auto" w:fill="auto"/>
            <w:noWrap/>
            <w:vAlign w:val="center"/>
            <w:hideMark/>
          </w:tcPr>
          <w:p w14:paraId="6EB4CDF7"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30,9</w:t>
            </w:r>
          </w:p>
        </w:tc>
        <w:tc>
          <w:tcPr>
            <w:tcW w:w="567" w:type="dxa"/>
            <w:tcBorders>
              <w:top w:val="nil"/>
              <w:left w:val="nil"/>
              <w:bottom w:val="nil"/>
              <w:right w:val="nil"/>
            </w:tcBorders>
            <w:shd w:val="clear" w:color="auto" w:fill="auto"/>
            <w:noWrap/>
            <w:vAlign w:val="center"/>
            <w:hideMark/>
          </w:tcPr>
          <w:p w14:paraId="294E62C9"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30,2</w:t>
            </w:r>
          </w:p>
        </w:tc>
        <w:tc>
          <w:tcPr>
            <w:tcW w:w="567" w:type="dxa"/>
            <w:tcBorders>
              <w:top w:val="nil"/>
              <w:left w:val="nil"/>
              <w:bottom w:val="nil"/>
              <w:right w:val="nil"/>
            </w:tcBorders>
            <w:shd w:val="clear" w:color="auto" w:fill="auto"/>
            <w:noWrap/>
            <w:vAlign w:val="center"/>
            <w:hideMark/>
          </w:tcPr>
          <w:p w14:paraId="3F307BC8"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31,2</w:t>
            </w:r>
          </w:p>
        </w:tc>
        <w:tc>
          <w:tcPr>
            <w:tcW w:w="559" w:type="dxa"/>
            <w:vAlign w:val="center"/>
          </w:tcPr>
          <w:p w14:paraId="42097B6D"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41,7</w:t>
            </w:r>
          </w:p>
        </w:tc>
        <w:tc>
          <w:tcPr>
            <w:tcW w:w="500" w:type="dxa"/>
            <w:vAlign w:val="center"/>
          </w:tcPr>
          <w:p w14:paraId="2A6110AC" w14:textId="63BC334F" w:rsidR="00AF51E3" w:rsidRPr="00554433" w:rsidRDefault="00AF51E3" w:rsidP="00AF51E3">
            <w:pPr>
              <w:spacing w:after="0" w:line="240" w:lineRule="auto"/>
              <w:jc w:val="right"/>
              <w:rPr>
                <w:rFonts w:cs="Arial"/>
                <w:color w:val="000000"/>
                <w:sz w:val="16"/>
                <w:szCs w:val="16"/>
              </w:rPr>
            </w:pPr>
            <w:r>
              <w:rPr>
                <w:rFonts w:cs="Arial"/>
                <w:color w:val="000000"/>
                <w:sz w:val="16"/>
                <w:szCs w:val="16"/>
              </w:rPr>
              <w:t>33,7</w:t>
            </w:r>
          </w:p>
        </w:tc>
      </w:tr>
      <w:tr w:rsidR="00AF51E3" w:rsidRPr="00554433" w14:paraId="50D0AED0" w14:textId="68C959EB" w:rsidTr="00AF51E3">
        <w:trPr>
          <w:trHeight w:val="300"/>
        </w:trPr>
        <w:tc>
          <w:tcPr>
            <w:tcW w:w="3476" w:type="dxa"/>
            <w:tcBorders>
              <w:top w:val="nil"/>
              <w:left w:val="nil"/>
              <w:bottom w:val="nil"/>
              <w:right w:val="single" w:sz="4" w:space="0" w:color="auto"/>
            </w:tcBorders>
            <w:shd w:val="clear" w:color="auto" w:fill="auto"/>
            <w:vAlign w:val="center"/>
            <w:hideMark/>
          </w:tcPr>
          <w:p w14:paraId="685F7B71" w14:textId="77777777" w:rsidR="00AF51E3" w:rsidRPr="00554433" w:rsidRDefault="00AF51E3" w:rsidP="00AF51E3">
            <w:pPr>
              <w:spacing w:after="0" w:line="240" w:lineRule="auto"/>
              <w:ind w:firstLineChars="100" w:firstLine="160"/>
              <w:rPr>
                <w:rFonts w:cs="Arial"/>
                <w:color w:val="000000"/>
                <w:sz w:val="16"/>
                <w:szCs w:val="16"/>
              </w:rPr>
            </w:pPr>
            <w:r w:rsidRPr="00554433">
              <w:rPr>
                <w:rFonts w:cs="Arial"/>
                <w:color w:val="000000"/>
                <w:sz w:val="16"/>
                <w:szCs w:val="16"/>
              </w:rPr>
              <w:t>L – Činnosti v oblasti nemovitostí</w:t>
            </w:r>
          </w:p>
        </w:tc>
        <w:tc>
          <w:tcPr>
            <w:tcW w:w="567" w:type="dxa"/>
            <w:tcBorders>
              <w:top w:val="nil"/>
              <w:left w:val="nil"/>
              <w:bottom w:val="nil"/>
              <w:right w:val="nil"/>
            </w:tcBorders>
            <w:shd w:val="clear" w:color="auto" w:fill="auto"/>
            <w:noWrap/>
            <w:vAlign w:val="center"/>
            <w:hideMark/>
          </w:tcPr>
          <w:p w14:paraId="1BAD06F6"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14,7</w:t>
            </w:r>
          </w:p>
        </w:tc>
        <w:tc>
          <w:tcPr>
            <w:tcW w:w="567" w:type="dxa"/>
            <w:tcBorders>
              <w:top w:val="nil"/>
              <w:left w:val="nil"/>
              <w:bottom w:val="nil"/>
              <w:right w:val="nil"/>
            </w:tcBorders>
            <w:shd w:val="clear" w:color="auto" w:fill="auto"/>
            <w:noWrap/>
            <w:vAlign w:val="center"/>
            <w:hideMark/>
          </w:tcPr>
          <w:p w14:paraId="57F0BC5F"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14,0</w:t>
            </w:r>
          </w:p>
        </w:tc>
        <w:tc>
          <w:tcPr>
            <w:tcW w:w="567" w:type="dxa"/>
            <w:tcBorders>
              <w:top w:val="nil"/>
              <w:left w:val="nil"/>
              <w:bottom w:val="nil"/>
              <w:right w:val="nil"/>
            </w:tcBorders>
            <w:shd w:val="clear" w:color="auto" w:fill="auto"/>
            <w:noWrap/>
            <w:vAlign w:val="center"/>
            <w:hideMark/>
          </w:tcPr>
          <w:p w14:paraId="49775A68"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16,3</w:t>
            </w:r>
          </w:p>
        </w:tc>
        <w:tc>
          <w:tcPr>
            <w:tcW w:w="567" w:type="dxa"/>
            <w:tcBorders>
              <w:top w:val="nil"/>
              <w:left w:val="nil"/>
              <w:bottom w:val="nil"/>
              <w:right w:val="nil"/>
            </w:tcBorders>
            <w:shd w:val="clear" w:color="auto" w:fill="auto"/>
            <w:noWrap/>
            <w:vAlign w:val="center"/>
            <w:hideMark/>
          </w:tcPr>
          <w:p w14:paraId="02D43614"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16,5</w:t>
            </w:r>
          </w:p>
        </w:tc>
        <w:tc>
          <w:tcPr>
            <w:tcW w:w="567" w:type="dxa"/>
            <w:tcBorders>
              <w:top w:val="nil"/>
              <w:left w:val="nil"/>
              <w:bottom w:val="nil"/>
              <w:right w:val="nil"/>
            </w:tcBorders>
            <w:shd w:val="clear" w:color="auto" w:fill="auto"/>
            <w:noWrap/>
            <w:vAlign w:val="center"/>
            <w:hideMark/>
          </w:tcPr>
          <w:p w14:paraId="222B5F21"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15,7</w:t>
            </w:r>
          </w:p>
        </w:tc>
        <w:tc>
          <w:tcPr>
            <w:tcW w:w="567" w:type="dxa"/>
            <w:tcBorders>
              <w:top w:val="nil"/>
              <w:left w:val="nil"/>
              <w:bottom w:val="nil"/>
              <w:right w:val="nil"/>
            </w:tcBorders>
            <w:shd w:val="clear" w:color="auto" w:fill="auto"/>
            <w:noWrap/>
            <w:vAlign w:val="center"/>
            <w:hideMark/>
          </w:tcPr>
          <w:p w14:paraId="74ED41DD"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17,4</w:t>
            </w:r>
          </w:p>
        </w:tc>
        <w:tc>
          <w:tcPr>
            <w:tcW w:w="567" w:type="dxa"/>
            <w:tcBorders>
              <w:top w:val="nil"/>
              <w:left w:val="nil"/>
              <w:bottom w:val="nil"/>
              <w:right w:val="nil"/>
            </w:tcBorders>
            <w:shd w:val="clear" w:color="auto" w:fill="auto"/>
            <w:noWrap/>
            <w:vAlign w:val="center"/>
            <w:hideMark/>
          </w:tcPr>
          <w:p w14:paraId="4D04BA10"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18,4</w:t>
            </w:r>
          </w:p>
        </w:tc>
        <w:tc>
          <w:tcPr>
            <w:tcW w:w="567" w:type="dxa"/>
            <w:tcBorders>
              <w:top w:val="nil"/>
              <w:left w:val="nil"/>
              <w:bottom w:val="nil"/>
              <w:right w:val="nil"/>
            </w:tcBorders>
            <w:shd w:val="clear" w:color="auto" w:fill="auto"/>
            <w:noWrap/>
            <w:vAlign w:val="center"/>
            <w:hideMark/>
          </w:tcPr>
          <w:p w14:paraId="4962DE8A"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24,3</w:t>
            </w:r>
          </w:p>
        </w:tc>
        <w:tc>
          <w:tcPr>
            <w:tcW w:w="567" w:type="dxa"/>
            <w:tcBorders>
              <w:top w:val="nil"/>
              <w:left w:val="nil"/>
              <w:bottom w:val="nil"/>
              <w:right w:val="nil"/>
            </w:tcBorders>
            <w:shd w:val="clear" w:color="auto" w:fill="auto"/>
            <w:noWrap/>
            <w:vAlign w:val="center"/>
            <w:hideMark/>
          </w:tcPr>
          <w:p w14:paraId="71002F18"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28,7</w:t>
            </w:r>
          </w:p>
        </w:tc>
        <w:tc>
          <w:tcPr>
            <w:tcW w:w="559" w:type="dxa"/>
            <w:vAlign w:val="center"/>
          </w:tcPr>
          <w:p w14:paraId="2F1B9931"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34,5</w:t>
            </w:r>
          </w:p>
        </w:tc>
        <w:tc>
          <w:tcPr>
            <w:tcW w:w="500" w:type="dxa"/>
            <w:vAlign w:val="center"/>
          </w:tcPr>
          <w:p w14:paraId="0F8B787F" w14:textId="460951D7" w:rsidR="00AF51E3" w:rsidRPr="00554433" w:rsidRDefault="00AF51E3" w:rsidP="00AF51E3">
            <w:pPr>
              <w:spacing w:after="0" w:line="240" w:lineRule="auto"/>
              <w:jc w:val="right"/>
              <w:rPr>
                <w:rFonts w:cs="Arial"/>
                <w:color w:val="000000"/>
                <w:sz w:val="16"/>
                <w:szCs w:val="16"/>
              </w:rPr>
            </w:pPr>
            <w:r>
              <w:rPr>
                <w:rFonts w:cs="Arial"/>
                <w:color w:val="000000"/>
                <w:sz w:val="16"/>
                <w:szCs w:val="16"/>
              </w:rPr>
              <w:t>25,0</w:t>
            </w:r>
          </w:p>
        </w:tc>
      </w:tr>
      <w:tr w:rsidR="00AF51E3" w:rsidRPr="00554433" w14:paraId="7DCD97C9" w14:textId="749A57BB" w:rsidTr="00AF51E3">
        <w:trPr>
          <w:trHeight w:val="480"/>
        </w:trPr>
        <w:tc>
          <w:tcPr>
            <w:tcW w:w="3476" w:type="dxa"/>
            <w:tcBorders>
              <w:top w:val="nil"/>
              <w:left w:val="nil"/>
              <w:bottom w:val="nil"/>
              <w:right w:val="single" w:sz="4" w:space="0" w:color="auto"/>
            </w:tcBorders>
            <w:shd w:val="clear" w:color="auto" w:fill="auto"/>
            <w:vAlign w:val="center"/>
            <w:hideMark/>
          </w:tcPr>
          <w:p w14:paraId="70CF3C5F" w14:textId="77777777" w:rsidR="00AF51E3" w:rsidRPr="00554433" w:rsidRDefault="00AF51E3" w:rsidP="00AF51E3">
            <w:pPr>
              <w:spacing w:after="0" w:line="240" w:lineRule="auto"/>
              <w:ind w:firstLineChars="100" w:firstLine="160"/>
              <w:rPr>
                <w:rFonts w:cs="Arial"/>
                <w:color w:val="000000"/>
                <w:sz w:val="16"/>
                <w:szCs w:val="16"/>
              </w:rPr>
            </w:pPr>
            <w:r w:rsidRPr="00554433">
              <w:rPr>
                <w:rFonts w:cs="Arial"/>
                <w:color w:val="000000"/>
                <w:sz w:val="16"/>
                <w:szCs w:val="16"/>
              </w:rPr>
              <w:t xml:space="preserve">M – Profesní, vědecké a technické </w:t>
            </w:r>
            <w:r w:rsidRPr="00554433">
              <w:rPr>
                <w:rFonts w:cs="Arial"/>
                <w:color w:val="000000"/>
                <w:sz w:val="16"/>
                <w:szCs w:val="16"/>
              </w:rPr>
              <w:br/>
              <w:t xml:space="preserve">          činnosti</w:t>
            </w:r>
          </w:p>
        </w:tc>
        <w:tc>
          <w:tcPr>
            <w:tcW w:w="567" w:type="dxa"/>
            <w:tcBorders>
              <w:top w:val="nil"/>
              <w:left w:val="nil"/>
              <w:bottom w:val="nil"/>
              <w:right w:val="nil"/>
            </w:tcBorders>
            <w:shd w:val="clear" w:color="auto" w:fill="auto"/>
            <w:noWrap/>
            <w:vAlign w:val="center"/>
            <w:hideMark/>
          </w:tcPr>
          <w:p w14:paraId="55D19C66"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19,4</w:t>
            </w:r>
          </w:p>
        </w:tc>
        <w:tc>
          <w:tcPr>
            <w:tcW w:w="567" w:type="dxa"/>
            <w:tcBorders>
              <w:top w:val="nil"/>
              <w:left w:val="nil"/>
              <w:bottom w:val="nil"/>
              <w:right w:val="nil"/>
            </w:tcBorders>
            <w:shd w:val="clear" w:color="auto" w:fill="auto"/>
            <w:noWrap/>
            <w:vAlign w:val="center"/>
            <w:hideMark/>
          </w:tcPr>
          <w:p w14:paraId="6569CF1E"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18,3</w:t>
            </w:r>
          </w:p>
        </w:tc>
        <w:tc>
          <w:tcPr>
            <w:tcW w:w="567" w:type="dxa"/>
            <w:tcBorders>
              <w:top w:val="nil"/>
              <w:left w:val="nil"/>
              <w:bottom w:val="nil"/>
              <w:right w:val="nil"/>
            </w:tcBorders>
            <w:shd w:val="clear" w:color="auto" w:fill="auto"/>
            <w:noWrap/>
            <w:vAlign w:val="center"/>
            <w:hideMark/>
          </w:tcPr>
          <w:p w14:paraId="273B987A"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21,1</w:t>
            </w:r>
          </w:p>
        </w:tc>
        <w:tc>
          <w:tcPr>
            <w:tcW w:w="567" w:type="dxa"/>
            <w:tcBorders>
              <w:top w:val="nil"/>
              <w:left w:val="nil"/>
              <w:bottom w:val="nil"/>
              <w:right w:val="nil"/>
            </w:tcBorders>
            <w:shd w:val="clear" w:color="auto" w:fill="auto"/>
            <w:noWrap/>
            <w:vAlign w:val="center"/>
            <w:hideMark/>
          </w:tcPr>
          <w:p w14:paraId="34554D59"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21,3</w:t>
            </w:r>
          </w:p>
        </w:tc>
        <w:tc>
          <w:tcPr>
            <w:tcW w:w="567" w:type="dxa"/>
            <w:tcBorders>
              <w:top w:val="nil"/>
              <w:left w:val="nil"/>
              <w:bottom w:val="nil"/>
              <w:right w:val="nil"/>
            </w:tcBorders>
            <w:shd w:val="clear" w:color="auto" w:fill="auto"/>
            <w:noWrap/>
            <w:vAlign w:val="center"/>
            <w:hideMark/>
          </w:tcPr>
          <w:p w14:paraId="47851EAE"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21,8</w:t>
            </w:r>
          </w:p>
        </w:tc>
        <w:tc>
          <w:tcPr>
            <w:tcW w:w="567" w:type="dxa"/>
            <w:tcBorders>
              <w:top w:val="nil"/>
              <w:left w:val="nil"/>
              <w:bottom w:val="nil"/>
              <w:right w:val="nil"/>
            </w:tcBorders>
            <w:shd w:val="clear" w:color="auto" w:fill="auto"/>
            <w:noWrap/>
            <w:vAlign w:val="center"/>
            <w:hideMark/>
          </w:tcPr>
          <w:p w14:paraId="58F6E0C3"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22,5</w:t>
            </w:r>
          </w:p>
        </w:tc>
        <w:tc>
          <w:tcPr>
            <w:tcW w:w="567" w:type="dxa"/>
            <w:tcBorders>
              <w:top w:val="nil"/>
              <w:left w:val="nil"/>
              <w:bottom w:val="nil"/>
              <w:right w:val="nil"/>
            </w:tcBorders>
            <w:shd w:val="clear" w:color="auto" w:fill="auto"/>
            <w:noWrap/>
            <w:vAlign w:val="center"/>
            <w:hideMark/>
          </w:tcPr>
          <w:p w14:paraId="121973BB"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23,0</w:t>
            </w:r>
          </w:p>
        </w:tc>
        <w:tc>
          <w:tcPr>
            <w:tcW w:w="567" w:type="dxa"/>
            <w:tcBorders>
              <w:top w:val="nil"/>
              <w:left w:val="nil"/>
              <w:bottom w:val="nil"/>
              <w:right w:val="nil"/>
            </w:tcBorders>
            <w:shd w:val="clear" w:color="auto" w:fill="auto"/>
            <w:noWrap/>
            <w:vAlign w:val="center"/>
            <w:hideMark/>
          </w:tcPr>
          <w:p w14:paraId="75798D12"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27,6</w:t>
            </w:r>
          </w:p>
        </w:tc>
        <w:tc>
          <w:tcPr>
            <w:tcW w:w="567" w:type="dxa"/>
            <w:tcBorders>
              <w:top w:val="nil"/>
              <w:left w:val="nil"/>
              <w:bottom w:val="nil"/>
              <w:right w:val="nil"/>
            </w:tcBorders>
            <w:shd w:val="clear" w:color="auto" w:fill="auto"/>
            <w:noWrap/>
            <w:vAlign w:val="center"/>
            <w:hideMark/>
          </w:tcPr>
          <w:p w14:paraId="5325D7F6"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30,3</w:t>
            </w:r>
          </w:p>
        </w:tc>
        <w:tc>
          <w:tcPr>
            <w:tcW w:w="559" w:type="dxa"/>
            <w:vAlign w:val="center"/>
          </w:tcPr>
          <w:p w14:paraId="6DDACBE9"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39,5</w:t>
            </w:r>
          </w:p>
        </w:tc>
        <w:tc>
          <w:tcPr>
            <w:tcW w:w="500" w:type="dxa"/>
            <w:vAlign w:val="center"/>
          </w:tcPr>
          <w:p w14:paraId="60249898" w14:textId="6E956D69" w:rsidR="00AF51E3" w:rsidRPr="00554433" w:rsidRDefault="00AF51E3" w:rsidP="00AF51E3">
            <w:pPr>
              <w:spacing w:after="0" w:line="240" w:lineRule="auto"/>
              <w:jc w:val="right"/>
              <w:rPr>
                <w:rFonts w:cs="Arial"/>
                <w:color w:val="000000"/>
                <w:sz w:val="16"/>
                <w:szCs w:val="16"/>
              </w:rPr>
            </w:pPr>
            <w:r>
              <w:rPr>
                <w:rFonts w:cs="Arial"/>
                <w:color w:val="000000"/>
                <w:sz w:val="16"/>
                <w:szCs w:val="16"/>
              </w:rPr>
              <w:t>29,3</w:t>
            </w:r>
          </w:p>
        </w:tc>
      </w:tr>
      <w:tr w:rsidR="00AF51E3" w:rsidRPr="00554433" w14:paraId="48D9A209" w14:textId="76FEDC34" w:rsidTr="00AF51E3">
        <w:trPr>
          <w:trHeight w:val="480"/>
        </w:trPr>
        <w:tc>
          <w:tcPr>
            <w:tcW w:w="3476" w:type="dxa"/>
            <w:tcBorders>
              <w:top w:val="nil"/>
              <w:left w:val="nil"/>
              <w:bottom w:val="nil"/>
              <w:right w:val="single" w:sz="4" w:space="0" w:color="auto"/>
            </w:tcBorders>
            <w:shd w:val="clear" w:color="auto" w:fill="auto"/>
            <w:vAlign w:val="center"/>
            <w:hideMark/>
          </w:tcPr>
          <w:p w14:paraId="5344FAD2" w14:textId="77777777" w:rsidR="00AF51E3" w:rsidRPr="00554433" w:rsidRDefault="00AF51E3" w:rsidP="00AF51E3">
            <w:pPr>
              <w:spacing w:after="0" w:line="240" w:lineRule="auto"/>
              <w:ind w:firstLineChars="100" w:firstLine="160"/>
              <w:rPr>
                <w:rFonts w:cs="Arial"/>
                <w:color w:val="000000"/>
                <w:sz w:val="16"/>
                <w:szCs w:val="16"/>
              </w:rPr>
            </w:pPr>
            <w:r w:rsidRPr="00554433">
              <w:rPr>
                <w:rFonts w:cs="Arial"/>
                <w:color w:val="000000"/>
                <w:sz w:val="16"/>
                <w:szCs w:val="16"/>
              </w:rPr>
              <w:t xml:space="preserve">N – Administrativní a podpůrné </w:t>
            </w:r>
            <w:r w:rsidRPr="00554433">
              <w:rPr>
                <w:rFonts w:cs="Arial"/>
                <w:color w:val="000000"/>
                <w:sz w:val="16"/>
                <w:szCs w:val="16"/>
              </w:rPr>
              <w:br/>
              <w:t xml:space="preserve">          činnosti</w:t>
            </w:r>
          </w:p>
        </w:tc>
        <w:tc>
          <w:tcPr>
            <w:tcW w:w="567" w:type="dxa"/>
            <w:tcBorders>
              <w:top w:val="nil"/>
              <w:left w:val="nil"/>
              <w:bottom w:val="nil"/>
              <w:right w:val="nil"/>
            </w:tcBorders>
            <w:shd w:val="clear" w:color="auto" w:fill="auto"/>
            <w:noWrap/>
            <w:vAlign w:val="center"/>
            <w:hideMark/>
          </w:tcPr>
          <w:p w14:paraId="6376479F"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36,1</w:t>
            </w:r>
          </w:p>
        </w:tc>
        <w:tc>
          <w:tcPr>
            <w:tcW w:w="567" w:type="dxa"/>
            <w:tcBorders>
              <w:top w:val="nil"/>
              <w:left w:val="nil"/>
              <w:bottom w:val="nil"/>
              <w:right w:val="nil"/>
            </w:tcBorders>
            <w:shd w:val="clear" w:color="auto" w:fill="auto"/>
            <w:noWrap/>
            <w:vAlign w:val="center"/>
            <w:hideMark/>
          </w:tcPr>
          <w:p w14:paraId="4BA6923A"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40,3</w:t>
            </w:r>
          </w:p>
        </w:tc>
        <w:tc>
          <w:tcPr>
            <w:tcW w:w="567" w:type="dxa"/>
            <w:tcBorders>
              <w:top w:val="nil"/>
              <w:left w:val="nil"/>
              <w:bottom w:val="nil"/>
              <w:right w:val="nil"/>
            </w:tcBorders>
            <w:shd w:val="clear" w:color="auto" w:fill="auto"/>
            <w:noWrap/>
            <w:vAlign w:val="center"/>
            <w:hideMark/>
          </w:tcPr>
          <w:p w14:paraId="50449163"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48,2</w:t>
            </w:r>
          </w:p>
        </w:tc>
        <w:tc>
          <w:tcPr>
            <w:tcW w:w="567" w:type="dxa"/>
            <w:tcBorders>
              <w:top w:val="nil"/>
              <w:left w:val="nil"/>
              <w:bottom w:val="nil"/>
              <w:right w:val="nil"/>
            </w:tcBorders>
            <w:shd w:val="clear" w:color="auto" w:fill="auto"/>
            <w:noWrap/>
            <w:vAlign w:val="center"/>
            <w:hideMark/>
          </w:tcPr>
          <w:p w14:paraId="718A6664"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49,4</w:t>
            </w:r>
          </w:p>
        </w:tc>
        <w:tc>
          <w:tcPr>
            <w:tcW w:w="567" w:type="dxa"/>
            <w:tcBorders>
              <w:top w:val="nil"/>
              <w:left w:val="nil"/>
              <w:bottom w:val="nil"/>
              <w:right w:val="nil"/>
            </w:tcBorders>
            <w:shd w:val="clear" w:color="auto" w:fill="auto"/>
            <w:noWrap/>
            <w:vAlign w:val="center"/>
            <w:hideMark/>
          </w:tcPr>
          <w:p w14:paraId="65870BF4"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48,6</w:t>
            </w:r>
          </w:p>
        </w:tc>
        <w:tc>
          <w:tcPr>
            <w:tcW w:w="567" w:type="dxa"/>
            <w:tcBorders>
              <w:top w:val="nil"/>
              <w:left w:val="nil"/>
              <w:bottom w:val="nil"/>
              <w:right w:val="nil"/>
            </w:tcBorders>
            <w:shd w:val="clear" w:color="auto" w:fill="auto"/>
            <w:noWrap/>
            <w:vAlign w:val="center"/>
            <w:hideMark/>
          </w:tcPr>
          <w:p w14:paraId="08E272C6"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48,6</w:t>
            </w:r>
          </w:p>
        </w:tc>
        <w:tc>
          <w:tcPr>
            <w:tcW w:w="567" w:type="dxa"/>
            <w:tcBorders>
              <w:top w:val="nil"/>
              <w:left w:val="nil"/>
              <w:bottom w:val="nil"/>
              <w:right w:val="nil"/>
            </w:tcBorders>
            <w:shd w:val="clear" w:color="auto" w:fill="auto"/>
            <w:noWrap/>
            <w:vAlign w:val="center"/>
            <w:hideMark/>
          </w:tcPr>
          <w:p w14:paraId="7259D551"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49,7</w:t>
            </w:r>
          </w:p>
        </w:tc>
        <w:tc>
          <w:tcPr>
            <w:tcW w:w="567" w:type="dxa"/>
            <w:tcBorders>
              <w:top w:val="nil"/>
              <w:left w:val="nil"/>
              <w:bottom w:val="nil"/>
              <w:right w:val="nil"/>
            </w:tcBorders>
            <w:shd w:val="clear" w:color="auto" w:fill="auto"/>
            <w:noWrap/>
            <w:vAlign w:val="center"/>
            <w:hideMark/>
          </w:tcPr>
          <w:p w14:paraId="7B5977E3"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56,9</w:t>
            </w:r>
          </w:p>
        </w:tc>
        <w:tc>
          <w:tcPr>
            <w:tcW w:w="567" w:type="dxa"/>
            <w:tcBorders>
              <w:top w:val="nil"/>
              <w:left w:val="nil"/>
              <w:bottom w:val="nil"/>
              <w:right w:val="nil"/>
            </w:tcBorders>
            <w:shd w:val="clear" w:color="auto" w:fill="auto"/>
            <w:noWrap/>
            <w:vAlign w:val="center"/>
            <w:hideMark/>
          </w:tcPr>
          <w:p w14:paraId="32593C39"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66,4</w:t>
            </w:r>
          </w:p>
        </w:tc>
        <w:tc>
          <w:tcPr>
            <w:tcW w:w="559" w:type="dxa"/>
            <w:vAlign w:val="center"/>
          </w:tcPr>
          <w:p w14:paraId="24681AD2"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70,4</w:t>
            </w:r>
          </w:p>
        </w:tc>
        <w:tc>
          <w:tcPr>
            <w:tcW w:w="500" w:type="dxa"/>
            <w:vAlign w:val="center"/>
          </w:tcPr>
          <w:p w14:paraId="2A52A0B1" w14:textId="759339D8" w:rsidR="00AF51E3" w:rsidRPr="00554433" w:rsidRDefault="00AF51E3" w:rsidP="00AF51E3">
            <w:pPr>
              <w:spacing w:after="0" w:line="240" w:lineRule="auto"/>
              <w:jc w:val="right"/>
              <w:rPr>
                <w:rFonts w:cs="Arial"/>
                <w:color w:val="000000"/>
                <w:sz w:val="16"/>
                <w:szCs w:val="16"/>
              </w:rPr>
            </w:pPr>
            <w:r>
              <w:rPr>
                <w:rFonts w:cs="Arial"/>
                <w:color w:val="000000"/>
                <w:sz w:val="16"/>
                <w:szCs w:val="16"/>
              </w:rPr>
              <w:t>56,0</w:t>
            </w:r>
          </w:p>
        </w:tc>
      </w:tr>
      <w:tr w:rsidR="00AF51E3" w:rsidRPr="00554433" w14:paraId="6B137679" w14:textId="3EEB6C0F" w:rsidTr="00AF51E3">
        <w:trPr>
          <w:trHeight w:val="480"/>
        </w:trPr>
        <w:tc>
          <w:tcPr>
            <w:tcW w:w="3476" w:type="dxa"/>
            <w:tcBorders>
              <w:top w:val="nil"/>
              <w:left w:val="nil"/>
              <w:bottom w:val="nil"/>
              <w:right w:val="single" w:sz="4" w:space="0" w:color="auto"/>
            </w:tcBorders>
            <w:shd w:val="clear" w:color="auto" w:fill="auto"/>
            <w:vAlign w:val="center"/>
            <w:hideMark/>
          </w:tcPr>
          <w:p w14:paraId="602A1280" w14:textId="77777777" w:rsidR="00AF51E3" w:rsidRPr="00554433" w:rsidRDefault="00AF51E3" w:rsidP="00AF51E3">
            <w:pPr>
              <w:spacing w:after="0" w:line="240" w:lineRule="auto"/>
              <w:ind w:firstLineChars="100" w:firstLine="160"/>
              <w:rPr>
                <w:rFonts w:cs="Arial"/>
                <w:color w:val="000000"/>
                <w:sz w:val="16"/>
                <w:szCs w:val="16"/>
              </w:rPr>
            </w:pPr>
            <w:r w:rsidRPr="00554433">
              <w:rPr>
                <w:rFonts w:cs="Arial"/>
                <w:color w:val="000000"/>
                <w:sz w:val="16"/>
                <w:szCs w:val="16"/>
              </w:rPr>
              <w:t xml:space="preserve">O – Veřejná správa a obrana; </w:t>
            </w:r>
            <w:r w:rsidRPr="00554433">
              <w:rPr>
                <w:rFonts w:cs="Arial"/>
                <w:color w:val="000000"/>
                <w:sz w:val="16"/>
                <w:szCs w:val="16"/>
              </w:rPr>
              <w:br/>
              <w:t xml:space="preserve">          povinné sociální zabezpečení</w:t>
            </w:r>
          </w:p>
        </w:tc>
        <w:tc>
          <w:tcPr>
            <w:tcW w:w="567" w:type="dxa"/>
            <w:tcBorders>
              <w:top w:val="nil"/>
              <w:left w:val="nil"/>
              <w:bottom w:val="nil"/>
              <w:right w:val="nil"/>
            </w:tcBorders>
            <w:shd w:val="clear" w:color="auto" w:fill="auto"/>
            <w:noWrap/>
            <w:vAlign w:val="center"/>
            <w:hideMark/>
          </w:tcPr>
          <w:p w14:paraId="3A384BFD"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28,1</w:t>
            </w:r>
          </w:p>
        </w:tc>
        <w:tc>
          <w:tcPr>
            <w:tcW w:w="567" w:type="dxa"/>
            <w:tcBorders>
              <w:top w:val="nil"/>
              <w:left w:val="nil"/>
              <w:bottom w:val="nil"/>
              <w:right w:val="nil"/>
            </w:tcBorders>
            <w:shd w:val="clear" w:color="auto" w:fill="auto"/>
            <w:noWrap/>
            <w:vAlign w:val="center"/>
            <w:hideMark/>
          </w:tcPr>
          <w:p w14:paraId="1CC7EBC0"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26,3</w:t>
            </w:r>
          </w:p>
        </w:tc>
        <w:tc>
          <w:tcPr>
            <w:tcW w:w="567" w:type="dxa"/>
            <w:tcBorders>
              <w:top w:val="nil"/>
              <w:left w:val="nil"/>
              <w:bottom w:val="nil"/>
              <w:right w:val="nil"/>
            </w:tcBorders>
            <w:shd w:val="clear" w:color="auto" w:fill="auto"/>
            <w:noWrap/>
            <w:vAlign w:val="center"/>
            <w:hideMark/>
          </w:tcPr>
          <w:p w14:paraId="3CABD920"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31,5</w:t>
            </w:r>
          </w:p>
        </w:tc>
        <w:tc>
          <w:tcPr>
            <w:tcW w:w="567" w:type="dxa"/>
            <w:tcBorders>
              <w:top w:val="nil"/>
              <w:left w:val="nil"/>
              <w:bottom w:val="nil"/>
              <w:right w:val="nil"/>
            </w:tcBorders>
            <w:shd w:val="clear" w:color="auto" w:fill="auto"/>
            <w:noWrap/>
            <w:vAlign w:val="center"/>
            <w:hideMark/>
          </w:tcPr>
          <w:p w14:paraId="27B57931"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30,7</w:t>
            </w:r>
          </w:p>
        </w:tc>
        <w:tc>
          <w:tcPr>
            <w:tcW w:w="567" w:type="dxa"/>
            <w:tcBorders>
              <w:top w:val="nil"/>
              <w:left w:val="nil"/>
              <w:bottom w:val="nil"/>
              <w:right w:val="nil"/>
            </w:tcBorders>
            <w:shd w:val="clear" w:color="auto" w:fill="auto"/>
            <w:noWrap/>
            <w:vAlign w:val="center"/>
            <w:hideMark/>
          </w:tcPr>
          <w:p w14:paraId="77F71B19"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31,3</w:t>
            </w:r>
          </w:p>
        </w:tc>
        <w:tc>
          <w:tcPr>
            <w:tcW w:w="567" w:type="dxa"/>
            <w:tcBorders>
              <w:top w:val="nil"/>
              <w:left w:val="nil"/>
              <w:bottom w:val="nil"/>
              <w:right w:val="nil"/>
            </w:tcBorders>
            <w:shd w:val="clear" w:color="auto" w:fill="auto"/>
            <w:noWrap/>
            <w:vAlign w:val="center"/>
            <w:hideMark/>
          </w:tcPr>
          <w:p w14:paraId="5DD7872A"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34,0</w:t>
            </w:r>
          </w:p>
        </w:tc>
        <w:tc>
          <w:tcPr>
            <w:tcW w:w="567" w:type="dxa"/>
            <w:tcBorders>
              <w:top w:val="nil"/>
              <w:left w:val="nil"/>
              <w:bottom w:val="nil"/>
              <w:right w:val="nil"/>
            </w:tcBorders>
            <w:shd w:val="clear" w:color="auto" w:fill="auto"/>
            <w:noWrap/>
            <w:vAlign w:val="center"/>
            <w:hideMark/>
          </w:tcPr>
          <w:p w14:paraId="3069447B"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35,5</w:t>
            </w:r>
          </w:p>
        </w:tc>
        <w:tc>
          <w:tcPr>
            <w:tcW w:w="567" w:type="dxa"/>
            <w:tcBorders>
              <w:top w:val="nil"/>
              <w:left w:val="nil"/>
              <w:bottom w:val="nil"/>
              <w:right w:val="nil"/>
            </w:tcBorders>
            <w:shd w:val="clear" w:color="auto" w:fill="auto"/>
            <w:noWrap/>
            <w:vAlign w:val="center"/>
            <w:hideMark/>
          </w:tcPr>
          <w:p w14:paraId="5174DD94"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44,9</w:t>
            </w:r>
          </w:p>
        </w:tc>
        <w:tc>
          <w:tcPr>
            <w:tcW w:w="567" w:type="dxa"/>
            <w:tcBorders>
              <w:top w:val="nil"/>
              <w:left w:val="nil"/>
              <w:bottom w:val="nil"/>
              <w:right w:val="nil"/>
            </w:tcBorders>
            <w:shd w:val="clear" w:color="auto" w:fill="auto"/>
            <w:noWrap/>
            <w:vAlign w:val="center"/>
            <w:hideMark/>
          </w:tcPr>
          <w:p w14:paraId="0B6547C4"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52,7</w:t>
            </w:r>
          </w:p>
        </w:tc>
        <w:tc>
          <w:tcPr>
            <w:tcW w:w="559" w:type="dxa"/>
            <w:vAlign w:val="center"/>
          </w:tcPr>
          <w:p w14:paraId="477EEB3E"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77,0</w:t>
            </w:r>
          </w:p>
        </w:tc>
        <w:tc>
          <w:tcPr>
            <w:tcW w:w="500" w:type="dxa"/>
            <w:vAlign w:val="center"/>
          </w:tcPr>
          <w:p w14:paraId="689D5968" w14:textId="2C1F1878" w:rsidR="00AF51E3" w:rsidRPr="00554433" w:rsidRDefault="00AF51E3" w:rsidP="00AF51E3">
            <w:pPr>
              <w:spacing w:after="0" w:line="240" w:lineRule="auto"/>
              <w:jc w:val="right"/>
              <w:rPr>
                <w:rFonts w:cs="Arial"/>
                <w:color w:val="000000"/>
                <w:sz w:val="16"/>
                <w:szCs w:val="16"/>
              </w:rPr>
            </w:pPr>
            <w:r>
              <w:rPr>
                <w:rFonts w:cs="Arial"/>
                <w:color w:val="000000"/>
                <w:sz w:val="16"/>
                <w:szCs w:val="16"/>
              </w:rPr>
              <w:t>54,0</w:t>
            </w:r>
          </w:p>
        </w:tc>
      </w:tr>
      <w:tr w:rsidR="00AF51E3" w:rsidRPr="00554433" w14:paraId="16111DA0" w14:textId="777BE270" w:rsidTr="00AF51E3">
        <w:trPr>
          <w:trHeight w:val="300"/>
        </w:trPr>
        <w:tc>
          <w:tcPr>
            <w:tcW w:w="3476" w:type="dxa"/>
            <w:tcBorders>
              <w:top w:val="nil"/>
              <w:left w:val="nil"/>
              <w:bottom w:val="nil"/>
              <w:right w:val="single" w:sz="4" w:space="0" w:color="auto"/>
            </w:tcBorders>
            <w:shd w:val="clear" w:color="auto" w:fill="auto"/>
            <w:vAlign w:val="center"/>
            <w:hideMark/>
          </w:tcPr>
          <w:p w14:paraId="64B4EEB3" w14:textId="77777777" w:rsidR="00AF51E3" w:rsidRPr="00554433" w:rsidRDefault="00AF51E3" w:rsidP="00AF51E3">
            <w:pPr>
              <w:spacing w:after="0" w:line="240" w:lineRule="auto"/>
              <w:ind w:firstLineChars="100" w:firstLine="160"/>
              <w:rPr>
                <w:rFonts w:cs="Arial"/>
                <w:color w:val="000000"/>
                <w:sz w:val="16"/>
                <w:szCs w:val="16"/>
              </w:rPr>
            </w:pPr>
            <w:r w:rsidRPr="00554433">
              <w:rPr>
                <w:rFonts w:cs="Arial"/>
                <w:color w:val="000000"/>
                <w:sz w:val="16"/>
                <w:szCs w:val="16"/>
              </w:rPr>
              <w:t>P – Vzdělávání</w:t>
            </w:r>
          </w:p>
        </w:tc>
        <w:tc>
          <w:tcPr>
            <w:tcW w:w="567" w:type="dxa"/>
            <w:tcBorders>
              <w:top w:val="nil"/>
              <w:left w:val="nil"/>
              <w:bottom w:val="nil"/>
              <w:right w:val="nil"/>
            </w:tcBorders>
            <w:shd w:val="clear" w:color="auto" w:fill="auto"/>
            <w:noWrap/>
            <w:vAlign w:val="center"/>
            <w:hideMark/>
          </w:tcPr>
          <w:p w14:paraId="16965149"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25,2</w:t>
            </w:r>
          </w:p>
        </w:tc>
        <w:tc>
          <w:tcPr>
            <w:tcW w:w="567" w:type="dxa"/>
            <w:tcBorders>
              <w:top w:val="nil"/>
              <w:left w:val="nil"/>
              <w:bottom w:val="nil"/>
              <w:right w:val="nil"/>
            </w:tcBorders>
            <w:shd w:val="clear" w:color="auto" w:fill="auto"/>
            <w:noWrap/>
            <w:vAlign w:val="center"/>
            <w:hideMark/>
          </w:tcPr>
          <w:p w14:paraId="1FB918F1"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24,4</w:t>
            </w:r>
          </w:p>
        </w:tc>
        <w:tc>
          <w:tcPr>
            <w:tcW w:w="567" w:type="dxa"/>
            <w:tcBorders>
              <w:top w:val="nil"/>
              <w:left w:val="nil"/>
              <w:bottom w:val="nil"/>
              <w:right w:val="nil"/>
            </w:tcBorders>
            <w:shd w:val="clear" w:color="auto" w:fill="auto"/>
            <w:noWrap/>
            <w:vAlign w:val="center"/>
            <w:hideMark/>
          </w:tcPr>
          <w:p w14:paraId="1AFE8A9A"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30,5</w:t>
            </w:r>
          </w:p>
        </w:tc>
        <w:tc>
          <w:tcPr>
            <w:tcW w:w="567" w:type="dxa"/>
            <w:tcBorders>
              <w:top w:val="nil"/>
              <w:left w:val="nil"/>
              <w:bottom w:val="nil"/>
              <w:right w:val="nil"/>
            </w:tcBorders>
            <w:shd w:val="clear" w:color="auto" w:fill="auto"/>
            <w:noWrap/>
            <w:vAlign w:val="center"/>
            <w:hideMark/>
          </w:tcPr>
          <w:p w14:paraId="32180080"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30,5</w:t>
            </w:r>
          </w:p>
        </w:tc>
        <w:tc>
          <w:tcPr>
            <w:tcW w:w="567" w:type="dxa"/>
            <w:tcBorders>
              <w:top w:val="nil"/>
              <w:left w:val="nil"/>
              <w:bottom w:val="nil"/>
              <w:right w:val="nil"/>
            </w:tcBorders>
            <w:shd w:val="clear" w:color="auto" w:fill="auto"/>
            <w:noWrap/>
            <w:vAlign w:val="center"/>
            <w:hideMark/>
          </w:tcPr>
          <w:p w14:paraId="5DD7FE13"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32,6</w:t>
            </w:r>
          </w:p>
        </w:tc>
        <w:tc>
          <w:tcPr>
            <w:tcW w:w="567" w:type="dxa"/>
            <w:tcBorders>
              <w:top w:val="nil"/>
              <w:left w:val="nil"/>
              <w:bottom w:val="nil"/>
              <w:right w:val="nil"/>
            </w:tcBorders>
            <w:shd w:val="clear" w:color="auto" w:fill="auto"/>
            <w:noWrap/>
            <w:vAlign w:val="center"/>
            <w:hideMark/>
          </w:tcPr>
          <w:p w14:paraId="423AF4FF"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35,9</w:t>
            </w:r>
          </w:p>
        </w:tc>
        <w:tc>
          <w:tcPr>
            <w:tcW w:w="567" w:type="dxa"/>
            <w:tcBorders>
              <w:top w:val="nil"/>
              <w:left w:val="nil"/>
              <w:bottom w:val="nil"/>
              <w:right w:val="nil"/>
            </w:tcBorders>
            <w:shd w:val="clear" w:color="auto" w:fill="auto"/>
            <w:noWrap/>
            <w:vAlign w:val="center"/>
            <w:hideMark/>
          </w:tcPr>
          <w:p w14:paraId="6AD5A929"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36,0</w:t>
            </w:r>
          </w:p>
        </w:tc>
        <w:tc>
          <w:tcPr>
            <w:tcW w:w="567" w:type="dxa"/>
            <w:tcBorders>
              <w:top w:val="nil"/>
              <w:left w:val="nil"/>
              <w:bottom w:val="nil"/>
              <w:right w:val="nil"/>
            </w:tcBorders>
            <w:shd w:val="clear" w:color="auto" w:fill="auto"/>
            <w:noWrap/>
            <w:vAlign w:val="center"/>
            <w:hideMark/>
          </w:tcPr>
          <w:p w14:paraId="21C77186"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43,3</w:t>
            </w:r>
          </w:p>
        </w:tc>
        <w:tc>
          <w:tcPr>
            <w:tcW w:w="567" w:type="dxa"/>
            <w:tcBorders>
              <w:top w:val="nil"/>
              <w:left w:val="nil"/>
              <w:bottom w:val="nil"/>
              <w:right w:val="nil"/>
            </w:tcBorders>
            <w:shd w:val="clear" w:color="auto" w:fill="auto"/>
            <w:noWrap/>
            <w:vAlign w:val="center"/>
            <w:hideMark/>
          </w:tcPr>
          <w:p w14:paraId="7B5ADD3F"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55,7</w:t>
            </w:r>
          </w:p>
        </w:tc>
        <w:tc>
          <w:tcPr>
            <w:tcW w:w="559" w:type="dxa"/>
            <w:vAlign w:val="center"/>
          </w:tcPr>
          <w:p w14:paraId="67E6A33C"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86,4</w:t>
            </w:r>
          </w:p>
        </w:tc>
        <w:tc>
          <w:tcPr>
            <w:tcW w:w="500" w:type="dxa"/>
            <w:vAlign w:val="center"/>
          </w:tcPr>
          <w:p w14:paraId="66AAE5F6" w14:textId="3FFA76F4" w:rsidR="00AF51E3" w:rsidRPr="00554433" w:rsidRDefault="00AF51E3" w:rsidP="00AF51E3">
            <w:pPr>
              <w:spacing w:after="0" w:line="240" w:lineRule="auto"/>
              <w:jc w:val="right"/>
              <w:rPr>
                <w:rFonts w:cs="Arial"/>
                <w:color w:val="000000"/>
                <w:sz w:val="16"/>
                <w:szCs w:val="16"/>
              </w:rPr>
            </w:pPr>
            <w:r>
              <w:rPr>
                <w:rFonts w:cs="Arial"/>
                <w:color w:val="000000"/>
                <w:sz w:val="16"/>
                <w:szCs w:val="16"/>
              </w:rPr>
              <w:t>63,1</w:t>
            </w:r>
          </w:p>
        </w:tc>
      </w:tr>
      <w:tr w:rsidR="00AF51E3" w:rsidRPr="00554433" w14:paraId="1A3D136C" w14:textId="4544F133" w:rsidTr="00AF51E3">
        <w:trPr>
          <w:trHeight w:val="300"/>
        </w:trPr>
        <w:tc>
          <w:tcPr>
            <w:tcW w:w="3476" w:type="dxa"/>
            <w:tcBorders>
              <w:top w:val="nil"/>
              <w:left w:val="nil"/>
              <w:bottom w:val="nil"/>
              <w:right w:val="single" w:sz="4" w:space="0" w:color="auto"/>
            </w:tcBorders>
            <w:shd w:val="clear" w:color="auto" w:fill="auto"/>
            <w:vAlign w:val="center"/>
            <w:hideMark/>
          </w:tcPr>
          <w:p w14:paraId="29AA3B06" w14:textId="77777777" w:rsidR="00AF51E3" w:rsidRPr="00554433" w:rsidRDefault="00AF51E3" w:rsidP="00AF51E3">
            <w:pPr>
              <w:spacing w:after="0" w:line="240" w:lineRule="auto"/>
              <w:ind w:firstLineChars="100" w:firstLine="160"/>
              <w:rPr>
                <w:rFonts w:cs="Arial"/>
                <w:color w:val="000000"/>
                <w:sz w:val="16"/>
                <w:szCs w:val="16"/>
              </w:rPr>
            </w:pPr>
            <w:r w:rsidRPr="00554433">
              <w:rPr>
                <w:rFonts w:cs="Arial"/>
                <w:color w:val="000000"/>
                <w:sz w:val="16"/>
                <w:szCs w:val="16"/>
              </w:rPr>
              <w:t>Q – Zdravotní a sociální péče</w:t>
            </w:r>
          </w:p>
        </w:tc>
        <w:tc>
          <w:tcPr>
            <w:tcW w:w="567" w:type="dxa"/>
            <w:tcBorders>
              <w:top w:val="nil"/>
              <w:left w:val="nil"/>
              <w:bottom w:val="nil"/>
              <w:right w:val="nil"/>
            </w:tcBorders>
            <w:shd w:val="clear" w:color="auto" w:fill="auto"/>
            <w:noWrap/>
            <w:vAlign w:val="center"/>
            <w:hideMark/>
          </w:tcPr>
          <w:p w14:paraId="5FE98556"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25,5</w:t>
            </w:r>
          </w:p>
        </w:tc>
        <w:tc>
          <w:tcPr>
            <w:tcW w:w="567" w:type="dxa"/>
            <w:tcBorders>
              <w:top w:val="nil"/>
              <w:left w:val="nil"/>
              <w:bottom w:val="nil"/>
              <w:right w:val="nil"/>
            </w:tcBorders>
            <w:shd w:val="clear" w:color="auto" w:fill="auto"/>
            <w:noWrap/>
            <w:vAlign w:val="center"/>
            <w:hideMark/>
          </w:tcPr>
          <w:p w14:paraId="1CAD1893"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25,4</w:t>
            </w:r>
          </w:p>
        </w:tc>
        <w:tc>
          <w:tcPr>
            <w:tcW w:w="567" w:type="dxa"/>
            <w:tcBorders>
              <w:top w:val="nil"/>
              <w:left w:val="nil"/>
              <w:bottom w:val="nil"/>
              <w:right w:val="nil"/>
            </w:tcBorders>
            <w:shd w:val="clear" w:color="auto" w:fill="auto"/>
            <w:noWrap/>
            <w:vAlign w:val="center"/>
            <w:hideMark/>
          </w:tcPr>
          <w:p w14:paraId="37949233"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29,7</w:t>
            </w:r>
          </w:p>
        </w:tc>
        <w:tc>
          <w:tcPr>
            <w:tcW w:w="567" w:type="dxa"/>
            <w:tcBorders>
              <w:top w:val="nil"/>
              <w:left w:val="nil"/>
              <w:bottom w:val="nil"/>
              <w:right w:val="nil"/>
            </w:tcBorders>
            <w:shd w:val="clear" w:color="auto" w:fill="auto"/>
            <w:noWrap/>
            <w:vAlign w:val="center"/>
            <w:hideMark/>
          </w:tcPr>
          <w:p w14:paraId="59B97D5A"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30,4</w:t>
            </w:r>
          </w:p>
        </w:tc>
        <w:tc>
          <w:tcPr>
            <w:tcW w:w="567" w:type="dxa"/>
            <w:tcBorders>
              <w:top w:val="nil"/>
              <w:left w:val="nil"/>
              <w:bottom w:val="nil"/>
              <w:right w:val="nil"/>
            </w:tcBorders>
            <w:shd w:val="clear" w:color="auto" w:fill="auto"/>
            <w:noWrap/>
            <w:vAlign w:val="center"/>
            <w:hideMark/>
          </w:tcPr>
          <w:p w14:paraId="3C0AC2D5"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31,3</w:t>
            </w:r>
          </w:p>
        </w:tc>
        <w:tc>
          <w:tcPr>
            <w:tcW w:w="567" w:type="dxa"/>
            <w:tcBorders>
              <w:top w:val="nil"/>
              <w:left w:val="nil"/>
              <w:bottom w:val="nil"/>
              <w:right w:val="nil"/>
            </w:tcBorders>
            <w:shd w:val="clear" w:color="auto" w:fill="auto"/>
            <w:noWrap/>
            <w:vAlign w:val="center"/>
            <w:hideMark/>
          </w:tcPr>
          <w:p w14:paraId="03E136C1"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33,7</w:t>
            </w:r>
          </w:p>
        </w:tc>
        <w:tc>
          <w:tcPr>
            <w:tcW w:w="567" w:type="dxa"/>
            <w:tcBorders>
              <w:top w:val="nil"/>
              <w:left w:val="nil"/>
              <w:bottom w:val="nil"/>
              <w:right w:val="nil"/>
            </w:tcBorders>
            <w:shd w:val="clear" w:color="auto" w:fill="auto"/>
            <w:noWrap/>
            <w:vAlign w:val="center"/>
            <w:hideMark/>
          </w:tcPr>
          <w:p w14:paraId="71FE47A0"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35,2</w:t>
            </w:r>
          </w:p>
        </w:tc>
        <w:tc>
          <w:tcPr>
            <w:tcW w:w="567" w:type="dxa"/>
            <w:tcBorders>
              <w:top w:val="nil"/>
              <w:left w:val="nil"/>
              <w:bottom w:val="nil"/>
              <w:right w:val="nil"/>
            </w:tcBorders>
            <w:shd w:val="clear" w:color="auto" w:fill="auto"/>
            <w:noWrap/>
            <w:vAlign w:val="center"/>
            <w:hideMark/>
          </w:tcPr>
          <w:p w14:paraId="430ECA33"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59,7</w:t>
            </w:r>
          </w:p>
        </w:tc>
        <w:tc>
          <w:tcPr>
            <w:tcW w:w="567" w:type="dxa"/>
            <w:tcBorders>
              <w:top w:val="nil"/>
              <w:left w:val="nil"/>
              <w:bottom w:val="nil"/>
              <w:right w:val="nil"/>
            </w:tcBorders>
            <w:shd w:val="clear" w:color="auto" w:fill="auto"/>
            <w:noWrap/>
            <w:vAlign w:val="center"/>
            <w:hideMark/>
          </w:tcPr>
          <w:p w14:paraId="296FD0C8"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52,1</w:t>
            </w:r>
          </w:p>
        </w:tc>
        <w:tc>
          <w:tcPr>
            <w:tcW w:w="559" w:type="dxa"/>
            <w:vAlign w:val="center"/>
          </w:tcPr>
          <w:p w14:paraId="41A962B8"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72,2</w:t>
            </w:r>
          </w:p>
        </w:tc>
        <w:tc>
          <w:tcPr>
            <w:tcW w:w="500" w:type="dxa"/>
            <w:vAlign w:val="center"/>
          </w:tcPr>
          <w:p w14:paraId="00E5FB69" w14:textId="06B253CC" w:rsidR="00AF51E3" w:rsidRPr="00554433" w:rsidRDefault="00AF51E3" w:rsidP="00AF51E3">
            <w:pPr>
              <w:spacing w:after="0" w:line="240" w:lineRule="auto"/>
              <w:jc w:val="right"/>
              <w:rPr>
                <w:rFonts w:cs="Arial"/>
                <w:color w:val="000000"/>
                <w:sz w:val="16"/>
                <w:szCs w:val="16"/>
              </w:rPr>
            </w:pPr>
            <w:r>
              <w:rPr>
                <w:rFonts w:cs="Arial"/>
                <w:color w:val="000000"/>
                <w:sz w:val="16"/>
                <w:szCs w:val="16"/>
              </w:rPr>
              <w:t>53,1</w:t>
            </w:r>
          </w:p>
        </w:tc>
      </w:tr>
      <w:tr w:rsidR="00AF51E3" w:rsidRPr="00554433" w14:paraId="7BF312A7" w14:textId="11EAA25F" w:rsidTr="00AF51E3">
        <w:trPr>
          <w:trHeight w:val="480"/>
        </w:trPr>
        <w:tc>
          <w:tcPr>
            <w:tcW w:w="3476" w:type="dxa"/>
            <w:tcBorders>
              <w:top w:val="nil"/>
              <w:left w:val="nil"/>
              <w:bottom w:val="nil"/>
              <w:right w:val="single" w:sz="4" w:space="0" w:color="auto"/>
            </w:tcBorders>
            <w:shd w:val="clear" w:color="auto" w:fill="auto"/>
            <w:vAlign w:val="center"/>
            <w:hideMark/>
          </w:tcPr>
          <w:p w14:paraId="341EE343" w14:textId="77777777" w:rsidR="00AF51E3" w:rsidRPr="00554433" w:rsidRDefault="00AF51E3" w:rsidP="00AF51E3">
            <w:pPr>
              <w:spacing w:after="0" w:line="240" w:lineRule="auto"/>
              <w:ind w:firstLineChars="100" w:firstLine="160"/>
              <w:rPr>
                <w:rFonts w:cs="Arial"/>
                <w:color w:val="000000"/>
                <w:sz w:val="16"/>
                <w:szCs w:val="16"/>
              </w:rPr>
            </w:pPr>
            <w:r w:rsidRPr="00554433">
              <w:rPr>
                <w:rFonts w:cs="Arial"/>
                <w:color w:val="000000"/>
                <w:sz w:val="16"/>
                <w:szCs w:val="16"/>
              </w:rPr>
              <w:t xml:space="preserve">R – Kulturní, zábavní a rekreační </w:t>
            </w:r>
            <w:r w:rsidRPr="00554433">
              <w:rPr>
                <w:rFonts w:cs="Arial"/>
                <w:color w:val="000000"/>
                <w:sz w:val="16"/>
                <w:szCs w:val="16"/>
              </w:rPr>
              <w:br/>
              <w:t xml:space="preserve">          činnosti</w:t>
            </w:r>
          </w:p>
        </w:tc>
        <w:tc>
          <w:tcPr>
            <w:tcW w:w="567" w:type="dxa"/>
            <w:tcBorders>
              <w:top w:val="nil"/>
              <w:left w:val="nil"/>
              <w:bottom w:val="nil"/>
              <w:right w:val="nil"/>
            </w:tcBorders>
            <w:shd w:val="clear" w:color="auto" w:fill="auto"/>
            <w:noWrap/>
            <w:vAlign w:val="center"/>
            <w:hideMark/>
          </w:tcPr>
          <w:p w14:paraId="6D81577C"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20,9</w:t>
            </w:r>
          </w:p>
        </w:tc>
        <w:tc>
          <w:tcPr>
            <w:tcW w:w="567" w:type="dxa"/>
            <w:tcBorders>
              <w:top w:val="nil"/>
              <w:left w:val="nil"/>
              <w:bottom w:val="nil"/>
              <w:right w:val="nil"/>
            </w:tcBorders>
            <w:shd w:val="clear" w:color="auto" w:fill="auto"/>
            <w:noWrap/>
            <w:vAlign w:val="center"/>
            <w:hideMark/>
          </w:tcPr>
          <w:p w14:paraId="1606314D"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20,5</w:t>
            </w:r>
          </w:p>
        </w:tc>
        <w:tc>
          <w:tcPr>
            <w:tcW w:w="567" w:type="dxa"/>
            <w:tcBorders>
              <w:top w:val="nil"/>
              <w:left w:val="nil"/>
              <w:bottom w:val="nil"/>
              <w:right w:val="nil"/>
            </w:tcBorders>
            <w:shd w:val="clear" w:color="auto" w:fill="auto"/>
            <w:noWrap/>
            <w:vAlign w:val="center"/>
            <w:hideMark/>
          </w:tcPr>
          <w:p w14:paraId="069E1731"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24,1</w:t>
            </w:r>
          </w:p>
        </w:tc>
        <w:tc>
          <w:tcPr>
            <w:tcW w:w="567" w:type="dxa"/>
            <w:tcBorders>
              <w:top w:val="nil"/>
              <w:left w:val="nil"/>
              <w:bottom w:val="nil"/>
              <w:right w:val="nil"/>
            </w:tcBorders>
            <w:shd w:val="clear" w:color="auto" w:fill="auto"/>
            <w:noWrap/>
            <w:vAlign w:val="center"/>
            <w:hideMark/>
          </w:tcPr>
          <w:p w14:paraId="79EC5976"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24,6</w:t>
            </w:r>
          </w:p>
        </w:tc>
        <w:tc>
          <w:tcPr>
            <w:tcW w:w="567" w:type="dxa"/>
            <w:tcBorders>
              <w:top w:val="nil"/>
              <w:left w:val="nil"/>
              <w:bottom w:val="nil"/>
              <w:right w:val="nil"/>
            </w:tcBorders>
            <w:shd w:val="clear" w:color="auto" w:fill="auto"/>
            <w:noWrap/>
            <w:vAlign w:val="center"/>
            <w:hideMark/>
          </w:tcPr>
          <w:p w14:paraId="7B30F994"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24,4</w:t>
            </w:r>
          </w:p>
        </w:tc>
        <w:tc>
          <w:tcPr>
            <w:tcW w:w="567" w:type="dxa"/>
            <w:tcBorders>
              <w:top w:val="nil"/>
              <w:left w:val="nil"/>
              <w:bottom w:val="nil"/>
              <w:right w:val="nil"/>
            </w:tcBorders>
            <w:shd w:val="clear" w:color="auto" w:fill="auto"/>
            <w:noWrap/>
            <w:vAlign w:val="center"/>
            <w:hideMark/>
          </w:tcPr>
          <w:p w14:paraId="20E38A65"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26,8</w:t>
            </w:r>
          </w:p>
        </w:tc>
        <w:tc>
          <w:tcPr>
            <w:tcW w:w="567" w:type="dxa"/>
            <w:tcBorders>
              <w:top w:val="nil"/>
              <w:left w:val="nil"/>
              <w:bottom w:val="nil"/>
              <w:right w:val="nil"/>
            </w:tcBorders>
            <w:shd w:val="clear" w:color="auto" w:fill="auto"/>
            <w:noWrap/>
            <w:vAlign w:val="center"/>
            <w:hideMark/>
          </w:tcPr>
          <w:p w14:paraId="54410042"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27,9</w:t>
            </w:r>
          </w:p>
        </w:tc>
        <w:tc>
          <w:tcPr>
            <w:tcW w:w="567" w:type="dxa"/>
            <w:tcBorders>
              <w:top w:val="nil"/>
              <w:left w:val="nil"/>
              <w:bottom w:val="nil"/>
              <w:right w:val="nil"/>
            </w:tcBorders>
            <w:shd w:val="clear" w:color="auto" w:fill="auto"/>
            <w:noWrap/>
            <w:vAlign w:val="center"/>
            <w:hideMark/>
          </w:tcPr>
          <w:p w14:paraId="5CB3CD53"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34,1</w:t>
            </w:r>
          </w:p>
        </w:tc>
        <w:tc>
          <w:tcPr>
            <w:tcW w:w="567" w:type="dxa"/>
            <w:tcBorders>
              <w:top w:val="nil"/>
              <w:left w:val="nil"/>
              <w:bottom w:val="nil"/>
              <w:right w:val="nil"/>
            </w:tcBorders>
            <w:shd w:val="clear" w:color="auto" w:fill="auto"/>
            <w:noWrap/>
            <w:vAlign w:val="center"/>
            <w:hideMark/>
          </w:tcPr>
          <w:p w14:paraId="78D8D1D3"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36,5</w:t>
            </w:r>
          </w:p>
        </w:tc>
        <w:tc>
          <w:tcPr>
            <w:tcW w:w="559" w:type="dxa"/>
            <w:vAlign w:val="center"/>
          </w:tcPr>
          <w:p w14:paraId="30F68257"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56,1</w:t>
            </w:r>
          </w:p>
        </w:tc>
        <w:tc>
          <w:tcPr>
            <w:tcW w:w="500" w:type="dxa"/>
            <w:vAlign w:val="center"/>
          </w:tcPr>
          <w:p w14:paraId="7163C4F7" w14:textId="024574D5" w:rsidR="00AF51E3" w:rsidRPr="00554433" w:rsidRDefault="00AF51E3" w:rsidP="00AF51E3">
            <w:pPr>
              <w:spacing w:after="0" w:line="240" w:lineRule="auto"/>
              <w:jc w:val="right"/>
              <w:rPr>
                <w:rFonts w:cs="Arial"/>
                <w:color w:val="000000"/>
                <w:sz w:val="16"/>
                <w:szCs w:val="16"/>
              </w:rPr>
            </w:pPr>
            <w:r>
              <w:rPr>
                <w:rFonts w:cs="Arial"/>
                <w:color w:val="000000"/>
                <w:sz w:val="16"/>
                <w:szCs w:val="16"/>
              </w:rPr>
              <w:t>39,1</w:t>
            </w:r>
          </w:p>
        </w:tc>
      </w:tr>
      <w:tr w:rsidR="00AF51E3" w:rsidRPr="00554433" w14:paraId="3DA9ECFE" w14:textId="1B8834C0" w:rsidTr="00AF51E3">
        <w:trPr>
          <w:trHeight w:val="300"/>
        </w:trPr>
        <w:tc>
          <w:tcPr>
            <w:tcW w:w="3476" w:type="dxa"/>
            <w:tcBorders>
              <w:top w:val="nil"/>
              <w:left w:val="nil"/>
              <w:bottom w:val="nil"/>
              <w:right w:val="single" w:sz="4" w:space="0" w:color="auto"/>
            </w:tcBorders>
            <w:shd w:val="clear" w:color="auto" w:fill="auto"/>
            <w:vAlign w:val="center"/>
            <w:hideMark/>
          </w:tcPr>
          <w:p w14:paraId="371F82B6" w14:textId="77777777" w:rsidR="00AF51E3" w:rsidRPr="00554433" w:rsidRDefault="00AF51E3" w:rsidP="00AF51E3">
            <w:pPr>
              <w:spacing w:after="0" w:line="240" w:lineRule="auto"/>
              <w:ind w:firstLineChars="100" w:firstLine="160"/>
              <w:rPr>
                <w:rFonts w:cs="Arial"/>
                <w:color w:val="000000"/>
                <w:sz w:val="16"/>
                <w:szCs w:val="16"/>
              </w:rPr>
            </w:pPr>
            <w:r w:rsidRPr="00554433">
              <w:rPr>
                <w:rFonts w:cs="Arial"/>
                <w:color w:val="000000"/>
                <w:sz w:val="16"/>
                <w:szCs w:val="16"/>
              </w:rPr>
              <w:t>S – Ostatní činnosti</w:t>
            </w:r>
          </w:p>
        </w:tc>
        <w:tc>
          <w:tcPr>
            <w:tcW w:w="567" w:type="dxa"/>
            <w:tcBorders>
              <w:top w:val="nil"/>
              <w:left w:val="nil"/>
              <w:bottom w:val="nil"/>
              <w:right w:val="nil"/>
            </w:tcBorders>
            <w:shd w:val="clear" w:color="auto" w:fill="auto"/>
            <w:noWrap/>
            <w:vAlign w:val="center"/>
            <w:hideMark/>
          </w:tcPr>
          <w:p w14:paraId="72FC815E"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23,5</w:t>
            </w:r>
          </w:p>
        </w:tc>
        <w:tc>
          <w:tcPr>
            <w:tcW w:w="567" w:type="dxa"/>
            <w:tcBorders>
              <w:top w:val="nil"/>
              <w:left w:val="nil"/>
              <w:bottom w:val="nil"/>
              <w:right w:val="nil"/>
            </w:tcBorders>
            <w:shd w:val="clear" w:color="auto" w:fill="auto"/>
            <w:noWrap/>
            <w:vAlign w:val="center"/>
            <w:hideMark/>
          </w:tcPr>
          <w:p w14:paraId="5BFBE56A"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23,5</w:t>
            </w:r>
          </w:p>
        </w:tc>
        <w:tc>
          <w:tcPr>
            <w:tcW w:w="567" w:type="dxa"/>
            <w:tcBorders>
              <w:top w:val="nil"/>
              <w:left w:val="nil"/>
              <w:bottom w:val="nil"/>
              <w:right w:val="nil"/>
            </w:tcBorders>
            <w:shd w:val="clear" w:color="auto" w:fill="auto"/>
            <w:noWrap/>
            <w:vAlign w:val="center"/>
            <w:hideMark/>
          </w:tcPr>
          <w:p w14:paraId="699CED7F"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27,5</w:t>
            </w:r>
          </w:p>
        </w:tc>
        <w:tc>
          <w:tcPr>
            <w:tcW w:w="567" w:type="dxa"/>
            <w:tcBorders>
              <w:top w:val="nil"/>
              <w:left w:val="nil"/>
              <w:bottom w:val="nil"/>
              <w:right w:val="nil"/>
            </w:tcBorders>
            <w:shd w:val="clear" w:color="auto" w:fill="auto"/>
            <w:noWrap/>
            <w:vAlign w:val="center"/>
            <w:hideMark/>
          </w:tcPr>
          <w:p w14:paraId="445000BF"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28,1</w:t>
            </w:r>
          </w:p>
        </w:tc>
        <w:tc>
          <w:tcPr>
            <w:tcW w:w="567" w:type="dxa"/>
            <w:tcBorders>
              <w:top w:val="nil"/>
              <w:left w:val="nil"/>
              <w:bottom w:val="nil"/>
              <w:right w:val="nil"/>
            </w:tcBorders>
            <w:shd w:val="clear" w:color="auto" w:fill="auto"/>
            <w:noWrap/>
            <w:vAlign w:val="center"/>
            <w:hideMark/>
          </w:tcPr>
          <w:p w14:paraId="4C397089"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27,8</w:t>
            </w:r>
          </w:p>
        </w:tc>
        <w:tc>
          <w:tcPr>
            <w:tcW w:w="567" w:type="dxa"/>
            <w:tcBorders>
              <w:top w:val="nil"/>
              <w:left w:val="nil"/>
              <w:bottom w:val="nil"/>
              <w:right w:val="nil"/>
            </w:tcBorders>
            <w:shd w:val="clear" w:color="auto" w:fill="auto"/>
            <w:noWrap/>
            <w:vAlign w:val="center"/>
            <w:hideMark/>
          </w:tcPr>
          <w:p w14:paraId="529F06BE"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29,8</w:t>
            </w:r>
          </w:p>
        </w:tc>
        <w:tc>
          <w:tcPr>
            <w:tcW w:w="567" w:type="dxa"/>
            <w:tcBorders>
              <w:top w:val="nil"/>
              <w:left w:val="nil"/>
              <w:bottom w:val="nil"/>
              <w:right w:val="nil"/>
            </w:tcBorders>
            <w:shd w:val="clear" w:color="auto" w:fill="auto"/>
            <w:noWrap/>
            <w:vAlign w:val="center"/>
            <w:hideMark/>
          </w:tcPr>
          <w:p w14:paraId="39D29219"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31,3</w:t>
            </w:r>
          </w:p>
        </w:tc>
        <w:tc>
          <w:tcPr>
            <w:tcW w:w="567" w:type="dxa"/>
            <w:tcBorders>
              <w:top w:val="nil"/>
              <w:left w:val="nil"/>
              <w:bottom w:val="nil"/>
              <w:right w:val="nil"/>
            </w:tcBorders>
            <w:shd w:val="clear" w:color="auto" w:fill="auto"/>
            <w:noWrap/>
            <w:vAlign w:val="center"/>
            <w:hideMark/>
          </w:tcPr>
          <w:p w14:paraId="5E3B9236"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40,6</w:t>
            </w:r>
          </w:p>
        </w:tc>
        <w:tc>
          <w:tcPr>
            <w:tcW w:w="567" w:type="dxa"/>
            <w:tcBorders>
              <w:top w:val="nil"/>
              <w:left w:val="nil"/>
              <w:bottom w:val="nil"/>
              <w:right w:val="nil"/>
            </w:tcBorders>
            <w:shd w:val="clear" w:color="auto" w:fill="auto"/>
            <w:noWrap/>
            <w:vAlign w:val="center"/>
            <w:hideMark/>
          </w:tcPr>
          <w:p w14:paraId="2E65063F"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44,2</w:t>
            </w:r>
          </w:p>
        </w:tc>
        <w:tc>
          <w:tcPr>
            <w:tcW w:w="559" w:type="dxa"/>
            <w:vAlign w:val="center"/>
          </w:tcPr>
          <w:p w14:paraId="74AD768D" w14:textId="77777777" w:rsidR="00AF51E3" w:rsidRPr="00554433" w:rsidRDefault="00AF51E3" w:rsidP="00AF51E3">
            <w:pPr>
              <w:spacing w:after="0" w:line="240" w:lineRule="auto"/>
              <w:jc w:val="center"/>
              <w:rPr>
                <w:rFonts w:cs="Arial"/>
                <w:color w:val="000000"/>
                <w:sz w:val="16"/>
                <w:szCs w:val="16"/>
              </w:rPr>
            </w:pPr>
            <w:r w:rsidRPr="00554433">
              <w:rPr>
                <w:rFonts w:cs="Arial"/>
                <w:color w:val="000000"/>
                <w:sz w:val="16"/>
                <w:szCs w:val="16"/>
              </w:rPr>
              <w:t>56,3</w:t>
            </w:r>
          </w:p>
        </w:tc>
        <w:tc>
          <w:tcPr>
            <w:tcW w:w="500" w:type="dxa"/>
            <w:vAlign w:val="center"/>
          </w:tcPr>
          <w:p w14:paraId="535C731B" w14:textId="3D9FB9F0" w:rsidR="00AF51E3" w:rsidRPr="00554433" w:rsidRDefault="00AF51E3" w:rsidP="00AF51E3">
            <w:pPr>
              <w:spacing w:after="0" w:line="240" w:lineRule="auto"/>
              <w:jc w:val="right"/>
              <w:rPr>
                <w:rFonts w:cs="Arial"/>
                <w:color w:val="000000"/>
                <w:sz w:val="16"/>
                <w:szCs w:val="16"/>
              </w:rPr>
            </w:pPr>
            <w:r>
              <w:rPr>
                <w:rFonts w:cs="Arial"/>
                <w:color w:val="000000"/>
                <w:sz w:val="16"/>
                <w:szCs w:val="16"/>
              </w:rPr>
              <w:t>33,9</w:t>
            </w:r>
          </w:p>
        </w:tc>
      </w:tr>
    </w:tbl>
    <w:p w14:paraId="07520560" w14:textId="015EA0AF" w:rsidR="00AF51E3" w:rsidRDefault="00AF51E3" w:rsidP="00AF51E3">
      <w:pPr>
        <w:spacing w:before="120" w:after="120" w:line="240" w:lineRule="auto"/>
        <w:jc w:val="both"/>
        <w:rPr>
          <w:rFonts w:cs="Arial"/>
          <w:color w:val="000000"/>
          <w:sz w:val="16"/>
          <w:szCs w:val="16"/>
        </w:rPr>
      </w:pPr>
      <w:r>
        <w:rPr>
          <w:rFonts w:cs="Arial"/>
          <w:color w:val="000000"/>
          <w:sz w:val="16"/>
          <w:szCs w:val="16"/>
        </w:rPr>
        <w:t>* Údaje za rok 2022 nejsou srovnatelné s údaji za ostatní roky.</w:t>
      </w:r>
    </w:p>
    <w:p w14:paraId="7D8DB138" w14:textId="77777777" w:rsidR="00056319" w:rsidRPr="00166BEB" w:rsidRDefault="00056319" w:rsidP="00056319">
      <w:pPr>
        <w:spacing w:before="120" w:after="120" w:line="240" w:lineRule="auto"/>
        <w:jc w:val="both"/>
        <w:rPr>
          <w:rFonts w:cs="Arial"/>
          <w:color w:val="000000"/>
          <w:sz w:val="16"/>
          <w:szCs w:val="16"/>
          <w:highlight w:val="yellow"/>
        </w:rPr>
      </w:pPr>
      <w:r w:rsidRPr="00554433">
        <w:rPr>
          <w:rFonts w:cs="Arial"/>
          <w:color w:val="000000"/>
          <w:sz w:val="16"/>
          <w:szCs w:val="16"/>
        </w:rPr>
        <w:t>Zdroj: ČSÚ</w:t>
      </w:r>
    </w:p>
    <w:p w14:paraId="2502A405" w14:textId="1FB7167B" w:rsidR="00C8357C" w:rsidRPr="00251BF8" w:rsidRDefault="00C8357C" w:rsidP="00C8357C">
      <w:pPr>
        <w:spacing w:before="120" w:after="120"/>
        <w:jc w:val="both"/>
      </w:pPr>
      <w:r w:rsidRPr="00251BF8">
        <w:t xml:space="preserve">Nejvíce případů dočasné pracovní neschopnosti </w:t>
      </w:r>
      <w:r w:rsidRPr="00251BF8">
        <w:rPr>
          <w:b/>
        </w:rPr>
        <w:t>pro pracovní úraz</w:t>
      </w:r>
      <w:r w:rsidRPr="00251BF8">
        <w:t xml:space="preserve"> na 100 pojištěnců, což je možné chápat jako ukazatel vyjadřující „stupeň rizikovosti“ daného odvětví, bylo v roce 2023 (ale je již dlouhodobě) evidováno u sekce Zemědělství, lesnictví a rybářství (2,3), následované oblastmi Zásobování vodou; činnosti související s odpady a sanacemi (2,0) a Těžba a dobývání (1,8). Naproti tomu nejméně pracovních úrazů bylo zaznamenáno ve firmách působících v odvětví Peněžnictví a pojišťovnictví a Informační a komunikační činnosti (obě sekce shodně 0,09). </w:t>
      </w:r>
      <w:r w:rsidR="00E2590E" w:rsidRPr="00251BF8">
        <w:t>P</w:t>
      </w:r>
      <w:r w:rsidRPr="00251BF8">
        <w:t>růměrně za všechna odvětví připadal</w:t>
      </w:r>
      <w:r w:rsidR="00797463" w:rsidRPr="00251BF8">
        <w:t>o</w:t>
      </w:r>
      <w:r w:rsidRPr="00251BF8">
        <w:t xml:space="preserve"> na 100 pojištěnců 0,9 případu pracovní neschopnosti pro pracovní úraz. Více o pracovních úrazech v kap. 4.5.</w:t>
      </w:r>
      <w:r w:rsidRPr="00251BF8">
        <w:rPr>
          <w:noProof/>
        </w:rPr>
        <w:t xml:space="preserve"> </w:t>
      </w:r>
    </w:p>
    <w:p w14:paraId="0EC72E2B" w14:textId="2F3C9FED" w:rsidR="00AF51E3" w:rsidRPr="00251BF8" w:rsidRDefault="00AF51E3" w:rsidP="00AF51E3">
      <w:pPr>
        <w:spacing w:before="120" w:after="120"/>
        <w:jc w:val="both"/>
      </w:pPr>
      <w:r w:rsidRPr="00251BF8">
        <w:t xml:space="preserve">Rozdíly v pracovní neschopnosti lze zkoumat i podle </w:t>
      </w:r>
      <w:r w:rsidRPr="00251BF8">
        <w:rPr>
          <w:b/>
        </w:rPr>
        <w:t>velikosti podniku</w:t>
      </w:r>
      <w:r w:rsidRPr="00251BF8">
        <w:t>. V relativním pojetí při přepočtu na 100 pojištěnců dominovaly firmy zaměstnávající 50–99 zaměstnanců</w:t>
      </w:r>
      <w:r w:rsidR="00D744C7" w:rsidRPr="00251BF8">
        <w:t>. Tyto firmy během roku 2023 v průměru zaznamenaly 62 pracovních neschopností v přepočtu na 100 pojištěnců. Za nimi se nacházely středně velké</w:t>
      </w:r>
      <w:r w:rsidRPr="00251BF8">
        <w:t xml:space="preserve"> podniky, které mají 100–249 zaměstnanců</w:t>
      </w:r>
      <w:r w:rsidR="00D744C7" w:rsidRPr="00251BF8">
        <w:t>, resp. velké s více než 250 zaměstnanci. Obě tyto velikostní kategorie podniku vykázaly</w:t>
      </w:r>
      <w:r w:rsidRPr="00251BF8">
        <w:t> </w:t>
      </w:r>
      <w:r w:rsidR="00D744C7" w:rsidRPr="00251BF8">
        <w:t>60</w:t>
      </w:r>
      <w:r w:rsidRPr="00251BF8">
        <w:t xml:space="preserve"> případů pracovních neschopností v přepočtu na 100 pojištěnců. Daleko méně případů pracovní neschopnosti vykázaly firmy mající do 50 zaměstnanců, kde na 100 pojištěnců připadlo </w:t>
      </w:r>
      <w:r w:rsidR="00D744C7" w:rsidRPr="00251BF8">
        <w:t>4</w:t>
      </w:r>
      <w:r w:rsidR="00E2590E" w:rsidRPr="00251BF8">
        <w:t>1</w:t>
      </w:r>
      <w:r w:rsidRPr="00251BF8">
        <w:t xml:space="preserve"> hlášení. A zcela nejméně případů bylo zaznamenáno u OSVČ, a sice </w:t>
      </w:r>
      <w:r w:rsidR="00D744C7" w:rsidRPr="00251BF8">
        <w:t>15</w:t>
      </w:r>
      <w:r w:rsidRPr="00251BF8">
        <w:t xml:space="preserve"> na 100 </w:t>
      </w:r>
      <w:proofErr w:type="spellStart"/>
      <w:r w:rsidRPr="00251BF8">
        <w:t>nemocensky</w:t>
      </w:r>
      <w:proofErr w:type="spellEnd"/>
      <w:r w:rsidRPr="00251BF8">
        <w:t xml:space="preserve"> pojištěných OSVČ. Zde je nutné mít na paměti, že nemocenské dávky jsou vypláceny až od 15. dne pracovní </w:t>
      </w:r>
      <w:r w:rsidRPr="00251BF8">
        <w:lastRenderedPageBreak/>
        <w:t>neschopnosti (do té doby vyplácí náhradu mzdy zaměstnavatel), a proto se OSVČ nevyplatí při krátkodobější nemoci nastupovat do pracovní neschopnosti.</w:t>
      </w:r>
    </w:p>
    <w:p w14:paraId="0A42D3D5" w14:textId="491DBB1A" w:rsidR="00AF51E3" w:rsidRPr="00F032B8" w:rsidRDefault="00AF51E3" w:rsidP="00AF51E3">
      <w:pPr>
        <w:spacing w:before="120" w:after="120"/>
        <w:jc w:val="both"/>
      </w:pPr>
      <w:r w:rsidRPr="00251BF8">
        <w:t xml:space="preserve">Dalším kritériem, podle kterého je možné hodnotit pracovní neschopnost </w:t>
      </w:r>
      <w:proofErr w:type="spellStart"/>
      <w:r w:rsidRPr="00251BF8">
        <w:t>nemocensky</w:t>
      </w:r>
      <w:proofErr w:type="spellEnd"/>
      <w:r w:rsidRPr="00251BF8">
        <w:t xml:space="preserve"> pojištěných, je rozdělení na </w:t>
      </w:r>
      <w:r w:rsidRPr="00251BF8">
        <w:rPr>
          <w:b/>
        </w:rPr>
        <w:t xml:space="preserve">podniky domácí vs. </w:t>
      </w:r>
      <w:r w:rsidRPr="00251BF8">
        <w:t xml:space="preserve">podniky </w:t>
      </w:r>
      <w:r w:rsidRPr="00251BF8">
        <w:rPr>
          <w:b/>
        </w:rPr>
        <w:t>pod zahraniční kontrolou</w:t>
      </w:r>
      <w:r w:rsidRPr="00251BF8">
        <w:t>. Např. v nefinančních podnicích pod zahraniční kontrolou v </w:t>
      </w:r>
      <w:r w:rsidR="00D744C7" w:rsidRPr="00251BF8">
        <w:t>roce</w:t>
      </w:r>
      <w:r w:rsidRPr="00251BF8">
        <w:t xml:space="preserve"> 2023 připadlo na 100 </w:t>
      </w:r>
      <w:proofErr w:type="spellStart"/>
      <w:r w:rsidRPr="00251BF8">
        <w:t>nemocensky</w:t>
      </w:r>
      <w:proofErr w:type="spellEnd"/>
      <w:r w:rsidRPr="00251BF8">
        <w:t xml:space="preserve"> pojištěných </w:t>
      </w:r>
      <w:r w:rsidR="00D744C7" w:rsidRPr="00251BF8">
        <w:t>65</w:t>
      </w:r>
      <w:r w:rsidRPr="00251BF8">
        <w:t xml:space="preserve"> nahlášených případů v porovnání s</w:t>
      </w:r>
      <w:r w:rsidR="00D744C7" w:rsidRPr="00251BF8">
        <w:t>e</w:t>
      </w:r>
      <w:r w:rsidRPr="00251BF8">
        <w:t> </w:t>
      </w:r>
      <w:r w:rsidR="00D744C7" w:rsidRPr="00251BF8">
        <w:t>48</w:t>
      </w:r>
      <w:r w:rsidRPr="00251BF8">
        <w:t> případy v domácích nefinančních podnicích. Pracovní neschopnost zaměstnanců v domácích podnicích však trvala v průměru o 7 dnů déle (3</w:t>
      </w:r>
      <w:r w:rsidR="00D744C7" w:rsidRPr="00251BF8">
        <w:t>5</w:t>
      </w:r>
      <w:r w:rsidRPr="00251BF8">
        <w:t xml:space="preserve"> dnů) než u podniků pod zahraniční kontrolou (2</w:t>
      </w:r>
      <w:r w:rsidR="00D744C7" w:rsidRPr="00251BF8">
        <w:t>8</w:t>
      </w:r>
      <w:r w:rsidRPr="00251BF8">
        <w:t xml:space="preserve"> dnů). Podrobnější údaje za nefinanční podniky viz tabulková příloh</w:t>
      </w:r>
      <w:r w:rsidR="00797463" w:rsidRPr="00251BF8">
        <w:t>a – část 5</w:t>
      </w:r>
      <w:r w:rsidRPr="00251BF8">
        <w:t>.</w:t>
      </w:r>
    </w:p>
    <w:p w14:paraId="546123DC" w14:textId="77777777" w:rsidR="00D744C7" w:rsidRPr="005A75BA" w:rsidRDefault="00D744C7" w:rsidP="00D744C7">
      <w:pPr>
        <w:pStyle w:val="Nadpis4"/>
        <w:rPr>
          <w:sz w:val="24"/>
        </w:rPr>
      </w:pPr>
      <w:bookmarkStart w:id="25" w:name="_Toc136412151"/>
      <w:bookmarkStart w:id="26" w:name="_Toc167965226"/>
      <w:r w:rsidRPr="005A75BA">
        <w:rPr>
          <w:sz w:val="24"/>
        </w:rPr>
        <w:t>4.2.2 Délka trvání dočasné pracovní neschopnosti</w:t>
      </w:r>
      <w:bookmarkEnd w:id="25"/>
      <w:bookmarkEnd w:id="26"/>
    </w:p>
    <w:p w14:paraId="2DA9A0AA" w14:textId="77777777" w:rsidR="00D744C7" w:rsidRPr="00B448CC" w:rsidRDefault="00D744C7" w:rsidP="00D744C7">
      <w:pPr>
        <w:spacing w:after="120"/>
        <w:jc w:val="both"/>
      </w:pPr>
      <w:r w:rsidRPr="00B448CC">
        <w:t>Pro posouzení vývoje pracovní neschopnosti je důležité nejen zjištění, jak často zaměstnanci do pracovní neschopnosti nastupují, ale i to, jak dlouho v pracovní neschopnosti zůstávají.</w:t>
      </w:r>
    </w:p>
    <w:p w14:paraId="5F856941" w14:textId="77777777" w:rsidR="00D744C7" w:rsidRPr="00B448CC" w:rsidRDefault="00D744C7" w:rsidP="00D744C7">
      <w:pPr>
        <w:pStyle w:val="Box1"/>
        <w:spacing w:before="120" w:after="120"/>
        <w:ind w:left="0"/>
        <w:contextualSpacing w:val="0"/>
        <w:jc w:val="both"/>
        <w:rPr>
          <w:b/>
          <w:i/>
        </w:rPr>
      </w:pPr>
      <w:r w:rsidRPr="00B448CC">
        <w:rPr>
          <w:b/>
          <w:i/>
        </w:rPr>
        <w:t>Počet kalendářních dnů pracovní neschopnosti</w:t>
      </w:r>
      <w:r w:rsidRPr="00B448CC">
        <w:rPr>
          <w:i/>
        </w:rPr>
        <w:t xml:space="preserve"> – ukazatel udává celkový počet kalendářních dnů, po které byli v daném období (roce) </w:t>
      </w:r>
      <w:proofErr w:type="spellStart"/>
      <w:r w:rsidRPr="00B448CC">
        <w:rPr>
          <w:i/>
        </w:rPr>
        <w:t>nemocensky</w:t>
      </w:r>
      <w:proofErr w:type="spellEnd"/>
      <w:r w:rsidRPr="00B448CC">
        <w:rPr>
          <w:i/>
        </w:rPr>
        <w:t xml:space="preserve"> pojištění práce neschopni. Počet kalendářních dnů strávených v pracovní neschopnosti je zjišťován na základě hlášení o vzniku a ukončení pracovní neschopnosti. Údaj zahrnuje dny pracovní neschopnosti vč. dnů u těch případů, které vznikly před sledovaným obdobím a v počtu nově hlášených případů dočasné pracovní neschopnosti za toto období zařazeny nejsou. Maximální doba zápočtu je délka sledovaného období (365 resp. 366 dnů) bez ohledu na délku trvání pracovní neschopnosti daného případu. Do počtu kalendářních dnů pracovní neschopnosti patří i pracovní neschopnost vzniklá po zániku pojištění v tzv. ochranné lhůtě sedmi kalendářních dnů.</w:t>
      </w:r>
    </w:p>
    <w:p w14:paraId="1C23D81A" w14:textId="2158F848" w:rsidR="00D744C7" w:rsidRPr="00B448CC" w:rsidRDefault="00D744C7" w:rsidP="00D744C7">
      <w:pPr>
        <w:pStyle w:val="Box1"/>
        <w:ind w:left="0"/>
        <w:jc w:val="both"/>
        <w:rPr>
          <w:i/>
        </w:rPr>
      </w:pPr>
      <w:r w:rsidRPr="00B448CC">
        <w:rPr>
          <w:b/>
          <w:i/>
        </w:rPr>
        <w:t>Průměrná délka trvání pracovní neschopnosti ve dnech</w:t>
      </w:r>
      <w:r w:rsidRPr="00B448CC">
        <w:rPr>
          <w:i/>
        </w:rPr>
        <w:t xml:space="preserve"> – ukazatel vyjadřuje, kolik kalendářních dnů pracovní neschopnosti v průměru připadá na jeden nově hlášený případ pracovní neschopnosti. </w:t>
      </w:r>
      <w:r w:rsidR="009369EC" w:rsidRPr="009369EC">
        <w:rPr>
          <w:i/>
        </w:rPr>
        <w:t xml:space="preserve">Ukazatel je též nazýván </w:t>
      </w:r>
      <w:r w:rsidR="009369EC" w:rsidRPr="009369EC">
        <w:rPr>
          <w:b/>
          <w:i/>
        </w:rPr>
        <w:t>Počet kalendářních dnů pracovní neschopnosti na 1 nově hlášený případ.</w:t>
      </w:r>
      <w:r w:rsidR="009369EC">
        <w:t xml:space="preserve"> </w:t>
      </w:r>
      <w:r w:rsidRPr="00B448CC">
        <w:rPr>
          <w:i/>
        </w:rPr>
        <w:t xml:space="preserve">Nově hlášený případ musí být vzniklý ve sledovaném období, kdežto do dnů pracovní neschopnosti (maximálně v délce sledovaného období, tedy 365 resp. </w:t>
      </w:r>
      <w:r w:rsidR="005D2D26" w:rsidRPr="00B448CC">
        <w:rPr>
          <w:i/>
        </w:rPr>
        <w:t>36</w:t>
      </w:r>
      <w:r w:rsidR="005D2D26">
        <w:rPr>
          <w:i/>
        </w:rPr>
        <w:t>6</w:t>
      </w:r>
      <w:r w:rsidR="005D2D26" w:rsidRPr="00B448CC">
        <w:rPr>
          <w:i/>
        </w:rPr>
        <w:t xml:space="preserve"> </w:t>
      </w:r>
      <w:r w:rsidRPr="00B448CC">
        <w:rPr>
          <w:i/>
        </w:rPr>
        <w:t>dnů) se započítávají i dny z případů PN, které mohly vzniknout již v předchozím období, ale byly ukončeny či nadále trvají v průběhu sledovaného období.</w:t>
      </w:r>
    </w:p>
    <w:p w14:paraId="26263018" w14:textId="77777777" w:rsidR="00D744C7" w:rsidRPr="00B448CC" w:rsidRDefault="00D744C7" w:rsidP="00D744C7">
      <w:pPr>
        <w:pStyle w:val="Box1"/>
        <w:ind w:left="0"/>
        <w:jc w:val="both"/>
        <w:rPr>
          <w:i/>
          <w:u w:val="single"/>
        </w:rPr>
      </w:pPr>
      <w:r w:rsidRPr="00B448CC">
        <w:rPr>
          <w:i/>
          <w:u w:val="single"/>
        </w:rPr>
        <w:t>Způsob výpočtu:</w:t>
      </w:r>
    </w:p>
    <w:p w14:paraId="220FC99C" w14:textId="77777777" w:rsidR="00D744C7" w:rsidRPr="00B448CC" w:rsidRDefault="00D744C7" w:rsidP="00D744C7">
      <w:pPr>
        <w:pStyle w:val="Box1"/>
        <w:spacing w:before="120" w:after="120"/>
        <w:ind w:left="0"/>
        <w:contextualSpacing w:val="0"/>
        <w:jc w:val="both"/>
        <w:rPr>
          <w:i/>
        </w:rPr>
      </w:pPr>
      <w:r w:rsidRPr="00B448CC">
        <w:rPr>
          <w:i/>
        </w:rPr>
        <w:t>Průměrná délka trvání pracovní neschopnosti ve dnech = počet kalendářních dnů dočasné pracovní neschopnosti / počet nově hlášených případů dočasné pracovní neschopnosti.</w:t>
      </w:r>
    </w:p>
    <w:p w14:paraId="3BC43867" w14:textId="4FB900A3" w:rsidR="00C8357C" w:rsidRDefault="00C8357C" w:rsidP="00FC18CE">
      <w:pPr>
        <w:spacing w:before="120" w:after="120"/>
        <w:jc w:val="both"/>
      </w:pPr>
      <w:r w:rsidRPr="00251BF8">
        <w:t>Během roku 2023 strávili pojištěnci 79 564 tis. dnů v dočasné pracovní neschopnosti. Oproti roku 2019 je to o</w:t>
      </w:r>
      <w:r w:rsidR="00FC18CE">
        <w:t> </w:t>
      </w:r>
      <w:r w:rsidRPr="00251BF8">
        <w:t xml:space="preserve">1,6 mil. (2 %) </w:t>
      </w:r>
      <w:r w:rsidR="00F149A5" w:rsidRPr="00251BF8">
        <w:t>méně</w:t>
      </w:r>
      <w:r w:rsidRPr="00251BF8">
        <w:t>. Mezi rokem 2019 a 2020 počet prudce vzrostl z 81 205 tis. prostonaných dnů n</w:t>
      </w:r>
      <w:r w:rsidR="00FC18CE">
        <w:t>a 94 246 tis. dnů (tj. o 16 %).</w:t>
      </w:r>
    </w:p>
    <w:p w14:paraId="53531022" w14:textId="59C5B2EF" w:rsidR="00D744C7" w:rsidRPr="00B448CC" w:rsidRDefault="00D744C7" w:rsidP="00D744C7">
      <w:pPr>
        <w:spacing w:after="0"/>
        <w:jc w:val="both"/>
        <w:rPr>
          <w:b/>
        </w:rPr>
      </w:pPr>
      <w:r w:rsidRPr="00B448CC">
        <w:rPr>
          <w:b/>
        </w:rPr>
        <w:t>Tab. 2.</w:t>
      </w:r>
      <w:r w:rsidR="00797463">
        <w:rPr>
          <w:b/>
        </w:rPr>
        <w:t>3</w:t>
      </w:r>
      <w:r w:rsidRPr="00B448CC">
        <w:rPr>
          <w:b/>
        </w:rPr>
        <w:t>: Kalendářní dny dočasné pracovní neschopnosti podle příčiny a pohlaví, 201</w:t>
      </w:r>
      <w:r>
        <w:rPr>
          <w:b/>
        </w:rPr>
        <w:t>3</w:t>
      </w:r>
      <w:r w:rsidRPr="00B448CC">
        <w:rPr>
          <w:b/>
        </w:rPr>
        <w:t>–202</w:t>
      </w:r>
      <w:r>
        <w:rPr>
          <w:b/>
        </w:rPr>
        <w:t>3</w:t>
      </w:r>
      <w:r w:rsidRPr="00B448CC">
        <w:rPr>
          <w:b/>
        </w:rPr>
        <w:t xml:space="preserve"> (v tis.)</w:t>
      </w:r>
    </w:p>
    <w:tbl>
      <w:tblPr>
        <w:tblW w:w="9591" w:type="dxa"/>
        <w:tblCellMar>
          <w:left w:w="70" w:type="dxa"/>
          <w:right w:w="70" w:type="dxa"/>
        </w:tblCellMar>
        <w:tblLook w:val="04A0" w:firstRow="1" w:lastRow="0" w:firstColumn="1" w:lastColumn="0" w:noHBand="0" w:noVBand="1"/>
      </w:tblPr>
      <w:tblGrid>
        <w:gridCol w:w="735"/>
        <w:gridCol w:w="737"/>
        <w:gridCol w:w="736"/>
        <w:gridCol w:w="736"/>
        <w:gridCol w:w="736"/>
        <w:gridCol w:w="736"/>
        <w:gridCol w:w="736"/>
        <w:gridCol w:w="754"/>
        <w:gridCol w:w="737"/>
        <w:gridCol w:w="737"/>
        <w:gridCol w:w="737"/>
        <w:gridCol w:w="737"/>
        <w:gridCol w:w="737"/>
      </w:tblGrid>
      <w:tr w:rsidR="00D744C7" w:rsidRPr="00B448CC" w14:paraId="073A85DF" w14:textId="77777777" w:rsidTr="00D744C7">
        <w:trPr>
          <w:trHeight w:val="300"/>
        </w:trPr>
        <w:tc>
          <w:tcPr>
            <w:tcW w:w="735" w:type="dxa"/>
            <w:vMerge w:val="restart"/>
            <w:tcBorders>
              <w:top w:val="single" w:sz="4" w:space="0" w:color="auto"/>
              <w:left w:val="nil"/>
              <w:bottom w:val="single" w:sz="4" w:space="0" w:color="auto"/>
              <w:right w:val="single" w:sz="4" w:space="0" w:color="auto"/>
            </w:tcBorders>
            <w:shd w:val="clear" w:color="000000" w:fill="F5DADD"/>
            <w:vAlign w:val="center"/>
            <w:hideMark/>
          </w:tcPr>
          <w:p w14:paraId="5F882A16"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Rok</w:t>
            </w:r>
          </w:p>
        </w:tc>
        <w:tc>
          <w:tcPr>
            <w:tcW w:w="737" w:type="dxa"/>
            <w:vMerge w:val="restart"/>
            <w:tcBorders>
              <w:top w:val="single" w:sz="4" w:space="0" w:color="auto"/>
              <w:left w:val="single" w:sz="4" w:space="0" w:color="auto"/>
              <w:bottom w:val="single" w:sz="4" w:space="0" w:color="auto"/>
              <w:right w:val="single" w:sz="4" w:space="0" w:color="auto"/>
            </w:tcBorders>
            <w:shd w:val="clear" w:color="000000" w:fill="F2DBDB"/>
            <w:vAlign w:val="center"/>
            <w:hideMark/>
          </w:tcPr>
          <w:p w14:paraId="05C3891A" w14:textId="77777777" w:rsidR="00D744C7" w:rsidRPr="00B448CC" w:rsidRDefault="00D744C7" w:rsidP="00D744C7">
            <w:pPr>
              <w:spacing w:after="0" w:line="240" w:lineRule="auto"/>
              <w:jc w:val="center"/>
              <w:rPr>
                <w:rFonts w:cs="Arial"/>
                <w:b/>
                <w:bCs/>
                <w:color w:val="000000"/>
                <w:sz w:val="16"/>
                <w:szCs w:val="16"/>
              </w:rPr>
            </w:pPr>
            <w:r w:rsidRPr="00B448CC">
              <w:rPr>
                <w:rFonts w:cs="Arial"/>
                <w:b/>
                <w:bCs/>
                <w:color w:val="000000"/>
                <w:sz w:val="16"/>
                <w:szCs w:val="16"/>
              </w:rPr>
              <w:t>Celkem</w:t>
            </w:r>
          </w:p>
        </w:tc>
        <w:tc>
          <w:tcPr>
            <w:tcW w:w="1472" w:type="dxa"/>
            <w:gridSpan w:val="2"/>
            <w:tcBorders>
              <w:top w:val="single" w:sz="4" w:space="0" w:color="auto"/>
              <w:left w:val="nil"/>
              <w:bottom w:val="single" w:sz="4" w:space="0" w:color="auto"/>
              <w:right w:val="single" w:sz="4" w:space="0" w:color="auto"/>
            </w:tcBorders>
            <w:shd w:val="clear" w:color="000000" w:fill="F2DBDB"/>
            <w:vAlign w:val="center"/>
            <w:hideMark/>
          </w:tcPr>
          <w:p w14:paraId="396F6EA1"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podle pohlaví</w:t>
            </w:r>
          </w:p>
        </w:tc>
        <w:tc>
          <w:tcPr>
            <w:tcW w:w="736" w:type="dxa"/>
            <w:vMerge w:val="restart"/>
            <w:tcBorders>
              <w:top w:val="single" w:sz="4" w:space="0" w:color="auto"/>
              <w:left w:val="single" w:sz="4" w:space="0" w:color="auto"/>
              <w:right w:val="single" w:sz="4" w:space="0" w:color="auto"/>
            </w:tcBorders>
            <w:shd w:val="clear" w:color="000000" w:fill="F2DBDB"/>
            <w:vAlign w:val="center"/>
            <w:hideMark/>
          </w:tcPr>
          <w:p w14:paraId="02F3FB92"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Pro nemoc</w:t>
            </w:r>
          </w:p>
        </w:tc>
        <w:tc>
          <w:tcPr>
            <w:tcW w:w="1472" w:type="dxa"/>
            <w:gridSpan w:val="2"/>
            <w:tcBorders>
              <w:top w:val="single" w:sz="4" w:space="0" w:color="auto"/>
              <w:left w:val="nil"/>
              <w:bottom w:val="single" w:sz="4" w:space="0" w:color="auto"/>
              <w:right w:val="single" w:sz="4" w:space="0" w:color="auto"/>
            </w:tcBorders>
            <w:shd w:val="clear" w:color="000000" w:fill="F2DBDB"/>
            <w:vAlign w:val="center"/>
            <w:hideMark/>
          </w:tcPr>
          <w:p w14:paraId="6506C4C9"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podle pohlaví</w:t>
            </w:r>
          </w:p>
        </w:tc>
        <w:tc>
          <w:tcPr>
            <w:tcW w:w="754" w:type="dxa"/>
            <w:vMerge w:val="restart"/>
            <w:tcBorders>
              <w:top w:val="single" w:sz="4" w:space="0" w:color="auto"/>
              <w:left w:val="single" w:sz="4" w:space="0" w:color="auto"/>
              <w:right w:val="single" w:sz="4" w:space="0" w:color="auto"/>
            </w:tcBorders>
            <w:shd w:val="clear" w:color="000000" w:fill="F2DBDB"/>
            <w:vAlign w:val="center"/>
            <w:hideMark/>
          </w:tcPr>
          <w:p w14:paraId="4FB84E6E"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Pro pracovní úrazy</w:t>
            </w:r>
          </w:p>
        </w:tc>
        <w:tc>
          <w:tcPr>
            <w:tcW w:w="1474" w:type="dxa"/>
            <w:gridSpan w:val="2"/>
            <w:tcBorders>
              <w:top w:val="single" w:sz="4" w:space="0" w:color="auto"/>
              <w:left w:val="nil"/>
              <w:bottom w:val="single" w:sz="4" w:space="0" w:color="auto"/>
              <w:right w:val="single" w:sz="4" w:space="0" w:color="auto"/>
            </w:tcBorders>
            <w:shd w:val="clear" w:color="000000" w:fill="F2DBDB"/>
            <w:vAlign w:val="center"/>
            <w:hideMark/>
          </w:tcPr>
          <w:p w14:paraId="6CA5A2A8"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podle pohlaví</w:t>
            </w:r>
          </w:p>
        </w:tc>
        <w:tc>
          <w:tcPr>
            <w:tcW w:w="737" w:type="dxa"/>
            <w:vMerge w:val="restart"/>
            <w:tcBorders>
              <w:top w:val="single" w:sz="4" w:space="0" w:color="auto"/>
              <w:left w:val="single" w:sz="4" w:space="0" w:color="auto"/>
              <w:right w:val="single" w:sz="4" w:space="0" w:color="auto"/>
            </w:tcBorders>
            <w:shd w:val="clear" w:color="000000" w:fill="F2DBDB"/>
            <w:vAlign w:val="center"/>
            <w:hideMark/>
          </w:tcPr>
          <w:p w14:paraId="295DF8ED"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Pro ostatní úrazy</w:t>
            </w:r>
          </w:p>
        </w:tc>
        <w:tc>
          <w:tcPr>
            <w:tcW w:w="1474" w:type="dxa"/>
            <w:gridSpan w:val="2"/>
            <w:tcBorders>
              <w:top w:val="single" w:sz="4" w:space="0" w:color="auto"/>
              <w:left w:val="nil"/>
              <w:bottom w:val="single" w:sz="4" w:space="0" w:color="auto"/>
            </w:tcBorders>
            <w:shd w:val="clear" w:color="000000" w:fill="F2DBDB"/>
            <w:vAlign w:val="center"/>
            <w:hideMark/>
          </w:tcPr>
          <w:p w14:paraId="1523532C"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podle pohlaví</w:t>
            </w:r>
          </w:p>
        </w:tc>
      </w:tr>
      <w:tr w:rsidR="00D744C7" w:rsidRPr="00B448CC" w14:paraId="29ADCD85" w14:textId="77777777" w:rsidTr="00D744C7">
        <w:trPr>
          <w:trHeight w:val="300"/>
        </w:trPr>
        <w:tc>
          <w:tcPr>
            <w:tcW w:w="735" w:type="dxa"/>
            <w:vMerge/>
            <w:tcBorders>
              <w:top w:val="single" w:sz="4" w:space="0" w:color="auto"/>
              <w:left w:val="nil"/>
              <w:bottom w:val="single" w:sz="4" w:space="0" w:color="auto"/>
              <w:right w:val="single" w:sz="4" w:space="0" w:color="auto"/>
            </w:tcBorders>
            <w:vAlign w:val="center"/>
            <w:hideMark/>
          </w:tcPr>
          <w:p w14:paraId="6B2E690B" w14:textId="77777777" w:rsidR="00D744C7" w:rsidRPr="00B448CC" w:rsidRDefault="00D744C7" w:rsidP="00D744C7">
            <w:pPr>
              <w:spacing w:after="0" w:line="240" w:lineRule="auto"/>
              <w:rPr>
                <w:rFonts w:cs="Arial"/>
                <w:color w:val="000000"/>
                <w:sz w:val="16"/>
                <w:szCs w:val="16"/>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14:paraId="6E80AB34" w14:textId="77777777" w:rsidR="00D744C7" w:rsidRPr="00B448CC" w:rsidRDefault="00D744C7" w:rsidP="00D744C7">
            <w:pPr>
              <w:spacing w:after="0" w:line="240" w:lineRule="auto"/>
              <w:rPr>
                <w:rFonts w:cs="Arial"/>
                <w:b/>
                <w:bCs/>
                <w:color w:val="000000"/>
                <w:sz w:val="16"/>
                <w:szCs w:val="16"/>
              </w:rPr>
            </w:pPr>
          </w:p>
        </w:tc>
        <w:tc>
          <w:tcPr>
            <w:tcW w:w="736" w:type="dxa"/>
            <w:tcBorders>
              <w:top w:val="nil"/>
              <w:left w:val="nil"/>
              <w:bottom w:val="single" w:sz="4" w:space="0" w:color="auto"/>
              <w:right w:val="single" w:sz="4" w:space="0" w:color="auto"/>
            </w:tcBorders>
            <w:shd w:val="clear" w:color="000000" w:fill="F2DBDB"/>
            <w:vAlign w:val="center"/>
            <w:hideMark/>
          </w:tcPr>
          <w:p w14:paraId="5934CC6C"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muži</w:t>
            </w:r>
          </w:p>
        </w:tc>
        <w:tc>
          <w:tcPr>
            <w:tcW w:w="736" w:type="dxa"/>
            <w:tcBorders>
              <w:top w:val="nil"/>
              <w:left w:val="nil"/>
              <w:bottom w:val="single" w:sz="4" w:space="0" w:color="auto"/>
              <w:right w:val="single" w:sz="4" w:space="0" w:color="auto"/>
            </w:tcBorders>
            <w:shd w:val="clear" w:color="000000" w:fill="F2DBDB"/>
            <w:vAlign w:val="center"/>
            <w:hideMark/>
          </w:tcPr>
          <w:p w14:paraId="59931FAD"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ženy</w:t>
            </w:r>
          </w:p>
        </w:tc>
        <w:tc>
          <w:tcPr>
            <w:tcW w:w="736" w:type="dxa"/>
            <w:vMerge/>
            <w:tcBorders>
              <w:left w:val="single" w:sz="4" w:space="0" w:color="auto"/>
              <w:bottom w:val="single" w:sz="4" w:space="0" w:color="000000"/>
              <w:right w:val="single" w:sz="4" w:space="0" w:color="auto"/>
            </w:tcBorders>
            <w:vAlign w:val="center"/>
            <w:hideMark/>
          </w:tcPr>
          <w:p w14:paraId="7C3324E2" w14:textId="77777777" w:rsidR="00D744C7" w:rsidRPr="00B448CC" w:rsidRDefault="00D744C7" w:rsidP="00D744C7">
            <w:pPr>
              <w:spacing w:after="0" w:line="240" w:lineRule="auto"/>
              <w:rPr>
                <w:rFonts w:cs="Arial"/>
                <w:color w:val="000000"/>
                <w:sz w:val="16"/>
                <w:szCs w:val="16"/>
              </w:rPr>
            </w:pPr>
          </w:p>
        </w:tc>
        <w:tc>
          <w:tcPr>
            <w:tcW w:w="736" w:type="dxa"/>
            <w:tcBorders>
              <w:top w:val="nil"/>
              <w:left w:val="nil"/>
              <w:bottom w:val="single" w:sz="4" w:space="0" w:color="auto"/>
              <w:right w:val="single" w:sz="4" w:space="0" w:color="auto"/>
            </w:tcBorders>
            <w:shd w:val="clear" w:color="000000" w:fill="F2DBDB"/>
            <w:vAlign w:val="center"/>
            <w:hideMark/>
          </w:tcPr>
          <w:p w14:paraId="511AE7AA"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muži</w:t>
            </w:r>
          </w:p>
        </w:tc>
        <w:tc>
          <w:tcPr>
            <w:tcW w:w="736" w:type="dxa"/>
            <w:tcBorders>
              <w:top w:val="nil"/>
              <w:left w:val="nil"/>
              <w:bottom w:val="single" w:sz="4" w:space="0" w:color="auto"/>
              <w:right w:val="single" w:sz="4" w:space="0" w:color="auto"/>
            </w:tcBorders>
            <w:shd w:val="clear" w:color="000000" w:fill="F2DBDB"/>
            <w:vAlign w:val="center"/>
            <w:hideMark/>
          </w:tcPr>
          <w:p w14:paraId="10363E73"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ženy</w:t>
            </w:r>
          </w:p>
        </w:tc>
        <w:tc>
          <w:tcPr>
            <w:tcW w:w="754" w:type="dxa"/>
            <w:vMerge/>
            <w:tcBorders>
              <w:left w:val="single" w:sz="4" w:space="0" w:color="auto"/>
              <w:bottom w:val="single" w:sz="4" w:space="0" w:color="000000"/>
              <w:right w:val="single" w:sz="4" w:space="0" w:color="auto"/>
            </w:tcBorders>
            <w:vAlign w:val="center"/>
            <w:hideMark/>
          </w:tcPr>
          <w:p w14:paraId="0C068584" w14:textId="77777777" w:rsidR="00D744C7" w:rsidRPr="00B448CC" w:rsidRDefault="00D744C7" w:rsidP="00D744C7">
            <w:pPr>
              <w:spacing w:after="0" w:line="240" w:lineRule="auto"/>
              <w:rPr>
                <w:rFonts w:cs="Arial"/>
                <w:color w:val="000000"/>
                <w:sz w:val="16"/>
                <w:szCs w:val="16"/>
              </w:rPr>
            </w:pPr>
          </w:p>
        </w:tc>
        <w:tc>
          <w:tcPr>
            <w:tcW w:w="737" w:type="dxa"/>
            <w:tcBorders>
              <w:top w:val="nil"/>
              <w:left w:val="nil"/>
              <w:bottom w:val="single" w:sz="4" w:space="0" w:color="auto"/>
              <w:right w:val="single" w:sz="4" w:space="0" w:color="auto"/>
            </w:tcBorders>
            <w:shd w:val="clear" w:color="000000" w:fill="F2DBDB"/>
            <w:vAlign w:val="center"/>
            <w:hideMark/>
          </w:tcPr>
          <w:p w14:paraId="713CD438"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muži</w:t>
            </w:r>
          </w:p>
        </w:tc>
        <w:tc>
          <w:tcPr>
            <w:tcW w:w="737" w:type="dxa"/>
            <w:tcBorders>
              <w:top w:val="nil"/>
              <w:left w:val="nil"/>
              <w:bottom w:val="single" w:sz="4" w:space="0" w:color="auto"/>
              <w:right w:val="single" w:sz="4" w:space="0" w:color="auto"/>
            </w:tcBorders>
            <w:shd w:val="clear" w:color="000000" w:fill="F2DBDB"/>
            <w:vAlign w:val="center"/>
            <w:hideMark/>
          </w:tcPr>
          <w:p w14:paraId="45A65C2F"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ženy</w:t>
            </w:r>
          </w:p>
        </w:tc>
        <w:tc>
          <w:tcPr>
            <w:tcW w:w="737" w:type="dxa"/>
            <w:vMerge/>
            <w:tcBorders>
              <w:left w:val="single" w:sz="4" w:space="0" w:color="auto"/>
              <w:bottom w:val="single" w:sz="4" w:space="0" w:color="000000"/>
              <w:right w:val="single" w:sz="4" w:space="0" w:color="auto"/>
            </w:tcBorders>
            <w:vAlign w:val="center"/>
            <w:hideMark/>
          </w:tcPr>
          <w:p w14:paraId="1A2B4A06" w14:textId="77777777" w:rsidR="00D744C7" w:rsidRPr="00B448CC" w:rsidRDefault="00D744C7" w:rsidP="00D744C7">
            <w:pPr>
              <w:spacing w:after="0" w:line="240" w:lineRule="auto"/>
              <w:rPr>
                <w:rFonts w:cs="Arial"/>
                <w:color w:val="000000"/>
                <w:sz w:val="16"/>
                <w:szCs w:val="16"/>
              </w:rPr>
            </w:pPr>
          </w:p>
        </w:tc>
        <w:tc>
          <w:tcPr>
            <w:tcW w:w="737" w:type="dxa"/>
            <w:tcBorders>
              <w:top w:val="nil"/>
              <w:left w:val="nil"/>
              <w:bottom w:val="single" w:sz="4" w:space="0" w:color="auto"/>
              <w:right w:val="single" w:sz="4" w:space="0" w:color="auto"/>
            </w:tcBorders>
            <w:shd w:val="clear" w:color="000000" w:fill="F2DBDB"/>
            <w:vAlign w:val="center"/>
            <w:hideMark/>
          </w:tcPr>
          <w:p w14:paraId="09C37E95"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muži</w:t>
            </w:r>
          </w:p>
        </w:tc>
        <w:tc>
          <w:tcPr>
            <w:tcW w:w="737" w:type="dxa"/>
            <w:tcBorders>
              <w:top w:val="nil"/>
              <w:left w:val="nil"/>
              <w:bottom w:val="single" w:sz="4" w:space="0" w:color="auto"/>
              <w:right w:val="nil"/>
            </w:tcBorders>
            <w:shd w:val="clear" w:color="000000" w:fill="F2DBDB"/>
            <w:vAlign w:val="center"/>
            <w:hideMark/>
          </w:tcPr>
          <w:p w14:paraId="2BDBC8A9"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ženy</w:t>
            </w:r>
          </w:p>
        </w:tc>
      </w:tr>
      <w:tr w:rsidR="00D744C7" w:rsidRPr="00B448CC" w14:paraId="396354B0" w14:textId="77777777" w:rsidTr="00D744C7">
        <w:trPr>
          <w:trHeight w:val="300"/>
        </w:trPr>
        <w:tc>
          <w:tcPr>
            <w:tcW w:w="735" w:type="dxa"/>
            <w:tcBorders>
              <w:top w:val="nil"/>
              <w:left w:val="nil"/>
              <w:bottom w:val="nil"/>
              <w:right w:val="single" w:sz="4" w:space="0" w:color="auto"/>
            </w:tcBorders>
            <w:shd w:val="clear" w:color="auto" w:fill="auto"/>
            <w:vAlign w:val="center"/>
            <w:hideMark/>
          </w:tcPr>
          <w:p w14:paraId="6CE369E6"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2013</w:t>
            </w:r>
          </w:p>
        </w:tc>
        <w:tc>
          <w:tcPr>
            <w:tcW w:w="737" w:type="dxa"/>
            <w:tcBorders>
              <w:top w:val="nil"/>
              <w:left w:val="nil"/>
              <w:bottom w:val="nil"/>
              <w:right w:val="nil"/>
            </w:tcBorders>
            <w:shd w:val="clear" w:color="auto" w:fill="auto"/>
            <w:vAlign w:val="center"/>
            <w:hideMark/>
          </w:tcPr>
          <w:p w14:paraId="6B629171"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58 587</w:t>
            </w:r>
          </w:p>
        </w:tc>
        <w:tc>
          <w:tcPr>
            <w:tcW w:w="736" w:type="dxa"/>
            <w:tcBorders>
              <w:top w:val="nil"/>
              <w:left w:val="nil"/>
              <w:bottom w:val="nil"/>
              <w:right w:val="nil"/>
            </w:tcBorders>
            <w:shd w:val="clear" w:color="auto" w:fill="auto"/>
            <w:vAlign w:val="center"/>
            <w:hideMark/>
          </w:tcPr>
          <w:p w14:paraId="3F7283AD"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27 024</w:t>
            </w:r>
          </w:p>
        </w:tc>
        <w:tc>
          <w:tcPr>
            <w:tcW w:w="736" w:type="dxa"/>
            <w:tcBorders>
              <w:top w:val="nil"/>
              <w:left w:val="nil"/>
              <w:bottom w:val="nil"/>
              <w:right w:val="nil"/>
            </w:tcBorders>
            <w:shd w:val="clear" w:color="auto" w:fill="auto"/>
            <w:vAlign w:val="center"/>
            <w:hideMark/>
          </w:tcPr>
          <w:p w14:paraId="273265C8"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31 563</w:t>
            </w:r>
          </w:p>
        </w:tc>
        <w:tc>
          <w:tcPr>
            <w:tcW w:w="736" w:type="dxa"/>
            <w:tcBorders>
              <w:top w:val="nil"/>
              <w:left w:val="single" w:sz="4" w:space="0" w:color="auto"/>
              <w:bottom w:val="nil"/>
              <w:right w:val="nil"/>
            </w:tcBorders>
            <w:shd w:val="clear" w:color="auto" w:fill="auto"/>
            <w:vAlign w:val="center"/>
            <w:hideMark/>
          </w:tcPr>
          <w:p w14:paraId="53776CA4"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49 582</w:t>
            </w:r>
          </w:p>
        </w:tc>
        <w:tc>
          <w:tcPr>
            <w:tcW w:w="736" w:type="dxa"/>
            <w:tcBorders>
              <w:top w:val="nil"/>
              <w:left w:val="nil"/>
              <w:bottom w:val="nil"/>
              <w:right w:val="nil"/>
            </w:tcBorders>
            <w:shd w:val="clear" w:color="auto" w:fill="auto"/>
            <w:vAlign w:val="center"/>
            <w:hideMark/>
          </w:tcPr>
          <w:p w14:paraId="278FB841"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21 147</w:t>
            </w:r>
          </w:p>
        </w:tc>
        <w:tc>
          <w:tcPr>
            <w:tcW w:w="736" w:type="dxa"/>
            <w:tcBorders>
              <w:top w:val="nil"/>
              <w:left w:val="nil"/>
              <w:bottom w:val="nil"/>
              <w:right w:val="single" w:sz="4" w:space="0" w:color="auto"/>
            </w:tcBorders>
            <w:shd w:val="clear" w:color="auto" w:fill="auto"/>
            <w:vAlign w:val="center"/>
            <w:hideMark/>
          </w:tcPr>
          <w:p w14:paraId="4F9C65F0"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28 435</w:t>
            </w:r>
          </w:p>
        </w:tc>
        <w:tc>
          <w:tcPr>
            <w:tcW w:w="754" w:type="dxa"/>
            <w:tcBorders>
              <w:top w:val="nil"/>
              <w:left w:val="nil"/>
              <w:bottom w:val="nil"/>
              <w:right w:val="nil"/>
            </w:tcBorders>
            <w:shd w:val="clear" w:color="auto" w:fill="auto"/>
            <w:vAlign w:val="center"/>
            <w:hideMark/>
          </w:tcPr>
          <w:p w14:paraId="3DFF773D"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2 392</w:t>
            </w:r>
          </w:p>
        </w:tc>
        <w:tc>
          <w:tcPr>
            <w:tcW w:w="737" w:type="dxa"/>
            <w:tcBorders>
              <w:top w:val="nil"/>
              <w:left w:val="nil"/>
              <w:bottom w:val="nil"/>
              <w:right w:val="nil"/>
            </w:tcBorders>
            <w:shd w:val="clear" w:color="auto" w:fill="auto"/>
            <w:vAlign w:val="center"/>
            <w:hideMark/>
          </w:tcPr>
          <w:p w14:paraId="0C8E2AD7"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1 689</w:t>
            </w:r>
          </w:p>
        </w:tc>
        <w:tc>
          <w:tcPr>
            <w:tcW w:w="737" w:type="dxa"/>
            <w:tcBorders>
              <w:top w:val="nil"/>
              <w:left w:val="nil"/>
              <w:bottom w:val="nil"/>
              <w:right w:val="single" w:sz="4" w:space="0" w:color="auto"/>
            </w:tcBorders>
            <w:shd w:val="clear" w:color="auto" w:fill="auto"/>
            <w:vAlign w:val="center"/>
            <w:hideMark/>
          </w:tcPr>
          <w:p w14:paraId="450E3F1D"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702</w:t>
            </w:r>
          </w:p>
        </w:tc>
        <w:tc>
          <w:tcPr>
            <w:tcW w:w="737" w:type="dxa"/>
            <w:tcBorders>
              <w:top w:val="nil"/>
              <w:left w:val="nil"/>
              <w:bottom w:val="nil"/>
              <w:right w:val="nil"/>
            </w:tcBorders>
            <w:shd w:val="clear" w:color="auto" w:fill="auto"/>
            <w:vAlign w:val="center"/>
            <w:hideMark/>
          </w:tcPr>
          <w:p w14:paraId="4E98208A"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6 613</w:t>
            </w:r>
          </w:p>
        </w:tc>
        <w:tc>
          <w:tcPr>
            <w:tcW w:w="737" w:type="dxa"/>
            <w:tcBorders>
              <w:top w:val="nil"/>
              <w:left w:val="nil"/>
              <w:bottom w:val="nil"/>
              <w:right w:val="nil"/>
            </w:tcBorders>
            <w:shd w:val="clear" w:color="auto" w:fill="auto"/>
            <w:vAlign w:val="center"/>
            <w:hideMark/>
          </w:tcPr>
          <w:p w14:paraId="3D252247"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4 188</w:t>
            </w:r>
          </w:p>
        </w:tc>
        <w:tc>
          <w:tcPr>
            <w:tcW w:w="737" w:type="dxa"/>
            <w:tcBorders>
              <w:top w:val="nil"/>
              <w:left w:val="nil"/>
              <w:bottom w:val="nil"/>
              <w:right w:val="nil"/>
            </w:tcBorders>
            <w:shd w:val="clear" w:color="auto" w:fill="auto"/>
            <w:vAlign w:val="center"/>
            <w:hideMark/>
          </w:tcPr>
          <w:p w14:paraId="54A0D6F5"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2 425</w:t>
            </w:r>
          </w:p>
        </w:tc>
      </w:tr>
      <w:tr w:rsidR="00D744C7" w:rsidRPr="00B448CC" w14:paraId="5A4042EB" w14:textId="77777777" w:rsidTr="00D744C7">
        <w:trPr>
          <w:trHeight w:val="300"/>
        </w:trPr>
        <w:tc>
          <w:tcPr>
            <w:tcW w:w="735" w:type="dxa"/>
            <w:tcBorders>
              <w:top w:val="nil"/>
              <w:left w:val="nil"/>
              <w:bottom w:val="nil"/>
              <w:right w:val="single" w:sz="4" w:space="0" w:color="auto"/>
            </w:tcBorders>
            <w:shd w:val="clear" w:color="auto" w:fill="auto"/>
            <w:vAlign w:val="center"/>
            <w:hideMark/>
          </w:tcPr>
          <w:p w14:paraId="32B4BC0E"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2014</w:t>
            </w:r>
          </w:p>
        </w:tc>
        <w:tc>
          <w:tcPr>
            <w:tcW w:w="737" w:type="dxa"/>
            <w:tcBorders>
              <w:top w:val="nil"/>
              <w:left w:val="nil"/>
              <w:bottom w:val="nil"/>
              <w:right w:val="nil"/>
            </w:tcBorders>
            <w:shd w:val="clear" w:color="auto" w:fill="auto"/>
            <w:vAlign w:val="center"/>
            <w:hideMark/>
          </w:tcPr>
          <w:p w14:paraId="5A9F2FF0"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60 235</w:t>
            </w:r>
          </w:p>
        </w:tc>
        <w:tc>
          <w:tcPr>
            <w:tcW w:w="736" w:type="dxa"/>
            <w:tcBorders>
              <w:top w:val="nil"/>
              <w:left w:val="nil"/>
              <w:bottom w:val="nil"/>
              <w:right w:val="nil"/>
            </w:tcBorders>
            <w:shd w:val="clear" w:color="auto" w:fill="auto"/>
            <w:vAlign w:val="center"/>
            <w:hideMark/>
          </w:tcPr>
          <w:p w14:paraId="27FEF5A3"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27 429</w:t>
            </w:r>
          </w:p>
        </w:tc>
        <w:tc>
          <w:tcPr>
            <w:tcW w:w="736" w:type="dxa"/>
            <w:tcBorders>
              <w:top w:val="nil"/>
              <w:left w:val="nil"/>
              <w:bottom w:val="nil"/>
              <w:right w:val="nil"/>
            </w:tcBorders>
            <w:shd w:val="clear" w:color="auto" w:fill="auto"/>
            <w:vAlign w:val="center"/>
            <w:hideMark/>
          </w:tcPr>
          <w:p w14:paraId="7B2233D2"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32 806</w:t>
            </w:r>
          </w:p>
        </w:tc>
        <w:tc>
          <w:tcPr>
            <w:tcW w:w="736" w:type="dxa"/>
            <w:tcBorders>
              <w:top w:val="nil"/>
              <w:left w:val="single" w:sz="4" w:space="0" w:color="auto"/>
              <w:bottom w:val="nil"/>
              <w:right w:val="nil"/>
            </w:tcBorders>
            <w:shd w:val="clear" w:color="auto" w:fill="auto"/>
            <w:vAlign w:val="center"/>
            <w:hideMark/>
          </w:tcPr>
          <w:p w14:paraId="6A2AF5AC"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51 093</w:t>
            </w:r>
          </w:p>
        </w:tc>
        <w:tc>
          <w:tcPr>
            <w:tcW w:w="736" w:type="dxa"/>
            <w:tcBorders>
              <w:top w:val="nil"/>
              <w:left w:val="nil"/>
              <w:bottom w:val="nil"/>
              <w:right w:val="nil"/>
            </w:tcBorders>
            <w:shd w:val="clear" w:color="auto" w:fill="auto"/>
            <w:vAlign w:val="center"/>
            <w:hideMark/>
          </w:tcPr>
          <w:p w14:paraId="0D1FC764"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21 441</w:t>
            </w:r>
          </w:p>
        </w:tc>
        <w:tc>
          <w:tcPr>
            <w:tcW w:w="736" w:type="dxa"/>
            <w:tcBorders>
              <w:top w:val="nil"/>
              <w:left w:val="nil"/>
              <w:bottom w:val="nil"/>
              <w:right w:val="single" w:sz="4" w:space="0" w:color="auto"/>
            </w:tcBorders>
            <w:shd w:val="clear" w:color="auto" w:fill="auto"/>
            <w:vAlign w:val="center"/>
            <w:hideMark/>
          </w:tcPr>
          <w:p w14:paraId="1730FD21"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29 652</w:t>
            </w:r>
          </w:p>
        </w:tc>
        <w:tc>
          <w:tcPr>
            <w:tcW w:w="754" w:type="dxa"/>
            <w:tcBorders>
              <w:top w:val="nil"/>
              <w:left w:val="nil"/>
              <w:bottom w:val="nil"/>
              <w:right w:val="nil"/>
            </w:tcBorders>
            <w:shd w:val="clear" w:color="auto" w:fill="auto"/>
            <w:vAlign w:val="center"/>
            <w:hideMark/>
          </w:tcPr>
          <w:p w14:paraId="4D6B9E80"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2 447</w:t>
            </w:r>
          </w:p>
        </w:tc>
        <w:tc>
          <w:tcPr>
            <w:tcW w:w="737" w:type="dxa"/>
            <w:tcBorders>
              <w:top w:val="nil"/>
              <w:left w:val="nil"/>
              <w:bottom w:val="nil"/>
              <w:right w:val="nil"/>
            </w:tcBorders>
            <w:shd w:val="clear" w:color="auto" w:fill="auto"/>
            <w:vAlign w:val="center"/>
            <w:hideMark/>
          </w:tcPr>
          <w:p w14:paraId="34AC613A"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1 723</w:t>
            </w:r>
          </w:p>
        </w:tc>
        <w:tc>
          <w:tcPr>
            <w:tcW w:w="737" w:type="dxa"/>
            <w:tcBorders>
              <w:top w:val="nil"/>
              <w:left w:val="nil"/>
              <w:bottom w:val="nil"/>
              <w:right w:val="single" w:sz="4" w:space="0" w:color="auto"/>
            </w:tcBorders>
            <w:shd w:val="clear" w:color="auto" w:fill="auto"/>
            <w:vAlign w:val="center"/>
            <w:hideMark/>
          </w:tcPr>
          <w:p w14:paraId="541AC7E9"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724</w:t>
            </w:r>
          </w:p>
        </w:tc>
        <w:tc>
          <w:tcPr>
            <w:tcW w:w="737" w:type="dxa"/>
            <w:tcBorders>
              <w:top w:val="nil"/>
              <w:left w:val="nil"/>
              <w:bottom w:val="nil"/>
              <w:right w:val="nil"/>
            </w:tcBorders>
            <w:shd w:val="clear" w:color="auto" w:fill="auto"/>
            <w:vAlign w:val="center"/>
            <w:hideMark/>
          </w:tcPr>
          <w:p w14:paraId="22740752"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6 695</w:t>
            </w:r>
          </w:p>
        </w:tc>
        <w:tc>
          <w:tcPr>
            <w:tcW w:w="737" w:type="dxa"/>
            <w:tcBorders>
              <w:top w:val="nil"/>
              <w:left w:val="nil"/>
              <w:bottom w:val="nil"/>
              <w:right w:val="nil"/>
            </w:tcBorders>
            <w:shd w:val="clear" w:color="auto" w:fill="auto"/>
            <w:vAlign w:val="center"/>
            <w:hideMark/>
          </w:tcPr>
          <w:p w14:paraId="584987D0"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4 265</w:t>
            </w:r>
          </w:p>
        </w:tc>
        <w:tc>
          <w:tcPr>
            <w:tcW w:w="737" w:type="dxa"/>
            <w:tcBorders>
              <w:top w:val="nil"/>
              <w:left w:val="nil"/>
              <w:bottom w:val="nil"/>
              <w:right w:val="nil"/>
            </w:tcBorders>
            <w:shd w:val="clear" w:color="auto" w:fill="auto"/>
            <w:vAlign w:val="center"/>
            <w:hideMark/>
          </w:tcPr>
          <w:p w14:paraId="17EC2B27"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2 431</w:t>
            </w:r>
          </w:p>
        </w:tc>
      </w:tr>
      <w:tr w:rsidR="00D744C7" w:rsidRPr="00B448CC" w14:paraId="4059D9F4" w14:textId="77777777" w:rsidTr="00D744C7">
        <w:trPr>
          <w:trHeight w:val="300"/>
        </w:trPr>
        <w:tc>
          <w:tcPr>
            <w:tcW w:w="735" w:type="dxa"/>
            <w:tcBorders>
              <w:top w:val="nil"/>
              <w:left w:val="nil"/>
              <w:bottom w:val="nil"/>
              <w:right w:val="single" w:sz="4" w:space="0" w:color="auto"/>
            </w:tcBorders>
            <w:shd w:val="clear" w:color="auto" w:fill="auto"/>
            <w:vAlign w:val="center"/>
            <w:hideMark/>
          </w:tcPr>
          <w:p w14:paraId="6E5423B6"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2015</w:t>
            </w:r>
          </w:p>
        </w:tc>
        <w:tc>
          <w:tcPr>
            <w:tcW w:w="737" w:type="dxa"/>
            <w:tcBorders>
              <w:top w:val="nil"/>
              <w:left w:val="nil"/>
              <w:bottom w:val="nil"/>
              <w:right w:val="nil"/>
            </w:tcBorders>
            <w:shd w:val="clear" w:color="auto" w:fill="auto"/>
            <w:vAlign w:val="center"/>
            <w:hideMark/>
          </w:tcPr>
          <w:p w14:paraId="2CEADE00"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66 817</w:t>
            </w:r>
          </w:p>
        </w:tc>
        <w:tc>
          <w:tcPr>
            <w:tcW w:w="736" w:type="dxa"/>
            <w:tcBorders>
              <w:top w:val="nil"/>
              <w:left w:val="nil"/>
              <w:bottom w:val="nil"/>
              <w:right w:val="nil"/>
            </w:tcBorders>
            <w:shd w:val="clear" w:color="auto" w:fill="auto"/>
            <w:vAlign w:val="center"/>
            <w:hideMark/>
          </w:tcPr>
          <w:p w14:paraId="49537A98"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30 473</w:t>
            </w:r>
          </w:p>
        </w:tc>
        <w:tc>
          <w:tcPr>
            <w:tcW w:w="736" w:type="dxa"/>
            <w:tcBorders>
              <w:top w:val="nil"/>
              <w:left w:val="nil"/>
              <w:bottom w:val="nil"/>
              <w:right w:val="nil"/>
            </w:tcBorders>
            <w:shd w:val="clear" w:color="auto" w:fill="auto"/>
            <w:vAlign w:val="center"/>
            <w:hideMark/>
          </w:tcPr>
          <w:p w14:paraId="2292F5D5"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36 345</w:t>
            </w:r>
          </w:p>
        </w:tc>
        <w:tc>
          <w:tcPr>
            <w:tcW w:w="736" w:type="dxa"/>
            <w:tcBorders>
              <w:top w:val="nil"/>
              <w:left w:val="single" w:sz="4" w:space="0" w:color="auto"/>
              <w:bottom w:val="nil"/>
              <w:right w:val="nil"/>
            </w:tcBorders>
            <w:shd w:val="clear" w:color="auto" w:fill="auto"/>
            <w:vAlign w:val="center"/>
            <w:hideMark/>
          </w:tcPr>
          <w:p w14:paraId="7AEDB355"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57 013</w:t>
            </w:r>
          </w:p>
        </w:tc>
        <w:tc>
          <w:tcPr>
            <w:tcW w:w="736" w:type="dxa"/>
            <w:tcBorders>
              <w:top w:val="nil"/>
              <w:left w:val="nil"/>
              <w:bottom w:val="nil"/>
              <w:right w:val="nil"/>
            </w:tcBorders>
            <w:shd w:val="clear" w:color="auto" w:fill="auto"/>
            <w:vAlign w:val="center"/>
            <w:hideMark/>
          </w:tcPr>
          <w:p w14:paraId="0C05C49C"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24 152</w:t>
            </w:r>
          </w:p>
        </w:tc>
        <w:tc>
          <w:tcPr>
            <w:tcW w:w="736" w:type="dxa"/>
            <w:tcBorders>
              <w:top w:val="nil"/>
              <w:left w:val="nil"/>
              <w:bottom w:val="nil"/>
              <w:right w:val="single" w:sz="4" w:space="0" w:color="auto"/>
            </w:tcBorders>
            <w:shd w:val="clear" w:color="auto" w:fill="auto"/>
            <w:vAlign w:val="center"/>
            <w:hideMark/>
          </w:tcPr>
          <w:p w14:paraId="54544A8B"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32 861</w:t>
            </w:r>
          </w:p>
        </w:tc>
        <w:tc>
          <w:tcPr>
            <w:tcW w:w="754" w:type="dxa"/>
            <w:tcBorders>
              <w:top w:val="nil"/>
              <w:left w:val="nil"/>
              <w:bottom w:val="nil"/>
              <w:right w:val="nil"/>
            </w:tcBorders>
            <w:shd w:val="clear" w:color="auto" w:fill="auto"/>
            <w:vAlign w:val="center"/>
            <w:hideMark/>
          </w:tcPr>
          <w:p w14:paraId="40BCA757"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2 569</w:t>
            </w:r>
          </w:p>
        </w:tc>
        <w:tc>
          <w:tcPr>
            <w:tcW w:w="737" w:type="dxa"/>
            <w:tcBorders>
              <w:top w:val="nil"/>
              <w:left w:val="nil"/>
              <w:bottom w:val="nil"/>
              <w:right w:val="nil"/>
            </w:tcBorders>
            <w:shd w:val="clear" w:color="auto" w:fill="auto"/>
            <w:vAlign w:val="center"/>
            <w:hideMark/>
          </w:tcPr>
          <w:p w14:paraId="206C7D37"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1 775</w:t>
            </w:r>
          </w:p>
        </w:tc>
        <w:tc>
          <w:tcPr>
            <w:tcW w:w="737" w:type="dxa"/>
            <w:tcBorders>
              <w:top w:val="nil"/>
              <w:left w:val="nil"/>
              <w:bottom w:val="nil"/>
              <w:right w:val="single" w:sz="4" w:space="0" w:color="auto"/>
            </w:tcBorders>
            <w:shd w:val="clear" w:color="auto" w:fill="auto"/>
            <w:vAlign w:val="center"/>
            <w:hideMark/>
          </w:tcPr>
          <w:p w14:paraId="7D0C5AD4"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794</w:t>
            </w:r>
          </w:p>
        </w:tc>
        <w:tc>
          <w:tcPr>
            <w:tcW w:w="737" w:type="dxa"/>
            <w:tcBorders>
              <w:top w:val="nil"/>
              <w:left w:val="nil"/>
              <w:bottom w:val="nil"/>
              <w:right w:val="nil"/>
            </w:tcBorders>
            <w:shd w:val="clear" w:color="auto" w:fill="auto"/>
            <w:vAlign w:val="center"/>
            <w:hideMark/>
          </w:tcPr>
          <w:p w14:paraId="5E056B87"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7 236</w:t>
            </w:r>
          </w:p>
        </w:tc>
        <w:tc>
          <w:tcPr>
            <w:tcW w:w="737" w:type="dxa"/>
            <w:tcBorders>
              <w:top w:val="nil"/>
              <w:left w:val="nil"/>
              <w:bottom w:val="nil"/>
              <w:right w:val="nil"/>
            </w:tcBorders>
            <w:shd w:val="clear" w:color="auto" w:fill="auto"/>
            <w:vAlign w:val="center"/>
            <w:hideMark/>
          </w:tcPr>
          <w:p w14:paraId="10FB0545"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4 546</w:t>
            </w:r>
          </w:p>
        </w:tc>
        <w:tc>
          <w:tcPr>
            <w:tcW w:w="737" w:type="dxa"/>
            <w:tcBorders>
              <w:top w:val="nil"/>
              <w:left w:val="nil"/>
              <w:bottom w:val="nil"/>
              <w:right w:val="nil"/>
            </w:tcBorders>
            <w:shd w:val="clear" w:color="auto" w:fill="auto"/>
            <w:vAlign w:val="center"/>
            <w:hideMark/>
          </w:tcPr>
          <w:p w14:paraId="0905D8C6"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2 689</w:t>
            </w:r>
          </w:p>
        </w:tc>
      </w:tr>
      <w:tr w:rsidR="00D744C7" w:rsidRPr="00B448CC" w14:paraId="334ADCC7" w14:textId="77777777" w:rsidTr="00D744C7">
        <w:trPr>
          <w:trHeight w:val="300"/>
        </w:trPr>
        <w:tc>
          <w:tcPr>
            <w:tcW w:w="735" w:type="dxa"/>
            <w:tcBorders>
              <w:top w:val="nil"/>
              <w:left w:val="nil"/>
              <w:bottom w:val="nil"/>
              <w:right w:val="single" w:sz="4" w:space="0" w:color="auto"/>
            </w:tcBorders>
            <w:shd w:val="clear" w:color="auto" w:fill="auto"/>
            <w:vAlign w:val="center"/>
            <w:hideMark/>
          </w:tcPr>
          <w:p w14:paraId="520B3E0E"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2016</w:t>
            </w:r>
          </w:p>
        </w:tc>
        <w:tc>
          <w:tcPr>
            <w:tcW w:w="737" w:type="dxa"/>
            <w:tcBorders>
              <w:top w:val="nil"/>
              <w:left w:val="nil"/>
              <w:bottom w:val="nil"/>
              <w:right w:val="nil"/>
            </w:tcBorders>
            <w:shd w:val="clear" w:color="auto" w:fill="auto"/>
            <w:vAlign w:val="center"/>
            <w:hideMark/>
          </w:tcPr>
          <w:p w14:paraId="145885D1"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70 252</w:t>
            </w:r>
          </w:p>
        </w:tc>
        <w:tc>
          <w:tcPr>
            <w:tcW w:w="736" w:type="dxa"/>
            <w:tcBorders>
              <w:top w:val="nil"/>
              <w:left w:val="nil"/>
              <w:bottom w:val="nil"/>
              <w:right w:val="nil"/>
            </w:tcBorders>
            <w:shd w:val="clear" w:color="auto" w:fill="auto"/>
            <w:vAlign w:val="center"/>
            <w:hideMark/>
          </w:tcPr>
          <w:p w14:paraId="23125787"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31 874</w:t>
            </w:r>
          </w:p>
        </w:tc>
        <w:tc>
          <w:tcPr>
            <w:tcW w:w="736" w:type="dxa"/>
            <w:tcBorders>
              <w:top w:val="nil"/>
              <w:left w:val="nil"/>
              <w:bottom w:val="nil"/>
              <w:right w:val="nil"/>
            </w:tcBorders>
            <w:shd w:val="clear" w:color="auto" w:fill="auto"/>
            <w:vAlign w:val="center"/>
            <w:hideMark/>
          </w:tcPr>
          <w:p w14:paraId="11B49D27"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38 378</w:t>
            </w:r>
          </w:p>
        </w:tc>
        <w:tc>
          <w:tcPr>
            <w:tcW w:w="736" w:type="dxa"/>
            <w:tcBorders>
              <w:top w:val="nil"/>
              <w:left w:val="single" w:sz="4" w:space="0" w:color="auto"/>
              <w:bottom w:val="nil"/>
              <w:right w:val="nil"/>
            </w:tcBorders>
            <w:shd w:val="clear" w:color="auto" w:fill="auto"/>
            <w:vAlign w:val="center"/>
            <w:hideMark/>
          </w:tcPr>
          <w:p w14:paraId="58FDA31B"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60 094</w:t>
            </w:r>
          </w:p>
        </w:tc>
        <w:tc>
          <w:tcPr>
            <w:tcW w:w="736" w:type="dxa"/>
            <w:tcBorders>
              <w:top w:val="nil"/>
              <w:left w:val="nil"/>
              <w:bottom w:val="nil"/>
              <w:right w:val="nil"/>
            </w:tcBorders>
            <w:shd w:val="clear" w:color="auto" w:fill="auto"/>
            <w:vAlign w:val="center"/>
            <w:hideMark/>
          </w:tcPr>
          <w:p w14:paraId="156716A8"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25 396</w:t>
            </w:r>
          </w:p>
        </w:tc>
        <w:tc>
          <w:tcPr>
            <w:tcW w:w="736" w:type="dxa"/>
            <w:tcBorders>
              <w:top w:val="nil"/>
              <w:left w:val="nil"/>
              <w:bottom w:val="nil"/>
              <w:right w:val="single" w:sz="4" w:space="0" w:color="auto"/>
            </w:tcBorders>
            <w:shd w:val="clear" w:color="auto" w:fill="auto"/>
            <w:vAlign w:val="center"/>
            <w:hideMark/>
          </w:tcPr>
          <w:p w14:paraId="2EDCE853"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34 697</w:t>
            </w:r>
          </w:p>
        </w:tc>
        <w:tc>
          <w:tcPr>
            <w:tcW w:w="754" w:type="dxa"/>
            <w:tcBorders>
              <w:top w:val="nil"/>
              <w:left w:val="nil"/>
              <w:bottom w:val="nil"/>
              <w:right w:val="nil"/>
            </w:tcBorders>
            <w:shd w:val="clear" w:color="auto" w:fill="auto"/>
            <w:vAlign w:val="center"/>
            <w:hideMark/>
          </w:tcPr>
          <w:p w14:paraId="6BC981F4"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2 575</w:t>
            </w:r>
          </w:p>
        </w:tc>
        <w:tc>
          <w:tcPr>
            <w:tcW w:w="737" w:type="dxa"/>
            <w:tcBorders>
              <w:top w:val="nil"/>
              <w:left w:val="nil"/>
              <w:bottom w:val="nil"/>
              <w:right w:val="nil"/>
            </w:tcBorders>
            <w:shd w:val="clear" w:color="auto" w:fill="auto"/>
            <w:vAlign w:val="center"/>
            <w:hideMark/>
          </w:tcPr>
          <w:p w14:paraId="2C8B6A9F"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1 761</w:t>
            </w:r>
          </w:p>
        </w:tc>
        <w:tc>
          <w:tcPr>
            <w:tcW w:w="737" w:type="dxa"/>
            <w:tcBorders>
              <w:top w:val="nil"/>
              <w:left w:val="nil"/>
              <w:bottom w:val="nil"/>
              <w:right w:val="single" w:sz="4" w:space="0" w:color="auto"/>
            </w:tcBorders>
            <w:shd w:val="clear" w:color="auto" w:fill="auto"/>
            <w:vAlign w:val="center"/>
            <w:hideMark/>
          </w:tcPr>
          <w:p w14:paraId="7B862EB3"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814</w:t>
            </w:r>
          </w:p>
        </w:tc>
        <w:tc>
          <w:tcPr>
            <w:tcW w:w="737" w:type="dxa"/>
            <w:tcBorders>
              <w:top w:val="nil"/>
              <w:left w:val="nil"/>
              <w:bottom w:val="nil"/>
              <w:right w:val="nil"/>
            </w:tcBorders>
            <w:shd w:val="clear" w:color="auto" w:fill="auto"/>
            <w:vAlign w:val="center"/>
            <w:hideMark/>
          </w:tcPr>
          <w:p w14:paraId="65BA7A2B"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7 583</w:t>
            </w:r>
          </w:p>
        </w:tc>
        <w:tc>
          <w:tcPr>
            <w:tcW w:w="737" w:type="dxa"/>
            <w:tcBorders>
              <w:top w:val="nil"/>
              <w:left w:val="nil"/>
              <w:bottom w:val="nil"/>
              <w:right w:val="nil"/>
            </w:tcBorders>
            <w:shd w:val="clear" w:color="auto" w:fill="auto"/>
            <w:vAlign w:val="center"/>
            <w:hideMark/>
          </w:tcPr>
          <w:p w14:paraId="3DEDA840"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4 717</w:t>
            </w:r>
          </w:p>
        </w:tc>
        <w:tc>
          <w:tcPr>
            <w:tcW w:w="737" w:type="dxa"/>
            <w:tcBorders>
              <w:top w:val="nil"/>
              <w:left w:val="nil"/>
              <w:bottom w:val="nil"/>
              <w:right w:val="nil"/>
            </w:tcBorders>
            <w:shd w:val="clear" w:color="auto" w:fill="auto"/>
            <w:vAlign w:val="center"/>
            <w:hideMark/>
          </w:tcPr>
          <w:p w14:paraId="615C76EA"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2 866</w:t>
            </w:r>
          </w:p>
        </w:tc>
      </w:tr>
      <w:tr w:rsidR="00D744C7" w:rsidRPr="00B448CC" w14:paraId="546EB132" w14:textId="77777777" w:rsidTr="00D744C7">
        <w:trPr>
          <w:trHeight w:val="300"/>
        </w:trPr>
        <w:tc>
          <w:tcPr>
            <w:tcW w:w="735" w:type="dxa"/>
            <w:tcBorders>
              <w:top w:val="nil"/>
              <w:left w:val="nil"/>
              <w:bottom w:val="nil"/>
              <w:right w:val="single" w:sz="4" w:space="0" w:color="auto"/>
            </w:tcBorders>
            <w:shd w:val="clear" w:color="auto" w:fill="auto"/>
            <w:vAlign w:val="center"/>
            <w:hideMark/>
          </w:tcPr>
          <w:p w14:paraId="5A049C1A"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2017</w:t>
            </w:r>
          </w:p>
        </w:tc>
        <w:tc>
          <w:tcPr>
            <w:tcW w:w="737" w:type="dxa"/>
            <w:tcBorders>
              <w:top w:val="nil"/>
              <w:left w:val="nil"/>
              <w:bottom w:val="nil"/>
              <w:right w:val="nil"/>
            </w:tcBorders>
            <w:shd w:val="clear" w:color="auto" w:fill="auto"/>
            <w:vAlign w:val="center"/>
            <w:hideMark/>
          </w:tcPr>
          <w:p w14:paraId="7DE57B2A"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72 678</w:t>
            </w:r>
          </w:p>
        </w:tc>
        <w:tc>
          <w:tcPr>
            <w:tcW w:w="736" w:type="dxa"/>
            <w:tcBorders>
              <w:top w:val="nil"/>
              <w:left w:val="nil"/>
              <w:bottom w:val="nil"/>
              <w:right w:val="nil"/>
            </w:tcBorders>
            <w:shd w:val="clear" w:color="auto" w:fill="auto"/>
            <w:vAlign w:val="center"/>
            <w:hideMark/>
          </w:tcPr>
          <w:p w14:paraId="67B305C6"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33 089</w:t>
            </w:r>
          </w:p>
        </w:tc>
        <w:tc>
          <w:tcPr>
            <w:tcW w:w="736" w:type="dxa"/>
            <w:tcBorders>
              <w:top w:val="nil"/>
              <w:left w:val="nil"/>
              <w:bottom w:val="nil"/>
              <w:right w:val="nil"/>
            </w:tcBorders>
            <w:shd w:val="clear" w:color="auto" w:fill="auto"/>
            <w:vAlign w:val="center"/>
            <w:hideMark/>
          </w:tcPr>
          <w:p w14:paraId="59F15F29"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39 588</w:t>
            </w:r>
          </w:p>
        </w:tc>
        <w:tc>
          <w:tcPr>
            <w:tcW w:w="736" w:type="dxa"/>
            <w:tcBorders>
              <w:top w:val="nil"/>
              <w:left w:val="single" w:sz="4" w:space="0" w:color="auto"/>
              <w:bottom w:val="nil"/>
              <w:right w:val="nil"/>
            </w:tcBorders>
            <w:shd w:val="clear" w:color="auto" w:fill="auto"/>
            <w:vAlign w:val="center"/>
            <w:hideMark/>
          </w:tcPr>
          <w:p w14:paraId="1BDC86C2"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62 113</w:t>
            </w:r>
          </w:p>
        </w:tc>
        <w:tc>
          <w:tcPr>
            <w:tcW w:w="736" w:type="dxa"/>
            <w:tcBorders>
              <w:top w:val="nil"/>
              <w:left w:val="nil"/>
              <w:bottom w:val="nil"/>
              <w:right w:val="nil"/>
            </w:tcBorders>
            <w:shd w:val="clear" w:color="auto" w:fill="auto"/>
            <w:vAlign w:val="center"/>
            <w:hideMark/>
          </w:tcPr>
          <w:p w14:paraId="762A724D"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26 463</w:t>
            </w:r>
          </w:p>
        </w:tc>
        <w:tc>
          <w:tcPr>
            <w:tcW w:w="736" w:type="dxa"/>
            <w:tcBorders>
              <w:top w:val="nil"/>
              <w:left w:val="nil"/>
              <w:bottom w:val="nil"/>
              <w:right w:val="single" w:sz="4" w:space="0" w:color="auto"/>
            </w:tcBorders>
            <w:shd w:val="clear" w:color="auto" w:fill="auto"/>
            <w:vAlign w:val="center"/>
            <w:hideMark/>
          </w:tcPr>
          <w:p w14:paraId="556FEC28"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35 650</w:t>
            </w:r>
          </w:p>
        </w:tc>
        <w:tc>
          <w:tcPr>
            <w:tcW w:w="754" w:type="dxa"/>
            <w:tcBorders>
              <w:top w:val="nil"/>
              <w:left w:val="nil"/>
              <w:bottom w:val="nil"/>
              <w:right w:val="nil"/>
            </w:tcBorders>
            <w:shd w:val="clear" w:color="auto" w:fill="auto"/>
            <w:vAlign w:val="center"/>
            <w:hideMark/>
          </w:tcPr>
          <w:p w14:paraId="41C3A1DC"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2 583</w:t>
            </w:r>
          </w:p>
        </w:tc>
        <w:tc>
          <w:tcPr>
            <w:tcW w:w="737" w:type="dxa"/>
            <w:tcBorders>
              <w:top w:val="nil"/>
              <w:left w:val="nil"/>
              <w:bottom w:val="nil"/>
              <w:right w:val="nil"/>
            </w:tcBorders>
            <w:shd w:val="clear" w:color="auto" w:fill="auto"/>
            <w:vAlign w:val="center"/>
            <w:hideMark/>
          </w:tcPr>
          <w:p w14:paraId="09253AE9"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1 765</w:t>
            </w:r>
          </w:p>
        </w:tc>
        <w:tc>
          <w:tcPr>
            <w:tcW w:w="737" w:type="dxa"/>
            <w:tcBorders>
              <w:top w:val="nil"/>
              <w:left w:val="nil"/>
              <w:bottom w:val="nil"/>
              <w:right w:val="single" w:sz="4" w:space="0" w:color="auto"/>
            </w:tcBorders>
            <w:shd w:val="clear" w:color="auto" w:fill="auto"/>
            <w:vAlign w:val="center"/>
            <w:hideMark/>
          </w:tcPr>
          <w:p w14:paraId="7451A2C8"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818</w:t>
            </w:r>
          </w:p>
        </w:tc>
        <w:tc>
          <w:tcPr>
            <w:tcW w:w="737" w:type="dxa"/>
            <w:tcBorders>
              <w:top w:val="nil"/>
              <w:left w:val="nil"/>
              <w:bottom w:val="nil"/>
              <w:right w:val="nil"/>
            </w:tcBorders>
            <w:shd w:val="clear" w:color="auto" w:fill="auto"/>
            <w:vAlign w:val="center"/>
            <w:hideMark/>
          </w:tcPr>
          <w:p w14:paraId="7ADEBDF3"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7 982</w:t>
            </w:r>
          </w:p>
        </w:tc>
        <w:tc>
          <w:tcPr>
            <w:tcW w:w="737" w:type="dxa"/>
            <w:tcBorders>
              <w:top w:val="nil"/>
              <w:left w:val="nil"/>
              <w:bottom w:val="nil"/>
              <w:right w:val="nil"/>
            </w:tcBorders>
            <w:shd w:val="clear" w:color="auto" w:fill="auto"/>
            <w:vAlign w:val="center"/>
            <w:hideMark/>
          </w:tcPr>
          <w:p w14:paraId="4E2A17AD"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4 862</w:t>
            </w:r>
          </w:p>
        </w:tc>
        <w:tc>
          <w:tcPr>
            <w:tcW w:w="737" w:type="dxa"/>
            <w:tcBorders>
              <w:top w:val="nil"/>
              <w:left w:val="nil"/>
              <w:bottom w:val="nil"/>
              <w:right w:val="nil"/>
            </w:tcBorders>
            <w:shd w:val="clear" w:color="auto" w:fill="auto"/>
            <w:vAlign w:val="center"/>
            <w:hideMark/>
          </w:tcPr>
          <w:p w14:paraId="3FDB2030"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3 120</w:t>
            </w:r>
          </w:p>
        </w:tc>
      </w:tr>
      <w:tr w:rsidR="00D744C7" w:rsidRPr="00B448CC" w14:paraId="50529D50" w14:textId="77777777" w:rsidTr="00D744C7">
        <w:trPr>
          <w:trHeight w:val="300"/>
        </w:trPr>
        <w:tc>
          <w:tcPr>
            <w:tcW w:w="735" w:type="dxa"/>
            <w:tcBorders>
              <w:top w:val="nil"/>
              <w:left w:val="nil"/>
              <w:bottom w:val="nil"/>
              <w:right w:val="single" w:sz="4" w:space="0" w:color="auto"/>
            </w:tcBorders>
            <w:shd w:val="clear" w:color="auto" w:fill="auto"/>
            <w:vAlign w:val="center"/>
            <w:hideMark/>
          </w:tcPr>
          <w:p w14:paraId="3590AA40"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2018</w:t>
            </w:r>
          </w:p>
        </w:tc>
        <w:tc>
          <w:tcPr>
            <w:tcW w:w="737" w:type="dxa"/>
            <w:tcBorders>
              <w:top w:val="nil"/>
              <w:left w:val="nil"/>
              <w:bottom w:val="nil"/>
              <w:right w:val="nil"/>
            </w:tcBorders>
            <w:shd w:val="clear" w:color="auto" w:fill="auto"/>
            <w:vAlign w:val="center"/>
            <w:hideMark/>
          </w:tcPr>
          <w:p w14:paraId="09E01FFC"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77 158</w:t>
            </w:r>
          </w:p>
        </w:tc>
        <w:tc>
          <w:tcPr>
            <w:tcW w:w="736" w:type="dxa"/>
            <w:tcBorders>
              <w:top w:val="nil"/>
              <w:left w:val="nil"/>
              <w:bottom w:val="nil"/>
              <w:right w:val="nil"/>
            </w:tcBorders>
            <w:shd w:val="clear" w:color="auto" w:fill="auto"/>
            <w:vAlign w:val="center"/>
            <w:hideMark/>
          </w:tcPr>
          <w:p w14:paraId="7637CC01"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35 223</w:t>
            </w:r>
          </w:p>
        </w:tc>
        <w:tc>
          <w:tcPr>
            <w:tcW w:w="736" w:type="dxa"/>
            <w:tcBorders>
              <w:top w:val="nil"/>
              <w:left w:val="nil"/>
              <w:bottom w:val="nil"/>
              <w:right w:val="nil"/>
            </w:tcBorders>
            <w:shd w:val="clear" w:color="auto" w:fill="auto"/>
            <w:vAlign w:val="center"/>
            <w:hideMark/>
          </w:tcPr>
          <w:p w14:paraId="559A2AD0"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41 934</w:t>
            </w:r>
          </w:p>
        </w:tc>
        <w:tc>
          <w:tcPr>
            <w:tcW w:w="736" w:type="dxa"/>
            <w:tcBorders>
              <w:top w:val="nil"/>
              <w:left w:val="single" w:sz="4" w:space="0" w:color="auto"/>
              <w:bottom w:val="nil"/>
              <w:right w:val="nil"/>
            </w:tcBorders>
            <w:shd w:val="clear" w:color="auto" w:fill="auto"/>
            <w:vAlign w:val="center"/>
            <w:hideMark/>
          </w:tcPr>
          <w:p w14:paraId="16694F7F"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66 223</w:t>
            </w:r>
          </w:p>
        </w:tc>
        <w:tc>
          <w:tcPr>
            <w:tcW w:w="736" w:type="dxa"/>
            <w:tcBorders>
              <w:top w:val="nil"/>
              <w:left w:val="nil"/>
              <w:bottom w:val="nil"/>
              <w:right w:val="nil"/>
            </w:tcBorders>
            <w:shd w:val="clear" w:color="auto" w:fill="auto"/>
            <w:vAlign w:val="center"/>
            <w:hideMark/>
          </w:tcPr>
          <w:p w14:paraId="611B7E1F"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28 379</w:t>
            </w:r>
          </w:p>
        </w:tc>
        <w:tc>
          <w:tcPr>
            <w:tcW w:w="736" w:type="dxa"/>
            <w:tcBorders>
              <w:top w:val="nil"/>
              <w:left w:val="nil"/>
              <w:bottom w:val="nil"/>
              <w:right w:val="single" w:sz="4" w:space="0" w:color="auto"/>
            </w:tcBorders>
            <w:shd w:val="clear" w:color="auto" w:fill="auto"/>
            <w:vAlign w:val="center"/>
            <w:hideMark/>
          </w:tcPr>
          <w:p w14:paraId="76C253EF"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37 845</w:t>
            </w:r>
          </w:p>
        </w:tc>
        <w:tc>
          <w:tcPr>
            <w:tcW w:w="754" w:type="dxa"/>
            <w:tcBorders>
              <w:top w:val="nil"/>
              <w:left w:val="nil"/>
              <w:bottom w:val="nil"/>
              <w:right w:val="nil"/>
            </w:tcBorders>
            <w:shd w:val="clear" w:color="auto" w:fill="auto"/>
            <w:vAlign w:val="center"/>
            <w:hideMark/>
          </w:tcPr>
          <w:p w14:paraId="181AEE83"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2 571</w:t>
            </w:r>
          </w:p>
        </w:tc>
        <w:tc>
          <w:tcPr>
            <w:tcW w:w="737" w:type="dxa"/>
            <w:tcBorders>
              <w:top w:val="nil"/>
              <w:left w:val="nil"/>
              <w:bottom w:val="nil"/>
              <w:right w:val="nil"/>
            </w:tcBorders>
            <w:shd w:val="clear" w:color="auto" w:fill="auto"/>
            <w:vAlign w:val="center"/>
            <w:hideMark/>
          </w:tcPr>
          <w:p w14:paraId="5C3CE6A3"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1 741</w:t>
            </w:r>
          </w:p>
        </w:tc>
        <w:tc>
          <w:tcPr>
            <w:tcW w:w="737" w:type="dxa"/>
            <w:tcBorders>
              <w:top w:val="nil"/>
              <w:left w:val="nil"/>
              <w:bottom w:val="nil"/>
              <w:right w:val="single" w:sz="4" w:space="0" w:color="auto"/>
            </w:tcBorders>
            <w:shd w:val="clear" w:color="auto" w:fill="auto"/>
            <w:vAlign w:val="center"/>
            <w:hideMark/>
          </w:tcPr>
          <w:p w14:paraId="2768ED42"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830</w:t>
            </w:r>
          </w:p>
        </w:tc>
        <w:tc>
          <w:tcPr>
            <w:tcW w:w="737" w:type="dxa"/>
            <w:tcBorders>
              <w:top w:val="nil"/>
              <w:left w:val="nil"/>
              <w:bottom w:val="nil"/>
              <w:right w:val="nil"/>
            </w:tcBorders>
            <w:shd w:val="clear" w:color="auto" w:fill="auto"/>
            <w:vAlign w:val="center"/>
            <w:hideMark/>
          </w:tcPr>
          <w:p w14:paraId="7F62C1FB"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8 363</w:t>
            </w:r>
          </w:p>
        </w:tc>
        <w:tc>
          <w:tcPr>
            <w:tcW w:w="737" w:type="dxa"/>
            <w:tcBorders>
              <w:top w:val="nil"/>
              <w:left w:val="nil"/>
              <w:bottom w:val="nil"/>
              <w:right w:val="nil"/>
            </w:tcBorders>
            <w:shd w:val="clear" w:color="auto" w:fill="auto"/>
            <w:vAlign w:val="center"/>
            <w:hideMark/>
          </w:tcPr>
          <w:p w14:paraId="0AB8C58E"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5 104</w:t>
            </w:r>
          </w:p>
        </w:tc>
        <w:tc>
          <w:tcPr>
            <w:tcW w:w="737" w:type="dxa"/>
            <w:tcBorders>
              <w:top w:val="nil"/>
              <w:left w:val="nil"/>
              <w:bottom w:val="nil"/>
              <w:right w:val="nil"/>
            </w:tcBorders>
            <w:shd w:val="clear" w:color="auto" w:fill="auto"/>
            <w:vAlign w:val="center"/>
            <w:hideMark/>
          </w:tcPr>
          <w:p w14:paraId="6D7F865D"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3 260</w:t>
            </w:r>
          </w:p>
        </w:tc>
      </w:tr>
      <w:tr w:rsidR="00D744C7" w:rsidRPr="00B448CC" w14:paraId="1D59E574" w14:textId="77777777" w:rsidTr="00D744C7">
        <w:trPr>
          <w:trHeight w:val="300"/>
        </w:trPr>
        <w:tc>
          <w:tcPr>
            <w:tcW w:w="735" w:type="dxa"/>
            <w:tcBorders>
              <w:top w:val="nil"/>
              <w:left w:val="nil"/>
              <w:bottom w:val="nil"/>
              <w:right w:val="single" w:sz="4" w:space="0" w:color="auto"/>
            </w:tcBorders>
            <w:shd w:val="clear" w:color="auto" w:fill="auto"/>
            <w:vAlign w:val="center"/>
            <w:hideMark/>
          </w:tcPr>
          <w:p w14:paraId="0C69E5E6"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2019</w:t>
            </w:r>
          </w:p>
        </w:tc>
        <w:tc>
          <w:tcPr>
            <w:tcW w:w="737" w:type="dxa"/>
            <w:tcBorders>
              <w:top w:val="nil"/>
              <w:left w:val="nil"/>
              <w:bottom w:val="nil"/>
              <w:right w:val="nil"/>
            </w:tcBorders>
            <w:shd w:val="clear" w:color="auto" w:fill="auto"/>
            <w:vAlign w:val="center"/>
            <w:hideMark/>
          </w:tcPr>
          <w:p w14:paraId="55A5683E"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81 205</w:t>
            </w:r>
          </w:p>
        </w:tc>
        <w:tc>
          <w:tcPr>
            <w:tcW w:w="736" w:type="dxa"/>
            <w:tcBorders>
              <w:top w:val="nil"/>
              <w:left w:val="nil"/>
              <w:bottom w:val="nil"/>
              <w:right w:val="nil"/>
            </w:tcBorders>
            <w:shd w:val="clear" w:color="auto" w:fill="auto"/>
            <w:vAlign w:val="center"/>
            <w:hideMark/>
          </w:tcPr>
          <w:p w14:paraId="459CFB7F"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37 043</w:t>
            </w:r>
          </w:p>
        </w:tc>
        <w:tc>
          <w:tcPr>
            <w:tcW w:w="736" w:type="dxa"/>
            <w:tcBorders>
              <w:top w:val="nil"/>
              <w:left w:val="nil"/>
              <w:bottom w:val="nil"/>
              <w:right w:val="nil"/>
            </w:tcBorders>
            <w:shd w:val="clear" w:color="auto" w:fill="auto"/>
            <w:vAlign w:val="center"/>
            <w:hideMark/>
          </w:tcPr>
          <w:p w14:paraId="32692356"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44 162</w:t>
            </w:r>
          </w:p>
        </w:tc>
        <w:tc>
          <w:tcPr>
            <w:tcW w:w="736" w:type="dxa"/>
            <w:tcBorders>
              <w:top w:val="nil"/>
              <w:left w:val="single" w:sz="4" w:space="0" w:color="auto"/>
              <w:bottom w:val="nil"/>
              <w:right w:val="nil"/>
            </w:tcBorders>
            <w:shd w:val="clear" w:color="auto" w:fill="auto"/>
            <w:vAlign w:val="center"/>
            <w:hideMark/>
          </w:tcPr>
          <w:p w14:paraId="067D58D0"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69 903</w:t>
            </w:r>
          </w:p>
        </w:tc>
        <w:tc>
          <w:tcPr>
            <w:tcW w:w="736" w:type="dxa"/>
            <w:tcBorders>
              <w:top w:val="nil"/>
              <w:left w:val="nil"/>
              <w:bottom w:val="nil"/>
              <w:right w:val="nil"/>
            </w:tcBorders>
            <w:shd w:val="clear" w:color="auto" w:fill="auto"/>
            <w:vAlign w:val="center"/>
            <w:hideMark/>
          </w:tcPr>
          <w:p w14:paraId="11C4CA61"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30 002</w:t>
            </w:r>
          </w:p>
        </w:tc>
        <w:tc>
          <w:tcPr>
            <w:tcW w:w="736" w:type="dxa"/>
            <w:tcBorders>
              <w:top w:val="nil"/>
              <w:left w:val="nil"/>
              <w:bottom w:val="nil"/>
              <w:right w:val="single" w:sz="4" w:space="0" w:color="auto"/>
            </w:tcBorders>
            <w:shd w:val="clear" w:color="auto" w:fill="auto"/>
            <w:vAlign w:val="center"/>
            <w:hideMark/>
          </w:tcPr>
          <w:p w14:paraId="4594A229"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39 900</w:t>
            </w:r>
          </w:p>
        </w:tc>
        <w:tc>
          <w:tcPr>
            <w:tcW w:w="754" w:type="dxa"/>
            <w:tcBorders>
              <w:top w:val="nil"/>
              <w:left w:val="nil"/>
              <w:bottom w:val="nil"/>
              <w:right w:val="nil"/>
            </w:tcBorders>
            <w:shd w:val="clear" w:color="auto" w:fill="auto"/>
            <w:vAlign w:val="center"/>
            <w:hideMark/>
          </w:tcPr>
          <w:p w14:paraId="721DDE33"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2 533</w:t>
            </w:r>
          </w:p>
        </w:tc>
        <w:tc>
          <w:tcPr>
            <w:tcW w:w="737" w:type="dxa"/>
            <w:tcBorders>
              <w:top w:val="nil"/>
              <w:left w:val="nil"/>
              <w:bottom w:val="nil"/>
              <w:right w:val="nil"/>
            </w:tcBorders>
            <w:shd w:val="clear" w:color="auto" w:fill="auto"/>
            <w:vAlign w:val="center"/>
            <w:hideMark/>
          </w:tcPr>
          <w:p w14:paraId="7EE24C86"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1 709</w:t>
            </w:r>
          </w:p>
        </w:tc>
        <w:tc>
          <w:tcPr>
            <w:tcW w:w="737" w:type="dxa"/>
            <w:tcBorders>
              <w:top w:val="nil"/>
              <w:left w:val="nil"/>
              <w:bottom w:val="nil"/>
              <w:right w:val="single" w:sz="4" w:space="0" w:color="auto"/>
            </w:tcBorders>
            <w:shd w:val="clear" w:color="auto" w:fill="auto"/>
            <w:vAlign w:val="center"/>
            <w:hideMark/>
          </w:tcPr>
          <w:p w14:paraId="4A9EB694"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823</w:t>
            </w:r>
          </w:p>
        </w:tc>
        <w:tc>
          <w:tcPr>
            <w:tcW w:w="737" w:type="dxa"/>
            <w:tcBorders>
              <w:top w:val="nil"/>
              <w:left w:val="nil"/>
              <w:bottom w:val="nil"/>
              <w:right w:val="nil"/>
            </w:tcBorders>
            <w:shd w:val="clear" w:color="auto" w:fill="auto"/>
            <w:vAlign w:val="center"/>
            <w:hideMark/>
          </w:tcPr>
          <w:p w14:paraId="45CF1605"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8 770</w:t>
            </w:r>
          </w:p>
        </w:tc>
        <w:tc>
          <w:tcPr>
            <w:tcW w:w="737" w:type="dxa"/>
            <w:tcBorders>
              <w:top w:val="nil"/>
              <w:left w:val="nil"/>
              <w:bottom w:val="nil"/>
              <w:right w:val="nil"/>
            </w:tcBorders>
            <w:shd w:val="clear" w:color="auto" w:fill="auto"/>
            <w:vAlign w:val="center"/>
            <w:hideMark/>
          </w:tcPr>
          <w:p w14:paraId="348C97E2"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5 331</w:t>
            </w:r>
          </w:p>
        </w:tc>
        <w:tc>
          <w:tcPr>
            <w:tcW w:w="737" w:type="dxa"/>
            <w:tcBorders>
              <w:top w:val="nil"/>
              <w:left w:val="nil"/>
              <w:bottom w:val="nil"/>
              <w:right w:val="nil"/>
            </w:tcBorders>
            <w:shd w:val="clear" w:color="auto" w:fill="auto"/>
            <w:vAlign w:val="center"/>
            <w:hideMark/>
          </w:tcPr>
          <w:p w14:paraId="10AB7951"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3 438</w:t>
            </w:r>
          </w:p>
        </w:tc>
      </w:tr>
      <w:tr w:rsidR="00D744C7" w:rsidRPr="00B448CC" w14:paraId="59CEEF89" w14:textId="77777777" w:rsidTr="00D744C7">
        <w:trPr>
          <w:trHeight w:val="300"/>
        </w:trPr>
        <w:tc>
          <w:tcPr>
            <w:tcW w:w="735" w:type="dxa"/>
            <w:tcBorders>
              <w:top w:val="nil"/>
              <w:left w:val="nil"/>
              <w:bottom w:val="nil"/>
              <w:right w:val="single" w:sz="4" w:space="0" w:color="auto"/>
            </w:tcBorders>
            <w:shd w:val="clear" w:color="auto" w:fill="auto"/>
            <w:vAlign w:val="center"/>
            <w:hideMark/>
          </w:tcPr>
          <w:p w14:paraId="1CC4627E"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2020</w:t>
            </w:r>
          </w:p>
        </w:tc>
        <w:tc>
          <w:tcPr>
            <w:tcW w:w="737" w:type="dxa"/>
            <w:tcBorders>
              <w:top w:val="nil"/>
              <w:left w:val="nil"/>
              <w:bottom w:val="nil"/>
              <w:right w:val="nil"/>
            </w:tcBorders>
            <w:shd w:val="clear" w:color="auto" w:fill="auto"/>
            <w:vAlign w:val="center"/>
            <w:hideMark/>
          </w:tcPr>
          <w:p w14:paraId="35033CF6"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94 246</w:t>
            </w:r>
          </w:p>
        </w:tc>
        <w:tc>
          <w:tcPr>
            <w:tcW w:w="736" w:type="dxa"/>
            <w:tcBorders>
              <w:top w:val="nil"/>
              <w:left w:val="nil"/>
              <w:bottom w:val="nil"/>
              <w:right w:val="nil"/>
            </w:tcBorders>
            <w:shd w:val="clear" w:color="auto" w:fill="auto"/>
            <w:vAlign w:val="center"/>
            <w:hideMark/>
          </w:tcPr>
          <w:p w14:paraId="58468441"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43 214</w:t>
            </w:r>
          </w:p>
        </w:tc>
        <w:tc>
          <w:tcPr>
            <w:tcW w:w="736" w:type="dxa"/>
            <w:tcBorders>
              <w:top w:val="nil"/>
              <w:left w:val="nil"/>
              <w:bottom w:val="nil"/>
              <w:right w:val="nil"/>
            </w:tcBorders>
            <w:shd w:val="clear" w:color="auto" w:fill="auto"/>
            <w:vAlign w:val="center"/>
            <w:hideMark/>
          </w:tcPr>
          <w:p w14:paraId="244C981E"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51 032</w:t>
            </w:r>
          </w:p>
        </w:tc>
        <w:tc>
          <w:tcPr>
            <w:tcW w:w="736" w:type="dxa"/>
            <w:tcBorders>
              <w:top w:val="nil"/>
              <w:left w:val="single" w:sz="4" w:space="0" w:color="auto"/>
              <w:bottom w:val="nil"/>
              <w:right w:val="nil"/>
            </w:tcBorders>
            <w:shd w:val="clear" w:color="auto" w:fill="auto"/>
            <w:vAlign w:val="center"/>
            <w:hideMark/>
          </w:tcPr>
          <w:p w14:paraId="29747CF5"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82 287</w:t>
            </w:r>
          </w:p>
        </w:tc>
        <w:tc>
          <w:tcPr>
            <w:tcW w:w="736" w:type="dxa"/>
            <w:tcBorders>
              <w:top w:val="nil"/>
              <w:left w:val="nil"/>
              <w:bottom w:val="nil"/>
              <w:right w:val="nil"/>
            </w:tcBorders>
            <w:shd w:val="clear" w:color="auto" w:fill="auto"/>
            <w:vAlign w:val="center"/>
            <w:hideMark/>
          </w:tcPr>
          <w:p w14:paraId="74EA9679"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35 854</w:t>
            </w:r>
          </w:p>
        </w:tc>
        <w:tc>
          <w:tcPr>
            <w:tcW w:w="736" w:type="dxa"/>
            <w:tcBorders>
              <w:top w:val="nil"/>
              <w:left w:val="nil"/>
              <w:bottom w:val="nil"/>
              <w:right w:val="single" w:sz="4" w:space="0" w:color="auto"/>
            </w:tcBorders>
            <w:shd w:val="clear" w:color="auto" w:fill="auto"/>
            <w:vAlign w:val="center"/>
            <w:hideMark/>
          </w:tcPr>
          <w:p w14:paraId="669B8722"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46 434</w:t>
            </w:r>
          </w:p>
        </w:tc>
        <w:tc>
          <w:tcPr>
            <w:tcW w:w="754" w:type="dxa"/>
            <w:tcBorders>
              <w:top w:val="nil"/>
              <w:left w:val="nil"/>
              <w:bottom w:val="nil"/>
              <w:right w:val="nil"/>
            </w:tcBorders>
            <w:shd w:val="clear" w:color="auto" w:fill="auto"/>
            <w:vAlign w:val="center"/>
            <w:hideMark/>
          </w:tcPr>
          <w:p w14:paraId="779C01D5"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2 585</w:t>
            </w:r>
          </w:p>
        </w:tc>
        <w:tc>
          <w:tcPr>
            <w:tcW w:w="737" w:type="dxa"/>
            <w:tcBorders>
              <w:top w:val="nil"/>
              <w:left w:val="nil"/>
              <w:bottom w:val="nil"/>
              <w:right w:val="nil"/>
            </w:tcBorders>
            <w:shd w:val="clear" w:color="auto" w:fill="auto"/>
            <w:vAlign w:val="center"/>
            <w:hideMark/>
          </w:tcPr>
          <w:p w14:paraId="36FF4A75"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1 766</w:t>
            </w:r>
          </w:p>
        </w:tc>
        <w:tc>
          <w:tcPr>
            <w:tcW w:w="737" w:type="dxa"/>
            <w:tcBorders>
              <w:top w:val="nil"/>
              <w:left w:val="nil"/>
              <w:bottom w:val="nil"/>
              <w:right w:val="single" w:sz="4" w:space="0" w:color="auto"/>
            </w:tcBorders>
            <w:shd w:val="clear" w:color="auto" w:fill="auto"/>
            <w:vAlign w:val="center"/>
            <w:hideMark/>
          </w:tcPr>
          <w:p w14:paraId="7AD82A90"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819</w:t>
            </w:r>
          </w:p>
        </w:tc>
        <w:tc>
          <w:tcPr>
            <w:tcW w:w="737" w:type="dxa"/>
            <w:tcBorders>
              <w:top w:val="nil"/>
              <w:left w:val="nil"/>
              <w:bottom w:val="nil"/>
              <w:right w:val="nil"/>
            </w:tcBorders>
            <w:shd w:val="clear" w:color="auto" w:fill="auto"/>
            <w:vAlign w:val="center"/>
            <w:hideMark/>
          </w:tcPr>
          <w:p w14:paraId="51E5E221"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9 373</w:t>
            </w:r>
          </w:p>
        </w:tc>
        <w:tc>
          <w:tcPr>
            <w:tcW w:w="737" w:type="dxa"/>
            <w:tcBorders>
              <w:top w:val="nil"/>
              <w:left w:val="nil"/>
              <w:bottom w:val="nil"/>
              <w:right w:val="nil"/>
            </w:tcBorders>
            <w:shd w:val="clear" w:color="auto" w:fill="auto"/>
            <w:vAlign w:val="center"/>
            <w:hideMark/>
          </w:tcPr>
          <w:p w14:paraId="7B20E3BA"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5 594</w:t>
            </w:r>
          </w:p>
        </w:tc>
        <w:tc>
          <w:tcPr>
            <w:tcW w:w="737" w:type="dxa"/>
            <w:tcBorders>
              <w:top w:val="nil"/>
              <w:left w:val="nil"/>
              <w:bottom w:val="nil"/>
              <w:right w:val="nil"/>
            </w:tcBorders>
            <w:shd w:val="clear" w:color="auto" w:fill="auto"/>
            <w:vAlign w:val="center"/>
            <w:hideMark/>
          </w:tcPr>
          <w:p w14:paraId="37CD4B4F"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3 779</w:t>
            </w:r>
          </w:p>
        </w:tc>
      </w:tr>
      <w:tr w:rsidR="00D744C7" w:rsidRPr="00B448CC" w14:paraId="2DBFD8D6" w14:textId="77777777" w:rsidTr="00D744C7">
        <w:trPr>
          <w:trHeight w:val="300"/>
        </w:trPr>
        <w:tc>
          <w:tcPr>
            <w:tcW w:w="735" w:type="dxa"/>
            <w:tcBorders>
              <w:top w:val="nil"/>
              <w:left w:val="nil"/>
              <w:bottom w:val="nil"/>
              <w:right w:val="single" w:sz="4" w:space="0" w:color="auto"/>
            </w:tcBorders>
            <w:shd w:val="clear" w:color="auto" w:fill="auto"/>
            <w:vAlign w:val="center"/>
          </w:tcPr>
          <w:p w14:paraId="72C852CD" w14:textId="77777777"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2021</w:t>
            </w:r>
          </w:p>
        </w:tc>
        <w:tc>
          <w:tcPr>
            <w:tcW w:w="737" w:type="dxa"/>
            <w:tcBorders>
              <w:top w:val="nil"/>
              <w:left w:val="nil"/>
              <w:bottom w:val="nil"/>
              <w:right w:val="nil"/>
            </w:tcBorders>
            <w:shd w:val="clear" w:color="auto" w:fill="auto"/>
            <w:vAlign w:val="center"/>
          </w:tcPr>
          <w:p w14:paraId="0A1D823B"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94 950</w:t>
            </w:r>
          </w:p>
        </w:tc>
        <w:tc>
          <w:tcPr>
            <w:tcW w:w="736" w:type="dxa"/>
            <w:tcBorders>
              <w:top w:val="nil"/>
              <w:left w:val="nil"/>
              <w:bottom w:val="nil"/>
              <w:right w:val="nil"/>
            </w:tcBorders>
            <w:shd w:val="clear" w:color="auto" w:fill="auto"/>
            <w:vAlign w:val="center"/>
          </w:tcPr>
          <w:p w14:paraId="2919B95F"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44 255</w:t>
            </w:r>
          </w:p>
        </w:tc>
        <w:tc>
          <w:tcPr>
            <w:tcW w:w="736" w:type="dxa"/>
            <w:tcBorders>
              <w:top w:val="nil"/>
              <w:left w:val="nil"/>
              <w:bottom w:val="nil"/>
              <w:right w:val="nil"/>
            </w:tcBorders>
            <w:shd w:val="clear" w:color="auto" w:fill="auto"/>
            <w:vAlign w:val="center"/>
          </w:tcPr>
          <w:p w14:paraId="5AE9443B"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50 695</w:t>
            </w:r>
          </w:p>
        </w:tc>
        <w:tc>
          <w:tcPr>
            <w:tcW w:w="736" w:type="dxa"/>
            <w:tcBorders>
              <w:top w:val="nil"/>
              <w:left w:val="single" w:sz="4" w:space="0" w:color="auto"/>
              <w:bottom w:val="nil"/>
              <w:right w:val="nil"/>
            </w:tcBorders>
            <w:shd w:val="clear" w:color="auto" w:fill="auto"/>
            <w:vAlign w:val="center"/>
          </w:tcPr>
          <w:p w14:paraId="41EB79A7"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83 363</w:t>
            </w:r>
          </w:p>
        </w:tc>
        <w:tc>
          <w:tcPr>
            <w:tcW w:w="736" w:type="dxa"/>
            <w:tcBorders>
              <w:top w:val="nil"/>
              <w:left w:val="nil"/>
              <w:bottom w:val="nil"/>
              <w:right w:val="nil"/>
            </w:tcBorders>
            <w:shd w:val="clear" w:color="auto" w:fill="auto"/>
            <w:vAlign w:val="center"/>
          </w:tcPr>
          <w:p w14:paraId="01A6DCEE"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37 211</w:t>
            </w:r>
          </w:p>
        </w:tc>
        <w:tc>
          <w:tcPr>
            <w:tcW w:w="736" w:type="dxa"/>
            <w:tcBorders>
              <w:top w:val="nil"/>
              <w:left w:val="nil"/>
              <w:bottom w:val="nil"/>
              <w:right w:val="single" w:sz="4" w:space="0" w:color="auto"/>
            </w:tcBorders>
            <w:shd w:val="clear" w:color="auto" w:fill="auto"/>
            <w:vAlign w:val="center"/>
          </w:tcPr>
          <w:p w14:paraId="79764118"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46 152</w:t>
            </w:r>
          </w:p>
        </w:tc>
        <w:tc>
          <w:tcPr>
            <w:tcW w:w="754" w:type="dxa"/>
            <w:tcBorders>
              <w:top w:val="nil"/>
              <w:left w:val="nil"/>
              <w:bottom w:val="nil"/>
              <w:right w:val="nil"/>
            </w:tcBorders>
            <w:shd w:val="clear" w:color="auto" w:fill="auto"/>
            <w:vAlign w:val="center"/>
          </w:tcPr>
          <w:p w14:paraId="48AC1D1F"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2 607</w:t>
            </w:r>
          </w:p>
        </w:tc>
        <w:tc>
          <w:tcPr>
            <w:tcW w:w="737" w:type="dxa"/>
            <w:tcBorders>
              <w:top w:val="nil"/>
              <w:left w:val="nil"/>
              <w:bottom w:val="nil"/>
              <w:right w:val="nil"/>
            </w:tcBorders>
            <w:shd w:val="clear" w:color="auto" w:fill="auto"/>
            <w:vAlign w:val="center"/>
          </w:tcPr>
          <w:p w14:paraId="0DE606C1"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1 791</w:t>
            </w:r>
          </w:p>
        </w:tc>
        <w:tc>
          <w:tcPr>
            <w:tcW w:w="737" w:type="dxa"/>
            <w:tcBorders>
              <w:top w:val="nil"/>
              <w:left w:val="nil"/>
              <w:bottom w:val="nil"/>
              <w:right w:val="single" w:sz="4" w:space="0" w:color="auto"/>
            </w:tcBorders>
            <w:shd w:val="clear" w:color="auto" w:fill="auto"/>
            <w:vAlign w:val="center"/>
          </w:tcPr>
          <w:p w14:paraId="4C9DE172"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816</w:t>
            </w:r>
          </w:p>
        </w:tc>
        <w:tc>
          <w:tcPr>
            <w:tcW w:w="737" w:type="dxa"/>
            <w:tcBorders>
              <w:top w:val="nil"/>
              <w:left w:val="nil"/>
              <w:bottom w:val="nil"/>
              <w:right w:val="nil"/>
            </w:tcBorders>
            <w:shd w:val="clear" w:color="auto" w:fill="auto"/>
            <w:vAlign w:val="center"/>
          </w:tcPr>
          <w:p w14:paraId="5FDEA941"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8 979</w:t>
            </w:r>
          </w:p>
        </w:tc>
        <w:tc>
          <w:tcPr>
            <w:tcW w:w="737" w:type="dxa"/>
            <w:tcBorders>
              <w:top w:val="nil"/>
              <w:left w:val="nil"/>
              <w:bottom w:val="nil"/>
              <w:right w:val="nil"/>
            </w:tcBorders>
            <w:shd w:val="clear" w:color="auto" w:fill="auto"/>
            <w:vAlign w:val="center"/>
          </w:tcPr>
          <w:p w14:paraId="7C101074"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5 253</w:t>
            </w:r>
          </w:p>
        </w:tc>
        <w:tc>
          <w:tcPr>
            <w:tcW w:w="737" w:type="dxa"/>
            <w:tcBorders>
              <w:top w:val="nil"/>
              <w:left w:val="nil"/>
              <w:bottom w:val="nil"/>
              <w:right w:val="nil"/>
            </w:tcBorders>
            <w:shd w:val="clear" w:color="auto" w:fill="auto"/>
            <w:vAlign w:val="center"/>
          </w:tcPr>
          <w:p w14:paraId="0F543D49"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3 726</w:t>
            </w:r>
          </w:p>
        </w:tc>
      </w:tr>
      <w:tr w:rsidR="00D744C7" w:rsidRPr="00B448CC" w14:paraId="16B5232C" w14:textId="77777777" w:rsidTr="00D744C7">
        <w:trPr>
          <w:trHeight w:val="300"/>
        </w:trPr>
        <w:tc>
          <w:tcPr>
            <w:tcW w:w="735" w:type="dxa"/>
            <w:tcBorders>
              <w:top w:val="nil"/>
              <w:left w:val="nil"/>
              <w:bottom w:val="nil"/>
              <w:right w:val="single" w:sz="4" w:space="0" w:color="auto"/>
            </w:tcBorders>
            <w:shd w:val="clear" w:color="auto" w:fill="auto"/>
            <w:vAlign w:val="center"/>
          </w:tcPr>
          <w:p w14:paraId="33EE4FE0" w14:textId="3043B9F3" w:rsidR="00D744C7" w:rsidRPr="00B448CC" w:rsidRDefault="00D744C7" w:rsidP="00D744C7">
            <w:pPr>
              <w:spacing w:after="0" w:line="240" w:lineRule="auto"/>
              <w:jc w:val="center"/>
              <w:rPr>
                <w:rFonts w:cs="Arial"/>
                <w:color w:val="000000"/>
                <w:sz w:val="16"/>
                <w:szCs w:val="16"/>
              </w:rPr>
            </w:pPr>
            <w:r w:rsidRPr="00B448CC">
              <w:rPr>
                <w:rFonts w:cs="Arial"/>
                <w:color w:val="000000"/>
                <w:sz w:val="16"/>
                <w:szCs w:val="16"/>
              </w:rPr>
              <w:t>2022</w:t>
            </w:r>
            <w:r>
              <w:rPr>
                <w:rFonts w:cs="Arial"/>
                <w:color w:val="000000"/>
                <w:sz w:val="16"/>
                <w:szCs w:val="16"/>
              </w:rPr>
              <w:t>*</w:t>
            </w:r>
          </w:p>
        </w:tc>
        <w:tc>
          <w:tcPr>
            <w:tcW w:w="737" w:type="dxa"/>
            <w:tcBorders>
              <w:top w:val="nil"/>
              <w:left w:val="nil"/>
              <w:bottom w:val="nil"/>
              <w:right w:val="nil"/>
            </w:tcBorders>
            <w:shd w:val="clear" w:color="auto" w:fill="auto"/>
            <w:vAlign w:val="center"/>
          </w:tcPr>
          <w:p w14:paraId="587B1ED0"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91 064</w:t>
            </w:r>
          </w:p>
        </w:tc>
        <w:tc>
          <w:tcPr>
            <w:tcW w:w="736" w:type="dxa"/>
            <w:tcBorders>
              <w:top w:val="nil"/>
              <w:left w:val="nil"/>
              <w:bottom w:val="nil"/>
              <w:right w:val="nil"/>
            </w:tcBorders>
            <w:shd w:val="clear" w:color="auto" w:fill="auto"/>
            <w:vAlign w:val="center"/>
          </w:tcPr>
          <w:p w14:paraId="0659F49F"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41 382</w:t>
            </w:r>
          </w:p>
        </w:tc>
        <w:tc>
          <w:tcPr>
            <w:tcW w:w="736" w:type="dxa"/>
            <w:tcBorders>
              <w:top w:val="nil"/>
              <w:left w:val="nil"/>
              <w:bottom w:val="nil"/>
              <w:right w:val="nil"/>
            </w:tcBorders>
            <w:shd w:val="clear" w:color="auto" w:fill="auto"/>
            <w:vAlign w:val="center"/>
          </w:tcPr>
          <w:p w14:paraId="440A302F"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49 681</w:t>
            </w:r>
          </w:p>
        </w:tc>
        <w:tc>
          <w:tcPr>
            <w:tcW w:w="736" w:type="dxa"/>
            <w:tcBorders>
              <w:top w:val="nil"/>
              <w:left w:val="single" w:sz="4" w:space="0" w:color="auto"/>
              <w:bottom w:val="nil"/>
              <w:right w:val="nil"/>
            </w:tcBorders>
            <w:shd w:val="clear" w:color="auto" w:fill="auto"/>
            <w:vAlign w:val="center"/>
          </w:tcPr>
          <w:p w14:paraId="55E74C4C"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79 190</w:t>
            </w:r>
          </w:p>
        </w:tc>
        <w:tc>
          <w:tcPr>
            <w:tcW w:w="736" w:type="dxa"/>
            <w:tcBorders>
              <w:top w:val="nil"/>
              <w:left w:val="nil"/>
              <w:bottom w:val="nil"/>
              <w:right w:val="nil"/>
            </w:tcBorders>
            <w:shd w:val="clear" w:color="auto" w:fill="auto"/>
            <w:vAlign w:val="center"/>
          </w:tcPr>
          <w:p w14:paraId="2566D58E"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34 214</w:t>
            </w:r>
          </w:p>
        </w:tc>
        <w:tc>
          <w:tcPr>
            <w:tcW w:w="736" w:type="dxa"/>
            <w:tcBorders>
              <w:top w:val="nil"/>
              <w:left w:val="nil"/>
              <w:bottom w:val="nil"/>
              <w:right w:val="single" w:sz="4" w:space="0" w:color="auto"/>
            </w:tcBorders>
            <w:shd w:val="clear" w:color="auto" w:fill="auto"/>
            <w:vAlign w:val="center"/>
          </w:tcPr>
          <w:p w14:paraId="751B692C" w14:textId="6396071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44 976</w:t>
            </w:r>
          </w:p>
        </w:tc>
        <w:tc>
          <w:tcPr>
            <w:tcW w:w="754" w:type="dxa"/>
            <w:tcBorders>
              <w:top w:val="nil"/>
              <w:left w:val="nil"/>
              <w:bottom w:val="nil"/>
              <w:right w:val="nil"/>
            </w:tcBorders>
            <w:shd w:val="clear" w:color="auto" w:fill="auto"/>
            <w:vAlign w:val="center"/>
          </w:tcPr>
          <w:p w14:paraId="379EACDA"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2 514</w:t>
            </w:r>
          </w:p>
        </w:tc>
        <w:tc>
          <w:tcPr>
            <w:tcW w:w="737" w:type="dxa"/>
            <w:tcBorders>
              <w:top w:val="nil"/>
              <w:left w:val="nil"/>
              <w:bottom w:val="nil"/>
              <w:right w:val="nil"/>
            </w:tcBorders>
            <w:shd w:val="clear" w:color="auto" w:fill="auto"/>
            <w:vAlign w:val="center"/>
          </w:tcPr>
          <w:p w14:paraId="5D5A0860"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1 692</w:t>
            </w:r>
          </w:p>
        </w:tc>
        <w:tc>
          <w:tcPr>
            <w:tcW w:w="737" w:type="dxa"/>
            <w:tcBorders>
              <w:top w:val="nil"/>
              <w:left w:val="nil"/>
              <w:bottom w:val="nil"/>
              <w:right w:val="single" w:sz="4" w:space="0" w:color="auto"/>
            </w:tcBorders>
            <w:shd w:val="clear" w:color="auto" w:fill="auto"/>
            <w:vAlign w:val="center"/>
          </w:tcPr>
          <w:p w14:paraId="62003B44"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822</w:t>
            </w:r>
          </w:p>
        </w:tc>
        <w:tc>
          <w:tcPr>
            <w:tcW w:w="737" w:type="dxa"/>
            <w:tcBorders>
              <w:top w:val="nil"/>
              <w:left w:val="nil"/>
              <w:bottom w:val="nil"/>
              <w:right w:val="nil"/>
            </w:tcBorders>
            <w:shd w:val="clear" w:color="auto" w:fill="auto"/>
            <w:vAlign w:val="center"/>
          </w:tcPr>
          <w:p w14:paraId="3DEE8B3A"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9 360</w:t>
            </w:r>
          </w:p>
        </w:tc>
        <w:tc>
          <w:tcPr>
            <w:tcW w:w="737" w:type="dxa"/>
            <w:tcBorders>
              <w:top w:val="nil"/>
              <w:left w:val="nil"/>
              <w:bottom w:val="nil"/>
              <w:right w:val="nil"/>
            </w:tcBorders>
            <w:shd w:val="clear" w:color="auto" w:fill="auto"/>
            <w:vAlign w:val="center"/>
          </w:tcPr>
          <w:p w14:paraId="035FFCA7"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5 476</w:t>
            </w:r>
          </w:p>
        </w:tc>
        <w:tc>
          <w:tcPr>
            <w:tcW w:w="737" w:type="dxa"/>
            <w:tcBorders>
              <w:top w:val="nil"/>
              <w:left w:val="nil"/>
              <w:bottom w:val="nil"/>
              <w:right w:val="nil"/>
            </w:tcBorders>
            <w:shd w:val="clear" w:color="auto" w:fill="auto"/>
            <w:vAlign w:val="center"/>
          </w:tcPr>
          <w:p w14:paraId="146C3836" w14:textId="77777777" w:rsidR="00D744C7" w:rsidRPr="00B448CC" w:rsidRDefault="00D744C7" w:rsidP="00D744C7">
            <w:pPr>
              <w:spacing w:after="0" w:line="240" w:lineRule="auto"/>
              <w:jc w:val="right"/>
              <w:rPr>
                <w:rFonts w:cs="Arial"/>
                <w:color w:val="000000"/>
                <w:sz w:val="16"/>
                <w:szCs w:val="16"/>
              </w:rPr>
            </w:pPr>
            <w:r w:rsidRPr="00B448CC">
              <w:rPr>
                <w:rFonts w:cs="Arial"/>
                <w:color w:val="000000"/>
                <w:sz w:val="16"/>
                <w:szCs w:val="16"/>
              </w:rPr>
              <w:t>3 884</w:t>
            </w:r>
          </w:p>
        </w:tc>
      </w:tr>
      <w:tr w:rsidR="00D744C7" w:rsidRPr="00D744C7" w14:paraId="1A3FFC6C" w14:textId="77777777" w:rsidTr="00D744C7">
        <w:trPr>
          <w:trHeight w:val="300"/>
        </w:trPr>
        <w:tc>
          <w:tcPr>
            <w:tcW w:w="735" w:type="dxa"/>
            <w:tcBorders>
              <w:top w:val="nil"/>
              <w:left w:val="nil"/>
              <w:bottom w:val="nil"/>
              <w:right w:val="single" w:sz="4" w:space="0" w:color="auto"/>
            </w:tcBorders>
            <w:shd w:val="clear" w:color="auto" w:fill="auto"/>
            <w:vAlign w:val="center"/>
          </w:tcPr>
          <w:p w14:paraId="2FC6FC33" w14:textId="22EB587F" w:rsidR="00D744C7" w:rsidRPr="00B448CC" w:rsidRDefault="00D744C7" w:rsidP="00D744C7">
            <w:pPr>
              <w:spacing w:after="0" w:line="240" w:lineRule="auto"/>
              <w:jc w:val="center"/>
              <w:rPr>
                <w:rFonts w:cs="Arial"/>
                <w:color w:val="000000"/>
                <w:sz w:val="16"/>
                <w:szCs w:val="16"/>
              </w:rPr>
            </w:pPr>
            <w:r w:rsidRPr="00D744C7">
              <w:rPr>
                <w:rFonts w:cs="Arial"/>
                <w:color w:val="000000"/>
                <w:sz w:val="16"/>
                <w:szCs w:val="16"/>
              </w:rPr>
              <w:t>2023</w:t>
            </w:r>
          </w:p>
        </w:tc>
        <w:tc>
          <w:tcPr>
            <w:tcW w:w="737" w:type="dxa"/>
            <w:tcBorders>
              <w:top w:val="nil"/>
              <w:left w:val="nil"/>
              <w:bottom w:val="nil"/>
              <w:right w:val="nil"/>
            </w:tcBorders>
            <w:shd w:val="clear" w:color="auto" w:fill="auto"/>
            <w:vAlign w:val="center"/>
          </w:tcPr>
          <w:p w14:paraId="7FC5EECA" w14:textId="39AEB4D0" w:rsidR="00D744C7" w:rsidRPr="00B448CC" w:rsidRDefault="00D744C7" w:rsidP="00D744C7">
            <w:pPr>
              <w:spacing w:after="0" w:line="240" w:lineRule="auto"/>
              <w:jc w:val="right"/>
              <w:rPr>
                <w:rFonts w:cs="Arial"/>
                <w:color w:val="000000"/>
                <w:sz w:val="16"/>
                <w:szCs w:val="16"/>
              </w:rPr>
            </w:pPr>
            <w:r w:rsidRPr="00D744C7">
              <w:rPr>
                <w:rFonts w:cs="Arial"/>
                <w:color w:val="000000"/>
                <w:sz w:val="16"/>
                <w:szCs w:val="16"/>
              </w:rPr>
              <w:t>79 564</w:t>
            </w:r>
          </w:p>
        </w:tc>
        <w:tc>
          <w:tcPr>
            <w:tcW w:w="736" w:type="dxa"/>
            <w:tcBorders>
              <w:top w:val="nil"/>
              <w:left w:val="nil"/>
              <w:bottom w:val="nil"/>
              <w:right w:val="nil"/>
            </w:tcBorders>
            <w:shd w:val="clear" w:color="auto" w:fill="auto"/>
            <w:vAlign w:val="center"/>
          </w:tcPr>
          <w:p w14:paraId="6766B969" w14:textId="7E5B5DA2" w:rsidR="00D744C7" w:rsidRPr="00B448CC" w:rsidRDefault="00D744C7" w:rsidP="00D744C7">
            <w:pPr>
              <w:spacing w:after="0" w:line="240" w:lineRule="auto"/>
              <w:jc w:val="right"/>
              <w:rPr>
                <w:rFonts w:cs="Arial"/>
                <w:color w:val="000000"/>
                <w:sz w:val="16"/>
                <w:szCs w:val="16"/>
              </w:rPr>
            </w:pPr>
            <w:r w:rsidRPr="00D744C7">
              <w:rPr>
                <w:rFonts w:cs="Arial"/>
                <w:color w:val="000000"/>
                <w:sz w:val="16"/>
                <w:szCs w:val="16"/>
              </w:rPr>
              <w:t>36 126</w:t>
            </w:r>
          </w:p>
        </w:tc>
        <w:tc>
          <w:tcPr>
            <w:tcW w:w="736" w:type="dxa"/>
            <w:tcBorders>
              <w:top w:val="nil"/>
              <w:left w:val="nil"/>
              <w:bottom w:val="nil"/>
              <w:right w:val="nil"/>
            </w:tcBorders>
            <w:shd w:val="clear" w:color="auto" w:fill="auto"/>
            <w:vAlign w:val="center"/>
          </w:tcPr>
          <w:p w14:paraId="6AE3DF10" w14:textId="12241A66" w:rsidR="00D744C7" w:rsidRPr="00B448CC" w:rsidRDefault="00D744C7" w:rsidP="00D744C7">
            <w:pPr>
              <w:spacing w:after="0" w:line="240" w:lineRule="auto"/>
              <w:jc w:val="right"/>
              <w:rPr>
                <w:rFonts w:cs="Arial"/>
                <w:color w:val="000000"/>
                <w:sz w:val="16"/>
                <w:szCs w:val="16"/>
              </w:rPr>
            </w:pPr>
            <w:r w:rsidRPr="00D744C7">
              <w:rPr>
                <w:rFonts w:cs="Arial"/>
                <w:color w:val="000000"/>
                <w:sz w:val="16"/>
                <w:szCs w:val="16"/>
              </w:rPr>
              <w:t>43 439</w:t>
            </w:r>
          </w:p>
        </w:tc>
        <w:tc>
          <w:tcPr>
            <w:tcW w:w="736" w:type="dxa"/>
            <w:tcBorders>
              <w:top w:val="nil"/>
              <w:left w:val="single" w:sz="4" w:space="0" w:color="auto"/>
              <w:bottom w:val="nil"/>
              <w:right w:val="nil"/>
            </w:tcBorders>
            <w:shd w:val="clear" w:color="auto" w:fill="auto"/>
            <w:vAlign w:val="center"/>
          </w:tcPr>
          <w:p w14:paraId="42F1548F" w14:textId="0E1568FD" w:rsidR="00D744C7" w:rsidRPr="00B448CC" w:rsidRDefault="00D744C7" w:rsidP="00D744C7">
            <w:pPr>
              <w:spacing w:after="0" w:line="240" w:lineRule="auto"/>
              <w:jc w:val="right"/>
              <w:rPr>
                <w:rFonts w:cs="Arial"/>
                <w:color w:val="000000"/>
                <w:sz w:val="16"/>
                <w:szCs w:val="16"/>
              </w:rPr>
            </w:pPr>
            <w:r w:rsidRPr="00D744C7">
              <w:rPr>
                <w:rFonts w:cs="Arial"/>
                <w:color w:val="000000"/>
                <w:sz w:val="16"/>
                <w:szCs w:val="16"/>
              </w:rPr>
              <w:t>67 864</w:t>
            </w:r>
          </w:p>
        </w:tc>
        <w:tc>
          <w:tcPr>
            <w:tcW w:w="736" w:type="dxa"/>
            <w:tcBorders>
              <w:top w:val="nil"/>
              <w:left w:val="nil"/>
              <w:bottom w:val="nil"/>
              <w:right w:val="nil"/>
            </w:tcBorders>
            <w:shd w:val="clear" w:color="auto" w:fill="auto"/>
            <w:vAlign w:val="center"/>
          </w:tcPr>
          <w:p w14:paraId="3F45D395" w14:textId="666972A5" w:rsidR="00D744C7" w:rsidRPr="00B448CC" w:rsidRDefault="00D744C7" w:rsidP="00D744C7">
            <w:pPr>
              <w:spacing w:after="0" w:line="240" w:lineRule="auto"/>
              <w:jc w:val="right"/>
              <w:rPr>
                <w:rFonts w:cs="Arial"/>
                <w:color w:val="000000"/>
                <w:sz w:val="16"/>
                <w:szCs w:val="16"/>
              </w:rPr>
            </w:pPr>
            <w:r w:rsidRPr="00D744C7">
              <w:rPr>
                <w:rFonts w:cs="Arial"/>
                <w:color w:val="000000"/>
                <w:sz w:val="16"/>
                <w:szCs w:val="16"/>
              </w:rPr>
              <w:t>29 177</w:t>
            </w:r>
          </w:p>
        </w:tc>
        <w:tc>
          <w:tcPr>
            <w:tcW w:w="736" w:type="dxa"/>
            <w:tcBorders>
              <w:top w:val="nil"/>
              <w:left w:val="nil"/>
              <w:bottom w:val="nil"/>
              <w:right w:val="single" w:sz="4" w:space="0" w:color="auto"/>
            </w:tcBorders>
            <w:shd w:val="clear" w:color="auto" w:fill="auto"/>
            <w:vAlign w:val="center"/>
          </w:tcPr>
          <w:p w14:paraId="74D2C89A" w14:textId="766021BE" w:rsidR="00D744C7" w:rsidRPr="00D744C7" w:rsidRDefault="00D744C7" w:rsidP="00D744C7">
            <w:pPr>
              <w:spacing w:after="0" w:line="240" w:lineRule="auto"/>
              <w:jc w:val="right"/>
              <w:rPr>
                <w:rFonts w:cs="Arial"/>
                <w:color w:val="000000"/>
                <w:sz w:val="16"/>
                <w:szCs w:val="16"/>
              </w:rPr>
            </w:pPr>
            <w:r w:rsidRPr="00D744C7">
              <w:rPr>
                <w:rFonts w:cs="Arial"/>
                <w:color w:val="000000"/>
                <w:sz w:val="16"/>
                <w:szCs w:val="16"/>
              </w:rPr>
              <w:t>38 687</w:t>
            </w:r>
          </w:p>
        </w:tc>
        <w:tc>
          <w:tcPr>
            <w:tcW w:w="754" w:type="dxa"/>
            <w:tcBorders>
              <w:top w:val="nil"/>
              <w:left w:val="nil"/>
              <w:bottom w:val="nil"/>
              <w:right w:val="nil"/>
            </w:tcBorders>
            <w:shd w:val="clear" w:color="auto" w:fill="auto"/>
            <w:vAlign w:val="center"/>
          </w:tcPr>
          <w:p w14:paraId="5566B51A" w14:textId="60FB7540" w:rsidR="00D744C7" w:rsidRPr="00B448CC" w:rsidRDefault="00D744C7" w:rsidP="00D744C7">
            <w:pPr>
              <w:spacing w:after="0" w:line="240" w:lineRule="auto"/>
              <w:jc w:val="right"/>
              <w:rPr>
                <w:rFonts w:cs="Arial"/>
                <w:color w:val="000000"/>
                <w:sz w:val="16"/>
                <w:szCs w:val="16"/>
              </w:rPr>
            </w:pPr>
            <w:r w:rsidRPr="00D744C7">
              <w:rPr>
                <w:rFonts w:cs="Arial"/>
                <w:color w:val="000000"/>
                <w:sz w:val="16"/>
                <w:szCs w:val="16"/>
              </w:rPr>
              <w:t>2 441</w:t>
            </w:r>
          </w:p>
        </w:tc>
        <w:tc>
          <w:tcPr>
            <w:tcW w:w="737" w:type="dxa"/>
            <w:tcBorders>
              <w:top w:val="nil"/>
              <w:left w:val="nil"/>
              <w:bottom w:val="nil"/>
              <w:right w:val="nil"/>
            </w:tcBorders>
            <w:shd w:val="clear" w:color="auto" w:fill="auto"/>
            <w:vAlign w:val="center"/>
          </w:tcPr>
          <w:p w14:paraId="603E9BB5" w14:textId="29CE0293" w:rsidR="00D744C7" w:rsidRPr="00B448CC" w:rsidRDefault="00D744C7" w:rsidP="00D744C7">
            <w:pPr>
              <w:spacing w:after="0" w:line="240" w:lineRule="auto"/>
              <w:jc w:val="right"/>
              <w:rPr>
                <w:rFonts w:cs="Arial"/>
                <w:color w:val="000000"/>
                <w:sz w:val="16"/>
                <w:szCs w:val="16"/>
              </w:rPr>
            </w:pPr>
            <w:r w:rsidRPr="00D744C7">
              <w:rPr>
                <w:rFonts w:cs="Arial"/>
                <w:color w:val="000000"/>
                <w:sz w:val="16"/>
                <w:szCs w:val="16"/>
              </w:rPr>
              <w:t>1 603</w:t>
            </w:r>
          </w:p>
        </w:tc>
        <w:tc>
          <w:tcPr>
            <w:tcW w:w="737" w:type="dxa"/>
            <w:tcBorders>
              <w:top w:val="nil"/>
              <w:left w:val="nil"/>
              <w:bottom w:val="nil"/>
              <w:right w:val="single" w:sz="4" w:space="0" w:color="auto"/>
            </w:tcBorders>
            <w:shd w:val="clear" w:color="auto" w:fill="auto"/>
            <w:vAlign w:val="center"/>
          </w:tcPr>
          <w:p w14:paraId="5CE852DB" w14:textId="5F459193" w:rsidR="00D744C7" w:rsidRPr="00B448CC" w:rsidRDefault="00D744C7" w:rsidP="00D744C7">
            <w:pPr>
              <w:spacing w:after="0" w:line="240" w:lineRule="auto"/>
              <w:jc w:val="right"/>
              <w:rPr>
                <w:rFonts w:cs="Arial"/>
                <w:color w:val="000000"/>
                <w:sz w:val="16"/>
                <w:szCs w:val="16"/>
              </w:rPr>
            </w:pPr>
            <w:r w:rsidRPr="00D744C7">
              <w:rPr>
                <w:rFonts w:cs="Arial"/>
                <w:color w:val="000000"/>
                <w:sz w:val="16"/>
                <w:szCs w:val="16"/>
              </w:rPr>
              <w:t>838</w:t>
            </w:r>
          </w:p>
        </w:tc>
        <w:tc>
          <w:tcPr>
            <w:tcW w:w="737" w:type="dxa"/>
            <w:tcBorders>
              <w:top w:val="nil"/>
              <w:left w:val="nil"/>
              <w:bottom w:val="nil"/>
              <w:right w:val="nil"/>
            </w:tcBorders>
            <w:shd w:val="clear" w:color="auto" w:fill="auto"/>
            <w:vAlign w:val="center"/>
          </w:tcPr>
          <w:p w14:paraId="57BF8F2C" w14:textId="0AEE9BE2" w:rsidR="00D744C7" w:rsidRPr="00B448CC" w:rsidRDefault="00D744C7" w:rsidP="00D744C7">
            <w:pPr>
              <w:spacing w:after="0" w:line="240" w:lineRule="auto"/>
              <w:jc w:val="right"/>
              <w:rPr>
                <w:rFonts w:cs="Arial"/>
                <w:color w:val="000000"/>
                <w:sz w:val="16"/>
                <w:szCs w:val="16"/>
              </w:rPr>
            </w:pPr>
            <w:r w:rsidRPr="00D744C7">
              <w:rPr>
                <w:rFonts w:cs="Arial"/>
                <w:color w:val="000000"/>
                <w:sz w:val="16"/>
                <w:szCs w:val="16"/>
              </w:rPr>
              <w:t>9 259</w:t>
            </w:r>
          </w:p>
        </w:tc>
        <w:tc>
          <w:tcPr>
            <w:tcW w:w="737" w:type="dxa"/>
            <w:tcBorders>
              <w:top w:val="nil"/>
              <w:left w:val="nil"/>
              <w:bottom w:val="nil"/>
              <w:right w:val="nil"/>
            </w:tcBorders>
            <w:shd w:val="clear" w:color="auto" w:fill="auto"/>
            <w:vAlign w:val="center"/>
          </w:tcPr>
          <w:p w14:paraId="6AE46F3C" w14:textId="7EDEDAA8" w:rsidR="00D744C7" w:rsidRPr="00B448CC" w:rsidRDefault="00D744C7" w:rsidP="00D744C7">
            <w:pPr>
              <w:spacing w:after="0" w:line="240" w:lineRule="auto"/>
              <w:jc w:val="right"/>
              <w:rPr>
                <w:rFonts w:cs="Arial"/>
                <w:color w:val="000000"/>
                <w:sz w:val="16"/>
                <w:szCs w:val="16"/>
              </w:rPr>
            </w:pPr>
            <w:r w:rsidRPr="00D744C7">
              <w:rPr>
                <w:rFonts w:cs="Arial"/>
                <w:color w:val="000000"/>
                <w:sz w:val="16"/>
                <w:szCs w:val="16"/>
              </w:rPr>
              <w:t>5 346</w:t>
            </w:r>
          </w:p>
        </w:tc>
        <w:tc>
          <w:tcPr>
            <w:tcW w:w="737" w:type="dxa"/>
            <w:tcBorders>
              <w:top w:val="nil"/>
              <w:left w:val="nil"/>
              <w:bottom w:val="nil"/>
              <w:right w:val="nil"/>
            </w:tcBorders>
            <w:shd w:val="clear" w:color="auto" w:fill="auto"/>
            <w:vAlign w:val="center"/>
          </w:tcPr>
          <w:p w14:paraId="588C5259" w14:textId="467749A7" w:rsidR="00D744C7" w:rsidRPr="00B448CC" w:rsidRDefault="00D744C7" w:rsidP="00D744C7">
            <w:pPr>
              <w:spacing w:after="0" w:line="240" w:lineRule="auto"/>
              <w:jc w:val="right"/>
              <w:rPr>
                <w:rFonts w:cs="Arial"/>
                <w:color w:val="000000"/>
                <w:sz w:val="16"/>
                <w:szCs w:val="16"/>
              </w:rPr>
            </w:pPr>
            <w:r w:rsidRPr="00D744C7">
              <w:rPr>
                <w:rFonts w:cs="Arial"/>
                <w:color w:val="000000"/>
                <w:sz w:val="16"/>
                <w:szCs w:val="16"/>
              </w:rPr>
              <w:t>3 913</w:t>
            </w:r>
          </w:p>
        </w:tc>
      </w:tr>
    </w:tbl>
    <w:p w14:paraId="2509C9E7" w14:textId="77777777" w:rsidR="00D744C7" w:rsidRDefault="00D744C7" w:rsidP="00D744C7">
      <w:pPr>
        <w:spacing w:before="120" w:after="120" w:line="240" w:lineRule="auto"/>
        <w:jc w:val="both"/>
        <w:rPr>
          <w:rFonts w:cs="Arial"/>
          <w:color w:val="000000"/>
          <w:sz w:val="16"/>
          <w:szCs w:val="16"/>
        </w:rPr>
      </w:pPr>
      <w:r>
        <w:rPr>
          <w:rFonts w:cs="Arial"/>
          <w:color w:val="000000"/>
          <w:sz w:val="16"/>
          <w:szCs w:val="16"/>
        </w:rPr>
        <w:t>* Údaje za rok 2022 (celkem a pro nemoc) nejsou srovnatelné s údaji za ostatní roky.</w:t>
      </w:r>
    </w:p>
    <w:p w14:paraId="0D0D6BF9" w14:textId="52CABC97" w:rsidR="006D760E" w:rsidRDefault="00D744C7" w:rsidP="00D744C7">
      <w:pPr>
        <w:spacing w:before="120" w:after="120" w:line="240" w:lineRule="auto"/>
        <w:jc w:val="both"/>
        <w:rPr>
          <w:rFonts w:cs="Arial"/>
          <w:color w:val="000000"/>
          <w:sz w:val="16"/>
          <w:szCs w:val="16"/>
        </w:rPr>
      </w:pPr>
      <w:r w:rsidRPr="00554433">
        <w:rPr>
          <w:rFonts w:cs="Arial"/>
          <w:color w:val="000000"/>
          <w:sz w:val="16"/>
          <w:szCs w:val="16"/>
        </w:rPr>
        <w:t>Zdroj: ČSÚ</w:t>
      </w:r>
    </w:p>
    <w:p w14:paraId="2B133178" w14:textId="0A5CDB21" w:rsidR="008715C2" w:rsidRDefault="008715C2" w:rsidP="008715C2">
      <w:pPr>
        <w:spacing w:before="120" w:after="120"/>
        <w:jc w:val="both"/>
      </w:pPr>
      <w:r w:rsidRPr="00251BF8">
        <w:lastRenderedPageBreak/>
        <w:t xml:space="preserve">Většina dnů pracovní neschopnosti (85 %) byla </w:t>
      </w:r>
      <w:r w:rsidR="003D7FCF">
        <w:t xml:space="preserve">v roce 2023 </w:t>
      </w:r>
      <w:r w:rsidRPr="00251BF8">
        <w:t>způsobena nemocí, v absolutním počtu 67</w:t>
      </w:r>
      <w:r w:rsidR="00957C5B">
        <w:t> </w:t>
      </w:r>
      <w:r w:rsidRPr="00251BF8">
        <w:t>864</w:t>
      </w:r>
      <w:r w:rsidR="00957C5B">
        <w:t> </w:t>
      </w:r>
      <w:r w:rsidRPr="00251BF8">
        <w:t>tis. Ženy byly na neschopence celkem 43 439 tis. dnů, což je o 7 313 tis. dnů více než muži.</w:t>
      </w:r>
    </w:p>
    <w:p w14:paraId="2A87EBCC" w14:textId="0CC7D183" w:rsidR="008715C2" w:rsidRDefault="008715C2" w:rsidP="00D744C7">
      <w:pPr>
        <w:spacing w:before="120" w:after="120"/>
        <w:jc w:val="both"/>
        <w:rPr>
          <w:b/>
        </w:rPr>
      </w:pPr>
      <w:r w:rsidRPr="008715C2">
        <w:rPr>
          <w:b/>
        </w:rPr>
        <w:t>Graf 2.6: Kalendářní dny dočasné pracovní neschopnosti, 2015–2023</w:t>
      </w:r>
    </w:p>
    <w:p w14:paraId="119E6C6F" w14:textId="4BDF3398" w:rsidR="008715C2" w:rsidRDefault="008715C2" w:rsidP="00D744C7">
      <w:pPr>
        <w:spacing w:before="120" w:after="120"/>
        <w:jc w:val="both"/>
        <w:rPr>
          <w:b/>
        </w:rPr>
      </w:pPr>
      <w:r>
        <w:rPr>
          <w:noProof/>
        </w:rPr>
        <w:drawing>
          <wp:inline distT="0" distB="0" distL="0" distR="0" wp14:anchorId="4CCB3877" wp14:editId="59612392">
            <wp:extent cx="6019800" cy="2952750"/>
            <wp:effectExtent l="0" t="0" r="0" b="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578BD5F" w14:textId="77777777" w:rsidR="008715C2" w:rsidRDefault="008715C2" w:rsidP="008715C2">
      <w:pPr>
        <w:spacing w:before="120" w:after="120" w:line="240" w:lineRule="auto"/>
        <w:jc w:val="both"/>
        <w:rPr>
          <w:rFonts w:cs="Arial"/>
          <w:color w:val="000000"/>
          <w:sz w:val="16"/>
          <w:szCs w:val="16"/>
        </w:rPr>
      </w:pPr>
      <w:r>
        <w:rPr>
          <w:rFonts w:cs="Arial"/>
          <w:color w:val="000000"/>
          <w:sz w:val="16"/>
          <w:szCs w:val="16"/>
        </w:rPr>
        <w:t>* 1. pol. 2022 není srovnatelné s ostatními 1. pololetími.</w:t>
      </w:r>
    </w:p>
    <w:p w14:paraId="28749A0E" w14:textId="77777777" w:rsidR="008715C2" w:rsidRDefault="008715C2" w:rsidP="008715C2">
      <w:pPr>
        <w:spacing w:before="120" w:after="120" w:line="240" w:lineRule="auto"/>
        <w:jc w:val="both"/>
        <w:rPr>
          <w:rFonts w:cs="Arial"/>
          <w:color w:val="000000"/>
          <w:sz w:val="16"/>
          <w:szCs w:val="16"/>
        </w:rPr>
      </w:pPr>
      <w:r w:rsidRPr="00554433">
        <w:rPr>
          <w:rFonts w:cs="Arial"/>
          <w:color w:val="000000"/>
          <w:sz w:val="16"/>
          <w:szCs w:val="16"/>
        </w:rPr>
        <w:t>Zdroj: ČSÚ</w:t>
      </w:r>
    </w:p>
    <w:p w14:paraId="37CC686C" w14:textId="5BEE190E" w:rsidR="003F5663" w:rsidRPr="00251BF8" w:rsidRDefault="008715C2" w:rsidP="002C4214">
      <w:pPr>
        <w:spacing w:before="120" w:after="120"/>
        <w:jc w:val="both"/>
      </w:pPr>
      <w:r w:rsidRPr="00251BF8">
        <w:t>Celkový počet dnů pracovní neschopnosti za rok 2022</w:t>
      </w:r>
      <w:r w:rsidR="00710A8B" w:rsidRPr="00251BF8">
        <w:t xml:space="preserve"> byl</w:t>
      </w:r>
      <w:r w:rsidRPr="00251BF8">
        <w:t xml:space="preserve"> zatížen duplicitami z počátku roku. Druhé pololetí už touto skutečností ovlivněno </w:t>
      </w:r>
      <w:r w:rsidR="00710A8B" w:rsidRPr="00251BF8">
        <w:t xml:space="preserve">nebylo a </w:t>
      </w:r>
      <w:r w:rsidR="003F5663" w:rsidRPr="00251BF8">
        <w:t>v 2. pol. 2023 už potřetí v řadě došlo k poklesu počtu kalendářních dnů v</w:t>
      </w:r>
      <w:r w:rsidR="00797463" w:rsidRPr="00251BF8">
        <w:t> </w:t>
      </w:r>
      <w:r w:rsidR="003F5663" w:rsidRPr="00251BF8">
        <w:t>neschopnosti</w:t>
      </w:r>
      <w:r w:rsidR="00797463" w:rsidRPr="00251BF8">
        <w:t xml:space="preserve"> během druhé poloviny roku</w:t>
      </w:r>
      <w:r w:rsidR="003F5663" w:rsidRPr="00251BF8">
        <w:t>. V</w:t>
      </w:r>
      <w:r w:rsidR="00710A8B" w:rsidRPr="00251BF8">
        <w:t>e 2. pololetí roku 2023 byl počet dnů dočasné pracovní neschopnosti nižší než v</w:t>
      </w:r>
      <w:r w:rsidR="003F5663" w:rsidRPr="00251BF8">
        <w:t> </w:t>
      </w:r>
      <w:proofErr w:type="spellStart"/>
      <w:r w:rsidR="003F5663" w:rsidRPr="00251BF8">
        <w:t>předcovidovém</w:t>
      </w:r>
      <w:proofErr w:type="spellEnd"/>
      <w:r w:rsidR="003F5663" w:rsidRPr="00251BF8">
        <w:t xml:space="preserve"> období, v 2. pol. 2019.</w:t>
      </w:r>
    </w:p>
    <w:p w14:paraId="7D703B2E" w14:textId="646AAC06" w:rsidR="003F5663" w:rsidRDefault="003F5663" w:rsidP="00D744C7">
      <w:pPr>
        <w:spacing w:before="120" w:after="120"/>
        <w:jc w:val="both"/>
        <w:rPr>
          <w:b/>
        </w:rPr>
      </w:pPr>
      <w:r w:rsidRPr="003F5663">
        <w:rPr>
          <w:b/>
        </w:rPr>
        <w:t>Graf 2.</w:t>
      </w:r>
      <w:r>
        <w:rPr>
          <w:b/>
        </w:rPr>
        <w:t>7</w:t>
      </w:r>
      <w:r w:rsidRPr="003F5663">
        <w:rPr>
          <w:b/>
        </w:rPr>
        <w:t>: Průměrná délka trvání dočasné pracovní neschopnosti, 2015–2023</w:t>
      </w:r>
    </w:p>
    <w:p w14:paraId="0190A070" w14:textId="5147C685" w:rsidR="003F5663" w:rsidRDefault="00DE4751" w:rsidP="00D744C7">
      <w:pPr>
        <w:spacing w:before="120" w:after="120"/>
        <w:jc w:val="both"/>
        <w:rPr>
          <w:b/>
        </w:rPr>
      </w:pPr>
      <w:r>
        <w:rPr>
          <w:noProof/>
        </w:rPr>
        <w:drawing>
          <wp:inline distT="0" distB="0" distL="0" distR="0" wp14:anchorId="4997B3FB" wp14:editId="2EB30285">
            <wp:extent cx="6086475" cy="3048000"/>
            <wp:effectExtent l="0" t="0" r="9525" b="0"/>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07046E8" w14:textId="77777777" w:rsidR="003F5663" w:rsidRDefault="003F5663" w:rsidP="003F5663">
      <w:pPr>
        <w:spacing w:before="120" w:after="120" w:line="240" w:lineRule="auto"/>
        <w:jc w:val="both"/>
        <w:rPr>
          <w:rFonts w:cs="Arial"/>
          <w:color w:val="000000"/>
          <w:sz w:val="16"/>
          <w:szCs w:val="16"/>
        </w:rPr>
      </w:pPr>
      <w:r>
        <w:rPr>
          <w:rFonts w:cs="Arial"/>
          <w:color w:val="000000"/>
          <w:sz w:val="16"/>
          <w:szCs w:val="16"/>
        </w:rPr>
        <w:t>* 1. pol. 2022 není srovnatelné s ostatními 1. pololetími.</w:t>
      </w:r>
    </w:p>
    <w:p w14:paraId="5F003712" w14:textId="43B3A203" w:rsidR="003F5663" w:rsidRDefault="003F5663" w:rsidP="003F5663">
      <w:pPr>
        <w:spacing w:before="120" w:after="120" w:line="240" w:lineRule="auto"/>
        <w:jc w:val="both"/>
        <w:rPr>
          <w:rFonts w:cs="Arial"/>
          <w:color w:val="000000"/>
          <w:sz w:val="16"/>
          <w:szCs w:val="16"/>
        </w:rPr>
      </w:pPr>
      <w:r w:rsidRPr="00554433">
        <w:rPr>
          <w:rFonts w:cs="Arial"/>
          <w:color w:val="000000"/>
          <w:sz w:val="16"/>
          <w:szCs w:val="16"/>
        </w:rPr>
        <w:t>Zdroj: ČSÚ</w:t>
      </w:r>
    </w:p>
    <w:p w14:paraId="305FFF03" w14:textId="2ABDF5A6" w:rsidR="00FC18CE" w:rsidRDefault="00FC18CE" w:rsidP="00FC18CE">
      <w:pPr>
        <w:spacing w:before="120" w:after="120"/>
        <w:jc w:val="both"/>
      </w:pPr>
      <w:r w:rsidRPr="00251BF8">
        <w:t xml:space="preserve">Zatímco během </w:t>
      </w:r>
      <w:proofErr w:type="spellStart"/>
      <w:r w:rsidRPr="00251BF8">
        <w:t>covidu</w:t>
      </w:r>
      <w:proofErr w:type="spellEnd"/>
      <w:r w:rsidRPr="00251BF8">
        <w:t xml:space="preserve"> se průměrná délka trvání případu pracovní neschopnosti snižovala (z důvodu velkého množství krátkodobých pracovních neschopností pro nemoc, tedy vč. karantén), v 1. pol. 2023 došlo </w:t>
      </w:r>
      <w:r w:rsidRPr="00251BF8">
        <w:lastRenderedPageBreak/>
        <w:t>k prodloužení neschopenky</w:t>
      </w:r>
      <w:r>
        <w:t>, protože krátkodobých neschopenek ubylo</w:t>
      </w:r>
      <w:r w:rsidRPr="00251BF8">
        <w:t>. Nicméně dá se předpokládat, že za 1.</w:t>
      </w:r>
      <w:r w:rsidR="00957C5B">
        <w:t> </w:t>
      </w:r>
      <w:r w:rsidRPr="00251BF8">
        <w:t>pol. 2022 se jedná o podhodnocený údaj z důvodu duplicitních karanténních neschopenek, které stahovaly průměr směrem dolů. Před pandemií v 1. pol. 2019 činila průměrná doba neschopenky 42,6 dne. O 4 roky později, v 1. pol. 2023 téměř 32 dnů.</w:t>
      </w:r>
    </w:p>
    <w:p w14:paraId="644DFB57" w14:textId="38BA9285" w:rsidR="00FC18CE" w:rsidRPr="0009690A" w:rsidRDefault="00FC18CE" w:rsidP="00FC18CE">
      <w:pPr>
        <w:jc w:val="both"/>
      </w:pPr>
      <w:r w:rsidRPr="00251BF8">
        <w:t>Průměrná délka trvání jednoho případu pracovní neschopnosti v roce 2023, ať už pro nemoc či úraz, byla 31,4</w:t>
      </w:r>
      <w:r w:rsidR="00957C5B">
        <w:t> </w:t>
      </w:r>
      <w:r w:rsidRPr="00251BF8">
        <w:t xml:space="preserve">dne. </w:t>
      </w:r>
      <w:r w:rsidRPr="00251BF8">
        <w:rPr>
          <w:b/>
        </w:rPr>
        <w:t>Nemoc</w:t>
      </w:r>
      <w:r w:rsidRPr="00251BF8">
        <w:t xml:space="preserve"> způsobila pracovní neschopnost o průměrné délce 29 dnů, neschopnost pro </w:t>
      </w:r>
      <w:r w:rsidRPr="00251BF8">
        <w:rPr>
          <w:b/>
        </w:rPr>
        <w:t>pracovní i mimopracovní úraz</w:t>
      </w:r>
      <w:r w:rsidRPr="00251BF8">
        <w:t xml:space="preserve"> trvala v průměru zhruba o 26 dnů déle.</w:t>
      </w:r>
      <w:r w:rsidRPr="0009690A">
        <w:t xml:space="preserve"> </w:t>
      </w:r>
    </w:p>
    <w:p w14:paraId="5D5B3636" w14:textId="474C8E02" w:rsidR="002C4214" w:rsidRDefault="002C4214" w:rsidP="005F17A0">
      <w:pPr>
        <w:spacing w:after="120"/>
        <w:jc w:val="both"/>
        <w:rPr>
          <w:rFonts w:cs="Arial"/>
          <w:color w:val="000000"/>
          <w:sz w:val="16"/>
          <w:szCs w:val="16"/>
        </w:rPr>
      </w:pPr>
      <w:r w:rsidRPr="00251BF8">
        <w:t xml:space="preserve">V roce 2023 průměrná délka trvání pracovní neschopnosti mužů poprvé za uplynulou dekádu překonala hodnotu za ženy. Muži strávili na neschopence v průměru </w:t>
      </w:r>
      <w:r w:rsidR="005F17A0" w:rsidRPr="00251BF8">
        <w:t>31,9 dne, zatímco ženy 31 dnů.</w:t>
      </w:r>
    </w:p>
    <w:p w14:paraId="24C0C9A7" w14:textId="128FB01D" w:rsidR="002C4214" w:rsidRPr="002C4214" w:rsidRDefault="002C4214" w:rsidP="002C4214">
      <w:pPr>
        <w:spacing w:after="0" w:line="240" w:lineRule="auto"/>
        <w:jc w:val="both"/>
        <w:rPr>
          <w:rFonts w:cs="Arial"/>
          <w:b/>
          <w:bCs/>
          <w:color w:val="000000"/>
          <w:szCs w:val="20"/>
        </w:rPr>
      </w:pPr>
      <w:r w:rsidRPr="002C4214">
        <w:rPr>
          <w:rFonts w:cs="Arial"/>
          <w:b/>
          <w:bCs/>
          <w:color w:val="000000"/>
          <w:szCs w:val="20"/>
        </w:rPr>
        <w:t>Graf 2.</w:t>
      </w:r>
      <w:r w:rsidR="009C0EB6">
        <w:rPr>
          <w:rFonts w:cs="Arial"/>
          <w:b/>
          <w:bCs/>
          <w:color w:val="000000"/>
          <w:szCs w:val="20"/>
        </w:rPr>
        <w:t>8</w:t>
      </w:r>
      <w:r w:rsidRPr="002C4214">
        <w:rPr>
          <w:rFonts w:cs="Arial"/>
          <w:b/>
          <w:bCs/>
          <w:color w:val="000000"/>
          <w:szCs w:val="20"/>
        </w:rPr>
        <w:t>: Průměrná délka trvání dočasné pracovní neschopnosti podle pohlaví, 2013–2023</w:t>
      </w:r>
    </w:p>
    <w:p w14:paraId="294B08EF" w14:textId="41E89E08" w:rsidR="003F5663" w:rsidRDefault="005F17A0" w:rsidP="00D744C7">
      <w:pPr>
        <w:spacing w:before="120" w:after="120"/>
        <w:jc w:val="both"/>
        <w:rPr>
          <w:b/>
        </w:rPr>
      </w:pPr>
      <w:r>
        <w:rPr>
          <w:noProof/>
        </w:rPr>
        <w:drawing>
          <wp:inline distT="0" distB="0" distL="0" distR="0" wp14:anchorId="1574295D" wp14:editId="5A64BD70">
            <wp:extent cx="6210300" cy="2924175"/>
            <wp:effectExtent l="0" t="0" r="0" b="9525"/>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C755117" w14:textId="77777777" w:rsidR="005F17A0" w:rsidRDefault="005F17A0" w:rsidP="005F17A0">
      <w:pPr>
        <w:spacing w:before="120" w:after="120" w:line="240" w:lineRule="auto"/>
        <w:jc w:val="both"/>
        <w:rPr>
          <w:rFonts w:cs="Arial"/>
          <w:color w:val="000000"/>
          <w:sz w:val="16"/>
          <w:szCs w:val="16"/>
        </w:rPr>
      </w:pPr>
      <w:r>
        <w:rPr>
          <w:rFonts w:cs="Arial"/>
          <w:color w:val="000000"/>
          <w:sz w:val="16"/>
          <w:szCs w:val="16"/>
        </w:rPr>
        <w:t>* Údaje za rok 2022 nejsou srovnatelné s údaji za ostatní roky.</w:t>
      </w:r>
    </w:p>
    <w:p w14:paraId="1BB4D838" w14:textId="744D949A" w:rsidR="005F17A0" w:rsidRDefault="005F17A0" w:rsidP="005F17A0">
      <w:pPr>
        <w:spacing w:before="120" w:after="120" w:line="240" w:lineRule="auto"/>
        <w:jc w:val="both"/>
        <w:rPr>
          <w:rFonts w:cs="Arial"/>
          <w:color w:val="000000"/>
          <w:sz w:val="16"/>
          <w:szCs w:val="16"/>
        </w:rPr>
      </w:pPr>
      <w:r w:rsidRPr="00554433">
        <w:rPr>
          <w:rFonts w:cs="Arial"/>
          <w:color w:val="000000"/>
          <w:sz w:val="16"/>
          <w:szCs w:val="16"/>
        </w:rPr>
        <w:t>Zdroj: ČSÚ</w:t>
      </w:r>
    </w:p>
    <w:p w14:paraId="5F4ADD04" w14:textId="1FAA0D7D" w:rsidR="005F17A0" w:rsidRDefault="00C8357C" w:rsidP="00C8357C">
      <w:pPr>
        <w:spacing w:before="120" w:after="120"/>
        <w:jc w:val="both"/>
        <w:rPr>
          <w:rFonts w:cs="Arial"/>
          <w:color w:val="000000"/>
          <w:sz w:val="16"/>
          <w:szCs w:val="16"/>
        </w:rPr>
      </w:pPr>
      <w:r w:rsidRPr="00251BF8">
        <w:t>Nejvíce dnů dočasné pracovní neschopnosti bylo v roce 2023 zaznamenáno ve zpracovatelském průmyslu (26 016 tis.), kde je nejvíce pojištěnců, a tím pádem také nejvyšší počet případů pracovní neschopnosti. Nejméně dnů pracovní neschopnosti z důvodu pracovních úrazů vykazovaly odvětvové sekce Peněžnictví a pojišťovnictví (2,9 tis.) a Informační a komunikační činnosti (7,9 tis.).</w:t>
      </w:r>
      <w:r>
        <w:t xml:space="preserve"> </w:t>
      </w:r>
    </w:p>
    <w:p w14:paraId="170BACCD" w14:textId="0AD2ED72" w:rsidR="005F17A0" w:rsidRPr="003F5663" w:rsidRDefault="005F17A0" w:rsidP="005F17A0">
      <w:pPr>
        <w:spacing w:after="0" w:line="240" w:lineRule="auto"/>
        <w:jc w:val="both"/>
        <w:rPr>
          <w:rFonts w:cs="Arial"/>
          <w:b/>
          <w:bCs/>
          <w:color w:val="000000"/>
          <w:szCs w:val="20"/>
        </w:rPr>
      </w:pPr>
      <w:r w:rsidRPr="003F5663">
        <w:rPr>
          <w:rFonts w:cs="Arial"/>
          <w:b/>
          <w:bCs/>
          <w:color w:val="000000"/>
          <w:szCs w:val="20"/>
        </w:rPr>
        <w:t>Tab. 2.</w:t>
      </w:r>
      <w:r w:rsidR="00797463">
        <w:rPr>
          <w:rFonts w:cs="Arial"/>
          <w:b/>
          <w:bCs/>
          <w:color w:val="000000"/>
          <w:szCs w:val="20"/>
        </w:rPr>
        <w:t>4</w:t>
      </w:r>
      <w:r w:rsidRPr="003F5663">
        <w:rPr>
          <w:rFonts w:cs="Arial"/>
          <w:b/>
          <w:bCs/>
          <w:color w:val="000000"/>
          <w:szCs w:val="20"/>
        </w:rPr>
        <w:t>: Průměrná délka trvání dočasné pracovní neschopnosti podle pohlaví, 2013–2023</w:t>
      </w:r>
    </w:p>
    <w:tbl>
      <w:tblPr>
        <w:tblW w:w="9526" w:type="dxa"/>
        <w:tblCellMar>
          <w:left w:w="70" w:type="dxa"/>
          <w:right w:w="70" w:type="dxa"/>
        </w:tblCellMar>
        <w:tblLook w:val="04A0" w:firstRow="1" w:lastRow="0" w:firstColumn="1" w:lastColumn="0" w:noHBand="0" w:noVBand="1"/>
      </w:tblPr>
      <w:tblGrid>
        <w:gridCol w:w="787"/>
        <w:gridCol w:w="869"/>
        <w:gridCol w:w="787"/>
        <w:gridCol w:w="787"/>
        <w:gridCol w:w="787"/>
        <w:gridCol w:w="787"/>
        <w:gridCol w:w="787"/>
        <w:gridCol w:w="787"/>
        <w:gridCol w:w="787"/>
        <w:gridCol w:w="787"/>
        <w:gridCol w:w="787"/>
        <w:gridCol w:w="787"/>
      </w:tblGrid>
      <w:tr w:rsidR="005F17A0" w:rsidRPr="003F5663" w14:paraId="39AC93EB" w14:textId="77777777" w:rsidTr="00245F95">
        <w:trPr>
          <w:trHeight w:val="300"/>
        </w:trPr>
        <w:tc>
          <w:tcPr>
            <w:tcW w:w="787" w:type="dxa"/>
            <w:tcBorders>
              <w:top w:val="single" w:sz="4" w:space="0" w:color="auto"/>
              <w:left w:val="nil"/>
              <w:bottom w:val="single" w:sz="4" w:space="0" w:color="auto"/>
              <w:right w:val="single" w:sz="4" w:space="0" w:color="auto"/>
            </w:tcBorders>
            <w:shd w:val="clear" w:color="000000" w:fill="F5DADD"/>
            <w:vAlign w:val="center"/>
            <w:hideMark/>
          </w:tcPr>
          <w:p w14:paraId="35F0EB19" w14:textId="77777777" w:rsidR="005F17A0" w:rsidRPr="003F5663" w:rsidRDefault="005F17A0" w:rsidP="00245F95">
            <w:pPr>
              <w:spacing w:after="0" w:line="240" w:lineRule="auto"/>
              <w:jc w:val="center"/>
              <w:rPr>
                <w:rFonts w:cs="Arial"/>
                <w:sz w:val="16"/>
                <w:szCs w:val="16"/>
              </w:rPr>
            </w:pPr>
            <w:r w:rsidRPr="00C459A3">
              <w:rPr>
                <w:rFonts w:cs="Arial"/>
                <w:sz w:val="16"/>
                <w:szCs w:val="16"/>
              </w:rPr>
              <w:t>Rok</w:t>
            </w:r>
          </w:p>
        </w:tc>
        <w:tc>
          <w:tcPr>
            <w:tcW w:w="869" w:type="dxa"/>
            <w:tcBorders>
              <w:top w:val="single" w:sz="4" w:space="0" w:color="auto"/>
              <w:left w:val="nil"/>
              <w:bottom w:val="single" w:sz="4" w:space="0" w:color="auto"/>
              <w:right w:val="nil"/>
            </w:tcBorders>
            <w:shd w:val="clear" w:color="000000" w:fill="F5DADD"/>
            <w:vAlign w:val="center"/>
            <w:hideMark/>
          </w:tcPr>
          <w:p w14:paraId="7677E184" w14:textId="77777777" w:rsidR="005F17A0" w:rsidRPr="003F5663" w:rsidRDefault="005F17A0" w:rsidP="00245F95">
            <w:pPr>
              <w:spacing w:after="0" w:line="240" w:lineRule="auto"/>
              <w:jc w:val="center"/>
              <w:rPr>
                <w:rFonts w:cs="Arial"/>
                <w:sz w:val="16"/>
                <w:szCs w:val="16"/>
              </w:rPr>
            </w:pPr>
            <w:r w:rsidRPr="00C459A3">
              <w:rPr>
                <w:rFonts w:cs="Arial"/>
                <w:sz w:val="16"/>
                <w:szCs w:val="16"/>
              </w:rPr>
              <w:t>2013</w:t>
            </w:r>
          </w:p>
        </w:tc>
        <w:tc>
          <w:tcPr>
            <w:tcW w:w="787" w:type="dxa"/>
            <w:tcBorders>
              <w:top w:val="single" w:sz="4" w:space="0" w:color="auto"/>
              <w:left w:val="nil"/>
              <w:bottom w:val="single" w:sz="4" w:space="0" w:color="auto"/>
              <w:right w:val="nil"/>
            </w:tcBorders>
            <w:shd w:val="clear" w:color="000000" w:fill="F5DADD"/>
            <w:vAlign w:val="center"/>
            <w:hideMark/>
          </w:tcPr>
          <w:p w14:paraId="70137112" w14:textId="77777777" w:rsidR="005F17A0" w:rsidRPr="003F5663" w:rsidRDefault="005F17A0" w:rsidP="00245F95">
            <w:pPr>
              <w:spacing w:after="0" w:line="240" w:lineRule="auto"/>
              <w:jc w:val="center"/>
              <w:rPr>
                <w:rFonts w:cs="Arial"/>
                <w:sz w:val="16"/>
                <w:szCs w:val="16"/>
              </w:rPr>
            </w:pPr>
            <w:r w:rsidRPr="00C459A3">
              <w:rPr>
                <w:rFonts w:cs="Arial"/>
                <w:sz w:val="16"/>
                <w:szCs w:val="16"/>
              </w:rPr>
              <w:t>2014</w:t>
            </w:r>
          </w:p>
        </w:tc>
        <w:tc>
          <w:tcPr>
            <w:tcW w:w="787" w:type="dxa"/>
            <w:tcBorders>
              <w:top w:val="single" w:sz="4" w:space="0" w:color="auto"/>
              <w:left w:val="nil"/>
              <w:bottom w:val="single" w:sz="4" w:space="0" w:color="auto"/>
              <w:right w:val="nil"/>
            </w:tcBorders>
            <w:shd w:val="clear" w:color="000000" w:fill="F5DADD"/>
            <w:vAlign w:val="center"/>
            <w:hideMark/>
          </w:tcPr>
          <w:p w14:paraId="34E5C3F0" w14:textId="77777777" w:rsidR="005F17A0" w:rsidRPr="003F5663" w:rsidRDefault="005F17A0" w:rsidP="00245F95">
            <w:pPr>
              <w:spacing w:after="0" w:line="240" w:lineRule="auto"/>
              <w:jc w:val="center"/>
              <w:rPr>
                <w:rFonts w:cs="Arial"/>
                <w:sz w:val="16"/>
                <w:szCs w:val="16"/>
              </w:rPr>
            </w:pPr>
            <w:r w:rsidRPr="00C459A3">
              <w:rPr>
                <w:rFonts w:cs="Arial"/>
                <w:sz w:val="16"/>
                <w:szCs w:val="16"/>
              </w:rPr>
              <w:t>2015</w:t>
            </w:r>
          </w:p>
        </w:tc>
        <w:tc>
          <w:tcPr>
            <w:tcW w:w="787" w:type="dxa"/>
            <w:tcBorders>
              <w:top w:val="single" w:sz="4" w:space="0" w:color="auto"/>
              <w:left w:val="nil"/>
              <w:bottom w:val="single" w:sz="4" w:space="0" w:color="auto"/>
              <w:right w:val="nil"/>
            </w:tcBorders>
            <w:shd w:val="clear" w:color="000000" w:fill="F5DADD"/>
            <w:vAlign w:val="center"/>
            <w:hideMark/>
          </w:tcPr>
          <w:p w14:paraId="6D9AA687" w14:textId="77777777" w:rsidR="005F17A0" w:rsidRPr="003F5663" w:rsidRDefault="005F17A0" w:rsidP="00245F95">
            <w:pPr>
              <w:spacing w:after="0" w:line="240" w:lineRule="auto"/>
              <w:jc w:val="center"/>
              <w:rPr>
                <w:rFonts w:cs="Arial"/>
                <w:sz w:val="16"/>
                <w:szCs w:val="16"/>
              </w:rPr>
            </w:pPr>
            <w:r w:rsidRPr="00C459A3">
              <w:rPr>
                <w:rFonts w:cs="Arial"/>
                <w:sz w:val="16"/>
                <w:szCs w:val="16"/>
              </w:rPr>
              <w:t>2016</w:t>
            </w:r>
          </w:p>
        </w:tc>
        <w:tc>
          <w:tcPr>
            <w:tcW w:w="787" w:type="dxa"/>
            <w:tcBorders>
              <w:top w:val="single" w:sz="4" w:space="0" w:color="auto"/>
              <w:left w:val="nil"/>
              <w:bottom w:val="single" w:sz="4" w:space="0" w:color="auto"/>
              <w:right w:val="nil"/>
            </w:tcBorders>
            <w:shd w:val="clear" w:color="000000" w:fill="F5DADD"/>
            <w:vAlign w:val="center"/>
            <w:hideMark/>
          </w:tcPr>
          <w:p w14:paraId="60F368CD" w14:textId="77777777" w:rsidR="005F17A0" w:rsidRPr="003F5663" w:rsidRDefault="005F17A0" w:rsidP="00245F95">
            <w:pPr>
              <w:spacing w:after="0" w:line="240" w:lineRule="auto"/>
              <w:jc w:val="center"/>
              <w:rPr>
                <w:rFonts w:cs="Arial"/>
                <w:sz w:val="16"/>
                <w:szCs w:val="16"/>
              </w:rPr>
            </w:pPr>
            <w:r w:rsidRPr="00C459A3">
              <w:rPr>
                <w:rFonts w:cs="Arial"/>
                <w:sz w:val="16"/>
                <w:szCs w:val="16"/>
              </w:rPr>
              <w:t>2017</w:t>
            </w:r>
          </w:p>
        </w:tc>
        <w:tc>
          <w:tcPr>
            <w:tcW w:w="787" w:type="dxa"/>
            <w:tcBorders>
              <w:top w:val="single" w:sz="4" w:space="0" w:color="auto"/>
              <w:left w:val="nil"/>
              <w:bottom w:val="single" w:sz="4" w:space="0" w:color="auto"/>
              <w:right w:val="nil"/>
            </w:tcBorders>
            <w:shd w:val="clear" w:color="000000" w:fill="F5DADD"/>
            <w:vAlign w:val="center"/>
            <w:hideMark/>
          </w:tcPr>
          <w:p w14:paraId="75085FB4" w14:textId="77777777" w:rsidR="005F17A0" w:rsidRPr="003F5663" w:rsidRDefault="005F17A0" w:rsidP="00245F95">
            <w:pPr>
              <w:spacing w:after="0" w:line="240" w:lineRule="auto"/>
              <w:jc w:val="center"/>
              <w:rPr>
                <w:rFonts w:cs="Arial"/>
                <w:sz w:val="16"/>
                <w:szCs w:val="16"/>
              </w:rPr>
            </w:pPr>
            <w:r w:rsidRPr="00C459A3">
              <w:rPr>
                <w:rFonts w:cs="Arial"/>
                <w:sz w:val="16"/>
                <w:szCs w:val="16"/>
              </w:rPr>
              <w:t>2018</w:t>
            </w:r>
          </w:p>
        </w:tc>
        <w:tc>
          <w:tcPr>
            <w:tcW w:w="787" w:type="dxa"/>
            <w:tcBorders>
              <w:top w:val="single" w:sz="4" w:space="0" w:color="auto"/>
              <w:left w:val="nil"/>
              <w:bottom w:val="single" w:sz="4" w:space="0" w:color="auto"/>
              <w:right w:val="nil"/>
            </w:tcBorders>
            <w:shd w:val="clear" w:color="000000" w:fill="F5DADD"/>
            <w:vAlign w:val="center"/>
            <w:hideMark/>
          </w:tcPr>
          <w:p w14:paraId="5D4C776C" w14:textId="77777777" w:rsidR="005F17A0" w:rsidRPr="003F5663" w:rsidRDefault="005F17A0" w:rsidP="00245F95">
            <w:pPr>
              <w:spacing w:after="0" w:line="240" w:lineRule="auto"/>
              <w:jc w:val="center"/>
              <w:rPr>
                <w:rFonts w:cs="Arial"/>
                <w:sz w:val="16"/>
                <w:szCs w:val="16"/>
              </w:rPr>
            </w:pPr>
            <w:r w:rsidRPr="00C459A3">
              <w:rPr>
                <w:rFonts w:cs="Arial"/>
                <w:sz w:val="16"/>
                <w:szCs w:val="16"/>
              </w:rPr>
              <w:t>2019</w:t>
            </w:r>
          </w:p>
        </w:tc>
        <w:tc>
          <w:tcPr>
            <w:tcW w:w="787" w:type="dxa"/>
            <w:tcBorders>
              <w:top w:val="single" w:sz="4" w:space="0" w:color="auto"/>
              <w:left w:val="nil"/>
              <w:bottom w:val="single" w:sz="4" w:space="0" w:color="auto"/>
              <w:right w:val="nil"/>
            </w:tcBorders>
            <w:shd w:val="clear" w:color="000000" w:fill="F5DADD"/>
            <w:vAlign w:val="center"/>
            <w:hideMark/>
          </w:tcPr>
          <w:p w14:paraId="598E4DF6" w14:textId="77777777" w:rsidR="005F17A0" w:rsidRPr="003F5663" w:rsidRDefault="005F17A0" w:rsidP="00245F95">
            <w:pPr>
              <w:spacing w:after="0" w:line="240" w:lineRule="auto"/>
              <w:jc w:val="center"/>
              <w:rPr>
                <w:rFonts w:cs="Arial"/>
                <w:sz w:val="16"/>
                <w:szCs w:val="16"/>
              </w:rPr>
            </w:pPr>
            <w:r w:rsidRPr="00C459A3">
              <w:rPr>
                <w:rFonts w:cs="Arial"/>
                <w:sz w:val="16"/>
                <w:szCs w:val="16"/>
              </w:rPr>
              <w:t>2020</w:t>
            </w:r>
          </w:p>
        </w:tc>
        <w:tc>
          <w:tcPr>
            <w:tcW w:w="787" w:type="dxa"/>
            <w:tcBorders>
              <w:top w:val="single" w:sz="4" w:space="0" w:color="auto"/>
              <w:left w:val="nil"/>
              <w:bottom w:val="single" w:sz="4" w:space="0" w:color="auto"/>
              <w:right w:val="nil"/>
            </w:tcBorders>
            <w:shd w:val="clear" w:color="000000" w:fill="F5DADD"/>
            <w:vAlign w:val="center"/>
            <w:hideMark/>
          </w:tcPr>
          <w:p w14:paraId="4351CD81" w14:textId="77777777" w:rsidR="005F17A0" w:rsidRPr="003F5663" w:rsidRDefault="005F17A0" w:rsidP="00245F95">
            <w:pPr>
              <w:spacing w:after="0" w:line="240" w:lineRule="auto"/>
              <w:jc w:val="center"/>
              <w:rPr>
                <w:rFonts w:cs="Arial"/>
                <w:sz w:val="16"/>
                <w:szCs w:val="16"/>
              </w:rPr>
            </w:pPr>
            <w:r w:rsidRPr="00C459A3">
              <w:rPr>
                <w:rFonts w:cs="Arial"/>
                <w:sz w:val="16"/>
                <w:szCs w:val="16"/>
              </w:rPr>
              <w:t>2021</w:t>
            </w:r>
          </w:p>
        </w:tc>
        <w:tc>
          <w:tcPr>
            <w:tcW w:w="787" w:type="dxa"/>
            <w:tcBorders>
              <w:top w:val="single" w:sz="4" w:space="0" w:color="auto"/>
              <w:left w:val="nil"/>
              <w:bottom w:val="single" w:sz="4" w:space="0" w:color="auto"/>
              <w:right w:val="nil"/>
            </w:tcBorders>
            <w:shd w:val="clear" w:color="000000" w:fill="F5DADD"/>
            <w:vAlign w:val="center"/>
            <w:hideMark/>
          </w:tcPr>
          <w:p w14:paraId="3445A05C" w14:textId="77777777" w:rsidR="005F17A0" w:rsidRPr="003F5663" w:rsidRDefault="005F17A0" w:rsidP="00245F95">
            <w:pPr>
              <w:spacing w:after="0" w:line="240" w:lineRule="auto"/>
              <w:jc w:val="center"/>
              <w:rPr>
                <w:rFonts w:cs="Arial"/>
                <w:sz w:val="16"/>
                <w:szCs w:val="16"/>
              </w:rPr>
            </w:pPr>
            <w:r w:rsidRPr="00C459A3">
              <w:rPr>
                <w:rFonts w:cs="Arial"/>
                <w:sz w:val="16"/>
                <w:szCs w:val="16"/>
              </w:rPr>
              <w:t>2022</w:t>
            </w:r>
            <w:r>
              <w:rPr>
                <w:rFonts w:cs="Arial"/>
                <w:sz w:val="16"/>
                <w:szCs w:val="16"/>
              </w:rPr>
              <w:t>*</w:t>
            </w:r>
          </w:p>
        </w:tc>
        <w:tc>
          <w:tcPr>
            <w:tcW w:w="787" w:type="dxa"/>
            <w:tcBorders>
              <w:top w:val="single" w:sz="4" w:space="0" w:color="auto"/>
              <w:left w:val="nil"/>
              <w:bottom w:val="single" w:sz="4" w:space="0" w:color="auto"/>
              <w:right w:val="nil"/>
            </w:tcBorders>
            <w:shd w:val="clear" w:color="000000" w:fill="F5DADD"/>
            <w:vAlign w:val="center"/>
          </w:tcPr>
          <w:p w14:paraId="6E25C2BC" w14:textId="77777777" w:rsidR="005F17A0" w:rsidRPr="00C459A3" w:rsidRDefault="005F17A0" w:rsidP="00245F95">
            <w:pPr>
              <w:spacing w:after="0" w:line="240" w:lineRule="auto"/>
              <w:jc w:val="center"/>
              <w:rPr>
                <w:rFonts w:cs="Arial"/>
                <w:sz w:val="16"/>
                <w:szCs w:val="16"/>
              </w:rPr>
            </w:pPr>
            <w:r>
              <w:rPr>
                <w:rFonts w:cs="Arial"/>
                <w:sz w:val="16"/>
                <w:szCs w:val="16"/>
              </w:rPr>
              <w:t>2023</w:t>
            </w:r>
          </w:p>
        </w:tc>
      </w:tr>
      <w:tr w:rsidR="005F17A0" w:rsidRPr="003F5663" w14:paraId="78312751" w14:textId="77777777" w:rsidTr="00245F95">
        <w:trPr>
          <w:trHeight w:val="300"/>
        </w:trPr>
        <w:tc>
          <w:tcPr>
            <w:tcW w:w="787" w:type="dxa"/>
            <w:tcBorders>
              <w:top w:val="nil"/>
              <w:left w:val="nil"/>
              <w:bottom w:val="nil"/>
              <w:right w:val="single" w:sz="4" w:space="0" w:color="auto"/>
            </w:tcBorders>
            <w:shd w:val="clear" w:color="auto" w:fill="auto"/>
            <w:noWrap/>
            <w:vAlign w:val="center"/>
            <w:hideMark/>
          </w:tcPr>
          <w:p w14:paraId="2CB36E52" w14:textId="77777777" w:rsidR="005F17A0" w:rsidRPr="003F5663" w:rsidRDefault="005F17A0" w:rsidP="00245F95">
            <w:pPr>
              <w:spacing w:after="0" w:line="240" w:lineRule="auto"/>
              <w:rPr>
                <w:rFonts w:cs="Arial"/>
                <w:b/>
                <w:bCs/>
                <w:color w:val="000000"/>
                <w:sz w:val="16"/>
                <w:szCs w:val="16"/>
              </w:rPr>
            </w:pPr>
            <w:r w:rsidRPr="00C459A3">
              <w:rPr>
                <w:rFonts w:cs="Arial"/>
                <w:b/>
                <w:bCs/>
                <w:color w:val="000000"/>
                <w:sz w:val="16"/>
                <w:szCs w:val="16"/>
              </w:rPr>
              <w:t>Celkem</w:t>
            </w:r>
          </w:p>
        </w:tc>
        <w:tc>
          <w:tcPr>
            <w:tcW w:w="869" w:type="dxa"/>
            <w:tcBorders>
              <w:top w:val="nil"/>
              <w:left w:val="nil"/>
              <w:bottom w:val="nil"/>
              <w:right w:val="nil"/>
            </w:tcBorders>
            <w:shd w:val="clear" w:color="auto" w:fill="auto"/>
            <w:noWrap/>
            <w:vAlign w:val="center"/>
            <w:hideMark/>
          </w:tcPr>
          <w:p w14:paraId="7A9C125B" w14:textId="77777777" w:rsidR="005F17A0" w:rsidRPr="003F5663" w:rsidRDefault="005F17A0" w:rsidP="00245F95">
            <w:pPr>
              <w:spacing w:after="0" w:line="240" w:lineRule="auto"/>
              <w:jc w:val="center"/>
              <w:rPr>
                <w:rFonts w:cs="Arial"/>
                <w:b/>
                <w:bCs/>
                <w:color w:val="000000"/>
                <w:sz w:val="16"/>
                <w:szCs w:val="16"/>
              </w:rPr>
            </w:pPr>
            <w:r w:rsidRPr="00C459A3">
              <w:rPr>
                <w:rFonts w:cs="Arial"/>
                <w:b/>
                <w:bCs/>
                <w:color w:val="000000"/>
                <w:sz w:val="16"/>
                <w:szCs w:val="16"/>
              </w:rPr>
              <w:t>44,0</w:t>
            </w:r>
          </w:p>
        </w:tc>
        <w:tc>
          <w:tcPr>
            <w:tcW w:w="787" w:type="dxa"/>
            <w:tcBorders>
              <w:top w:val="nil"/>
              <w:left w:val="nil"/>
              <w:bottom w:val="nil"/>
              <w:right w:val="nil"/>
            </w:tcBorders>
            <w:shd w:val="clear" w:color="auto" w:fill="auto"/>
            <w:noWrap/>
            <w:vAlign w:val="center"/>
            <w:hideMark/>
          </w:tcPr>
          <w:p w14:paraId="507933B4" w14:textId="77777777" w:rsidR="005F17A0" w:rsidRPr="003F5663" w:rsidRDefault="005F17A0" w:rsidP="00245F95">
            <w:pPr>
              <w:spacing w:after="0" w:line="240" w:lineRule="auto"/>
              <w:jc w:val="center"/>
              <w:rPr>
                <w:rFonts w:cs="Arial"/>
                <w:b/>
                <w:bCs/>
                <w:color w:val="000000"/>
                <w:sz w:val="16"/>
                <w:szCs w:val="16"/>
              </w:rPr>
            </w:pPr>
            <w:r w:rsidRPr="00C459A3">
              <w:rPr>
                <w:rFonts w:cs="Arial"/>
                <w:b/>
                <w:bCs/>
                <w:color w:val="000000"/>
                <w:sz w:val="16"/>
                <w:szCs w:val="16"/>
              </w:rPr>
              <w:t>45,8</w:t>
            </w:r>
          </w:p>
        </w:tc>
        <w:tc>
          <w:tcPr>
            <w:tcW w:w="787" w:type="dxa"/>
            <w:tcBorders>
              <w:top w:val="nil"/>
              <w:left w:val="nil"/>
              <w:bottom w:val="nil"/>
              <w:right w:val="nil"/>
            </w:tcBorders>
            <w:shd w:val="clear" w:color="auto" w:fill="auto"/>
            <w:noWrap/>
            <w:vAlign w:val="center"/>
            <w:hideMark/>
          </w:tcPr>
          <w:p w14:paraId="54C169F7" w14:textId="77777777" w:rsidR="005F17A0" w:rsidRPr="003F5663" w:rsidRDefault="005F17A0" w:rsidP="00245F95">
            <w:pPr>
              <w:spacing w:after="0" w:line="240" w:lineRule="auto"/>
              <w:jc w:val="center"/>
              <w:rPr>
                <w:rFonts w:cs="Arial"/>
                <w:b/>
                <w:bCs/>
                <w:color w:val="000000"/>
                <w:sz w:val="16"/>
                <w:szCs w:val="16"/>
              </w:rPr>
            </w:pPr>
            <w:r w:rsidRPr="00C459A3">
              <w:rPr>
                <w:rFonts w:cs="Arial"/>
                <w:b/>
                <w:bCs/>
                <w:color w:val="000000"/>
                <w:sz w:val="16"/>
                <w:szCs w:val="16"/>
              </w:rPr>
              <w:t>42,7</w:t>
            </w:r>
          </w:p>
        </w:tc>
        <w:tc>
          <w:tcPr>
            <w:tcW w:w="787" w:type="dxa"/>
            <w:tcBorders>
              <w:top w:val="nil"/>
              <w:left w:val="nil"/>
              <w:bottom w:val="nil"/>
              <w:right w:val="nil"/>
            </w:tcBorders>
            <w:shd w:val="clear" w:color="auto" w:fill="auto"/>
            <w:noWrap/>
            <w:vAlign w:val="center"/>
            <w:hideMark/>
          </w:tcPr>
          <w:p w14:paraId="1B0AFFF3" w14:textId="77777777" w:rsidR="005F17A0" w:rsidRPr="003F5663" w:rsidRDefault="005F17A0" w:rsidP="00245F95">
            <w:pPr>
              <w:spacing w:after="0" w:line="240" w:lineRule="auto"/>
              <w:jc w:val="center"/>
              <w:rPr>
                <w:rFonts w:cs="Arial"/>
                <w:b/>
                <w:bCs/>
                <w:color w:val="000000"/>
                <w:sz w:val="16"/>
                <w:szCs w:val="16"/>
              </w:rPr>
            </w:pPr>
            <w:r w:rsidRPr="00C459A3">
              <w:rPr>
                <w:rFonts w:cs="Arial"/>
                <w:b/>
                <w:bCs/>
                <w:color w:val="000000"/>
                <w:sz w:val="16"/>
                <w:szCs w:val="16"/>
              </w:rPr>
              <w:t>43,0</w:t>
            </w:r>
          </w:p>
        </w:tc>
        <w:tc>
          <w:tcPr>
            <w:tcW w:w="787" w:type="dxa"/>
            <w:tcBorders>
              <w:top w:val="nil"/>
              <w:left w:val="nil"/>
              <w:bottom w:val="nil"/>
              <w:right w:val="nil"/>
            </w:tcBorders>
            <w:shd w:val="clear" w:color="auto" w:fill="auto"/>
            <w:noWrap/>
            <w:vAlign w:val="center"/>
            <w:hideMark/>
          </w:tcPr>
          <w:p w14:paraId="1009D13E" w14:textId="77777777" w:rsidR="005F17A0" w:rsidRPr="003F5663" w:rsidRDefault="005F17A0" w:rsidP="00245F95">
            <w:pPr>
              <w:spacing w:after="0" w:line="240" w:lineRule="auto"/>
              <w:jc w:val="center"/>
              <w:rPr>
                <w:rFonts w:cs="Arial"/>
                <w:b/>
                <w:bCs/>
                <w:color w:val="000000"/>
                <w:sz w:val="16"/>
                <w:szCs w:val="16"/>
              </w:rPr>
            </w:pPr>
            <w:r w:rsidRPr="00C459A3">
              <w:rPr>
                <w:rFonts w:cs="Arial"/>
                <w:b/>
                <w:bCs/>
                <w:color w:val="000000"/>
                <w:sz w:val="16"/>
                <w:szCs w:val="16"/>
              </w:rPr>
              <w:t>42,6</w:t>
            </w:r>
          </w:p>
        </w:tc>
        <w:tc>
          <w:tcPr>
            <w:tcW w:w="787" w:type="dxa"/>
            <w:tcBorders>
              <w:top w:val="nil"/>
              <w:left w:val="nil"/>
              <w:bottom w:val="nil"/>
              <w:right w:val="nil"/>
            </w:tcBorders>
            <w:shd w:val="clear" w:color="auto" w:fill="auto"/>
            <w:noWrap/>
            <w:vAlign w:val="center"/>
            <w:hideMark/>
          </w:tcPr>
          <w:p w14:paraId="63ACE155" w14:textId="77777777" w:rsidR="005F17A0" w:rsidRPr="003F5663" w:rsidRDefault="005F17A0" w:rsidP="00245F95">
            <w:pPr>
              <w:spacing w:after="0" w:line="240" w:lineRule="auto"/>
              <w:jc w:val="center"/>
              <w:rPr>
                <w:rFonts w:cs="Arial"/>
                <w:b/>
                <w:bCs/>
                <w:color w:val="000000"/>
                <w:sz w:val="16"/>
                <w:szCs w:val="16"/>
              </w:rPr>
            </w:pPr>
            <w:r w:rsidRPr="00C459A3">
              <w:rPr>
                <w:rFonts w:cs="Arial"/>
                <w:b/>
                <w:bCs/>
                <w:color w:val="000000"/>
                <w:sz w:val="16"/>
                <w:szCs w:val="16"/>
              </w:rPr>
              <w:t>41,7</w:t>
            </w:r>
          </w:p>
        </w:tc>
        <w:tc>
          <w:tcPr>
            <w:tcW w:w="787" w:type="dxa"/>
            <w:tcBorders>
              <w:top w:val="nil"/>
              <w:left w:val="nil"/>
              <w:bottom w:val="nil"/>
              <w:right w:val="nil"/>
            </w:tcBorders>
            <w:shd w:val="clear" w:color="auto" w:fill="auto"/>
            <w:noWrap/>
            <w:vAlign w:val="center"/>
            <w:hideMark/>
          </w:tcPr>
          <w:p w14:paraId="7A4D615A" w14:textId="77777777" w:rsidR="005F17A0" w:rsidRPr="003F5663" w:rsidRDefault="005F17A0" w:rsidP="00245F95">
            <w:pPr>
              <w:spacing w:after="0" w:line="240" w:lineRule="auto"/>
              <w:jc w:val="center"/>
              <w:rPr>
                <w:rFonts w:cs="Arial"/>
                <w:b/>
                <w:bCs/>
                <w:color w:val="000000"/>
                <w:sz w:val="16"/>
                <w:szCs w:val="16"/>
              </w:rPr>
            </w:pPr>
            <w:r w:rsidRPr="00C459A3">
              <w:rPr>
                <w:rFonts w:cs="Arial"/>
                <w:b/>
                <w:bCs/>
                <w:color w:val="000000"/>
                <w:sz w:val="16"/>
                <w:szCs w:val="16"/>
              </w:rPr>
              <w:t>42,4</w:t>
            </w:r>
          </w:p>
        </w:tc>
        <w:tc>
          <w:tcPr>
            <w:tcW w:w="787" w:type="dxa"/>
            <w:tcBorders>
              <w:top w:val="nil"/>
              <w:left w:val="nil"/>
              <w:bottom w:val="nil"/>
              <w:right w:val="nil"/>
            </w:tcBorders>
            <w:shd w:val="clear" w:color="auto" w:fill="auto"/>
            <w:noWrap/>
            <w:vAlign w:val="center"/>
            <w:hideMark/>
          </w:tcPr>
          <w:p w14:paraId="059CB3FB" w14:textId="77777777" w:rsidR="005F17A0" w:rsidRPr="003F5663" w:rsidRDefault="005F17A0" w:rsidP="00245F95">
            <w:pPr>
              <w:spacing w:after="0" w:line="240" w:lineRule="auto"/>
              <w:jc w:val="center"/>
              <w:rPr>
                <w:rFonts w:cs="Arial"/>
                <w:b/>
                <w:bCs/>
                <w:color w:val="000000"/>
                <w:sz w:val="16"/>
                <w:szCs w:val="16"/>
              </w:rPr>
            </w:pPr>
            <w:r w:rsidRPr="00C459A3">
              <w:rPr>
                <w:rFonts w:cs="Arial"/>
                <w:b/>
                <w:bCs/>
                <w:color w:val="000000"/>
                <w:sz w:val="16"/>
                <w:szCs w:val="16"/>
              </w:rPr>
              <w:t>39,4</w:t>
            </w:r>
          </w:p>
        </w:tc>
        <w:tc>
          <w:tcPr>
            <w:tcW w:w="787" w:type="dxa"/>
            <w:tcBorders>
              <w:top w:val="nil"/>
              <w:left w:val="nil"/>
              <w:bottom w:val="nil"/>
              <w:right w:val="nil"/>
            </w:tcBorders>
            <w:shd w:val="clear" w:color="auto" w:fill="auto"/>
            <w:noWrap/>
            <w:vAlign w:val="center"/>
            <w:hideMark/>
          </w:tcPr>
          <w:p w14:paraId="67B16871" w14:textId="77777777" w:rsidR="005F17A0" w:rsidRPr="003F5663" w:rsidRDefault="005F17A0" w:rsidP="00245F95">
            <w:pPr>
              <w:spacing w:after="0" w:line="240" w:lineRule="auto"/>
              <w:jc w:val="center"/>
              <w:rPr>
                <w:rFonts w:cs="Arial"/>
                <w:b/>
                <w:bCs/>
                <w:color w:val="000000"/>
                <w:sz w:val="16"/>
                <w:szCs w:val="16"/>
              </w:rPr>
            </w:pPr>
            <w:r w:rsidRPr="00C459A3">
              <w:rPr>
                <w:rFonts w:cs="Arial"/>
                <w:b/>
                <w:bCs/>
                <w:color w:val="000000"/>
                <w:sz w:val="16"/>
                <w:szCs w:val="16"/>
              </w:rPr>
              <w:t>34,5</w:t>
            </w:r>
          </w:p>
        </w:tc>
        <w:tc>
          <w:tcPr>
            <w:tcW w:w="787" w:type="dxa"/>
            <w:tcBorders>
              <w:top w:val="nil"/>
              <w:left w:val="nil"/>
              <w:bottom w:val="nil"/>
              <w:right w:val="nil"/>
            </w:tcBorders>
            <w:shd w:val="clear" w:color="auto" w:fill="auto"/>
            <w:noWrap/>
            <w:vAlign w:val="center"/>
            <w:hideMark/>
          </w:tcPr>
          <w:p w14:paraId="1C00A31A" w14:textId="77777777" w:rsidR="005F17A0" w:rsidRPr="003F5663" w:rsidRDefault="005F17A0" w:rsidP="00245F95">
            <w:pPr>
              <w:spacing w:after="0" w:line="240" w:lineRule="auto"/>
              <w:jc w:val="center"/>
              <w:rPr>
                <w:rFonts w:cs="Arial"/>
                <w:b/>
                <w:bCs/>
                <w:color w:val="000000"/>
                <w:sz w:val="16"/>
                <w:szCs w:val="16"/>
              </w:rPr>
            </w:pPr>
            <w:r w:rsidRPr="00C459A3">
              <w:rPr>
                <w:rFonts w:cs="Arial"/>
                <w:b/>
                <w:bCs/>
                <w:color w:val="000000"/>
                <w:sz w:val="16"/>
                <w:szCs w:val="16"/>
              </w:rPr>
              <w:t>26,3</w:t>
            </w:r>
          </w:p>
        </w:tc>
        <w:tc>
          <w:tcPr>
            <w:tcW w:w="787" w:type="dxa"/>
            <w:tcBorders>
              <w:top w:val="nil"/>
              <w:left w:val="nil"/>
              <w:bottom w:val="nil"/>
              <w:right w:val="nil"/>
            </w:tcBorders>
            <w:vAlign w:val="center"/>
          </w:tcPr>
          <w:p w14:paraId="5F7DCD12" w14:textId="77777777" w:rsidR="005F17A0" w:rsidRPr="00C459A3" w:rsidRDefault="005F17A0" w:rsidP="00245F95">
            <w:pPr>
              <w:spacing w:after="0" w:line="240" w:lineRule="auto"/>
              <w:jc w:val="center"/>
              <w:rPr>
                <w:rFonts w:cs="Arial"/>
                <w:b/>
                <w:bCs/>
                <w:color w:val="000000"/>
                <w:sz w:val="16"/>
                <w:szCs w:val="16"/>
              </w:rPr>
            </w:pPr>
            <w:r>
              <w:rPr>
                <w:rFonts w:cs="Arial"/>
                <w:b/>
                <w:bCs/>
                <w:color w:val="000000"/>
                <w:sz w:val="16"/>
                <w:szCs w:val="16"/>
              </w:rPr>
              <w:t>31,4</w:t>
            </w:r>
          </w:p>
        </w:tc>
      </w:tr>
      <w:tr w:rsidR="005F17A0" w:rsidRPr="003F5663" w14:paraId="1DE17C99" w14:textId="77777777" w:rsidTr="00245F95">
        <w:trPr>
          <w:trHeight w:val="300"/>
        </w:trPr>
        <w:tc>
          <w:tcPr>
            <w:tcW w:w="787" w:type="dxa"/>
            <w:tcBorders>
              <w:top w:val="nil"/>
              <w:left w:val="nil"/>
              <w:bottom w:val="nil"/>
              <w:right w:val="single" w:sz="4" w:space="0" w:color="auto"/>
            </w:tcBorders>
            <w:shd w:val="clear" w:color="auto" w:fill="auto"/>
            <w:noWrap/>
            <w:vAlign w:val="center"/>
            <w:hideMark/>
          </w:tcPr>
          <w:p w14:paraId="10BE5154" w14:textId="77777777" w:rsidR="005F17A0" w:rsidRPr="003F5663" w:rsidRDefault="005F17A0" w:rsidP="00245F95">
            <w:pPr>
              <w:spacing w:after="0" w:line="240" w:lineRule="auto"/>
              <w:ind w:firstLineChars="100" w:firstLine="160"/>
              <w:rPr>
                <w:rFonts w:cs="Arial"/>
                <w:color w:val="000000"/>
                <w:sz w:val="16"/>
                <w:szCs w:val="16"/>
              </w:rPr>
            </w:pPr>
            <w:r w:rsidRPr="00C459A3">
              <w:rPr>
                <w:rFonts w:cs="Arial"/>
                <w:color w:val="000000"/>
                <w:sz w:val="16"/>
                <w:szCs w:val="16"/>
              </w:rPr>
              <w:t>muži</w:t>
            </w:r>
          </w:p>
        </w:tc>
        <w:tc>
          <w:tcPr>
            <w:tcW w:w="869" w:type="dxa"/>
            <w:tcBorders>
              <w:top w:val="nil"/>
              <w:left w:val="nil"/>
              <w:bottom w:val="nil"/>
              <w:right w:val="nil"/>
            </w:tcBorders>
            <w:shd w:val="clear" w:color="auto" w:fill="auto"/>
            <w:noWrap/>
            <w:vAlign w:val="center"/>
            <w:hideMark/>
          </w:tcPr>
          <w:p w14:paraId="7042C394" w14:textId="77777777" w:rsidR="005F17A0" w:rsidRPr="003F5663" w:rsidRDefault="005F17A0" w:rsidP="00245F95">
            <w:pPr>
              <w:spacing w:after="0" w:line="240" w:lineRule="auto"/>
              <w:jc w:val="center"/>
              <w:rPr>
                <w:rFonts w:cs="Arial"/>
                <w:color w:val="000000"/>
                <w:sz w:val="16"/>
                <w:szCs w:val="16"/>
              </w:rPr>
            </w:pPr>
            <w:r w:rsidRPr="00C459A3">
              <w:rPr>
                <w:rFonts w:cs="Arial"/>
                <w:color w:val="000000"/>
                <w:sz w:val="16"/>
                <w:szCs w:val="16"/>
              </w:rPr>
              <w:t>42,3</w:t>
            </w:r>
          </w:p>
        </w:tc>
        <w:tc>
          <w:tcPr>
            <w:tcW w:w="787" w:type="dxa"/>
            <w:tcBorders>
              <w:top w:val="nil"/>
              <w:left w:val="nil"/>
              <w:bottom w:val="nil"/>
              <w:right w:val="nil"/>
            </w:tcBorders>
            <w:shd w:val="clear" w:color="auto" w:fill="auto"/>
            <w:noWrap/>
            <w:vAlign w:val="center"/>
            <w:hideMark/>
          </w:tcPr>
          <w:p w14:paraId="4C55EA38" w14:textId="77777777" w:rsidR="005F17A0" w:rsidRPr="003F5663" w:rsidRDefault="005F17A0" w:rsidP="00245F95">
            <w:pPr>
              <w:spacing w:after="0" w:line="240" w:lineRule="auto"/>
              <w:jc w:val="center"/>
              <w:rPr>
                <w:rFonts w:cs="Arial"/>
                <w:color w:val="000000"/>
                <w:sz w:val="16"/>
                <w:szCs w:val="16"/>
              </w:rPr>
            </w:pPr>
            <w:r w:rsidRPr="00C459A3">
              <w:rPr>
                <w:rFonts w:cs="Arial"/>
                <w:color w:val="000000"/>
                <w:sz w:val="16"/>
                <w:szCs w:val="16"/>
              </w:rPr>
              <w:t>43,4</w:t>
            </w:r>
          </w:p>
        </w:tc>
        <w:tc>
          <w:tcPr>
            <w:tcW w:w="787" w:type="dxa"/>
            <w:tcBorders>
              <w:top w:val="nil"/>
              <w:left w:val="nil"/>
              <w:bottom w:val="nil"/>
              <w:right w:val="nil"/>
            </w:tcBorders>
            <w:shd w:val="clear" w:color="auto" w:fill="auto"/>
            <w:noWrap/>
            <w:vAlign w:val="center"/>
            <w:hideMark/>
          </w:tcPr>
          <w:p w14:paraId="17073E16" w14:textId="77777777" w:rsidR="005F17A0" w:rsidRPr="003F5663" w:rsidRDefault="005F17A0" w:rsidP="00245F95">
            <w:pPr>
              <w:spacing w:after="0" w:line="240" w:lineRule="auto"/>
              <w:jc w:val="center"/>
              <w:rPr>
                <w:rFonts w:cs="Arial"/>
                <w:color w:val="000000"/>
                <w:sz w:val="16"/>
                <w:szCs w:val="16"/>
              </w:rPr>
            </w:pPr>
            <w:r w:rsidRPr="00C459A3">
              <w:rPr>
                <w:rFonts w:cs="Arial"/>
                <w:color w:val="000000"/>
                <w:sz w:val="16"/>
                <w:szCs w:val="16"/>
              </w:rPr>
              <w:t>40,5</w:t>
            </w:r>
          </w:p>
        </w:tc>
        <w:tc>
          <w:tcPr>
            <w:tcW w:w="787" w:type="dxa"/>
            <w:tcBorders>
              <w:top w:val="nil"/>
              <w:left w:val="nil"/>
              <w:bottom w:val="nil"/>
              <w:right w:val="nil"/>
            </w:tcBorders>
            <w:shd w:val="clear" w:color="auto" w:fill="auto"/>
            <w:noWrap/>
            <w:vAlign w:val="center"/>
            <w:hideMark/>
          </w:tcPr>
          <w:p w14:paraId="0BE5A05F" w14:textId="77777777" w:rsidR="005F17A0" w:rsidRPr="003F5663" w:rsidRDefault="005F17A0" w:rsidP="00245F95">
            <w:pPr>
              <w:spacing w:after="0" w:line="240" w:lineRule="auto"/>
              <w:jc w:val="center"/>
              <w:rPr>
                <w:rFonts w:cs="Arial"/>
                <w:color w:val="000000"/>
                <w:sz w:val="16"/>
                <w:szCs w:val="16"/>
              </w:rPr>
            </w:pPr>
            <w:r w:rsidRPr="00C459A3">
              <w:rPr>
                <w:rFonts w:cs="Arial"/>
                <w:color w:val="000000"/>
                <w:sz w:val="16"/>
                <w:szCs w:val="16"/>
              </w:rPr>
              <w:t>40,7</w:t>
            </w:r>
          </w:p>
        </w:tc>
        <w:tc>
          <w:tcPr>
            <w:tcW w:w="787" w:type="dxa"/>
            <w:tcBorders>
              <w:top w:val="nil"/>
              <w:left w:val="nil"/>
              <w:bottom w:val="nil"/>
              <w:right w:val="nil"/>
            </w:tcBorders>
            <w:shd w:val="clear" w:color="auto" w:fill="auto"/>
            <w:noWrap/>
            <w:vAlign w:val="center"/>
            <w:hideMark/>
          </w:tcPr>
          <w:p w14:paraId="03460FD7" w14:textId="77777777" w:rsidR="005F17A0" w:rsidRPr="003F5663" w:rsidRDefault="005F17A0" w:rsidP="00245F95">
            <w:pPr>
              <w:spacing w:after="0" w:line="240" w:lineRule="auto"/>
              <w:jc w:val="center"/>
              <w:rPr>
                <w:rFonts w:cs="Arial"/>
                <w:color w:val="000000"/>
                <w:sz w:val="16"/>
                <w:szCs w:val="16"/>
              </w:rPr>
            </w:pPr>
            <w:r w:rsidRPr="00C459A3">
              <w:rPr>
                <w:rFonts w:cs="Arial"/>
                <w:color w:val="000000"/>
                <w:sz w:val="16"/>
                <w:szCs w:val="16"/>
              </w:rPr>
              <w:t>40,6</w:t>
            </w:r>
          </w:p>
        </w:tc>
        <w:tc>
          <w:tcPr>
            <w:tcW w:w="787" w:type="dxa"/>
            <w:tcBorders>
              <w:top w:val="nil"/>
              <w:left w:val="nil"/>
              <w:bottom w:val="nil"/>
              <w:right w:val="nil"/>
            </w:tcBorders>
            <w:shd w:val="clear" w:color="auto" w:fill="auto"/>
            <w:noWrap/>
            <w:vAlign w:val="center"/>
            <w:hideMark/>
          </w:tcPr>
          <w:p w14:paraId="31DA6ED8" w14:textId="77777777" w:rsidR="005F17A0" w:rsidRPr="003F5663" w:rsidRDefault="005F17A0" w:rsidP="00245F95">
            <w:pPr>
              <w:spacing w:after="0" w:line="240" w:lineRule="auto"/>
              <w:jc w:val="center"/>
              <w:rPr>
                <w:rFonts w:cs="Arial"/>
                <w:color w:val="000000"/>
                <w:sz w:val="16"/>
                <w:szCs w:val="16"/>
              </w:rPr>
            </w:pPr>
            <w:r w:rsidRPr="00C459A3">
              <w:rPr>
                <w:rFonts w:cs="Arial"/>
                <w:color w:val="000000"/>
                <w:sz w:val="16"/>
                <w:szCs w:val="16"/>
              </w:rPr>
              <w:t>40,3</w:t>
            </w:r>
          </w:p>
        </w:tc>
        <w:tc>
          <w:tcPr>
            <w:tcW w:w="787" w:type="dxa"/>
            <w:tcBorders>
              <w:top w:val="nil"/>
              <w:left w:val="nil"/>
              <w:bottom w:val="nil"/>
              <w:right w:val="nil"/>
            </w:tcBorders>
            <w:shd w:val="clear" w:color="auto" w:fill="auto"/>
            <w:noWrap/>
            <w:vAlign w:val="center"/>
            <w:hideMark/>
          </w:tcPr>
          <w:p w14:paraId="23DB0FBE" w14:textId="77777777" w:rsidR="005F17A0" w:rsidRPr="003F5663" w:rsidRDefault="005F17A0" w:rsidP="00245F95">
            <w:pPr>
              <w:spacing w:after="0" w:line="240" w:lineRule="auto"/>
              <w:jc w:val="center"/>
              <w:rPr>
                <w:rFonts w:cs="Arial"/>
                <w:color w:val="000000"/>
                <w:sz w:val="16"/>
                <w:szCs w:val="16"/>
              </w:rPr>
            </w:pPr>
            <w:r w:rsidRPr="00C459A3">
              <w:rPr>
                <w:rFonts w:cs="Arial"/>
                <w:color w:val="000000"/>
                <w:sz w:val="16"/>
                <w:szCs w:val="16"/>
              </w:rPr>
              <w:t>41,1</w:t>
            </w:r>
          </w:p>
        </w:tc>
        <w:tc>
          <w:tcPr>
            <w:tcW w:w="787" w:type="dxa"/>
            <w:tcBorders>
              <w:top w:val="nil"/>
              <w:left w:val="nil"/>
              <w:bottom w:val="nil"/>
              <w:right w:val="nil"/>
            </w:tcBorders>
            <w:shd w:val="clear" w:color="auto" w:fill="auto"/>
            <w:noWrap/>
            <w:vAlign w:val="center"/>
            <w:hideMark/>
          </w:tcPr>
          <w:p w14:paraId="25F7AA24" w14:textId="77777777" w:rsidR="005F17A0" w:rsidRPr="003F5663" w:rsidRDefault="005F17A0" w:rsidP="00245F95">
            <w:pPr>
              <w:spacing w:after="0" w:line="240" w:lineRule="auto"/>
              <w:jc w:val="center"/>
              <w:rPr>
                <w:rFonts w:cs="Arial"/>
                <w:color w:val="000000"/>
                <w:sz w:val="16"/>
                <w:szCs w:val="16"/>
              </w:rPr>
            </w:pPr>
            <w:r w:rsidRPr="00C459A3">
              <w:rPr>
                <w:rFonts w:cs="Arial"/>
                <w:color w:val="000000"/>
                <w:sz w:val="16"/>
                <w:szCs w:val="16"/>
              </w:rPr>
              <w:t>37,8</w:t>
            </w:r>
          </w:p>
        </w:tc>
        <w:tc>
          <w:tcPr>
            <w:tcW w:w="787" w:type="dxa"/>
            <w:tcBorders>
              <w:top w:val="nil"/>
              <w:left w:val="nil"/>
              <w:bottom w:val="nil"/>
              <w:right w:val="nil"/>
            </w:tcBorders>
            <w:shd w:val="clear" w:color="auto" w:fill="auto"/>
            <w:noWrap/>
            <w:vAlign w:val="center"/>
            <w:hideMark/>
          </w:tcPr>
          <w:p w14:paraId="2946F0CF" w14:textId="77777777" w:rsidR="005F17A0" w:rsidRPr="003F5663" w:rsidRDefault="005F17A0" w:rsidP="00245F95">
            <w:pPr>
              <w:spacing w:after="0" w:line="240" w:lineRule="auto"/>
              <w:jc w:val="center"/>
              <w:rPr>
                <w:rFonts w:cs="Arial"/>
                <w:color w:val="000000"/>
                <w:sz w:val="16"/>
                <w:szCs w:val="16"/>
              </w:rPr>
            </w:pPr>
            <w:r w:rsidRPr="00C459A3">
              <w:rPr>
                <w:rFonts w:cs="Arial"/>
                <w:color w:val="000000"/>
                <w:sz w:val="16"/>
                <w:szCs w:val="16"/>
              </w:rPr>
              <w:t>33,0</w:t>
            </w:r>
          </w:p>
        </w:tc>
        <w:tc>
          <w:tcPr>
            <w:tcW w:w="787" w:type="dxa"/>
            <w:tcBorders>
              <w:top w:val="nil"/>
              <w:left w:val="nil"/>
              <w:bottom w:val="nil"/>
              <w:right w:val="nil"/>
            </w:tcBorders>
            <w:shd w:val="clear" w:color="auto" w:fill="auto"/>
            <w:noWrap/>
            <w:vAlign w:val="center"/>
            <w:hideMark/>
          </w:tcPr>
          <w:p w14:paraId="219104DA" w14:textId="77777777" w:rsidR="005F17A0" w:rsidRPr="003F5663" w:rsidRDefault="005F17A0" w:rsidP="00245F95">
            <w:pPr>
              <w:spacing w:after="0" w:line="240" w:lineRule="auto"/>
              <w:jc w:val="center"/>
              <w:rPr>
                <w:rFonts w:cs="Arial"/>
                <w:color w:val="000000"/>
                <w:sz w:val="16"/>
                <w:szCs w:val="16"/>
              </w:rPr>
            </w:pPr>
            <w:r w:rsidRPr="00C459A3">
              <w:rPr>
                <w:rFonts w:cs="Arial"/>
                <w:color w:val="000000"/>
                <w:sz w:val="16"/>
                <w:szCs w:val="16"/>
              </w:rPr>
              <w:t>26,1</w:t>
            </w:r>
          </w:p>
        </w:tc>
        <w:tc>
          <w:tcPr>
            <w:tcW w:w="787" w:type="dxa"/>
            <w:tcBorders>
              <w:top w:val="nil"/>
              <w:left w:val="nil"/>
              <w:bottom w:val="nil"/>
              <w:right w:val="nil"/>
            </w:tcBorders>
            <w:vAlign w:val="center"/>
          </w:tcPr>
          <w:p w14:paraId="5373D5E4" w14:textId="77777777" w:rsidR="005F17A0" w:rsidRPr="00C459A3" w:rsidRDefault="005F17A0" w:rsidP="00245F95">
            <w:pPr>
              <w:spacing w:after="0" w:line="240" w:lineRule="auto"/>
              <w:jc w:val="center"/>
              <w:rPr>
                <w:rFonts w:cs="Arial"/>
                <w:color w:val="000000"/>
                <w:sz w:val="16"/>
                <w:szCs w:val="16"/>
              </w:rPr>
            </w:pPr>
            <w:r>
              <w:rPr>
                <w:rFonts w:cs="Arial"/>
                <w:color w:val="000000"/>
                <w:sz w:val="16"/>
                <w:szCs w:val="16"/>
              </w:rPr>
              <w:t>31,9</w:t>
            </w:r>
          </w:p>
        </w:tc>
      </w:tr>
      <w:tr w:rsidR="005F17A0" w:rsidRPr="003F5663" w14:paraId="6BCA9317" w14:textId="77777777" w:rsidTr="00245F95">
        <w:trPr>
          <w:trHeight w:val="300"/>
        </w:trPr>
        <w:tc>
          <w:tcPr>
            <w:tcW w:w="787" w:type="dxa"/>
            <w:tcBorders>
              <w:top w:val="nil"/>
              <w:left w:val="nil"/>
              <w:bottom w:val="nil"/>
              <w:right w:val="single" w:sz="4" w:space="0" w:color="auto"/>
            </w:tcBorders>
            <w:shd w:val="clear" w:color="auto" w:fill="auto"/>
            <w:noWrap/>
            <w:vAlign w:val="center"/>
            <w:hideMark/>
          </w:tcPr>
          <w:p w14:paraId="6E75BB37" w14:textId="77777777" w:rsidR="005F17A0" w:rsidRPr="003F5663" w:rsidRDefault="005F17A0" w:rsidP="00245F95">
            <w:pPr>
              <w:spacing w:after="0" w:line="240" w:lineRule="auto"/>
              <w:ind w:firstLineChars="100" w:firstLine="160"/>
              <w:rPr>
                <w:rFonts w:cs="Arial"/>
                <w:color w:val="000000"/>
                <w:sz w:val="16"/>
                <w:szCs w:val="16"/>
              </w:rPr>
            </w:pPr>
            <w:r w:rsidRPr="00C459A3">
              <w:rPr>
                <w:rFonts w:cs="Arial"/>
                <w:color w:val="000000"/>
                <w:sz w:val="16"/>
                <w:szCs w:val="16"/>
              </w:rPr>
              <w:t>ženy</w:t>
            </w:r>
          </w:p>
        </w:tc>
        <w:tc>
          <w:tcPr>
            <w:tcW w:w="869" w:type="dxa"/>
            <w:tcBorders>
              <w:top w:val="nil"/>
              <w:left w:val="nil"/>
              <w:bottom w:val="nil"/>
              <w:right w:val="nil"/>
            </w:tcBorders>
            <w:shd w:val="clear" w:color="auto" w:fill="auto"/>
            <w:noWrap/>
            <w:vAlign w:val="center"/>
            <w:hideMark/>
          </w:tcPr>
          <w:p w14:paraId="359C31AE" w14:textId="77777777" w:rsidR="005F17A0" w:rsidRPr="003F5663" w:rsidRDefault="005F17A0" w:rsidP="00245F95">
            <w:pPr>
              <w:spacing w:after="0" w:line="240" w:lineRule="auto"/>
              <w:jc w:val="center"/>
              <w:rPr>
                <w:rFonts w:cs="Arial"/>
                <w:color w:val="000000"/>
                <w:sz w:val="16"/>
                <w:szCs w:val="16"/>
              </w:rPr>
            </w:pPr>
            <w:r w:rsidRPr="00C459A3">
              <w:rPr>
                <w:rFonts w:cs="Arial"/>
                <w:color w:val="000000"/>
                <w:sz w:val="16"/>
                <w:szCs w:val="16"/>
              </w:rPr>
              <w:t>45,5</w:t>
            </w:r>
          </w:p>
        </w:tc>
        <w:tc>
          <w:tcPr>
            <w:tcW w:w="787" w:type="dxa"/>
            <w:tcBorders>
              <w:top w:val="nil"/>
              <w:left w:val="nil"/>
              <w:bottom w:val="nil"/>
              <w:right w:val="nil"/>
            </w:tcBorders>
            <w:shd w:val="clear" w:color="auto" w:fill="auto"/>
            <w:noWrap/>
            <w:vAlign w:val="center"/>
            <w:hideMark/>
          </w:tcPr>
          <w:p w14:paraId="442AAE10" w14:textId="77777777" w:rsidR="005F17A0" w:rsidRPr="003F5663" w:rsidRDefault="005F17A0" w:rsidP="00245F95">
            <w:pPr>
              <w:spacing w:after="0" w:line="240" w:lineRule="auto"/>
              <w:jc w:val="center"/>
              <w:rPr>
                <w:rFonts w:cs="Arial"/>
                <w:color w:val="000000"/>
                <w:sz w:val="16"/>
                <w:szCs w:val="16"/>
              </w:rPr>
            </w:pPr>
            <w:r w:rsidRPr="00C459A3">
              <w:rPr>
                <w:rFonts w:cs="Arial"/>
                <w:color w:val="000000"/>
                <w:sz w:val="16"/>
                <w:szCs w:val="16"/>
              </w:rPr>
              <w:t>48,0</w:t>
            </w:r>
          </w:p>
        </w:tc>
        <w:tc>
          <w:tcPr>
            <w:tcW w:w="787" w:type="dxa"/>
            <w:tcBorders>
              <w:top w:val="nil"/>
              <w:left w:val="nil"/>
              <w:bottom w:val="nil"/>
              <w:right w:val="nil"/>
            </w:tcBorders>
            <w:shd w:val="clear" w:color="auto" w:fill="auto"/>
            <w:noWrap/>
            <w:vAlign w:val="center"/>
            <w:hideMark/>
          </w:tcPr>
          <w:p w14:paraId="34646B16" w14:textId="77777777" w:rsidR="005F17A0" w:rsidRPr="003F5663" w:rsidRDefault="005F17A0" w:rsidP="00245F95">
            <w:pPr>
              <w:spacing w:after="0" w:line="240" w:lineRule="auto"/>
              <w:jc w:val="center"/>
              <w:rPr>
                <w:rFonts w:cs="Arial"/>
                <w:color w:val="000000"/>
                <w:sz w:val="16"/>
                <w:szCs w:val="16"/>
              </w:rPr>
            </w:pPr>
            <w:r w:rsidRPr="00C459A3">
              <w:rPr>
                <w:rFonts w:cs="Arial"/>
                <w:color w:val="000000"/>
                <w:sz w:val="16"/>
                <w:szCs w:val="16"/>
              </w:rPr>
              <w:t>44,8</w:t>
            </w:r>
          </w:p>
        </w:tc>
        <w:tc>
          <w:tcPr>
            <w:tcW w:w="787" w:type="dxa"/>
            <w:tcBorders>
              <w:top w:val="nil"/>
              <w:left w:val="nil"/>
              <w:bottom w:val="nil"/>
              <w:right w:val="nil"/>
            </w:tcBorders>
            <w:shd w:val="clear" w:color="auto" w:fill="auto"/>
            <w:noWrap/>
            <w:vAlign w:val="center"/>
            <w:hideMark/>
          </w:tcPr>
          <w:p w14:paraId="0B6D0B94" w14:textId="77777777" w:rsidR="005F17A0" w:rsidRPr="003F5663" w:rsidRDefault="005F17A0" w:rsidP="00245F95">
            <w:pPr>
              <w:spacing w:after="0" w:line="240" w:lineRule="auto"/>
              <w:jc w:val="center"/>
              <w:rPr>
                <w:rFonts w:cs="Arial"/>
                <w:color w:val="000000"/>
                <w:sz w:val="16"/>
                <w:szCs w:val="16"/>
              </w:rPr>
            </w:pPr>
            <w:r w:rsidRPr="00C459A3">
              <w:rPr>
                <w:rFonts w:cs="Arial"/>
                <w:color w:val="000000"/>
                <w:sz w:val="16"/>
                <w:szCs w:val="16"/>
              </w:rPr>
              <w:t>45,2</w:t>
            </w:r>
          </w:p>
        </w:tc>
        <w:tc>
          <w:tcPr>
            <w:tcW w:w="787" w:type="dxa"/>
            <w:tcBorders>
              <w:top w:val="nil"/>
              <w:left w:val="nil"/>
              <w:bottom w:val="nil"/>
              <w:right w:val="nil"/>
            </w:tcBorders>
            <w:shd w:val="clear" w:color="auto" w:fill="auto"/>
            <w:noWrap/>
            <w:vAlign w:val="center"/>
            <w:hideMark/>
          </w:tcPr>
          <w:p w14:paraId="7161E569" w14:textId="77777777" w:rsidR="005F17A0" w:rsidRPr="003F5663" w:rsidRDefault="005F17A0" w:rsidP="00245F95">
            <w:pPr>
              <w:spacing w:after="0" w:line="240" w:lineRule="auto"/>
              <w:jc w:val="center"/>
              <w:rPr>
                <w:rFonts w:cs="Arial"/>
                <w:color w:val="000000"/>
                <w:sz w:val="16"/>
                <w:szCs w:val="16"/>
              </w:rPr>
            </w:pPr>
            <w:r w:rsidRPr="00C459A3">
              <w:rPr>
                <w:rFonts w:cs="Arial"/>
                <w:color w:val="000000"/>
                <w:sz w:val="16"/>
                <w:szCs w:val="16"/>
              </w:rPr>
              <w:t>44,3</w:t>
            </w:r>
          </w:p>
        </w:tc>
        <w:tc>
          <w:tcPr>
            <w:tcW w:w="787" w:type="dxa"/>
            <w:tcBorders>
              <w:top w:val="nil"/>
              <w:left w:val="nil"/>
              <w:bottom w:val="nil"/>
              <w:right w:val="nil"/>
            </w:tcBorders>
            <w:shd w:val="clear" w:color="auto" w:fill="auto"/>
            <w:noWrap/>
            <w:vAlign w:val="center"/>
            <w:hideMark/>
          </w:tcPr>
          <w:p w14:paraId="53AAD345" w14:textId="77777777" w:rsidR="005F17A0" w:rsidRPr="003F5663" w:rsidRDefault="005F17A0" w:rsidP="00245F95">
            <w:pPr>
              <w:spacing w:after="0" w:line="240" w:lineRule="auto"/>
              <w:jc w:val="center"/>
              <w:rPr>
                <w:rFonts w:cs="Arial"/>
                <w:color w:val="000000"/>
                <w:sz w:val="16"/>
                <w:szCs w:val="16"/>
              </w:rPr>
            </w:pPr>
            <w:r w:rsidRPr="00C459A3">
              <w:rPr>
                <w:rFonts w:cs="Arial"/>
                <w:color w:val="000000"/>
                <w:sz w:val="16"/>
                <w:szCs w:val="16"/>
              </w:rPr>
              <w:t>43,0</w:t>
            </w:r>
          </w:p>
        </w:tc>
        <w:tc>
          <w:tcPr>
            <w:tcW w:w="787" w:type="dxa"/>
            <w:tcBorders>
              <w:top w:val="nil"/>
              <w:left w:val="nil"/>
              <w:bottom w:val="nil"/>
              <w:right w:val="nil"/>
            </w:tcBorders>
            <w:shd w:val="clear" w:color="auto" w:fill="auto"/>
            <w:noWrap/>
            <w:vAlign w:val="center"/>
            <w:hideMark/>
          </w:tcPr>
          <w:p w14:paraId="5B77EE15" w14:textId="77777777" w:rsidR="005F17A0" w:rsidRPr="003F5663" w:rsidRDefault="005F17A0" w:rsidP="00245F95">
            <w:pPr>
              <w:spacing w:after="0" w:line="240" w:lineRule="auto"/>
              <w:jc w:val="center"/>
              <w:rPr>
                <w:rFonts w:cs="Arial"/>
                <w:color w:val="000000"/>
                <w:sz w:val="16"/>
                <w:szCs w:val="16"/>
              </w:rPr>
            </w:pPr>
            <w:r w:rsidRPr="00C459A3">
              <w:rPr>
                <w:rFonts w:cs="Arial"/>
                <w:color w:val="000000"/>
                <w:sz w:val="16"/>
                <w:szCs w:val="16"/>
              </w:rPr>
              <w:t>43,6</w:t>
            </w:r>
          </w:p>
        </w:tc>
        <w:tc>
          <w:tcPr>
            <w:tcW w:w="787" w:type="dxa"/>
            <w:tcBorders>
              <w:top w:val="nil"/>
              <w:left w:val="nil"/>
              <w:bottom w:val="nil"/>
              <w:right w:val="nil"/>
            </w:tcBorders>
            <w:shd w:val="clear" w:color="auto" w:fill="auto"/>
            <w:noWrap/>
            <w:vAlign w:val="center"/>
            <w:hideMark/>
          </w:tcPr>
          <w:p w14:paraId="22F58AAD" w14:textId="77777777" w:rsidR="005F17A0" w:rsidRPr="003F5663" w:rsidRDefault="005F17A0" w:rsidP="00245F95">
            <w:pPr>
              <w:spacing w:after="0" w:line="240" w:lineRule="auto"/>
              <w:jc w:val="center"/>
              <w:rPr>
                <w:rFonts w:cs="Arial"/>
                <w:color w:val="000000"/>
                <w:sz w:val="16"/>
                <w:szCs w:val="16"/>
              </w:rPr>
            </w:pPr>
            <w:r w:rsidRPr="00C459A3">
              <w:rPr>
                <w:rFonts w:cs="Arial"/>
                <w:color w:val="000000"/>
                <w:sz w:val="16"/>
                <w:szCs w:val="16"/>
              </w:rPr>
              <w:t>40,9</w:t>
            </w:r>
          </w:p>
        </w:tc>
        <w:tc>
          <w:tcPr>
            <w:tcW w:w="787" w:type="dxa"/>
            <w:tcBorders>
              <w:top w:val="nil"/>
              <w:left w:val="nil"/>
              <w:bottom w:val="nil"/>
              <w:right w:val="nil"/>
            </w:tcBorders>
            <w:shd w:val="clear" w:color="auto" w:fill="auto"/>
            <w:noWrap/>
            <w:vAlign w:val="center"/>
            <w:hideMark/>
          </w:tcPr>
          <w:p w14:paraId="40D5C9AB" w14:textId="77777777" w:rsidR="005F17A0" w:rsidRPr="003F5663" w:rsidRDefault="005F17A0" w:rsidP="00245F95">
            <w:pPr>
              <w:spacing w:after="0" w:line="240" w:lineRule="auto"/>
              <w:jc w:val="center"/>
              <w:rPr>
                <w:rFonts w:cs="Arial"/>
                <w:color w:val="000000"/>
                <w:sz w:val="16"/>
                <w:szCs w:val="16"/>
              </w:rPr>
            </w:pPr>
            <w:r w:rsidRPr="00C459A3">
              <w:rPr>
                <w:rFonts w:cs="Arial"/>
                <w:color w:val="000000"/>
                <w:sz w:val="16"/>
                <w:szCs w:val="16"/>
              </w:rPr>
              <w:t>35,9</w:t>
            </w:r>
          </w:p>
        </w:tc>
        <w:tc>
          <w:tcPr>
            <w:tcW w:w="787" w:type="dxa"/>
            <w:tcBorders>
              <w:top w:val="nil"/>
              <w:left w:val="nil"/>
              <w:bottom w:val="nil"/>
              <w:right w:val="nil"/>
            </w:tcBorders>
            <w:shd w:val="clear" w:color="auto" w:fill="auto"/>
            <w:noWrap/>
            <w:vAlign w:val="center"/>
            <w:hideMark/>
          </w:tcPr>
          <w:p w14:paraId="64A66F26" w14:textId="77777777" w:rsidR="005F17A0" w:rsidRPr="003F5663" w:rsidRDefault="005F17A0" w:rsidP="00245F95">
            <w:pPr>
              <w:spacing w:after="0" w:line="240" w:lineRule="auto"/>
              <w:jc w:val="center"/>
              <w:rPr>
                <w:rFonts w:cs="Arial"/>
                <w:color w:val="000000"/>
                <w:sz w:val="16"/>
                <w:szCs w:val="16"/>
              </w:rPr>
            </w:pPr>
            <w:r w:rsidRPr="00C459A3">
              <w:rPr>
                <w:rFonts w:cs="Arial"/>
                <w:color w:val="000000"/>
                <w:sz w:val="16"/>
                <w:szCs w:val="16"/>
              </w:rPr>
              <w:t>26,6</w:t>
            </w:r>
          </w:p>
        </w:tc>
        <w:tc>
          <w:tcPr>
            <w:tcW w:w="787" w:type="dxa"/>
            <w:tcBorders>
              <w:top w:val="nil"/>
              <w:left w:val="nil"/>
              <w:bottom w:val="nil"/>
              <w:right w:val="nil"/>
            </w:tcBorders>
            <w:vAlign w:val="center"/>
          </w:tcPr>
          <w:p w14:paraId="6002F053" w14:textId="77777777" w:rsidR="005F17A0" w:rsidRPr="00C459A3" w:rsidRDefault="005F17A0" w:rsidP="00245F95">
            <w:pPr>
              <w:spacing w:after="0" w:line="240" w:lineRule="auto"/>
              <w:jc w:val="center"/>
              <w:rPr>
                <w:rFonts w:cs="Arial"/>
                <w:color w:val="000000"/>
                <w:sz w:val="16"/>
                <w:szCs w:val="16"/>
              </w:rPr>
            </w:pPr>
            <w:r>
              <w:rPr>
                <w:rFonts w:cs="Arial"/>
                <w:color w:val="000000"/>
                <w:sz w:val="16"/>
                <w:szCs w:val="16"/>
              </w:rPr>
              <w:t>31,0</w:t>
            </w:r>
          </w:p>
        </w:tc>
      </w:tr>
    </w:tbl>
    <w:p w14:paraId="5579CB9F" w14:textId="77777777" w:rsidR="005F17A0" w:rsidRDefault="005F17A0" w:rsidP="005F17A0">
      <w:pPr>
        <w:spacing w:before="120" w:after="120" w:line="240" w:lineRule="auto"/>
        <w:jc w:val="both"/>
        <w:rPr>
          <w:rFonts w:cs="Arial"/>
          <w:color w:val="000000"/>
          <w:sz w:val="16"/>
          <w:szCs w:val="16"/>
        </w:rPr>
      </w:pPr>
      <w:r>
        <w:t xml:space="preserve"> </w:t>
      </w:r>
      <w:r>
        <w:rPr>
          <w:rFonts w:cs="Arial"/>
          <w:color w:val="000000"/>
          <w:sz w:val="16"/>
          <w:szCs w:val="16"/>
        </w:rPr>
        <w:t>* Údaje za rok 2022 nejsou srovnatelné s údaji za ostatní roky.</w:t>
      </w:r>
    </w:p>
    <w:p w14:paraId="3C856CC0" w14:textId="77777777" w:rsidR="005F17A0" w:rsidRDefault="005F17A0" w:rsidP="005F17A0">
      <w:pPr>
        <w:spacing w:before="120" w:after="120" w:line="240" w:lineRule="auto"/>
        <w:jc w:val="both"/>
        <w:rPr>
          <w:rFonts w:cs="Arial"/>
          <w:color w:val="000000"/>
          <w:sz w:val="16"/>
          <w:szCs w:val="16"/>
        </w:rPr>
      </w:pPr>
      <w:r w:rsidRPr="00554433">
        <w:rPr>
          <w:rFonts w:cs="Arial"/>
          <w:color w:val="000000"/>
          <w:sz w:val="16"/>
          <w:szCs w:val="16"/>
        </w:rPr>
        <w:t>Zdroj: ČSÚ</w:t>
      </w:r>
    </w:p>
    <w:p w14:paraId="65531F9B" w14:textId="50879767" w:rsidR="00FC18CE" w:rsidRDefault="009C0EB6" w:rsidP="009C0EB6">
      <w:pPr>
        <w:spacing w:before="120" w:after="120"/>
        <w:jc w:val="both"/>
      </w:pPr>
      <w:r w:rsidRPr="00251BF8">
        <w:t xml:space="preserve">Jak již bylo zmíněno výše, dočasná pracovní neschopnost v roce 2023 trvala v průměru 31 dnů. </w:t>
      </w:r>
      <w:r w:rsidRPr="00251BF8">
        <w:rPr>
          <w:b/>
        </w:rPr>
        <w:t xml:space="preserve">Odvětvím </w:t>
      </w:r>
      <w:r w:rsidRPr="00251BF8">
        <w:t>s</w:t>
      </w:r>
      <w:r w:rsidR="009369EC">
        <w:t> </w:t>
      </w:r>
      <w:r w:rsidRPr="00251BF8">
        <w:t>nejvyšší průměrnou délkou trvání případu bylo Zemědělství, lesnictví, rybářství (45 dnů) spolu se sekcemi </w:t>
      </w:r>
      <w:r w:rsidRPr="00FC18CE">
        <w:t>Ubytování, stravování a pohostinství</w:t>
      </w:r>
      <w:r w:rsidRPr="00251BF8">
        <w:t xml:space="preserve"> a Stavebnictví (43, resp. 42 dnů). Více než 40denní neschopnost dále vykazovala sekce Těžba a dobývání.</w:t>
      </w:r>
    </w:p>
    <w:p w14:paraId="2C978FD0" w14:textId="77777777" w:rsidR="00FC18CE" w:rsidRDefault="00FC18CE">
      <w:pPr>
        <w:spacing w:after="0" w:line="240" w:lineRule="auto"/>
      </w:pPr>
      <w:r>
        <w:br w:type="page"/>
      </w:r>
    </w:p>
    <w:p w14:paraId="0B7756DE" w14:textId="63F5BDB8" w:rsidR="009C0EB6" w:rsidRPr="009C0EB6" w:rsidRDefault="009C0EB6" w:rsidP="009C0EB6">
      <w:pPr>
        <w:spacing w:after="0" w:line="240" w:lineRule="auto"/>
        <w:jc w:val="both"/>
        <w:rPr>
          <w:rFonts w:cs="Arial"/>
          <w:b/>
          <w:bCs/>
          <w:color w:val="000000"/>
          <w:szCs w:val="20"/>
        </w:rPr>
      </w:pPr>
      <w:r w:rsidRPr="009C0EB6">
        <w:rPr>
          <w:rFonts w:cs="Arial"/>
          <w:b/>
          <w:bCs/>
          <w:color w:val="000000"/>
          <w:szCs w:val="20"/>
        </w:rPr>
        <w:lastRenderedPageBreak/>
        <w:t>Graf 2.</w:t>
      </w:r>
      <w:r>
        <w:rPr>
          <w:rFonts w:cs="Arial"/>
          <w:b/>
          <w:bCs/>
          <w:color w:val="000000"/>
          <w:szCs w:val="20"/>
        </w:rPr>
        <w:t>9</w:t>
      </w:r>
      <w:r w:rsidRPr="009C0EB6">
        <w:rPr>
          <w:rFonts w:cs="Arial"/>
          <w:b/>
          <w:bCs/>
          <w:color w:val="000000"/>
          <w:szCs w:val="20"/>
        </w:rPr>
        <w:t>: Průměrná délka trvání dočasné pracovní neschopnosti podle odvětví (sekce CZ-NACE), 2023</w:t>
      </w:r>
    </w:p>
    <w:p w14:paraId="26735BF1" w14:textId="6E5C8013" w:rsidR="009C0EB6" w:rsidRPr="0001459D" w:rsidRDefault="009C0EB6" w:rsidP="009C0EB6">
      <w:pPr>
        <w:spacing w:before="120" w:after="120"/>
        <w:jc w:val="both"/>
      </w:pPr>
      <w:r>
        <w:rPr>
          <w:noProof/>
        </w:rPr>
        <w:drawing>
          <wp:inline distT="0" distB="0" distL="0" distR="0" wp14:anchorId="6DAA39EF" wp14:editId="78E347A0">
            <wp:extent cx="6120130" cy="4208145"/>
            <wp:effectExtent l="0" t="0" r="13970" b="1905"/>
            <wp:docPr id="32"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D5B237E" w14:textId="77777777" w:rsidR="009C0EB6" w:rsidRDefault="009C0EB6" w:rsidP="009C0EB6">
      <w:pPr>
        <w:spacing w:before="120" w:after="120" w:line="240" w:lineRule="auto"/>
        <w:jc w:val="both"/>
        <w:rPr>
          <w:rFonts w:cs="Arial"/>
          <w:color w:val="000000"/>
          <w:sz w:val="16"/>
          <w:szCs w:val="16"/>
        </w:rPr>
      </w:pPr>
      <w:r w:rsidRPr="00554433">
        <w:rPr>
          <w:rFonts w:cs="Arial"/>
          <w:color w:val="000000"/>
          <w:sz w:val="16"/>
          <w:szCs w:val="16"/>
        </w:rPr>
        <w:t>Zdroj: ČSÚ</w:t>
      </w:r>
    </w:p>
    <w:p w14:paraId="25E91514" w14:textId="1AC39927" w:rsidR="009C0EB6" w:rsidRDefault="009C0EB6" w:rsidP="009C0EB6">
      <w:pPr>
        <w:spacing w:before="120" w:after="120"/>
        <w:jc w:val="both"/>
      </w:pPr>
      <w:r w:rsidRPr="00251BF8">
        <w:t>Nejkratší doba (18, resp. 20</w:t>
      </w:r>
      <w:r w:rsidR="00797463" w:rsidRPr="00251BF8">
        <w:t xml:space="preserve"> </w:t>
      </w:r>
      <w:r w:rsidRPr="00251BF8">
        <w:t>dnů) připadala na pracovní neschopnost v odvětví Informační a komunikační činnosti a Vzdělávání. Dalším odvětvím s poměrně nízkou průměrnou délkou pracovní neschopnosti byla sekce Peněžnictví a pojišťovnictví (22 dnů). Podrobněji viz graf 2.9 a tab. 2.</w:t>
      </w:r>
      <w:r w:rsidR="001010F1" w:rsidRPr="00251BF8">
        <w:t>5</w:t>
      </w:r>
      <w:r w:rsidRPr="00251BF8">
        <w:t>.</w:t>
      </w:r>
    </w:p>
    <w:p w14:paraId="4B4F971A" w14:textId="2792A4F1" w:rsidR="003D7FCF" w:rsidRPr="00E26CDE" w:rsidRDefault="003D7FCF" w:rsidP="009C0EB6">
      <w:pPr>
        <w:spacing w:after="120"/>
        <w:jc w:val="both"/>
      </w:pPr>
      <w:r>
        <w:t xml:space="preserve">Oproti roku 2019 </w:t>
      </w:r>
      <w:r w:rsidR="009369EC">
        <w:t>došlo k poklesu ve všech odvětvových sekcích</w:t>
      </w:r>
      <w:r w:rsidR="00B920BC">
        <w:t>, v průměru to bylo o 11 dnů (o čtvrtinu)</w:t>
      </w:r>
      <w:r w:rsidR="009369EC">
        <w:t>. Nejvíce v sekci</w:t>
      </w:r>
      <w:r>
        <w:t xml:space="preserve"> Zdravotní a sociální péč</w:t>
      </w:r>
      <w:r w:rsidR="00D05A05">
        <w:t>e</w:t>
      </w:r>
      <w:r w:rsidR="009369EC">
        <w:t>, a</w:t>
      </w:r>
      <w:r w:rsidR="00B920BC">
        <w:t> </w:t>
      </w:r>
      <w:r w:rsidR="009369EC">
        <w:t>sice</w:t>
      </w:r>
      <w:r>
        <w:t xml:space="preserve"> o 14 dnů (</w:t>
      </w:r>
      <w:r w:rsidR="0056643C">
        <w:t>30 %)</w:t>
      </w:r>
      <w:r w:rsidR="009369EC">
        <w:t>. Největší relativní pokles byl zaznamenán</w:t>
      </w:r>
      <w:r w:rsidR="0056643C">
        <w:t xml:space="preserve"> v</w:t>
      </w:r>
      <w:r w:rsidR="00957C5B">
        <w:t> </w:t>
      </w:r>
      <w:r w:rsidR="009369EC">
        <w:t xml:space="preserve">sekci Vzdělávání </w:t>
      </w:r>
      <w:r>
        <w:t xml:space="preserve">o </w:t>
      </w:r>
      <w:r w:rsidR="0056643C">
        <w:t>36 %</w:t>
      </w:r>
      <w:r w:rsidR="009369EC">
        <w:t>, což představuje zkrácení o 11 dnů</w:t>
      </w:r>
      <w:r w:rsidR="00B920BC">
        <w:t>.</w:t>
      </w:r>
    </w:p>
    <w:p w14:paraId="023BED5E" w14:textId="77777777" w:rsidR="00B920BC" w:rsidRPr="00251BF8" w:rsidRDefault="00B920BC" w:rsidP="00B920BC">
      <w:pPr>
        <w:spacing w:before="120" w:after="120"/>
        <w:jc w:val="both"/>
      </w:pPr>
      <w:r w:rsidRPr="00251BF8">
        <w:rPr>
          <w:b/>
        </w:rPr>
        <w:t>Osoby samostatně výdělečně činné (OSVČ)</w:t>
      </w:r>
      <w:r w:rsidRPr="00251BF8">
        <w:t xml:space="preserve"> nastupují do pracovní neschopnosti méně často než zaměstnanci (15 případů na 100 </w:t>
      </w:r>
      <w:proofErr w:type="spellStart"/>
      <w:r w:rsidRPr="00251BF8">
        <w:t>nemocensky</w:t>
      </w:r>
      <w:proofErr w:type="spellEnd"/>
      <w:r w:rsidRPr="00251BF8">
        <w:t xml:space="preserve"> pojištěných OSVČ vs. 54 případů u zaměstnanců v roce 2023). Pokud jsou však ze zdravotních důvodů z výkonu práce indisponováni, průměrná délka jejich pracovní neschopnosti značně převyšuje ostatní sledované kategorie velikosti podniku (podle počtu zaměstnanců; viz graf 2.10).</w:t>
      </w:r>
    </w:p>
    <w:p w14:paraId="500DCF38" w14:textId="41DDEA6B" w:rsidR="00B920BC" w:rsidRPr="00251BF8" w:rsidRDefault="00B920BC" w:rsidP="00B920BC">
      <w:pPr>
        <w:spacing w:before="120" w:after="120"/>
        <w:jc w:val="both"/>
      </w:pPr>
      <w:r w:rsidRPr="00251BF8">
        <w:t xml:space="preserve">Dočasná pracovní neschopnost OSVČ v roce 2023 trvala průměrně 100 dní. Delší doba trvání pracovní neschopnosti u OSVČ může souviset se skutečností, že tato skupina pojištěnců v době prvních 14 dnů pracovní neschopnosti není finančně zabezpečena jako ostatní pojištěnci, je jim vypláceno až nemocenské od 15. dne. Vzhledem k tomuto faktu pak krátkodobé případy lehčích forem nemocí neřeší pracovní neschopností, tu si nechávají vystavit až při onemocnění vážnější chorobou, která si pak vyžádá dlouhodobější pracovní neschopnost. </w:t>
      </w:r>
      <w:r w:rsidR="00D05A05">
        <w:t xml:space="preserve">I proto se u OSVČ v porovnání se zaměstnanci tolik neliší délka trvání pracovní neschopnosti z důvodu nemoci a úrazu. </w:t>
      </w:r>
      <w:r w:rsidRPr="00251BF8">
        <w:t>Další možností, kterou OSVČ mohou využít, je sjednání pojištění pracovní neschopnosti u soukromých pojišťoven v rámci životního pojištění. Tomu se však tato publikace nevěnuje.</w:t>
      </w:r>
    </w:p>
    <w:p w14:paraId="66CF78B9" w14:textId="0DC9367D" w:rsidR="00C8357C" w:rsidRDefault="00B920BC" w:rsidP="00D05A05">
      <w:pPr>
        <w:spacing w:before="120" w:after="120"/>
        <w:jc w:val="both"/>
        <w:rPr>
          <w:b/>
          <w:bCs/>
          <w:spacing w:val="-5"/>
        </w:rPr>
      </w:pPr>
      <w:r w:rsidRPr="00251BF8">
        <w:t>U zaměstnanců byla průměrná délka pracovní neschopnosti (bez ohledu na příčinu) ve srovnání s OSVČ zhruba třetinová (31 dnů). Nejdelší zaznamenaly malé podniky mající do 49 zaměstnanců (36 dnů). V ostatních velikostních kategoriích se tato hodnota pohybovala okolo 30 dnů.</w:t>
      </w:r>
      <w:r w:rsidR="00C8357C">
        <w:rPr>
          <w:b/>
          <w:bCs/>
          <w:spacing w:val="-5"/>
        </w:rPr>
        <w:br w:type="page"/>
      </w:r>
    </w:p>
    <w:p w14:paraId="0391A795" w14:textId="7D29052A" w:rsidR="007F25C1" w:rsidRPr="00986950" w:rsidRDefault="007F25C1" w:rsidP="007F25C1">
      <w:pPr>
        <w:spacing w:before="120" w:after="0"/>
        <w:jc w:val="both"/>
        <w:rPr>
          <w:rFonts w:cs="Arial"/>
          <w:color w:val="000000"/>
          <w:spacing w:val="-5"/>
          <w:sz w:val="16"/>
          <w:szCs w:val="16"/>
        </w:rPr>
      </w:pPr>
      <w:r w:rsidRPr="00986950">
        <w:rPr>
          <w:b/>
          <w:bCs/>
          <w:spacing w:val="-5"/>
        </w:rPr>
        <w:lastRenderedPageBreak/>
        <w:t>Tab. 2.</w:t>
      </w:r>
      <w:r w:rsidR="00797463">
        <w:rPr>
          <w:b/>
          <w:bCs/>
          <w:spacing w:val="-5"/>
        </w:rPr>
        <w:t>5</w:t>
      </w:r>
      <w:r w:rsidRPr="00986950">
        <w:rPr>
          <w:b/>
          <w:bCs/>
          <w:spacing w:val="-5"/>
        </w:rPr>
        <w:t>: Průměrná délka trvání dočasné pracovní neschopnosti podle odvětví (sekce CZ-NACE), 201</w:t>
      </w:r>
      <w:r>
        <w:rPr>
          <w:b/>
          <w:bCs/>
          <w:spacing w:val="-5"/>
        </w:rPr>
        <w:t>3–2023</w:t>
      </w:r>
      <w:r w:rsidRPr="00986950">
        <w:rPr>
          <w:rFonts w:cs="Arial"/>
          <w:color w:val="000000"/>
          <w:spacing w:val="-5"/>
          <w:sz w:val="16"/>
          <w:szCs w:val="16"/>
        </w:rPr>
        <w:t xml:space="preserve"> </w:t>
      </w:r>
    </w:p>
    <w:tbl>
      <w:tblPr>
        <w:tblW w:w="9638" w:type="dxa"/>
        <w:tblCellMar>
          <w:left w:w="70" w:type="dxa"/>
          <w:right w:w="70" w:type="dxa"/>
        </w:tblCellMar>
        <w:tblLook w:val="04A0" w:firstRow="1" w:lastRow="0" w:firstColumn="1" w:lastColumn="0" w:noHBand="0" w:noVBand="1"/>
      </w:tblPr>
      <w:tblGrid>
        <w:gridCol w:w="3401"/>
        <w:gridCol w:w="567"/>
        <w:gridCol w:w="567"/>
        <w:gridCol w:w="567"/>
        <w:gridCol w:w="567"/>
        <w:gridCol w:w="567"/>
        <w:gridCol w:w="567"/>
        <w:gridCol w:w="567"/>
        <w:gridCol w:w="567"/>
        <w:gridCol w:w="567"/>
        <w:gridCol w:w="567"/>
        <w:gridCol w:w="567"/>
      </w:tblGrid>
      <w:tr w:rsidR="007F25C1" w:rsidRPr="00986950" w14:paraId="2F1C9076" w14:textId="106F7BFD" w:rsidTr="00245F95">
        <w:trPr>
          <w:trHeight w:val="300"/>
        </w:trPr>
        <w:tc>
          <w:tcPr>
            <w:tcW w:w="3401" w:type="dxa"/>
            <w:tcBorders>
              <w:top w:val="single" w:sz="4" w:space="0" w:color="auto"/>
              <w:left w:val="nil"/>
              <w:bottom w:val="single" w:sz="4" w:space="0" w:color="auto"/>
              <w:right w:val="single" w:sz="4" w:space="0" w:color="auto"/>
            </w:tcBorders>
            <w:shd w:val="clear" w:color="000000" w:fill="F5DADD"/>
            <w:vAlign w:val="center"/>
            <w:hideMark/>
          </w:tcPr>
          <w:p w14:paraId="05D6BD53"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Sekce CZ-NACE</w:t>
            </w:r>
          </w:p>
        </w:tc>
        <w:tc>
          <w:tcPr>
            <w:tcW w:w="567" w:type="dxa"/>
            <w:tcBorders>
              <w:top w:val="single" w:sz="4" w:space="0" w:color="auto"/>
              <w:left w:val="nil"/>
              <w:bottom w:val="single" w:sz="4" w:space="0" w:color="auto"/>
              <w:right w:val="nil"/>
            </w:tcBorders>
            <w:shd w:val="clear" w:color="000000" w:fill="F5DADD"/>
            <w:noWrap/>
            <w:vAlign w:val="center"/>
            <w:hideMark/>
          </w:tcPr>
          <w:p w14:paraId="4F3D5DF0"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2013</w:t>
            </w:r>
          </w:p>
        </w:tc>
        <w:tc>
          <w:tcPr>
            <w:tcW w:w="567" w:type="dxa"/>
            <w:tcBorders>
              <w:top w:val="single" w:sz="4" w:space="0" w:color="auto"/>
              <w:left w:val="nil"/>
              <w:bottom w:val="single" w:sz="4" w:space="0" w:color="auto"/>
              <w:right w:val="nil"/>
            </w:tcBorders>
            <w:shd w:val="clear" w:color="000000" w:fill="F5DADD"/>
            <w:noWrap/>
            <w:vAlign w:val="center"/>
            <w:hideMark/>
          </w:tcPr>
          <w:p w14:paraId="00499DA1"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2014</w:t>
            </w:r>
          </w:p>
        </w:tc>
        <w:tc>
          <w:tcPr>
            <w:tcW w:w="567" w:type="dxa"/>
            <w:tcBorders>
              <w:top w:val="single" w:sz="4" w:space="0" w:color="auto"/>
              <w:left w:val="nil"/>
              <w:bottom w:val="single" w:sz="4" w:space="0" w:color="auto"/>
              <w:right w:val="nil"/>
            </w:tcBorders>
            <w:shd w:val="clear" w:color="000000" w:fill="F5DADD"/>
            <w:noWrap/>
            <w:vAlign w:val="center"/>
            <w:hideMark/>
          </w:tcPr>
          <w:p w14:paraId="2330CA02"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2015</w:t>
            </w:r>
          </w:p>
        </w:tc>
        <w:tc>
          <w:tcPr>
            <w:tcW w:w="567" w:type="dxa"/>
            <w:tcBorders>
              <w:top w:val="single" w:sz="4" w:space="0" w:color="auto"/>
              <w:left w:val="nil"/>
              <w:bottom w:val="single" w:sz="4" w:space="0" w:color="auto"/>
              <w:right w:val="nil"/>
            </w:tcBorders>
            <w:shd w:val="clear" w:color="000000" w:fill="F5DADD"/>
            <w:noWrap/>
            <w:vAlign w:val="center"/>
            <w:hideMark/>
          </w:tcPr>
          <w:p w14:paraId="21C28220"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2016</w:t>
            </w:r>
          </w:p>
        </w:tc>
        <w:tc>
          <w:tcPr>
            <w:tcW w:w="567" w:type="dxa"/>
            <w:tcBorders>
              <w:top w:val="single" w:sz="4" w:space="0" w:color="auto"/>
              <w:left w:val="nil"/>
              <w:bottom w:val="single" w:sz="4" w:space="0" w:color="auto"/>
              <w:right w:val="nil"/>
            </w:tcBorders>
            <w:shd w:val="clear" w:color="000000" w:fill="F5DADD"/>
            <w:noWrap/>
            <w:vAlign w:val="center"/>
            <w:hideMark/>
          </w:tcPr>
          <w:p w14:paraId="3E06CDDB"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2017</w:t>
            </w:r>
          </w:p>
        </w:tc>
        <w:tc>
          <w:tcPr>
            <w:tcW w:w="567" w:type="dxa"/>
            <w:tcBorders>
              <w:top w:val="single" w:sz="4" w:space="0" w:color="auto"/>
              <w:left w:val="nil"/>
              <w:bottom w:val="single" w:sz="4" w:space="0" w:color="auto"/>
              <w:right w:val="nil"/>
            </w:tcBorders>
            <w:shd w:val="clear" w:color="000000" w:fill="F5DADD"/>
            <w:noWrap/>
            <w:vAlign w:val="center"/>
            <w:hideMark/>
          </w:tcPr>
          <w:p w14:paraId="2614284C"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2018</w:t>
            </w:r>
          </w:p>
        </w:tc>
        <w:tc>
          <w:tcPr>
            <w:tcW w:w="567" w:type="dxa"/>
            <w:tcBorders>
              <w:top w:val="single" w:sz="4" w:space="0" w:color="auto"/>
              <w:left w:val="nil"/>
              <w:bottom w:val="single" w:sz="4" w:space="0" w:color="auto"/>
              <w:right w:val="nil"/>
            </w:tcBorders>
            <w:shd w:val="clear" w:color="000000" w:fill="F5DADD"/>
            <w:noWrap/>
            <w:vAlign w:val="center"/>
            <w:hideMark/>
          </w:tcPr>
          <w:p w14:paraId="6E5AA800"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2019</w:t>
            </w:r>
          </w:p>
        </w:tc>
        <w:tc>
          <w:tcPr>
            <w:tcW w:w="567" w:type="dxa"/>
            <w:tcBorders>
              <w:top w:val="single" w:sz="4" w:space="0" w:color="auto"/>
              <w:left w:val="nil"/>
              <w:bottom w:val="single" w:sz="4" w:space="0" w:color="auto"/>
              <w:right w:val="nil"/>
            </w:tcBorders>
            <w:shd w:val="clear" w:color="000000" w:fill="F5DADD"/>
            <w:noWrap/>
            <w:vAlign w:val="center"/>
            <w:hideMark/>
          </w:tcPr>
          <w:p w14:paraId="26EBF147"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2020</w:t>
            </w:r>
          </w:p>
        </w:tc>
        <w:tc>
          <w:tcPr>
            <w:tcW w:w="567" w:type="dxa"/>
            <w:tcBorders>
              <w:top w:val="single" w:sz="4" w:space="0" w:color="auto"/>
              <w:bottom w:val="single" w:sz="4" w:space="0" w:color="auto"/>
            </w:tcBorders>
            <w:shd w:val="clear" w:color="auto" w:fill="F5DADD"/>
            <w:vAlign w:val="center"/>
          </w:tcPr>
          <w:p w14:paraId="4493EC36" w14:textId="77777777" w:rsidR="007F25C1" w:rsidRPr="00986950" w:rsidRDefault="007F25C1" w:rsidP="007F25C1">
            <w:pPr>
              <w:spacing w:after="0" w:line="240" w:lineRule="auto"/>
              <w:jc w:val="center"/>
            </w:pPr>
            <w:r w:rsidRPr="00986950">
              <w:rPr>
                <w:rFonts w:cs="Arial"/>
                <w:color w:val="000000"/>
                <w:sz w:val="16"/>
                <w:szCs w:val="16"/>
              </w:rPr>
              <w:t>2021</w:t>
            </w:r>
          </w:p>
        </w:tc>
        <w:tc>
          <w:tcPr>
            <w:tcW w:w="567" w:type="dxa"/>
            <w:tcBorders>
              <w:top w:val="single" w:sz="4" w:space="0" w:color="auto"/>
              <w:bottom w:val="single" w:sz="4" w:space="0" w:color="auto"/>
            </w:tcBorders>
            <w:shd w:val="clear" w:color="auto" w:fill="F5DADD"/>
            <w:vAlign w:val="center"/>
          </w:tcPr>
          <w:p w14:paraId="79D9AF07" w14:textId="63E5995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2022</w:t>
            </w:r>
            <w:r>
              <w:rPr>
                <w:rFonts w:cs="Arial"/>
                <w:color w:val="000000"/>
                <w:sz w:val="16"/>
                <w:szCs w:val="16"/>
              </w:rPr>
              <w:t>*</w:t>
            </w:r>
          </w:p>
        </w:tc>
        <w:tc>
          <w:tcPr>
            <w:tcW w:w="567" w:type="dxa"/>
            <w:tcBorders>
              <w:top w:val="single" w:sz="4" w:space="0" w:color="auto"/>
              <w:bottom w:val="single" w:sz="4" w:space="0" w:color="auto"/>
            </w:tcBorders>
            <w:shd w:val="clear" w:color="auto" w:fill="F5DADD"/>
            <w:vAlign w:val="center"/>
          </w:tcPr>
          <w:p w14:paraId="1FF443FF" w14:textId="252CD905" w:rsidR="007F25C1" w:rsidRPr="00986950" w:rsidRDefault="007F25C1" w:rsidP="007F25C1">
            <w:pPr>
              <w:spacing w:after="0" w:line="240" w:lineRule="auto"/>
              <w:jc w:val="center"/>
              <w:rPr>
                <w:rFonts w:cs="Arial"/>
                <w:color w:val="000000"/>
                <w:sz w:val="16"/>
                <w:szCs w:val="16"/>
              </w:rPr>
            </w:pPr>
            <w:r>
              <w:rPr>
                <w:rFonts w:cs="Arial"/>
                <w:color w:val="000000"/>
                <w:sz w:val="16"/>
                <w:szCs w:val="16"/>
              </w:rPr>
              <w:t>2023</w:t>
            </w:r>
          </w:p>
        </w:tc>
      </w:tr>
      <w:tr w:rsidR="007F25C1" w:rsidRPr="00986950" w14:paraId="1B6C6BE6" w14:textId="78E1521E" w:rsidTr="00245F95">
        <w:trPr>
          <w:trHeight w:val="300"/>
        </w:trPr>
        <w:tc>
          <w:tcPr>
            <w:tcW w:w="3401" w:type="dxa"/>
            <w:tcBorders>
              <w:top w:val="nil"/>
              <w:left w:val="nil"/>
              <w:bottom w:val="nil"/>
              <w:right w:val="single" w:sz="4" w:space="0" w:color="auto"/>
            </w:tcBorders>
            <w:shd w:val="clear" w:color="auto" w:fill="auto"/>
            <w:vAlign w:val="center"/>
            <w:hideMark/>
          </w:tcPr>
          <w:p w14:paraId="75DECE83" w14:textId="77777777" w:rsidR="007F25C1" w:rsidRPr="00986950" w:rsidRDefault="007F25C1" w:rsidP="007F25C1">
            <w:pPr>
              <w:spacing w:after="0" w:line="240" w:lineRule="auto"/>
              <w:rPr>
                <w:rFonts w:cs="Arial"/>
                <w:b/>
                <w:bCs/>
                <w:color w:val="000000"/>
                <w:sz w:val="16"/>
                <w:szCs w:val="16"/>
              </w:rPr>
            </w:pPr>
            <w:r w:rsidRPr="00986950">
              <w:rPr>
                <w:rFonts w:cs="Arial"/>
                <w:b/>
                <w:bCs/>
                <w:color w:val="000000"/>
                <w:sz w:val="16"/>
                <w:szCs w:val="16"/>
              </w:rPr>
              <w:t>Celkem</w:t>
            </w:r>
          </w:p>
        </w:tc>
        <w:tc>
          <w:tcPr>
            <w:tcW w:w="567" w:type="dxa"/>
            <w:tcBorders>
              <w:top w:val="nil"/>
              <w:left w:val="nil"/>
              <w:bottom w:val="nil"/>
              <w:right w:val="nil"/>
            </w:tcBorders>
            <w:shd w:val="clear" w:color="auto" w:fill="auto"/>
            <w:noWrap/>
            <w:vAlign w:val="center"/>
            <w:hideMark/>
          </w:tcPr>
          <w:p w14:paraId="0A6D1303" w14:textId="77777777" w:rsidR="007F25C1" w:rsidRPr="00986950" w:rsidRDefault="007F25C1" w:rsidP="007F25C1">
            <w:pPr>
              <w:spacing w:after="0" w:line="240" w:lineRule="auto"/>
              <w:jc w:val="center"/>
              <w:rPr>
                <w:rFonts w:cs="Arial"/>
                <w:b/>
                <w:bCs/>
                <w:color w:val="000000"/>
                <w:sz w:val="16"/>
                <w:szCs w:val="16"/>
              </w:rPr>
            </w:pPr>
            <w:r w:rsidRPr="00986950">
              <w:rPr>
                <w:rFonts w:cs="Arial"/>
                <w:b/>
                <w:bCs/>
                <w:color w:val="000000"/>
                <w:sz w:val="16"/>
                <w:szCs w:val="16"/>
              </w:rPr>
              <w:t>44,0</w:t>
            </w:r>
          </w:p>
        </w:tc>
        <w:tc>
          <w:tcPr>
            <w:tcW w:w="567" w:type="dxa"/>
            <w:tcBorders>
              <w:top w:val="nil"/>
              <w:left w:val="nil"/>
              <w:bottom w:val="nil"/>
              <w:right w:val="nil"/>
            </w:tcBorders>
            <w:shd w:val="clear" w:color="auto" w:fill="auto"/>
            <w:noWrap/>
            <w:vAlign w:val="center"/>
            <w:hideMark/>
          </w:tcPr>
          <w:p w14:paraId="157F0361" w14:textId="77777777" w:rsidR="007F25C1" w:rsidRPr="00986950" w:rsidRDefault="007F25C1" w:rsidP="007F25C1">
            <w:pPr>
              <w:spacing w:after="0" w:line="240" w:lineRule="auto"/>
              <w:jc w:val="center"/>
              <w:rPr>
                <w:rFonts w:cs="Arial"/>
                <w:b/>
                <w:bCs/>
                <w:color w:val="000000"/>
                <w:sz w:val="16"/>
                <w:szCs w:val="16"/>
              </w:rPr>
            </w:pPr>
            <w:r w:rsidRPr="00986950">
              <w:rPr>
                <w:rFonts w:cs="Arial"/>
                <w:b/>
                <w:bCs/>
                <w:color w:val="000000"/>
                <w:sz w:val="16"/>
                <w:szCs w:val="16"/>
              </w:rPr>
              <w:t>45,8</w:t>
            </w:r>
          </w:p>
        </w:tc>
        <w:tc>
          <w:tcPr>
            <w:tcW w:w="567" w:type="dxa"/>
            <w:tcBorders>
              <w:top w:val="nil"/>
              <w:left w:val="nil"/>
              <w:bottom w:val="nil"/>
              <w:right w:val="nil"/>
            </w:tcBorders>
            <w:shd w:val="clear" w:color="auto" w:fill="auto"/>
            <w:noWrap/>
            <w:vAlign w:val="center"/>
            <w:hideMark/>
          </w:tcPr>
          <w:p w14:paraId="44B156F0" w14:textId="77777777" w:rsidR="007F25C1" w:rsidRPr="00986950" w:rsidRDefault="007F25C1" w:rsidP="007F25C1">
            <w:pPr>
              <w:spacing w:after="0" w:line="240" w:lineRule="auto"/>
              <w:jc w:val="center"/>
              <w:rPr>
                <w:rFonts w:cs="Arial"/>
                <w:b/>
                <w:bCs/>
                <w:color w:val="000000"/>
                <w:sz w:val="16"/>
                <w:szCs w:val="16"/>
              </w:rPr>
            </w:pPr>
            <w:r w:rsidRPr="00986950">
              <w:rPr>
                <w:rFonts w:cs="Arial"/>
                <w:b/>
                <w:bCs/>
                <w:color w:val="000000"/>
                <w:sz w:val="16"/>
                <w:szCs w:val="16"/>
              </w:rPr>
              <w:t>42,7</w:t>
            </w:r>
          </w:p>
        </w:tc>
        <w:tc>
          <w:tcPr>
            <w:tcW w:w="567" w:type="dxa"/>
            <w:tcBorders>
              <w:top w:val="nil"/>
              <w:left w:val="nil"/>
              <w:bottom w:val="nil"/>
              <w:right w:val="nil"/>
            </w:tcBorders>
            <w:shd w:val="clear" w:color="auto" w:fill="auto"/>
            <w:noWrap/>
            <w:vAlign w:val="center"/>
            <w:hideMark/>
          </w:tcPr>
          <w:p w14:paraId="6260FF97" w14:textId="77777777" w:rsidR="007F25C1" w:rsidRPr="00986950" w:rsidRDefault="007F25C1" w:rsidP="007F25C1">
            <w:pPr>
              <w:spacing w:after="0" w:line="240" w:lineRule="auto"/>
              <w:jc w:val="center"/>
              <w:rPr>
                <w:rFonts w:cs="Arial"/>
                <w:b/>
                <w:bCs/>
                <w:color w:val="000000"/>
                <w:sz w:val="16"/>
                <w:szCs w:val="16"/>
              </w:rPr>
            </w:pPr>
            <w:r w:rsidRPr="00986950">
              <w:rPr>
                <w:rFonts w:cs="Arial"/>
                <w:b/>
                <w:bCs/>
                <w:color w:val="000000"/>
                <w:sz w:val="16"/>
                <w:szCs w:val="16"/>
              </w:rPr>
              <w:t>43,0</w:t>
            </w:r>
          </w:p>
        </w:tc>
        <w:tc>
          <w:tcPr>
            <w:tcW w:w="567" w:type="dxa"/>
            <w:tcBorders>
              <w:top w:val="nil"/>
              <w:left w:val="nil"/>
              <w:bottom w:val="nil"/>
              <w:right w:val="nil"/>
            </w:tcBorders>
            <w:shd w:val="clear" w:color="auto" w:fill="auto"/>
            <w:noWrap/>
            <w:vAlign w:val="center"/>
            <w:hideMark/>
          </w:tcPr>
          <w:p w14:paraId="3E3A2BDB" w14:textId="77777777" w:rsidR="007F25C1" w:rsidRPr="00986950" w:rsidRDefault="007F25C1" w:rsidP="007F25C1">
            <w:pPr>
              <w:spacing w:after="0" w:line="240" w:lineRule="auto"/>
              <w:jc w:val="center"/>
              <w:rPr>
                <w:rFonts w:cs="Arial"/>
                <w:b/>
                <w:bCs/>
                <w:color w:val="000000"/>
                <w:sz w:val="16"/>
                <w:szCs w:val="16"/>
              </w:rPr>
            </w:pPr>
            <w:r w:rsidRPr="00986950">
              <w:rPr>
                <w:rFonts w:cs="Arial"/>
                <w:b/>
                <w:bCs/>
                <w:color w:val="000000"/>
                <w:sz w:val="16"/>
                <w:szCs w:val="16"/>
              </w:rPr>
              <w:t>42,6</w:t>
            </w:r>
          </w:p>
        </w:tc>
        <w:tc>
          <w:tcPr>
            <w:tcW w:w="567" w:type="dxa"/>
            <w:tcBorders>
              <w:top w:val="nil"/>
              <w:left w:val="nil"/>
              <w:bottom w:val="nil"/>
              <w:right w:val="nil"/>
            </w:tcBorders>
            <w:shd w:val="clear" w:color="auto" w:fill="auto"/>
            <w:noWrap/>
            <w:vAlign w:val="center"/>
            <w:hideMark/>
          </w:tcPr>
          <w:p w14:paraId="58B14EE4" w14:textId="77777777" w:rsidR="007F25C1" w:rsidRPr="00986950" w:rsidRDefault="007F25C1" w:rsidP="007F25C1">
            <w:pPr>
              <w:spacing w:after="0" w:line="240" w:lineRule="auto"/>
              <w:jc w:val="center"/>
              <w:rPr>
                <w:rFonts w:cs="Arial"/>
                <w:b/>
                <w:bCs/>
                <w:color w:val="000000"/>
                <w:sz w:val="16"/>
                <w:szCs w:val="16"/>
              </w:rPr>
            </w:pPr>
            <w:r w:rsidRPr="00986950">
              <w:rPr>
                <w:rFonts w:cs="Arial"/>
                <w:b/>
                <w:bCs/>
                <w:color w:val="000000"/>
                <w:sz w:val="16"/>
                <w:szCs w:val="16"/>
              </w:rPr>
              <w:t>41,7</w:t>
            </w:r>
          </w:p>
        </w:tc>
        <w:tc>
          <w:tcPr>
            <w:tcW w:w="567" w:type="dxa"/>
            <w:tcBorders>
              <w:top w:val="nil"/>
              <w:left w:val="nil"/>
              <w:bottom w:val="nil"/>
              <w:right w:val="nil"/>
            </w:tcBorders>
            <w:shd w:val="clear" w:color="auto" w:fill="auto"/>
            <w:noWrap/>
            <w:vAlign w:val="center"/>
            <w:hideMark/>
          </w:tcPr>
          <w:p w14:paraId="252C74F8" w14:textId="77777777" w:rsidR="007F25C1" w:rsidRPr="00986950" w:rsidRDefault="007F25C1" w:rsidP="007F25C1">
            <w:pPr>
              <w:spacing w:after="0" w:line="240" w:lineRule="auto"/>
              <w:jc w:val="center"/>
              <w:rPr>
                <w:rFonts w:cs="Arial"/>
                <w:b/>
                <w:bCs/>
                <w:color w:val="000000"/>
                <w:sz w:val="16"/>
                <w:szCs w:val="16"/>
              </w:rPr>
            </w:pPr>
            <w:r w:rsidRPr="00986950">
              <w:rPr>
                <w:rFonts w:cs="Arial"/>
                <w:b/>
                <w:bCs/>
                <w:color w:val="000000"/>
                <w:sz w:val="16"/>
                <w:szCs w:val="16"/>
              </w:rPr>
              <w:t>42,4</w:t>
            </w:r>
          </w:p>
        </w:tc>
        <w:tc>
          <w:tcPr>
            <w:tcW w:w="567" w:type="dxa"/>
            <w:tcBorders>
              <w:top w:val="nil"/>
              <w:left w:val="nil"/>
              <w:bottom w:val="nil"/>
              <w:right w:val="nil"/>
            </w:tcBorders>
            <w:shd w:val="clear" w:color="auto" w:fill="auto"/>
            <w:noWrap/>
            <w:vAlign w:val="center"/>
            <w:hideMark/>
          </w:tcPr>
          <w:p w14:paraId="35901667" w14:textId="77777777" w:rsidR="007F25C1" w:rsidRPr="00986950" w:rsidRDefault="007F25C1" w:rsidP="007F25C1">
            <w:pPr>
              <w:spacing w:after="0" w:line="240" w:lineRule="auto"/>
              <w:jc w:val="center"/>
              <w:rPr>
                <w:rFonts w:cs="Arial"/>
                <w:b/>
                <w:bCs/>
                <w:color w:val="000000"/>
                <w:sz w:val="16"/>
                <w:szCs w:val="16"/>
              </w:rPr>
            </w:pPr>
            <w:r w:rsidRPr="00986950">
              <w:rPr>
                <w:rFonts w:cs="Arial"/>
                <w:b/>
                <w:bCs/>
                <w:color w:val="000000"/>
                <w:sz w:val="16"/>
                <w:szCs w:val="16"/>
              </w:rPr>
              <w:t>39,4</w:t>
            </w:r>
          </w:p>
        </w:tc>
        <w:tc>
          <w:tcPr>
            <w:tcW w:w="567" w:type="dxa"/>
            <w:tcBorders>
              <w:top w:val="single" w:sz="4" w:space="0" w:color="auto"/>
            </w:tcBorders>
            <w:vAlign w:val="center"/>
          </w:tcPr>
          <w:p w14:paraId="73B82BC1" w14:textId="77777777" w:rsidR="007F25C1" w:rsidRPr="00986950" w:rsidRDefault="007F25C1" w:rsidP="007F25C1">
            <w:pPr>
              <w:spacing w:after="0" w:line="240" w:lineRule="auto"/>
              <w:jc w:val="center"/>
            </w:pPr>
            <w:r w:rsidRPr="00986950">
              <w:rPr>
                <w:rFonts w:cs="Arial"/>
                <w:b/>
                <w:bCs/>
                <w:color w:val="000000"/>
                <w:sz w:val="16"/>
                <w:szCs w:val="16"/>
              </w:rPr>
              <w:t>34,5</w:t>
            </w:r>
          </w:p>
        </w:tc>
        <w:tc>
          <w:tcPr>
            <w:tcW w:w="567" w:type="dxa"/>
            <w:tcBorders>
              <w:top w:val="single" w:sz="4" w:space="0" w:color="auto"/>
            </w:tcBorders>
            <w:vAlign w:val="center"/>
          </w:tcPr>
          <w:p w14:paraId="7B73901C" w14:textId="77777777" w:rsidR="007F25C1" w:rsidRPr="00986950" w:rsidRDefault="007F25C1" w:rsidP="007F25C1">
            <w:pPr>
              <w:spacing w:after="0" w:line="240" w:lineRule="auto"/>
              <w:jc w:val="center"/>
              <w:rPr>
                <w:rFonts w:cs="Arial"/>
                <w:b/>
                <w:bCs/>
                <w:color w:val="000000"/>
                <w:sz w:val="16"/>
                <w:szCs w:val="16"/>
              </w:rPr>
            </w:pPr>
            <w:r w:rsidRPr="00986950">
              <w:rPr>
                <w:rFonts w:cs="Arial"/>
                <w:b/>
                <w:bCs/>
                <w:color w:val="000000"/>
                <w:sz w:val="16"/>
                <w:szCs w:val="16"/>
              </w:rPr>
              <w:t>26,3</w:t>
            </w:r>
          </w:p>
        </w:tc>
        <w:tc>
          <w:tcPr>
            <w:tcW w:w="567" w:type="dxa"/>
            <w:tcBorders>
              <w:top w:val="single" w:sz="4" w:space="0" w:color="auto"/>
            </w:tcBorders>
            <w:vAlign w:val="center"/>
          </w:tcPr>
          <w:p w14:paraId="771849D9" w14:textId="448E6CA2" w:rsidR="007F25C1" w:rsidRPr="00986950" w:rsidRDefault="007F25C1" w:rsidP="007F25C1">
            <w:pPr>
              <w:spacing w:after="0" w:line="240" w:lineRule="auto"/>
              <w:jc w:val="center"/>
              <w:rPr>
                <w:rFonts w:cs="Arial"/>
                <w:b/>
                <w:bCs/>
                <w:color w:val="000000"/>
                <w:sz w:val="16"/>
                <w:szCs w:val="16"/>
              </w:rPr>
            </w:pPr>
            <w:r>
              <w:rPr>
                <w:rFonts w:cs="Arial"/>
                <w:b/>
                <w:bCs/>
                <w:color w:val="000000"/>
                <w:sz w:val="16"/>
                <w:szCs w:val="16"/>
              </w:rPr>
              <w:t>31,4</w:t>
            </w:r>
          </w:p>
        </w:tc>
      </w:tr>
      <w:tr w:rsidR="007F25C1" w:rsidRPr="00986950" w14:paraId="1A618A57" w14:textId="79D5FAE5" w:rsidTr="00245F95">
        <w:trPr>
          <w:trHeight w:val="300"/>
        </w:trPr>
        <w:tc>
          <w:tcPr>
            <w:tcW w:w="3401" w:type="dxa"/>
            <w:tcBorders>
              <w:top w:val="nil"/>
              <w:left w:val="nil"/>
              <w:bottom w:val="nil"/>
              <w:right w:val="single" w:sz="4" w:space="0" w:color="auto"/>
            </w:tcBorders>
            <w:shd w:val="clear" w:color="auto" w:fill="auto"/>
            <w:vAlign w:val="center"/>
            <w:hideMark/>
          </w:tcPr>
          <w:p w14:paraId="2974156C" w14:textId="77777777" w:rsidR="007F25C1" w:rsidRPr="00986950" w:rsidRDefault="007F25C1" w:rsidP="007F25C1">
            <w:pPr>
              <w:spacing w:after="0" w:line="240" w:lineRule="auto"/>
              <w:ind w:firstLineChars="100" w:firstLine="160"/>
              <w:rPr>
                <w:rFonts w:cs="Arial"/>
                <w:color w:val="000000"/>
                <w:sz w:val="16"/>
                <w:szCs w:val="16"/>
              </w:rPr>
            </w:pPr>
            <w:r w:rsidRPr="00986950">
              <w:rPr>
                <w:rFonts w:cs="Arial"/>
                <w:color w:val="000000"/>
                <w:sz w:val="16"/>
                <w:szCs w:val="16"/>
              </w:rPr>
              <w:t>A – Zemědělství, lesnictví a rybářství</w:t>
            </w:r>
          </w:p>
        </w:tc>
        <w:tc>
          <w:tcPr>
            <w:tcW w:w="567" w:type="dxa"/>
            <w:tcBorders>
              <w:top w:val="nil"/>
              <w:left w:val="nil"/>
              <w:bottom w:val="nil"/>
              <w:right w:val="nil"/>
            </w:tcBorders>
            <w:shd w:val="clear" w:color="auto" w:fill="auto"/>
            <w:noWrap/>
            <w:vAlign w:val="center"/>
            <w:hideMark/>
          </w:tcPr>
          <w:p w14:paraId="2B1F348A"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58,9</w:t>
            </w:r>
          </w:p>
        </w:tc>
        <w:tc>
          <w:tcPr>
            <w:tcW w:w="567" w:type="dxa"/>
            <w:tcBorders>
              <w:top w:val="nil"/>
              <w:left w:val="nil"/>
              <w:bottom w:val="nil"/>
              <w:right w:val="nil"/>
            </w:tcBorders>
            <w:shd w:val="clear" w:color="auto" w:fill="auto"/>
            <w:noWrap/>
            <w:vAlign w:val="center"/>
            <w:hideMark/>
          </w:tcPr>
          <w:p w14:paraId="672F4C93"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60,6</w:t>
            </w:r>
          </w:p>
        </w:tc>
        <w:tc>
          <w:tcPr>
            <w:tcW w:w="567" w:type="dxa"/>
            <w:tcBorders>
              <w:top w:val="nil"/>
              <w:left w:val="nil"/>
              <w:bottom w:val="nil"/>
              <w:right w:val="nil"/>
            </w:tcBorders>
            <w:shd w:val="clear" w:color="auto" w:fill="auto"/>
            <w:noWrap/>
            <w:vAlign w:val="center"/>
            <w:hideMark/>
          </w:tcPr>
          <w:p w14:paraId="1C999752"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57,4</w:t>
            </w:r>
          </w:p>
        </w:tc>
        <w:tc>
          <w:tcPr>
            <w:tcW w:w="567" w:type="dxa"/>
            <w:tcBorders>
              <w:top w:val="nil"/>
              <w:left w:val="nil"/>
              <w:bottom w:val="nil"/>
              <w:right w:val="nil"/>
            </w:tcBorders>
            <w:shd w:val="clear" w:color="auto" w:fill="auto"/>
            <w:noWrap/>
            <w:vAlign w:val="center"/>
            <w:hideMark/>
          </w:tcPr>
          <w:p w14:paraId="4B4ED831"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59,0</w:t>
            </w:r>
          </w:p>
        </w:tc>
        <w:tc>
          <w:tcPr>
            <w:tcW w:w="567" w:type="dxa"/>
            <w:tcBorders>
              <w:top w:val="nil"/>
              <w:left w:val="nil"/>
              <w:bottom w:val="nil"/>
              <w:right w:val="nil"/>
            </w:tcBorders>
            <w:shd w:val="clear" w:color="auto" w:fill="auto"/>
            <w:noWrap/>
            <w:vAlign w:val="center"/>
            <w:hideMark/>
          </w:tcPr>
          <w:p w14:paraId="2AC89A82"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57,6</w:t>
            </w:r>
          </w:p>
        </w:tc>
        <w:tc>
          <w:tcPr>
            <w:tcW w:w="567" w:type="dxa"/>
            <w:tcBorders>
              <w:top w:val="nil"/>
              <w:left w:val="nil"/>
              <w:bottom w:val="nil"/>
              <w:right w:val="nil"/>
            </w:tcBorders>
            <w:shd w:val="clear" w:color="auto" w:fill="auto"/>
            <w:noWrap/>
            <w:vAlign w:val="center"/>
            <w:hideMark/>
          </w:tcPr>
          <w:p w14:paraId="6CDC245F"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55,9</w:t>
            </w:r>
          </w:p>
        </w:tc>
        <w:tc>
          <w:tcPr>
            <w:tcW w:w="567" w:type="dxa"/>
            <w:tcBorders>
              <w:top w:val="nil"/>
              <w:left w:val="nil"/>
              <w:bottom w:val="nil"/>
              <w:right w:val="nil"/>
            </w:tcBorders>
            <w:shd w:val="clear" w:color="auto" w:fill="auto"/>
            <w:noWrap/>
            <w:vAlign w:val="center"/>
            <w:hideMark/>
          </w:tcPr>
          <w:p w14:paraId="546C44B9"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56,8</w:t>
            </w:r>
          </w:p>
        </w:tc>
        <w:tc>
          <w:tcPr>
            <w:tcW w:w="567" w:type="dxa"/>
            <w:tcBorders>
              <w:top w:val="nil"/>
              <w:left w:val="nil"/>
              <w:bottom w:val="nil"/>
              <w:right w:val="nil"/>
            </w:tcBorders>
            <w:shd w:val="clear" w:color="auto" w:fill="auto"/>
            <w:noWrap/>
            <w:vAlign w:val="center"/>
            <w:hideMark/>
          </w:tcPr>
          <w:p w14:paraId="589562EB"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49,7</w:t>
            </w:r>
          </w:p>
        </w:tc>
        <w:tc>
          <w:tcPr>
            <w:tcW w:w="567" w:type="dxa"/>
            <w:vAlign w:val="center"/>
          </w:tcPr>
          <w:p w14:paraId="7600B8EB" w14:textId="77777777" w:rsidR="007F25C1" w:rsidRPr="00986950" w:rsidRDefault="007F25C1" w:rsidP="007F25C1">
            <w:pPr>
              <w:spacing w:after="0" w:line="240" w:lineRule="auto"/>
              <w:jc w:val="center"/>
            </w:pPr>
            <w:r w:rsidRPr="00986950">
              <w:rPr>
                <w:rFonts w:cs="Arial"/>
                <w:color w:val="000000"/>
                <w:sz w:val="16"/>
                <w:szCs w:val="16"/>
              </w:rPr>
              <w:t>43,4</w:t>
            </w:r>
          </w:p>
        </w:tc>
        <w:tc>
          <w:tcPr>
            <w:tcW w:w="567" w:type="dxa"/>
            <w:vAlign w:val="center"/>
          </w:tcPr>
          <w:p w14:paraId="14C310A0"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37,0</w:t>
            </w:r>
          </w:p>
        </w:tc>
        <w:tc>
          <w:tcPr>
            <w:tcW w:w="567" w:type="dxa"/>
            <w:vAlign w:val="center"/>
          </w:tcPr>
          <w:p w14:paraId="21072724" w14:textId="26EA5832" w:rsidR="007F25C1" w:rsidRPr="00986950" w:rsidRDefault="007F25C1" w:rsidP="007F25C1">
            <w:pPr>
              <w:spacing w:after="0" w:line="240" w:lineRule="auto"/>
              <w:jc w:val="center"/>
              <w:rPr>
                <w:rFonts w:cs="Arial"/>
                <w:color w:val="000000"/>
                <w:sz w:val="16"/>
                <w:szCs w:val="16"/>
              </w:rPr>
            </w:pPr>
            <w:r>
              <w:rPr>
                <w:rFonts w:cs="Arial"/>
                <w:color w:val="000000"/>
                <w:sz w:val="16"/>
                <w:szCs w:val="16"/>
              </w:rPr>
              <w:t>45,4</w:t>
            </w:r>
          </w:p>
        </w:tc>
      </w:tr>
      <w:tr w:rsidR="007F25C1" w:rsidRPr="00986950" w14:paraId="3B809EB9" w14:textId="2A7564F9" w:rsidTr="00245F95">
        <w:trPr>
          <w:trHeight w:val="300"/>
        </w:trPr>
        <w:tc>
          <w:tcPr>
            <w:tcW w:w="3401" w:type="dxa"/>
            <w:tcBorders>
              <w:top w:val="nil"/>
              <w:left w:val="nil"/>
              <w:bottom w:val="nil"/>
              <w:right w:val="single" w:sz="4" w:space="0" w:color="auto"/>
            </w:tcBorders>
            <w:shd w:val="clear" w:color="auto" w:fill="auto"/>
            <w:vAlign w:val="center"/>
            <w:hideMark/>
          </w:tcPr>
          <w:p w14:paraId="2B04F8A2" w14:textId="77777777" w:rsidR="007F25C1" w:rsidRPr="00986950" w:rsidRDefault="007F25C1" w:rsidP="007F25C1">
            <w:pPr>
              <w:spacing w:after="0" w:line="240" w:lineRule="auto"/>
              <w:ind w:firstLineChars="100" w:firstLine="160"/>
              <w:rPr>
                <w:rFonts w:cs="Arial"/>
                <w:color w:val="000000"/>
                <w:sz w:val="16"/>
                <w:szCs w:val="16"/>
              </w:rPr>
            </w:pPr>
            <w:r w:rsidRPr="00986950">
              <w:rPr>
                <w:rFonts w:cs="Arial"/>
                <w:color w:val="000000"/>
                <w:sz w:val="16"/>
                <w:szCs w:val="16"/>
              </w:rPr>
              <w:t>B – Těžba a dobývání</w:t>
            </w:r>
          </w:p>
        </w:tc>
        <w:tc>
          <w:tcPr>
            <w:tcW w:w="567" w:type="dxa"/>
            <w:tcBorders>
              <w:top w:val="nil"/>
              <w:left w:val="nil"/>
              <w:bottom w:val="nil"/>
              <w:right w:val="nil"/>
            </w:tcBorders>
            <w:shd w:val="clear" w:color="auto" w:fill="auto"/>
            <w:noWrap/>
            <w:vAlign w:val="center"/>
            <w:hideMark/>
          </w:tcPr>
          <w:p w14:paraId="72D04213"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44,8</w:t>
            </w:r>
          </w:p>
        </w:tc>
        <w:tc>
          <w:tcPr>
            <w:tcW w:w="567" w:type="dxa"/>
            <w:tcBorders>
              <w:top w:val="nil"/>
              <w:left w:val="nil"/>
              <w:bottom w:val="nil"/>
              <w:right w:val="nil"/>
            </w:tcBorders>
            <w:shd w:val="clear" w:color="auto" w:fill="auto"/>
            <w:noWrap/>
            <w:vAlign w:val="center"/>
            <w:hideMark/>
          </w:tcPr>
          <w:p w14:paraId="3A83D44E"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48,0</w:t>
            </w:r>
          </w:p>
        </w:tc>
        <w:tc>
          <w:tcPr>
            <w:tcW w:w="567" w:type="dxa"/>
            <w:tcBorders>
              <w:top w:val="nil"/>
              <w:left w:val="nil"/>
              <w:bottom w:val="nil"/>
              <w:right w:val="nil"/>
            </w:tcBorders>
            <w:shd w:val="clear" w:color="auto" w:fill="auto"/>
            <w:noWrap/>
            <w:vAlign w:val="center"/>
            <w:hideMark/>
          </w:tcPr>
          <w:p w14:paraId="6E74827C"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45,4</w:t>
            </w:r>
          </w:p>
        </w:tc>
        <w:tc>
          <w:tcPr>
            <w:tcW w:w="567" w:type="dxa"/>
            <w:tcBorders>
              <w:top w:val="nil"/>
              <w:left w:val="nil"/>
              <w:bottom w:val="nil"/>
              <w:right w:val="nil"/>
            </w:tcBorders>
            <w:shd w:val="clear" w:color="auto" w:fill="auto"/>
            <w:noWrap/>
            <w:vAlign w:val="center"/>
            <w:hideMark/>
          </w:tcPr>
          <w:p w14:paraId="06BEBA33"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53,8</w:t>
            </w:r>
          </w:p>
        </w:tc>
        <w:tc>
          <w:tcPr>
            <w:tcW w:w="567" w:type="dxa"/>
            <w:tcBorders>
              <w:top w:val="nil"/>
              <w:left w:val="nil"/>
              <w:bottom w:val="nil"/>
              <w:right w:val="nil"/>
            </w:tcBorders>
            <w:shd w:val="clear" w:color="auto" w:fill="auto"/>
            <w:noWrap/>
            <w:vAlign w:val="center"/>
            <w:hideMark/>
          </w:tcPr>
          <w:p w14:paraId="5DF9E069"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55,6</w:t>
            </w:r>
          </w:p>
        </w:tc>
        <w:tc>
          <w:tcPr>
            <w:tcW w:w="567" w:type="dxa"/>
            <w:tcBorders>
              <w:top w:val="nil"/>
              <w:left w:val="nil"/>
              <w:bottom w:val="nil"/>
              <w:right w:val="nil"/>
            </w:tcBorders>
            <w:shd w:val="clear" w:color="auto" w:fill="auto"/>
            <w:noWrap/>
            <w:vAlign w:val="center"/>
            <w:hideMark/>
          </w:tcPr>
          <w:p w14:paraId="56230A96"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47,9</w:t>
            </w:r>
          </w:p>
        </w:tc>
        <w:tc>
          <w:tcPr>
            <w:tcW w:w="567" w:type="dxa"/>
            <w:tcBorders>
              <w:top w:val="nil"/>
              <w:left w:val="nil"/>
              <w:bottom w:val="nil"/>
              <w:right w:val="nil"/>
            </w:tcBorders>
            <w:shd w:val="clear" w:color="auto" w:fill="auto"/>
            <w:noWrap/>
            <w:vAlign w:val="center"/>
            <w:hideMark/>
          </w:tcPr>
          <w:p w14:paraId="195A12A8"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49,4</w:t>
            </w:r>
          </w:p>
        </w:tc>
        <w:tc>
          <w:tcPr>
            <w:tcW w:w="567" w:type="dxa"/>
            <w:tcBorders>
              <w:top w:val="nil"/>
              <w:left w:val="nil"/>
              <w:bottom w:val="nil"/>
              <w:right w:val="nil"/>
            </w:tcBorders>
            <w:shd w:val="clear" w:color="auto" w:fill="auto"/>
            <w:noWrap/>
            <w:vAlign w:val="center"/>
            <w:hideMark/>
          </w:tcPr>
          <w:p w14:paraId="2F8A7BAB"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40,5</w:t>
            </w:r>
          </w:p>
        </w:tc>
        <w:tc>
          <w:tcPr>
            <w:tcW w:w="567" w:type="dxa"/>
            <w:vAlign w:val="center"/>
          </w:tcPr>
          <w:p w14:paraId="6EB71148" w14:textId="77777777" w:rsidR="007F25C1" w:rsidRPr="00986950" w:rsidRDefault="007F25C1" w:rsidP="007F25C1">
            <w:pPr>
              <w:spacing w:after="0" w:line="240" w:lineRule="auto"/>
              <w:jc w:val="center"/>
            </w:pPr>
            <w:r w:rsidRPr="00986950">
              <w:rPr>
                <w:rFonts w:cs="Arial"/>
                <w:color w:val="000000"/>
                <w:sz w:val="16"/>
                <w:szCs w:val="16"/>
              </w:rPr>
              <w:t>41,3</w:t>
            </w:r>
          </w:p>
        </w:tc>
        <w:tc>
          <w:tcPr>
            <w:tcW w:w="567" w:type="dxa"/>
            <w:vAlign w:val="center"/>
          </w:tcPr>
          <w:p w14:paraId="001EDFE9"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32,2</w:t>
            </w:r>
          </w:p>
        </w:tc>
        <w:tc>
          <w:tcPr>
            <w:tcW w:w="567" w:type="dxa"/>
            <w:vAlign w:val="center"/>
          </w:tcPr>
          <w:p w14:paraId="74AF7693" w14:textId="07464BBC" w:rsidR="007F25C1" w:rsidRPr="00986950" w:rsidRDefault="007F25C1" w:rsidP="007F25C1">
            <w:pPr>
              <w:spacing w:after="0" w:line="240" w:lineRule="auto"/>
              <w:jc w:val="center"/>
              <w:rPr>
                <w:rFonts w:cs="Arial"/>
                <w:color w:val="000000"/>
                <w:sz w:val="16"/>
                <w:szCs w:val="16"/>
              </w:rPr>
            </w:pPr>
            <w:r>
              <w:rPr>
                <w:rFonts w:cs="Arial"/>
                <w:color w:val="000000"/>
                <w:sz w:val="16"/>
                <w:szCs w:val="16"/>
              </w:rPr>
              <w:t>40,0</w:t>
            </w:r>
          </w:p>
        </w:tc>
      </w:tr>
      <w:tr w:rsidR="007F25C1" w:rsidRPr="00986950" w14:paraId="077A541D" w14:textId="0A64E89B" w:rsidTr="00245F95">
        <w:trPr>
          <w:trHeight w:val="300"/>
        </w:trPr>
        <w:tc>
          <w:tcPr>
            <w:tcW w:w="3401" w:type="dxa"/>
            <w:tcBorders>
              <w:top w:val="nil"/>
              <w:left w:val="nil"/>
              <w:bottom w:val="nil"/>
              <w:right w:val="single" w:sz="4" w:space="0" w:color="auto"/>
            </w:tcBorders>
            <w:shd w:val="clear" w:color="auto" w:fill="auto"/>
            <w:vAlign w:val="center"/>
            <w:hideMark/>
          </w:tcPr>
          <w:p w14:paraId="5055F813" w14:textId="77777777" w:rsidR="007F25C1" w:rsidRPr="00986950" w:rsidRDefault="007F25C1" w:rsidP="007F25C1">
            <w:pPr>
              <w:spacing w:after="0" w:line="240" w:lineRule="auto"/>
              <w:ind w:firstLineChars="100" w:firstLine="160"/>
              <w:rPr>
                <w:rFonts w:cs="Arial"/>
                <w:color w:val="000000"/>
                <w:sz w:val="16"/>
                <w:szCs w:val="16"/>
              </w:rPr>
            </w:pPr>
            <w:r w:rsidRPr="00986950">
              <w:rPr>
                <w:rFonts w:cs="Arial"/>
                <w:color w:val="000000"/>
                <w:sz w:val="16"/>
                <w:szCs w:val="16"/>
              </w:rPr>
              <w:t>C – Zpracovatelský průmysl</w:t>
            </w:r>
          </w:p>
        </w:tc>
        <w:tc>
          <w:tcPr>
            <w:tcW w:w="567" w:type="dxa"/>
            <w:tcBorders>
              <w:top w:val="nil"/>
              <w:left w:val="nil"/>
              <w:bottom w:val="nil"/>
              <w:right w:val="nil"/>
            </w:tcBorders>
            <w:shd w:val="clear" w:color="auto" w:fill="auto"/>
            <w:noWrap/>
            <w:vAlign w:val="center"/>
            <w:hideMark/>
          </w:tcPr>
          <w:p w14:paraId="56BB79E3"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43,7</w:t>
            </w:r>
          </w:p>
        </w:tc>
        <w:tc>
          <w:tcPr>
            <w:tcW w:w="567" w:type="dxa"/>
            <w:tcBorders>
              <w:top w:val="nil"/>
              <w:left w:val="nil"/>
              <w:bottom w:val="nil"/>
              <w:right w:val="nil"/>
            </w:tcBorders>
            <w:shd w:val="clear" w:color="auto" w:fill="auto"/>
            <w:noWrap/>
            <w:vAlign w:val="center"/>
            <w:hideMark/>
          </w:tcPr>
          <w:p w14:paraId="713FD134"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44,8</w:t>
            </w:r>
          </w:p>
        </w:tc>
        <w:tc>
          <w:tcPr>
            <w:tcW w:w="567" w:type="dxa"/>
            <w:tcBorders>
              <w:top w:val="nil"/>
              <w:left w:val="nil"/>
              <w:bottom w:val="nil"/>
              <w:right w:val="nil"/>
            </w:tcBorders>
            <w:shd w:val="clear" w:color="auto" w:fill="auto"/>
            <w:noWrap/>
            <w:vAlign w:val="center"/>
            <w:hideMark/>
          </w:tcPr>
          <w:p w14:paraId="3849ACA1"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41,6</w:t>
            </w:r>
          </w:p>
        </w:tc>
        <w:tc>
          <w:tcPr>
            <w:tcW w:w="567" w:type="dxa"/>
            <w:tcBorders>
              <w:top w:val="nil"/>
              <w:left w:val="nil"/>
              <w:bottom w:val="nil"/>
              <w:right w:val="nil"/>
            </w:tcBorders>
            <w:shd w:val="clear" w:color="auto" w:fill="auto"/>
            <w:noWrap/>
            <w:vAlign w:val="center"/>
            <w:hideMark/>
          </w:tcPr>
          <w:p w14:paraId="7D707653"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42,4</w:t>
            </w:r>
          </w:p>
        </w:tc>
        <w:tc>
          <w:tcPr>
            <w:tcW w:w="567" w:type="dxa"/>
            <w:tcBorders>
              <w:top w:val="nil"/>
              <w:left w:val="nil"/>
              <w:bottom w:val="nil"/>
              <w:right w:val="nil"/>
            </w:tcBorders>
            <w:shd w:val="clear" w:color="auto" w:fill="auto"/>
            <w:noWrap/>
            <w:vAlign w:val="center"/>
            <w:hideMark/>
          </w:tcPr>
          <w:p w14:paraId="5E784630"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41,9</w:t>
            </w:r>
          </w:p>
        </w:tc>
        <w:tc>
          <w:tcPr>
            <w:tcW w:w="567" w:type="dxa"/>
            <w:tcBorders>
              <w:top w:val="nil"/>
              <w:left w:val="nil"/>
              <w:bottom w:val="nil"/>
              <w:right w:val="nil"/>
            </w:tcBorders>
            <w:shd w:val="clear" w:color="auto" w:fill="auto"/>
            <w:noWrap/>
            <w:vAlign w:val="center"/>
            <w:hideMark/>
          </w:tcPr>
          <w:p w14:paraId="472978FA"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41,2</w:t>
            </w:r>
          </w:p>
        </w:tc>
        <w:tc>
          <w:tcPr>
            <w:tcW w:w="567" w:type="dxa"/>
            <w:tcBorders>
              <w:top w:val="nil"/>
              <w:left w:val="nil"/>
              <w:bottom w:val="nil"/>
              <w:right w:val="nil"/>
            </w:tcBorders>
            <w:shd w:val="clear" w:color="auto" w:fill="auto"/>
            <w:noWrap/>
            <w:vAlign w:val="center"/>
            <w:hideMark/>
          </w:tcPr>
          <w:p w14:paraId="1D12EAFC"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42,2</w:t>
            </w:r>
          </w:p>
        </w:tc>
        <w:tc>
          <w:tcPr>
            <w:tcW w:w="567" w:type="dxa"/>
            <w:tcBorders>
              <w:top w:val="nil"/>
              <w:left w:val="nil"/>
              <w:bottom w:val="nil"/>
              <w:right w:val="nil"/>
            </w:tcBorders>
            <w:shd w:val="clear" w:color="auto" w:fill="auto"/>
            <w:noWrap/>
            <w:vAlign w:val="center"/>
            <w:hideMark/>
          </w:tcPr>
          <w:p w14:paraId="79CD890E"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39,8</w:t>
            </w:r>
          </w:p>
        </w:tc>
        <w:tc>
          <w:tcPr>
            <w:tcW w:w="567" w:type="dxa"/>
            <w:vAlign w:val="center"/>
          </w:tcPr>
          <w:p w14:paraId="5D0FD12D" w14:textId="77777777" w:rsidR="007F25C1" w:rsidRPr="00986950" w:rsidRDefault="007F25C1" w:rsidP="007F25C1">
            <w:pPr>
              <w:spacing w:after="0" w:line="240" w:lineRule="auto"/>
              <w:jc w:val="center"/>
            </w:pPr>
            <w:r w:rsidRPr="00986950">
              <w:rPr>
                <w:rFonts w:cs="Arial"/>
                <w:color w:val="000000"/>
                <w:sz w:val="16"/>
                <w:szCs w:val="16"/>
              </w:rPr>
              <w:t>33,8</w:t>
            </w:r>
          </w:p>
        </w:tc>
        <w:tc>
          <w:tcPr>
            <w:tcW w:w="567" w:type="dxa"/>
            <w:vAlign w:val="center"/>
          </w:tcPr>
          <w:p w14:paraId="42D88530"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26,8</w:t>
            </w:r>
          </w:p>
        </w:tc>
        <w:tc>
          <w:tcPr>
            <w:tcW w:w="567" w:type="dxa"/>
            <w:vAlign w:val="center"/>
          </w:tcPr>
          <w:p w14:paraId="5C3C37E2" w14:textId="2ED42F68" w:rsidR="007F25C1" w:rsidRPr="00986950" w:rsidRDefault="007F25C1" w:rsidP="007F25C1">
            <w:pPr>
              <w:spacing w:after="0" w:line="240" w:lineRule="auto"/>
              <w:jc w:val="center"/>
              <w:rPr>
                <w:rFonts w:cs="Arial"/>
                <w:color w:val="000000"/>
                <w:sz w:val="16"/>
                <w:szCs w:val="16"/>
              </w:rPr>
            </w:pPr>
            <w:r>
              <w:rPr>
                <w:rFonts w:cs="Arial"/>
                <w:color w:val="000000"/>
                <w:sz w:val="16"/>
                <w:szCs w:val="16"/>
              </w:rPr>
              <w:t>31,9</w:t>
            </w:r>
          </w:p>
        </w:tc>
      </w:tr>
      <w:tr w:rsidR="007F25C1" w:rsidRPr="00986950" w14:paraId="376C03BC" w14:textId="0D38AE13" w:rsidTr="00245F95">
        <w:trPr>
          <w:trHeight w:val="480"/>
        </w:trPr>
        <w:tc>
          <w:tcPr>
            <w:tcW w:w="3401" w:type="dxa"/>
            <w:tcBorders>
              <w:top w:val="nil"/>
              <w:left w:val="nil"/>
              <w:bottom w:val="nil"/>
              <w:right w:val="single" w:sz="4" w:space="0" w:color="auto"/>
            </w:tcBorders>
            <w:shd w:val="clear" w:color="auto" w:fill="auto"/>
            <w:vAlign w:val="center"/>
            <w:hideMark/>
          </w:tcPr>
          <w:p w14:paraId="7AF98F8F" w14:textId="77777777" w:rsidR="007F25C1" w:rsidRPr="00986950" w:rsidRDefault="007F25C1" w:rsidP="007F25C1">
            <w:pPr>
              <w:spacing w:after="0" w:line="240" w:lineRule="auto"/>
              <w:ind w:firstLineChars="100" w:firstLine="160"/>
              <w:rPr>
                <w:rFonts w:cs="Arial"/>
                <w:color w:val="000000"/>
                <w:sz w:val="16"/>
                <w:szCs w:val="16"/>
              </w:rPr>
            </w:pPr>
            <w:r w:rsidRPr="00986950">
              <w:rPr>
                <w:rFonts w:cs="Arial"/>
                <w:color w:val="000000"/>
                <w:sz w:val="16"/>
                <w:szCs w:val="16"/>
              </w:rPr>
              <w:t xml:space="preserve">D – Výroba a rozvod elektřiny, plynu, </w:t>
            </w:r>
            <w:r w:rsidRPr="00986950">
              <w:rPr>
                <w:rFonts w:cs="Arial"/>
                <w:color w:val="000000"/>
                <w:sz w:val="16"/>
                <w:szCs w:val="16"/>
              </w:rPr>
              <w:br/>
              <w:t xml:space="preserve">          tepla a klimatizovaného vzduchu</w:t>
            </w:r>
          </w:p>
        </w:tc>
        <w:tc>
          <w:tcPr>
            <w:tcW w:w="567" w:type="dxa"/>
            <w:tcBorders>
              <w:top w:val="nil"/>
              <w:left w:val="nil"/>
              <w:bottom w:val="nil"/>
              <w:right w:val="nil"/>
            </w:tcBorders>
            <w:shd w:val="clear" w:color="auto" w:fill="auto"/>
            <w:noWrap/>
            <w:vAlign w:val="center"/>
            <w:hideMark/>
          </w:tcPr>
          <w:p w14:paraId="0EAF5AE3"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38,5</w:t>
            </w:r>
          </w:p>
        </w:tc>
        <w:tc>
          <w:tcPr>
            <w:tcW w:w="567" w:type="dxa"/>
            <w:tcBorders>
              <w:top w:val="nil"/>
              <w:left w:val="nil"/>
              <w:bottom w:val="nil"/>
              <w:right w:val="nil"/>
            </w:tcBorders>
            <w:shd w:val="clear" w:color="auto" w:fill="auto"/>
            <w:noWrap/>
            <w:vAlign w:val="center"/>
            <w:hideMark/>
          </w:tcPr>
          <w:p w14:paraId="783E8270"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40,8</w:t>
            </w:r>
          </w:p>
        </w:tc>
        <w:tc>
          <w:tcPr>
            <w:tcW w:w="567" w:type="dxa"/>
            <w:tcBorders>
              <w:top w:val="nil"/>
              <w:left w:val="nil"/>
              <w:bottom w:val="nil"/>
              <w:right w:val="nil"/>
            </w:tcBorders>
            <w:shd w:val="clear" w:color="auto" w:fill="auto"/>
            <w:noWrap/>
            <w:vAlign w:val="center"/>
            <w:hideMark/>
          </w:tcPr>
          <w:p w14:paraId="111F09F0"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40,3</w:t>
            </w:r>
          </w:p>
        </w:tc>
        <w:tc>
          <w:tcPr>
            <w:tcW w:w="567" w:type="dxa"/>
            <w:tcBorders>
              <w:top w:val="nil"/>
              <w:left w:val="nil"/>
              <w:bottom w:val="nil"/>
              <w:right w:val="nil"/>
            </w:tcBorders>
            <w:shd w:val="clear" w:color="auto" w:fill="auto"/>
            <w:noWrap/>
            <w:vAlign w:val="center"/>
            <w:hideMark/>
          </w:tcPr>
          <w:p w14:paraId="6ECCEA6A"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41,4</w:t>
            </w:r>
          </w:p>
        </w:tc>
        <w:tc>
          <w:tcPr>
            <w:tcW w:w="567" w:type="dxa"/>
            <w:tcBorders>
              <w:top w:val="nil"/>
              <w:left w:val="nil"/>
              <w:bottom w:val="nil"/>
              <w:right w:val="nil"/>
            </w:tcBorders>
            <w:shd w:val="clear" w:color="auto" w:fill="auto"/>
            <w:noWrap/>
            <w:vAlign w:val="center"/>
            <w:hideMark/>
          </w:tcPr>
          <w:p w14:paraId="4649E77B"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40,3</w:t>
            </w:r>
          </w:p>
        </w:tc>
        <w:tc>
          <w:tcPr>
            <w:tcW w:w="567" w:type="dxa"/>
            <w:tcBorders>
              <w:top w:val="nil"/>
              <w:left w:val="nil"/>
              <w:bottom w:val="nil"/>
              <w:right w:val="nil"/>
            </w:tcBorders>
            <w:shd w:val="clear" w:color="auto" w:fill="auto"/>
            <w:noWrap/>
            <w:vAlign w:val="center"/>
            <w:hideMark/>
          </w:tcPr>
          <w:p w14:paraId="1C424702"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36,9</w:t>
            </w:r>
          </w:p>
        </w:tc>
        <w:tc>
          <w:tcPr>
            <w:tcW w:w="567" w:type="dxa"/>
            <w:tcBorders>
              <w:top w:val="nil"/>
              <w:left w:val="nil"/>
              <w:bottom w:val="nil"/>
              <w:right w:val="nil"/>
            </w:tcBorders>
            <w:shd w:val="clear" w:color="auto" w:fill="auto"/>
            <w:noWrap/>
            <w:vAlign w:val="center"/>
            <w:hideMark/>
          </w:tcPr>
          <w:p w14:paraId="35AACBBA"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38,1</w:t>
            </w:r>
          </w:p>
        </w:tc>
        <w:tc>
          <w:tcPr>
            <w:tcW w:w="567" w:type="dxa"/>
            <w:tcBorders>
              <w:top w:val="nil"/>
              <w:left w:val="nil"/>
              <w:bottom w:val="nil"/>
              <w:right w:val="nil"/>
            </w:tcBorders>
            <w:shd w:val="clear" w:color="auto" w:fill="auto"/>
            <w:noWrap/>
            <w:vAlign w:val="center"/>
            <w:hideMark/>
          </w:tcPr>
          <w:p w14:paraId="74567AA8"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33,2</w:t>
            </w:r>
          </w:p>
        </w:tc>
        <w:tc>
          <w:tcPr>
            <w:tcW w:w="567" w:type="dxa"/>
            <w:vAlign w:val="center"/>
          </w:tcPr>
          <w:p w14:paraId="34AC61F0" w14:textId="77777777" w:rsidR="007F25C1" w:rsidRPr="00986950" w:rsidRDefault="007F25C1" w:rsidP="007F25C1">
            <w:pPr>
              <w:spacing w:after="0" w:line="240" w:lineRule="auto"/>
              <w:jc w:val="center"/>
            </w:pPr>
            <w:r w:rsidRPr="00986950">
              <w:rPr>
                <w:rFonts w:cs="Arial"/>
                <w:color w:val="000000"/>
                <w:sz w:val="16"/>
                <w:szCs w:val="16"/>
              </w:rPr>
              <w:t>31,6</w:t>
            </w:r>
          </w:p>
        </w:tc>
        <w:tc>
          <w:tcPr>
            <w:tcW w:w="567" w:type="dxa"/>
            <w:vAlign w:val="center"/>
          </w:tcPr>
          <w:p w14:paraId="54360509"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24,2</w:t>
            </w:r>
          </w:p>
        </w:tc>
        <w:tc>
          <w:tcPr>
            <w:tcW w:w="567" w:type="dxa"/>
            <w:vAlign w:val="center"/>
          </w:tcPr>
          <w:p w14:paraId="527AC1A1" w14:textId="1D2B86E5" w:rsidR="007F25C1" w:rsidRPr="00986950" w:rsidRDefault="007F25C1" w:rsidP="007F25C1">
            <w:pPr>
              <w:spacing w:after="0" w:line="240" w:lineRule="auto"/>
              <w:jc w:val="center"/>
              <w:rPr>
                <w:rFonts w:cs="Arial"/>
                <w:color w:val="000000"/>
                <w:sz w:val="16"/>
                <w:szCs w:val="16"/>
              </w:rPr>
            </w:pPr>
            <w:r>
              <w:rPr>
                <w:rFonts w:cs="Arial"/>
                <w:color w:val="000000"/>
                <w:sz w:val="16"/>
                <w:szCs w:val="16"/>
              </w:rPr>
              <w:t>28,5</w:t>
            </w:r>
          </w:p>
        </w:tc>
      </w:tr>
      <w:tr w:rsidR="007F25C1" w:rsidRPr="00986950" w14:paraId="0F92BC01" w14:textId="4A631634" w:rsidTr="00245F95">
        <w:trPr>
          <w:trHeight w:val="480"/>
        </w:trPr>
        <w:tc>
          <w:tcPr>
            <w:tcW w:w="3401" w:type="dxa"/>
            <w:tcBorders>
              <w:top w:val="nil"/>
              <w:left w:val="nil"/>
              <w:bottom w:val="nil"/>
              <w:right w:val="single" w:sz="4" w:space="0" w:color="auto"/>
            </w:tcBorders>
            <w:shd w:val="clear" w:color="auto" w:fill="auto"/>
            <w:vAlign w:val="center"/>
            <w:hideMark/>
          </w:tcPr>
          <w:p w14:paraId="45D8187E" w14:textId="77777777" w:rsidR="007F25C1" w:rsidRPr="00986950" w:rsidRDefault="007F25C1" w:rsidP="007F25C1">
            <w:pPr>
              <w:spacing w:after="0" w:line="240" w:lineRule="auto"/>
              <w:ind w:firstLineChars="100" w:firstLine="160"/>
              <w:rPr>
                <w:rFonts w:cs="Arial"/>
                <w:color w:val="000000"/>
                <w:sz w:val="16"/>
                <w:szCs w:val="16"/>
              </w:rPr>
            </w:pPr>
            <w:r w:rsidRPr="00986950">
              <w:rPr>
                <w:rFonts w:cs="Arial"/>
                <w:color w:val="000000"/>
                <w:sz w:val="16"/>
                <w:szCs w:val="16"/>
              </w:rPr>
              <w:t xml:space="preserve">E – Zásobování vodou; činnosti </w:t>
            </w:r>
            <w:r w:rsidRPr="00986950">
              <w:rPr>
                <w:rFonts w:cs="Arial"/>
                <w:color w:val="000000"/>
                <w:sz w:val="16"/>
                <w:szCs w:val="16"/>
              </w:rPr>
              <w:br/>
              <w:t xml:space="preserve">          související s odpady a sanacemi</w:t>
            </w:r>
          </w:p>
        </w:tc>
        <w:tc>
          <w:tcPr>
            <w:tcW w:w="567" w:type="dxa"/>
            <w:tcBorders>
              <w:top w:val="nil"/>
              <w:left w:val="nil"/>
              <w:bottom w:val="nil"/>
              <w:right w:val="nil"/>
            </w:tcBorders>
            <w:shd w:val="clear" w:color="auto" w:fill="auto"/>
            <w:noWrap/>
            <w:vAlign w:val="center"/>
            <w:hideMark/>
          </w:tcPr>
          <w:p w14:paraId="71159F21"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45,2</w:t>
            </w:r>
          </w:p>
        </w:tc>
        <w:tc>
          <w:tcPr>
            <w:tcW w:w="567" w:type="dxa"/>
            <w:tcBorders>
              <w:top w:val="nil"/>
              <w:left w:val="nil"/>
              <w:bottom w:val="nil"/>
              <w:right w:val="nil"/>
            </w:tcBorders>
            <w:shd w:val="clear" w:color="auto" w:fill="auto"/>
            <w:noWrap/>
            <w:vAlign w:val="center"/>
            <w:hideMark/>
          </w:tcPr>
          <w:p w14:paraId="6586B8B6"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48,1</w:t>
            </w:r>
          </w:p>
        </w:tc>
        <w:tc>
          <w:tcPr>
            <w:tcW w:w="567" w:type="dxa"/>
            <w:tcBorders>
              <w:top w:val="nil"/>
              <w:left w:val="nil"/>
              <w:bottom w:val="nil"/>
              <w:right w:val="nil"/>
            </w:tcBorders>
            <w:shd w:val="clear" w:color="auto" w:fill="auto"/>
            <w:noWrap/>
            <w:vAlign w:val="center"/>
            <w:hideMark/>
          </w:tcPr>
          <w:p w14:paraId="7C69048A"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45,0</w:t>
            </w:r>
          </w:p>
        </w:tc>
        <w:tc>
          <w:tcPr>
            <w:tcW w:w="567" w:type="dxa"/>
            <w:tcBorders>
              <w:top w:val="nil"/>
              <w:left w:val="nil"/>
              <w:bottom w:val="nil"/>
              <w:right w:val="nil"/>
            </w:tcBorders>
            <w:shd w:val="clear" w:color="auto" w:fill="auto"/>
            <w:noWrap/>
            <w:vAlign w:val="center"/>
            <w:hideMark/>
          </w:tcPr>
          <w:p w14:paraId="63E02DF2"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45,0</w:t>
            </w:r>
          </w:p>
        </w:tc>
        <w:tc>
          <w:tcPr>
            <w:tcW w:w="567" w:type="dxa"/>
            <w:tcBorders>
              <w:top w:val="nil"/>
              <w:left w:val="nil"/>
              <w:bottom w:val="nil"/>
              <w:right w:val="nil"/>
            </w:tcBorders>
            <w:shd w:val="clear" w:color="auto" w:fill="auto"/>
            <w:noWrap/>
            <w:vAlign w:val="center"/>
            <w:hideMark/>
          </w:tcPr>
          <w:p w14:paraId="2A4F9B05"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44,6</w:t>
            </w:r>
          </w:p>
        </w:tc>
        <w:tc>
          <w:tcPr>
            <w:tcW w:w="567" w:type="dxa"/>
            <w:tcBorders>
              <w:top w:val="nil"/>
              <w:left w:val="nil"/>
              <w:bottom w:val="nil"/>
              <w:right w:val="nil"/>
            </w:tcBorders>
            <w:shd w:val="clear" w:color="auto" w:fill="auto"/>
            <w:noWrap/>
            <w:vAlign w:val="center"/>
            <w:hideMark/>
          </w:tcPr>
          <w:p w14:paraId="4AFADD31"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44,0</w:t>
            </w:r>
          </w:p>
        </w:tc>
        <w:tc>
          <w:tcPr>
            <w:tcW w:w="567" w:type="dxa"/>
            <w:tcBorders>
              <w:top w:val="nil"/>
              <w:left w:val="nil"/>
              <w:bottom w:val="nil"/>
              <w:right w:val="nil"/>
            </w:tcBorders>
            <w:shd w:val="clear" w:color="auto" w:fill="auto"/>
            <w:noWrap/>
            <w:vAlign w:val="center"/>
            <w:hideMark/>
          </w:tcPr>
          <w:p w14:paraId="15047A7E"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44,9</w:t>
            </w:r>
          </w:p>
        </w:tc>
        <w:tc>
          <w:tcPr>
            <w:tcW w:w="567" w:type="dxa"/>
            <w:tcBorders>
              <w:top w:val="nil"/>
              <w:left w:val="nil"/>
              <w:bottom w:val="nil"/>
              <w:right w:val="nil"/>
            </w:tcBorders>
            <w:shd w:val="clear" w:color="auto" w:fill="auto"/>
            <w:noWrap/>
            <w:vAlign w:val="center"/>
            <w:hideMark/>
          </w:tcPr>
          <w:p w14:paraId="67DBF782"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41,4</w:t>
            </w:r>
          </w:p>
        </w:tc>
        <w:tc>
          <w:tcPr>
            <w:tcW w:w="567" w:type="dxa"/>
            <w:vAlign w:val="center"/>
          </w:tcPr>
          <w:p w14:paraId="7CB317DB" w14:textId="77777777" w:rsidR="007F25C1" w:rsidRPr="00986950" w:rsidRDefault="007F25C1" w:rsidP="007F25C1">
            <w:pPr>
              <w:spacing w:after="0" w:line="240" w:lineRule="auto"/>
              <w:jc w:val="center"/>
            </w:pPr>
            <w:r w:rsidRPr="00986950">
              <w:rPr>
                <w:rFonts w:cs="Arial"/>
                <w:color w:val="000000"/>
                <w:sz w:val="16"/>
                <w:szCs w:val="16"/>
              </w:rPr>
              <w:t>36,0</w:t>
            </w:r>
          </w:p>
        </w:tc>
        <w:tc>
          <w:tcPr>
            <w:tcW w:w="567" w:type="dxa"/>
            <w:vAlign w:val="center"/>
          </w:tcPr>
          <w:p w14:paraId="7DA72065"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29,3</w:t>
            </w:r>
          </w:p>
        </w:tc>
        <w:tc>
          <w:tcPr>
            <w:tcW w:w="567" w:type="dxa"/>
            <w:vAlign w:val="center"/>
          </w:tcPr>
          <w:p w14:paraId="5657A520" w14:textId="29E2B810" w:rsidR="007F25C1" w:rsidRPr="00986950" w:rsidRDefault="007F25C1" w:rsidP="007F25C1">
            <w:pPr>
              <w:spacing w:after="0" w:line="240" w:lineRule="auto"/>
              <w:jc w:val="center"/>
              <w:rPr>
                <w:rFonts w:cs="Arial"/>
                <w:color w:val="000000"/>
                <w:sz w:val="16"/>
                <w:szCs w:val="16"/>
              </w:rPr>
            </w:pPr>
            <w:r>
              <w:rPr>
                <w:rFonts w:cs="Arial"/>
                <w:color w:val="000000"/>
                <w:sz w:val="16"/>
                <w:szCs w:val="16"/>
              </w:rPr>
              <w:t>34,9</w:t>
            </w:r>
          </w:p>
        </w:tc>
      </w:tr>
      <w:tr w:rsidR="007F25C1" w:rsidRPr="00986950" w14:paraId="32A89A74" w14:textId="7B66AD77" w:rsidTr="00245F95">
        <w:trPr>
          <w:trHeight w:val="300"/>
        </w:trPr>
        <w:tc>
          <w:tcPr>
            <w:tcW w:w="3401" w:type="dxa"/>
            <w:tcBorders>
              <w:top w:val="nil"/>
              <w:left w:val="nil"/>
              <w:bottom w:val="nil"/>
              <w:right w:val="single" w:sz="4" w:space="0" w:color="auto"/>
            </w:tcBorders>
            <w:shd w:val="clear" w:color="auto" w:fill="auto"/>
            <w:vAlign w:val="center"/>
            <w:hideMark/>
          </w:tcPr>
          <w:p w14:paraId="0B4328D7" w14:textId="77777777" w:rsidR="007F25C1" w:rsidRPr="00986950" w:rsidRDefault="007F25C1" w:rsidP="007F25C1">
            <w:pPr>
              <w:spacing w:after="0" w:line="240" w:lineRule="auto"/>
              <w:ind w:firstLineChars="100" w:firstLine="160"/>
              <w:rPr>
                <w:rFonts w:cs="Arial"/>
                <w:color w:val="000000"/>
                <w:sz w:val="16"/>
                <w:szCs w:val="16"/>
              </w:rPr>
            </w:pPr>
            <w:r w:rsidRPr="00986950">
              <w:rPr>
                <w:rFonts w:cs="Arial"/>
                <w:color w:val="000000"/>
                <w:sz w:val="16"/>
                <w:szCs w:val="16"/>
              </w:rPr>
              <w:t>F – Stavebnictví</w:t>
            </w:r>
          </w:p>
        </w:tc>
        <w:tc>
          <w:tcPr>
            <w:tcW w:w="567" w:type="dxa"/>
            <w:tcBorders>
              <w:top w:val="nil"/>
              <w:left w:val="nil"/>
              <w:bottom w:val="nil"/>
              <w:right w:val="nil"/>
            </w:tcBorders>
            <w:shd w:val="clear" w:color="auto" w:fill="auto"/>
            <w:noWrap/>
            <w:vAlign w:val="center"/>
            <w:hideMark/>
          </w:tcPr>
          <w:p w14:paraId="69E6894F"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57,1</w:t>
            </w:r>
          </w:p>
        </w:tc>
        <w:tc>
          <w:tcPr>
            <w:tcW w:w="567" w:type="dxa"/>
            <w:tcBorders>
              <w:top w:val="nil"/>
              <w:left w:val="nil"/>
              <w:bottom w:val="nil"/>
              <w:right w:val="nil"/>
            </w:tcBorders>
            <w:shd w:val="clear" w:color="auto" w:fill="auto"/>
            <w:noWrap/>
            <w:vAlign w:val="center"/>
            <w:hideMark/>
          </w:tcPr>
          <w:p w14:paraId="4C2E78E9"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59,3</w:t>
            </w:r>
          </w:p>
        </w:tc>
        <w:tc>
          <w:tcPr>
            <w:tcW w:w="567" w:type="dxa"/>
            <w:tcBorders>
              <w:top w:val="nil"/>
              <w:left w:val="nil"/>
              <w:bottom w:val="nil"/>
              <w:right w:val="nil"/>
            </w:tcBorders>
            <w:shd w:val="clear" w:color="auto" w:fill="auto"/>
            <w:noWrap/>
            <w:vAlign w:val="center"/>
            <w:hideMark/>
          </w:tcPr>
          <w:p w14:paraId="2DE15AFD"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53,8</w:t>
            </w:r>
          </w:p>
        </w:tc>
        <w:tc>
          <w:tcPr>
            <w:tcW w:w="567" w:type="dxa"/>
            <w:tcBorders>
              <w:top w:val="nil"/>
              <w:left w:val="nil"/>
              <w:bottom w:val="nil"/>
              <w:right w:val="nil"/>
            </w:tcBorders>
            <w:shd w:val="clear" w:color="auto" w:fill="auto"/>
            <w:noWrap/>
            <w:vAlign w:val="center"/>
            <w:hideMark/>
          </w:tcPr>
          <w:p w14:paraId="396C554E"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54,6</w:t>
            </w:r>
          </w:p>
        </w:tc>
        <w:tc>
          <w:tcPr>
            <w:tcW w:w="567" w:type="dxa"/>
            <w:tcBorders>
              <w:top w:val="nil"/>
              <w:left w:val="nil"/>
              <w:bottom w:val="nil"/>
              <w:right w:val="nil"/>
            </w:tcBorders>
            <w:shd w:val="clear" w:color="auto" w:fill="auto"/>
            <w:noWrap/>
            <w:vAlign w:val="center"/>
            <w:hideMark/>
          </w:tcPr>
          <w:p w14:paraId="0C11706C"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53,9</w:t>
            </w:r>
          </w:p>
        </w:tc>
        <w:tc>
          <w:tcPr>
            <w:tcW w:w="567" w:type="dxa"/>
            <w:tcBorders>
              <w:top w:val="nil"/>
              <w:left w:val="nil"/>
              <w:bottom w:val="nil"/>
              <w:right w:val="nil"/>
            </w:tcBorders>
            <w:shd w:val="clear" w:color="auto" w:fill="auto"/>
            <w:noWrap/>
            <w:vAlign w:val="center"/>
            <w:hideMark/>
          </w:tcPr>
          <w:p w14:paraId="1412A5F8"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52,1</w:t>
            </w:r>
          </w:p>
        </w:tc>
        <w:tc>
          <w:tcPr>
            <w:tcW w:w="567" w:type="dxa"/>
            <w:tcBorders>
              <w:top w:val="nil"/>
              <w:left w:val="nil"/>
              <w:bottom w:val="nil"/>
              <w:right w:val="nil"/>
            </w:tcBorders>
            <w:shd w:val="clear" w:color="auto" w:fill="auto"/>
            <w:noWrap/>
            <w:vAlign w:val="center"/>
            <w:hideMark/>
          </w:tcPr>
          <w:p w14:paraId="2A75E08E"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52,0</w:t>
            </w:r>
          </w:p>
        </w:tc>
        <w:tc>
          <w:tcPr>
            <w:tcW w:w="567" w:type="dxa"/>
            <w:tcBorders>
              <w:top w:val="nil"/>
              <w:left w:val="nil"/>
              <w:bottom w:val="nil"/>
              <w:right w:val="nil"/>
            </w:tcBorders>
            <w:shd w:val="clear" w:color="auto" w:fill="auto"/>
            <w:noWrap/>
            <w:vAlign w:val="center"/>
            <w:hideMark/>
          </w:tcPr>
          <w:p w14:paraId="073469AD"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45,9</w:t>
            </w:r>
          </w:p>
        </w:tc>
        <w:tc>
          <w:tcPr>
            <w:tcW w:w="567" w:type="dxa"/>
            <w:vAlign w:val="center"/>
          </w:tcPr>
          <w:p w14:paraId="00C6CD45" w14:textId="77777777" w:rsidR="007F25C1" w:rsidRPr="00986950" w:rsidRDefault="007F25C1" w:rsidP="007F25C1">
            <w:pPr>
              <w:spacing w:after="0" w:line="240" w:lineRule="auto"/>
              <w:jc w:val="center"/>
            </w:pPr>
            <w:r w:rsidRPr="00986950">
              <w:rPr>
                <w:rFonts w:cs="Arial"/>
                <w:color w:val="000000"/>
                <w:sz w:val="16"/>
                <w:szCs w:val="16"/>
              </w:rPr>
              <w:t>39,7</w:t>
            </w:r>
          </w:p>
        </w:tc>
        <w:tc>
          <w:tcPr>
            <w:tcW w:w="567" w:type="dxa"/>
            <w:vAlign w:val="center"/>
          </w:tcPr>
          <w:p w14:paraId="65BD851D"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33,9</w:t>
            </w:r>
          </w:p>
        </w:tc>
        <w:tc>
          <w:tcPr>
            <w:tcW w:w="567" w:type="dxa"/>
            <w:vAlign w:val="center"/>
          </w:tcPr>
          <w:p w14:paraId="2D199D33" w14:textId="79BC127A" w:rsidR="007F25C1" w:rsidRPr="00986950" w:rsidRDefault="007F25C1" w:rsidP="007F25C1">
            <w:pPr>
              <w:spacing w:after="0" w:line="240" w:lineRule="auto"/>
              <w:jc w:val="center"/>
              <w:rPr>
                <w:rFonts w:cs="Arial"/>
                <w:color w:val="000000"/>
                <w:sz w:val="16"/>
                <w:szCs w:val="16"/>
              </w:rPr>
            </w:pPr>
            <w:r>
              <w:rPr>
                <w:rFonts w:cs="Arial"/>
                <w:color w:val="000000"/>
                <w:sz w:val="16"/>
                <w:szCs w:val="16"/>
              </w:rPr>
              <w:t>41,7</w:t>
            </w:r>
          </w:p>
        </w:tc>
      </w:tr>
      <w:tr w:rsidR="007F25C1" w:rsidRPr="00986950" w14:paraId="0271F520" w14:textId="4AB087D1" w:rsidTr="00245F95">
        <w:trPr>
          <w:trHeight w:val="480"/>
        </w:trPr>
        <w:tc>
          <w:tcPr>
            <w:tcW w:w="3401" w:type="dxa"/>
            <w:tcBorders>
              <w:top w:val="nil"/>
              <w:left w:val="nil"/>
              <w:bottom w:val="nil"/>
              <w:right w:val="single" w:sz="4" w:space="0" w:color="auto"/>
            </w:tcBorders>
            <w:shd w:val="clear" w:color="auto" w:fill="auto"/>
            <w:vAlign w:val="center"/>
            <w:hideMark/>
          </w:tcPr>
          <w:p w14:paraId="093A2F2F" w14:textId="77777777" w:rsidR="007F25C1" w:rsidRPr="00986950" w:rsidRDefault="007F25C1" w:rsidP="007F25C1">
            <w:pPr>
              <w:spacing w:after="0" w:line="240" w:lineRule="auto"/>
              <w:ind w:firstLineChars="100" w:firstLine="160"/>
              <w:rPr>
                <w:rFonts w:cs="Arial"/>
                <w:color w:val="000000"/>
                <w:sz w:val="16"/>
                <w:szCs w:val="16"/>
              </w:rPr>
            </w:pPr>
            <w:r w:rsidRPr="00986950">
              <w:rPr>
                <w:rFonts w:cs="Arial"/>
                <w:color w:val="000000"/>
                <w:sz w:val="16"/>
                <w:szCs w:val="16"/>
              </w:rPr>
              <w:t xml:space="preserve">G – Velkoobchod a maloobchod; </w:t>
            </w:r>
            <w:r w:rsidRPr="00986950">
              <w:rPr>
                <w:rFonts w:cs="Arial"/>
                <w:color w:val="000000"/>
                <w:sz w:val="16"/>
                <w:szCs w:val="16"/>
              </w:rPr>
              <w:br/>
              <w:t xml:space="preserve">          opravy a údržba motorových vozidel</w:t>
            </w:r>
          </w:p>
        </w:tc>
        <w:tc>
          <w:tcPr>
            <w:tcW w:w="567" w:type="dxa"/>
            <w:tcBorders>
              <w:top w:val="nil"/>
              <w:left w:val="nil"/>
              <w:bottom w:val="nil"/>
              <w:right w:val="nil"/>
            </w:tcBorders>
            <w:shd w:val="clear" w:color="auto" w:fill="auto"/>
            <w:noWrap/>
            <w:vAlign w:val="center"/>
            <w:hideMark/>
          </w:tcPr>
          <w:p w14:paraId="22209433"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48,7</w:t>
            </w:r>
          </w:p>
        </w:tc>
        <w:tc>
          <w:tcPr>
            <w:tcW w:w="567" w:type="dxa"/>
            <w:tcBorders>
              <w:top w:val="nil"/>
              <w:left w:val="nil"/>
              <w:bottom w:val="nil"/>
              <w:right w:val="nil"/>
            </w:tcBorders>
            <w:shd w:val="clear" w:color="auto" w:fill="auto"/>
            <w:noWrap/>
            <w:vAlign w:val="center"/>
            <w:hideMark/>
          </w:tcPr>
          <w:p w14:paraId="56E23CBF"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50,3</w:t>
            </w:r>
          </w:p>
        </w:tc>
        <w:tc>
          <w:tcPr>
            <w:tcW w:w="567" w:type="dxa"/>
            <w:tcBorders>
              <w:top w:val="nil"/>
              <w:left w:val="nil"/>
              <w:bottom w:val="nil"/>
              <w:right w:val="nil"/>
            </w:tcBorders>
            <w:shd w:val="clear" w:color="auto" w:fill="auto"/>
            <w:noWrap/>
            <w:vAlign w:val="center"/>
            <w:hideMark/>
          </w:tcPr>
          <w:p w14:paraId="40414B85"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46,7</w:t>
            </w:r>
          </w:p>
        </w:tc>
        <w:tc>
          <w:tcPr>
            <w:tcW w:w="567" w:type="dxa"/>
            <w:tcBorders>
              <w:top w:val="nil"/>
              <w:left w:val="nil"/>
              <w:bottom w:val="nil"/>
              <w:right w:val="nil"/>
            </w:tcBorders>
            <w:shd w:val="clear" w:color="auto" w:fill="auto"/>
            <w:noWrap/>
            <w:vAlign w:val="center"/>
            <w:hideMark/>
          </w:tcPr>
          <w:p w14:paraId="23FB08E1"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44,9</w:t>
            </w:r>
          </w:p>
        </w:tc>
        <w:tc>
          <w:tcPr>
            <w:tcW w:w="567" w:type="dxa"/>
            <w:tcBorders>
              <w:top w:val="nil"/>
              <w:left w:val="nil"/>
              <w:bottom w:val="nil"/>
              <w:right w:val="nil"/>
            </w:tcBorders>
            <w:shd w:val="clear" w:color="auto" w:fill="auto"/>
            <w:noWrap/>
            <w:vAlign w:val="center"/>
            <w:hideMark/>
          </w:tcPr>
          <w:p w14:paraId="7090783A"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44,8</w:t>
            </w:r>
          </w:p>
        </w:tc>
        <w:tc>
          <w:tcPr>
            <w:tcW w:w="567" w:type="dxa"/>
            <w:tcBorders>
              <w:top w:val="nil"/>
              <w:left w:val="nil"/>
              <w:bottom w:val="nil"/>
              <w:right w:val="nil"/>
            </w:tcBorders>
            <w:shd w:val="clear" w:color="auto" w:fill="auto"/>
            <w:noWrap/>
            <w:vAlign w:val="center"/>
            <w:hideMark/>
          </w:tcPr>
          <w:p w14:paraId="716136C3"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44,2</w:t>
            </w:r>
          </w:p>
        </w:tc>
        <w:tc>
          <w:tcPr>
            <w:tcW w:w="567" w:type="dxa"/>
            <w:tcBorders>
              <w:top w:val="nil"/>
              <w:left w:val="nil"/>
              <w:bottom w:val="nil"/>
              <w:right w:val="nil"/>
            </w:tcBorders>
            <w:shd w:val="clear" w:color="auto" w:fill="auto"/>
            <w:noWrap/>
            <w:vAlign w:val="center"/>
            <w:hideMark/>
          </w:tcPr>
          <w:p w14:paraId="397ED40C"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44,6</w:t>
            </w:r>
          </w:p>
        </w:tc>
        <w:tc>
          <w:tcPr>
            <w:tcW w:w="567" w:type="dxa"/>
            <w:tcBorders>
              <w:top w:val="nil"/>
              <w:left w:val="nil"/>
              <w:bottom w:val="nil"/>
              <w:right w:val="nil"/>
            </w:tcBorders>
            <w:shd w:val="clear" w:color="auto" w:fill="auto"/>
            <w:noWrap/>
            <w:vAlign w:val="center"/>
            <w:hideMark/>
          </w:tcPr>
          <w:p w14:paraId="519997EA"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41,8</w:t>
            </w:r>
          </w:p>
        </w:tc>
        <w:tc>
          <w:tcPr>
            <w:tcW w:w="567" w:type="dxa"/>
            <w:vAlign w:val="center"/>
          </w:tcPr>
          <w:p w14:paraId="0C65D7C2" w14:textId="77777777" w:rsidR="007F25C1" w:rsidRPr="00986950" w:rsidRDefault="007F25C1" w:rsidP="007F25C1">
            <w:pPr>
              <w:spacing w:after="0" w:line="240" w:lineRule="auto"/>
              <w:jc w:val="center"/>
            </w:pPr>
            <w:r w:rsidRPr="00986950">
              <w:rPr>
                <w:rFonts w:cs="Arial"/>
                <w:color w:val="000000"/>
                <w:sz w:val="16"/>
                <w:szCs w:val="16"/>
              </w:rPr>
              <w:t>36,5</w:t>
            </w:r>
          </w:p>
        </w:tc>
        <w:tc>
          <w:tcPr>
            <w:tcW w:w="567" w:type="dxa"/>
            <w:vAlign w:val="center"/>
          </w:tcPr>
          <w:p w14:paraId="3A12E898"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27,4</w:t>
            </w:r>
          </w:p>
        </w:tc>
        <w:tc>
          <w:tcPr>
            <w:tcW w:w="567" w:type="dxa"/>
            <w:vAlign w:val="center"/>
          </w:tcPr>
          <w:p w14:paraId="7157320B" w14:textId="3F1DDC44" w:rsidR="007F25C1" w:rsidRPr="00986950" w:rsidRDefault="007F25C1" w:rsidP="007F25C1">
            <w:pPr>
              <w:spacing w:after="0" w:line="240" w:lineRule="auto"/>
              <w:jc w:val="center"/>
              <w:rPr>
                <w:rFonts w:cs="Arial"/>
                <w:color w:val="000000"/>
                <w:sz w:val="16"/>
                <w:szCs w:val="16"/>
              </w:rPr>
            </w:pPr>
            <w:r>
              <w:rPr>
                <w:rFonts w:cs="Arial"/>
                <w:color w:val="000000"/>
                <w:sz w:val="16"/>
                <w:szCs w:val="16"/>
              </w:rPr>
              <w:t>33,5</w:t>
            </w:r>
          </w:p>
        </w:tc>
      </w:tr>
      <w:tr w:rsidR="007F25C1" w:rsidRPr="00986950" w14:paraId="0C5E3F7E" w14:textId="3927B706" w:rsidTr="00245F95">
        <w:trPr>
          <w:trHeight w:val="300"/>
        </w:trPr>
        <w:tc>
          <w:tcPr>
            <w:tcW w:w="3401" w:type="dxa"/>
            <w:tcBorders>
              <w:top w:val="nil"/>
              <w:left w:val="nil"/>
              <w:bottom w:val="nil"/>
              <w:right w:val="single" w:sz="4" w:space="0" w:color="auto"/>
            </w:tcBorders>
            <w:shd w:val="clear" w:color="auto" w:fill="auto"/>
            <w:vAlign w:val="center"/>
            <w:hideMark/>
          </w:tcPr>
          <w:p w14:paraId="68D5814C" w14:textId="77777777" w:rsidR="007F25C1" w:rsidRPr="00986950" w:rsidRDefault="007F25C1" w:rsidP="007F25C1">
            <w:pPr>
              <w:spacing w:after="0" w:line="240" w:lineRule="auto"/>
              <w:ind w:firstLineChars="100" w:firstLine="160"/>
              <w:rPr>
                <w:rFonts w:cs="Arial"/>
                <w:color w:val="000000"/>
                <w:sz w:val="16"/>
                <w:szCs w:val="16"/>
              </w:rPr>
            </w:pPr>
            <w:r w:rsidRPr="00986950">
              <w:rPr>
                <w:rFonts w:cs="Arial"/>
                <w:color w:val="000000"/>
                <w:sz w:val="16"/>
                <w:szCs w:val="16"/>
              </w:rPr>
              <w:t>H – Doprava a skladování</w:t>
            </w:r>
          </w:p>
        </w:tc>
        <w:tc>
          <w:tcPr>
            <w:tcW w:w="567" w:type="dxa"/>
            <w:tcBorders>
              <w:top w:val="nil"/>
              <w:left w:val="nil"/>
              <w:bottom w:val="nil"/>
              <w:right w:val="nil"/>
            </w:tcBorders>
            <w:shd w:val="clear" w:color="auto" w:fill="auto"/>
            <w:noWrap/>
            <w:vAlign w:val="center"/>
            <w:hideMark/>
          </w:tcPr>
          <w:p w14:paraId="3ED6088B"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50,0</w:t>
            </w:r>
          </w:p>
        </w:tc>
        <w:tc>
          <w:tcPr>
            <w:tcW w:w="567" w:type="dxa"/>
            <w:tcBorders>
              <w:top w:val="nil"/>
              <w:left w:val="nil"/>
              <w:bottom w:val="nil"/>
              <w:right w:val="nil"/>
            </w:tcBorders>
            <w:shd w:val="clear" w:color="auto" w:fill="auto"/>
            <w:noWrap/>
            <w:vAlign w:val="center"/>
            <w:hideMark/>
          </w:tcPr>
          <w:p w14:paraId="341287A6"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50,9</w:t>
            </w:r>
          </w:p>
        </w:tc>
        <w:tc>
          <w:tcPr>
            <w:tcW w:w="567" w:type="dxa"/>
            <w:tcBorders>
              <w:top w:val="nil"/>
              <w:left w:val="nil"/>
              <w:bottom w:val="nil"/>
              <w:right w:val="nil"/>
            </w:tcBorders>
            <w:shd w:val="clear" w:color="auto" w:fill="auto"/>
            <w:noWrap/>
            <w:vAlign w:val="center"/>
            <w:hideMark/>
          </w:tcPr>
          <w:p w14:paraId="45EACC43"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45,8</w:t>
            </w:r>
          </w:p>
        </w:tc>
        <w:tc>
          <w:tcPr>
            <w:tcW w:w="567" w:type="dxa"/>
            <w:tcBorders>
              <w:top w:val="nil"/>
              <w:left w:val="nil"/>
              <w:bottom w:val="nil"/>
              <w:right w:val="nil"/>
            </w:tcBorders>
            <w:shd w:val="clear" w:color="auto" w:fill="auto"/>
            <w:noWrap/>
            <w:vAlign w:val="center"/>
            <w:hideMark/>
          </w:tcPr>
          <w:p w14:paraId="5BAB01D3"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45,9</w:t>
            </w:r>
          </w:p>
        </w:tc>
        <w:tc>
          <w:tcPr>
            <w:tcW w:w="567" w:type="dxa"/>
            <w:tcBorders>
              <w:top w:val="nil"/>
              <w:left w:val="nil"/>
              <w:bottom w:val="nil"/>
              <w:right w:val="nil"/>
            </w:tcBorders>
            <w:shd w:val="clear" w:color="auto" w:fill="auto"/>
            <w:noWrap/>
            <w:vAlign w:val="center"/>
            <w:hideMark/>
          </w:tcPr>
          <w:p w14:paraId="4A71F38A"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44,2</w:t>
            </w:r>
          </w:p>
        </w:tc>
        <w:tc>
          <w:tcPr>
            <w:tcW w:w="567" w:type="dxa"/>
            <w:tcBorders>
              <w:top w:val="nil"/>
              <w:left w:val="nil"/>
              <w:bottom w:val="nil"/>
              <w:right w:val="nil"/>
            </w:tcBorders>
            <w:shd w:val="clear" w:color="auto" w:fill="auto"/>
            <w:noWrap/>
            <w:vAlign w:val="center"/>
            <w:hideMark/>
          </w:tcPr>
          <w:p w14:paraId="1098C097"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44,2</w:t>
            </w:r>
          </w:p>
        </w:tc>
        <w:tc>
          <w:tcPr>
            <w:tcW w:w="567" w:type="dxa"/>
            <w:tcBorders>
              <w:top w:val="nil"/>
              <w:left w:val="nil"/>
              <w:bottom w:val="nil"/>
              <w:right w:val="nil"/>
            </w:tcBorders>
            <w:shd w:val="clear" w:color="auto" w:fill="auto"/>
            <w:noWrap/>
            <w:vAlign w:val="center"/>
            <w:hideMark/>
          </w:tcPr>
          <w:p w14:paraId="4F2110F5"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44,7</w:t>
            </w:r>
          </w:p>
        </w:tc>
        <w:tc>
          <w:tcPr>
            <w:tcW w:w="567" w:type="dxa"/>
            <w:tcBorders>
              <w:top w:val="nil"/>
              <w:left w:val="nil"/>
              <w:bottom w:val="nil"/>
              <w:right w:val="nil"/>
            </w:tcBorders>
            <w:shd w:val="clear" w:color="auto" w:fill="auto"/>
            <w:noWrap/>
            <w:vAlign w:val="center"/>
            <w:hideMark/>
          </w:tcPr>
          <w:p w14:paraId="4294785F"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42,6</w:t>
            </w:r>
          </w:p>
        </w:tc>
        <w:tc>
          <w:tcPr>
            <w:tcW w:w="567" w:type="dxa"/>
            <w:vAlign w:val="center"/>
          </w:tcPr>
          <w:p w14:paraId="54DAA788" w14:textId="77777777" w:rsidR="007F25C1" w:rsidRPr="00986950" w:rsidRDefault="007F25C1" w:rsidP="007F25C1">
            <w:pPr>
              <w:spacing w:after="0" w:line="240" w:lineRule="auto"/>
              <w:jc w:val="center"/>
            </w:pPr>
            <w:r w:rsidRPr="00986950">
              <w:rPr>
                <w:rFonts w:cs="Arial"/>
                <w:color w:val="000000"/>
                <w:sz w:val="16"/>
                <w:szCs w:val="16"/>
              </w:rPr>
              <w:t>36,7</w:t>
            </w:r>
          </w:p>
        </w:tc>
        <w:tc>
          <w:tcPr>
            <w:tcW w:w="567" w:type="dxa"/>
            <w:vAlign w:val="center"/>
          </w:tcPr>
          <w:p w14:paraId="6359F022"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29,5</w:t>
            </w:r>
          </w:p>
        </w:tc>
        <w:tc>
          <w:tcPr>
            <w:tcW w:w="567" w:type="dxa"/>
            <w:vAlign w:val="center"/>
          </w:tcPr>
          <w:p w14:paraId="43A531BA" w14:textId="7797DF9C" w:rsidR="007F25C1" w:rsidRPr="00986950" w:rsidRDefault="007F25C1" w:rsidP="007F25C1">
            <w:pPr>
              <w:spacing w:after="0" w:line="240" w:lineRule="auto"/>
              <w:jc w:val="center"/>
              <w:rPr>
                <w:rFonts w:cs="Arial"/>
                <w:color w:val="000000"/>
                <w:sz w:val="16"/>
                <w:szCs w:val="16"/>
              </w:rPr>
            </w:pPr>
            <w:r>
              <w:rPr>
                <w:rFonts w:cs="Arial"/>
                <w:color w:val="000000"/>
                <w:sz w:val="16"/>
                <w:szCs w:val="16"/>
              </w:rPr>
              <w:t>35,2</w:t>
            </w:r>
          </w:p>
        </w:tc>
      </w:tr>
      <w:tr w:rsidR="007F25C1" w:rsidRPr="00986950" w14:paraId="3AF94E16" w14:textId="33719087" w:rsidTr="00245F95">
        <w:trPr>
          <w:trHeight w:val="300"/>
        </w:trPr>
        <w:tc>
          <w:tcPr>
            <w:tcW w:w="3401" w:type="dxa"/>
            <w:tcBorders>
              <w:top w:val="nil"/>
              <w:left w:val="nil"/>
              <w:bottom w:val="nil"/>
              <w:right w:val="single" w:sz="4" w:space="0" w:color="auto"/>
            </w:tcBorders>
            <w:shd w:val="clear" w:color="auto" w:fill="auto"/>
            <w:vAlign w:val="center"/>
            <w:hideMark/>
          </w:tcPr>
          <w:p w14:paraId="16B670E9" w14:textId="77777777" w:rsidR="007F25C1" w:rsidRPr="00986950" w:rsidRDefault="007F25C1" w:rsidP="007F25C1">
            <w:pPr>
              <w:spacing w:after="0" w:line="240" w:lineRule="auto"/>
              <w:ind w:firstLineChars="100" w:firstLine="160"/>
              <w:rPr>
                <w:rFonts w:cs="Arial"/>
                <w:color w:val="000000"/>
                <w:sz w:val="16"/>
                <w:szCs w:val="16"/>
              </w:rPr>
            </w:pPr>
            <w:r w:rsidRPr="00986950">
              <w:rPr>
                <w:rFonts w:cs="Arial"/>
                <w:color w:val="000000"/>
                <w:sz w:val="16"/>
                <w:szCs w:val="16"/>
              </w:rPr>
              <w:t>I – Ubytování, stravování a pohostinství</w:t>
            </w:r>
          </w:p>
        </w:tc>
        <w:tc>
          <w:tcPr>
            <w:tcW w:w="567" w:type="dxa"/>
            <w:tcBorders>
              <w:top w:val="nil"/>
              <w:left w:val="nil"/>
              <w:bottom w:val="nil"/>
              <w:right w:val="nil"/>
            </w:tcBorders>
            <w:shd w:val="clear" w:color="auto" w:fill="auto"/>
            <w:noWrap/>
            <w:vAlign w:val="center"/>
            <w:hideMark/>
          </w:tcPr>
          <w:p w14:paraId="22ABADD7"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57,5</w:t>
            </w:r>
          </w:p>
        </w:tc>
        <w:tc>
          <w:tcPr>
            <w:tcW w:w="567" w:type="dxa"/>
            <w:tcBorders>
              <w:top w:val="nil"/>
              <w:left w:val="nil"/>
              <w:bottom w:val="nil"/>
              <w:right w:val="nil"/>
            </w:tcBorders>
            <w:shd w:val="clear" w:color="auto" w:fill="auto"/>
            <w:noWrap/>
            <w:vAlign w:val="center"/>
            <w:hideMark/>
          </w:tcPr>
          <w:p w14:paraId="2F38E10E"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58,7</w:t>
            </w:r>
          </w:p>
        </w:tc>
        <w:tc>
          <w:tcPr>
            <w:tcW w:w="567" w:type="dxa"/>
            <w:tcBorders>
              <w:top w:val="nil"/>
              <w:left w:val="nil"/>
              <w:bottom w:val="nil"/>
              <w:right w:val="nil"/>
            </w:tcBorders>
            <w:shd w:val="clear" w:color="auto" w:fill="auto"/>
            <w:noWrap/>
            <w:vAlign w:val="center"/>
            <w:hideMark/>
          </w:tcPr>
          <w:p w14:paraId="341EA8A8"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55,0</w:t>
            </w:r>
          </w:p>
        </w:tc>
        <w:tc>
          <w:tcPr>
            <w:tcW w:w="567" w:type="dxa"/>
            <w:tcBorders>
              <w:top w:val="nil"/>
              <w:left w:val="nil"/>
              <w:bottom w:val="nil"/>
              <w:right w:val="nil"/>
            </w:tcBorders>
            <w:shd w:val="clear" w:color="auto" w:fill="auto"/>
            <w:noWrap/>
            <w:vAlign w:val="center"/>
            <w:hideMark/>
          </w:tcPr>
          <w:p w14:paraId="17391551"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54,5</w:t>
            </w:r>
          </w:p>
        </w:tc>
        <w:tc>
          <w:tcPr>
            <w:tcW w:w="567" w:type="dxa"/>
            <w:tcBorders>
              <w:top w:val="nil"/>
              <w:left w:val="nil"/>
              <w:bottom w:val="nil"/>
              <w:right w:val="nil"/>
            </w:tcBorders>
            <w:shd w:val="clear" w:color="auto" w:fill="auto"/>
            <w:noWrap/>
            <w:vAlign w:val="center"/>
            <w:hideMark/>
          </w:tcPr>
          <w:p w14:paraId="03F38791"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54,7</w:t>
            </w:r>
          </w:p>
        </w:tc>
        <w:tc>
          <w:tcPr>
            <w:tcW w:w="567" w:type="dxa"/>
            <w:tcBorders>
              <w:top w:val="nil"/>
              <w:left w:val="nil"/>
              <w:bottom w:val="nil"/>
              <w:right w:val="nil"/>
            </w:tcBorders>
            <w:shd w:val="clear" w:color="auto" w:fill="auto"/>
            <w:noWrap/>
            <w:vAlign w:val="center"/>
            <w:hideMark/>
          </w:tcPr>
          <w:p w14:paraId="30A46F90"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53,8</w:t>
            </w:r>
          </w:p>
        </w:tc>
        <w:tc>
          <w:tcPr>
            <w:tcW w:w="567" w:type="dxa"/>
            <w:tcBorders>
              <w:top w:val="nil"/>
              <w:left w:val="nil"/>
              <w:bottom w:val="nil"/>
              <w:right w:val="nil"/>
            </w:tcBorders>
            <w:shd w:val="clear" w:color="auto" w:fill="auto"/>
            <w:noWrap/>
            <w:vAlign w:val="center"/>
            <w:hideMark/>
          </w:tcPr>
          <w:p w14:paraId="2F58AF65"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54,4</w:t>
            </w:r>
          </w:p>
        </w:tc>
        <w:tc>
          <w:tcPr>
            <w:tcW w:w="567" w:type="dxa"/>
            <w:tcBorders>
              <w:top w:val="nil"/>
              <w:left w:val="nil"/>
              <w:bottom w:val="nil"/>
              <w:right w:val="nil"/>
            </w:tcBorders>
            <w:shd w:val="clear" w:color="auto" w:fill="auto"/>
            <w:noWrap/>
            <w:vAlign w:val="center"/>
            <w:hideMark/>
          </w:tcPr>
          <w:p w14:paraId="784D857D"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57,1</w:t>
            </w:r>
          </w:p>
        </w:tc>
        <w:tc>
          <w:tcPr>
            <w:tcW w:w="567" w:type="dxa"/>
            <w:vAlign w:val="center"/>
          </w:tcPr>
          <w:p w14:paraId="5106F768" w14:textId="77777777" w:rsidR="007F25C1" w:rsidRPr="00986950" w:rsidRDefault="007F25C1" w:rsidP="007F25C1">
            <w:pPr>
              <w:spacing w:after="0" w:line="240" w:lineRule="auto"/>
              <w:jc w:val="center"/>
            </w:pPr>
            <w:r w:rsidRPr="00986950">
              <w:rPr>
                <w:rFonts w:cs="Arial"/>
                <w:color w:val="000000"/>
                <w:sz w:val="16"/>
                <w:szCs w:val="16"/>
              </w:rPr>
              <w:t>48,1</w:t>
            </w:r>
          </w:p>
        </w:tc>
        <w:tc>
          <w:tcPr>
            <w:tcW w:w="567" w:type="dxa"/>
            <w:vAlign w:val="center"/>
          </w:tcPr>
          <w:p w14:paraId="134E394F"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36,0</w:t>
            </w:r>
          </w:p>
        </w:tc>
        <w:tc>
          <w:tcPr>
            <w:tcW w:w="567" w:type="dxa"/>
            <w:vAlign w:val="center"/>
          </w:tcPr>
          <w:p w14:paraId="26C24A5C" w14:textId="186A6BBF" w:rsidR="007F25C1" w:rsidRPr="00986950" w:rsidRDefault="007F25C1" w:rsidP="007F25C1">
            <w:pPr>
              <w:spacing w:after="0" w:line="240" w:lineRule="auto"/>
              <w:jc w:val="center"/>
              <w:rPr>
                <w:rFonts w:cs="Arial"/>
                <w:color w:val="000000"/>
                <w:sz w:val="16"/>
                <w:szCs w:val="16"/>
              </w:rPr>
            </w:pPr>
            <w:r>
              <w:rPr>
                <w:rFonts w:cs="Arial"/>
                <w:color w:val="000000"/>
                <w:sz w:val="16"/>
                <w:szCs w:val="16"/>
              </w:rPr>
              <w:t>42,8</w:t>
            </w:r>
          </w:p>
        </w:tc>
      </w:tr>
      <w:tr w:rsidR="007F25C1" w:rsidRPr="00986950" w14:paraId="0A5EDD7B" w14:textId="06AB718F" w:rsidTr="00245F95">
        <w:trPr>
          <w:trHeight w:val="300"/>
        </w:trPr>
        <w:tc>
          <w:tcPr>
            <w:tcW w:w="3401" w:type="dxa"/>
            <w:tcBorders>
              <w:top w:val="nil"/>
              <w:left w:val="nil"/>
              <w:bottom w:val="nil"/>
              <w:right w:val="single" w:sz="4" w:space="0" w:color="auto"/>
            </w:tcBorders>
            <w:shd w:val="clear" w:color="auto" w:fill="auto"/>
            <w:vAlign w:val="center"/>
            <w:hideMark/>
          </w:tcPr>
          <w:p w14:paraId="0935794A" w14:textId="77777777" w:rsidR="007F25C1" w:rsidRPr="00986950" w:rsidRDefault="007F25C1" w:rsidP="007F25C1">
            <w:pPr>
              <w:spacing w:after="0" w:line="240" w:lineRule="auto"/>
              <w:ind w:firstLineChars="100" w:firstLine="160"/>
              <w:rPr>
                <w:rFonts w:cs="Arial"/>
                <w:color w:val="000000"/>
                <w:sz w:val="16"/>
                <w:szCs w:val="16"/>
              </w:rPr>
            </w:pPr>
            <w:r w:rsidRPr="00986950">
              <w:rPr>
                <w:rFonts w:cs="Arial"/>
                <w:color w:val="000000"/>
                <w:sz w:val="16"/>
                <w:szCs w:val="16"/>
              </w:rPr>
              <w:t>J – Informační a komunikační činnosti</w:t>
            </w:r>
          </w:p>
        </w:tc>
        <w:tc>
          <w:tcPr>
            <w:tcW w:w="567" w:type="dxa"/>
            <w:tcBorders>
              <w:top w:val="nil"/>
              <w:left w:val="nil"/>
              <w:bottom w:val="nil"/>
              <w:right w:val="nil"/>
            </w:tcBorders>
            <w:shd w:val="clear" w:color="auto" w:fill="auto"/>
            <w:noWrap/>
            <w:vAlign w:val="center"/>
            <w:hideMark/>
          </w:tcPr>
          <w:p w14:paraId="74CFF7D4"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25,7</w:t>
            </w:r>
          </w:p>
        </w:tc>
        <w:tc>
          <w:tcPr>
            <w:tcW w:w="567" w:type="dxa"/>
            <w:tcBorders>
              <w:top w:val="nil"/>
              <w:left w:val="nil"/>
              <w:bottom w:val="nil"/>
              <w:right w:val="nil"/>
            </w:tcBorders>
            <w:shd w:val="clear" w:color="auto" w:fill="auto"/>
            <w:noWrap/>
            <w:vAlign w:val="center"/>
            <w:hideMark/>
          </w:tcPr>
          <w:p w14:paraId="696367DD"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27,8</w:t>
            </w:r>
          </w:p>
        </w:tc>
        <w:tc>
          <w:tcPr>
            <w:tcW w:w="567" w:type="dxa"/>
            <w:tcBorders>
              <w:top w:val="nil"/>
              <w:left w:val="nil"/>
              <w:bottom w:val="nil"/>
              <w:right w:val="nil"/>
            </w:tcBorders>
            <w:shd w:val="clear" w:color="auto" w:fill="auto"/>
            <w:noWrap/>
            <w:vAlign w:val="center"/>
            <w:hideMark/>
          </w:tcPr>
          <w:p w14:paraId="25948033"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27,5</w:t>
            </w:r>
          </w:p>
        </w:tc>
        <w:tc>
          <w:tcPr>
            <w:tcW w:w="567" w:type="dxa"/>
            <w:tcBorders>
              <w:top w:val="nil"/>
              <w:left w:val="nil"/>
              <w:bottom w:val="nil"/>
              <w:right w:val="nil"/>
            </w:tcBorders>
            <w:shd w:val="clear" w:color="auto" w:fill="auto"/>
            <w:noWrap/>
            <w:vAlign w:val="center"/>
            <w:hideMark/>
          </w:tcPr>
          <w:p w14:paraId="4D06E21E"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26,0</w:t>
            </w:r>
          </w:p>
        </w:tc>
        <w:tc>
          <w:tcPr>
            <w:tcW w:w="567" w:type="dxa"/>
            <w:tcBorders>
              <w:top w:val="nil"/>
              <w:left w:val="nil"/>
              <w:bottom w:val="nil"/>
              <w:right w:val="nil"/>
            </w:tcBorders>
            <w:shd w:val="clear" w:color="auto" w:fill="auto"/>
            <w:noWrap/>
            <w:vAlign w:val="center"/>
            <w:hideMark/>
          </w:tcPr>
          <w:p w14:paraId="1C1D7E94"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26,2</w:t>
            </w:r>
          </w:p>
        </w:tc>
        <w:tc>
          <w:tcPr>
            <w:tcW w:w="567" w:type="dxa"/>
            <w:tcBorders>
              <w:top w:val="nil"/>
              <w:left w:val="nil"/>
              <w:bottom w:val="nil"/>
              <w:right w:val="nil"/>
            </w:tcBorders>
            <w:shd w:val="clear" w:color="auto" w:fill="auto"/>
            <w:noWrap/>
            <w:vAlign w:val="center"/>
            <w:hideMark/>
          </w:tcPr>
          <w:p w14:paraId="328DB9E6"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26,4</w:t>
            </w:r>
          </w:p>
        </w:tc>
        <w:tc>
          <w:tcPr>
            <w:tcW w:w="567" w:type="dxa"/>
            <w:tcBorders>
              <w:top w:val="nil"/>
              <w:left w:val="nil"/>
              <w:bottom w:val="nil"/>
              <w:right w:val="nil"/>
            </w:tcBorders>
            <w:shd w:val="clear" w:color="auto" w:fill="auto"/>
            <w:noWrap/>
            <w:vAlign w:val="center"/>
            <w:hideMark/>
          </w:tcPr>
          <w:p w14:paraId="022186FF"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25,4</w:t>
            </w:r>
          </w:p>
        </w:tc>
        <w:tc>
          <w:tcPr>
            <w:tcW w:w="567" w:type="dxa"/>
            <w:tcBorders>
              <w:top w:val="nil"/>
              <w:left w:val="nil"/>
              <w:bottom w:val="nil"/>
              <w:right w:val="nil"/>
            </w:tcBorders>
            <w:shd w:val="clear" w:color="auto" w:fill="auto"/>
            <w:noWrap/>
            <w:vAlign w:val="center"/>
            <w:hideMark/>
          </w:tcPr>
          <w:p w14:paraId="5B44A154"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26,3</w:t>
            </w:r>
          </w:p>
        </w:tc>
        <w:tc>
          <w:tcPr>
            <w:tcW w:w="567" w:type="dxa"/>
            <w:vAlign w:val="center"/>
          </w:tcPr>
          <w:p w14:paraId="72EDF24D" w14:textId="77777777" w:rsidR="007F25C1" w:rsidRPr="00986950" w:rsidRDefault="007F25C1" w:rsidP="007F25C1">
            <w:pPr>
              <w:spacing w:after="0" w:line="240" w:lineRule="auto"/>
              <w:jc w:val="center"/>
            </w:pPr>
            <w:r w:rsidRPr="00986950">
              <w:rPr>
                <w:rFonts w:cs="Arial"/>
                <w:color w:val="000000"/>
                <w:sz w:val="16"/>
                <w:szCs w:val="16"/>
              </w:rPr>
              <w:t>23,3</w:t>
            </w:r>
          </w:p>
        </w:tc>
        <w:tc>
          <w:tcPr>
            <w:tcW w:w="567" w:type="dxa"/>
            <w:vAlign w:val="center"/>
          </w:tcPr>
          <w:p w14:paraId="2D755C33"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16,8</w:t>
            </w:r>
          </w:p>
        </w:tc>
        <w:tc>
          <w:tcPr>
            <w:tcW w:w="567" w:type="dxa"/>
            <w:vAlign w:val="center"/>
          </w:tcPr>
          <w:p w14:paraId="7A302F05" w14:textId="45B42C78" w:rsidR="007F25C1" w:rsidRPr="00986950" w:rsidRDefault="007F25C1" w:rsidP="007F25C1">
            <w:pPr>
              <w:spacing w:after="0" w:line="240" w:lineRule="auto"/>
              <w:jc w:val="center"/>
              <w:rPr>
                <w:rFonts w:cs="Arial"/>
                <w:color w:val="000000"/>
                <w:sz w:val="16"/>
                <w:szCs w:val="16"/>
              </w:rPr>
            </w:pPr>
            <w:r>
              <w:rPr>
                <w:rFonts w:cs="Arial"/>
                <w:color w:val="000000"/>
                <w:sz w:val="16"/>
                <w:szCs w:val="16"/>
              </w:rPr>
              <w:t>18,3</w:t>
            </w:r>
          </w:p>
        </w:tc>
      </w:tr>
      <w:tr w:rsidR="007F25C1" w:rsidRPr="00986950" w14:paraId="36A7EE01" w14:textId="2588DC3D" w:rsidTr="00245F95">
        <w:trPr>
          <w:trHeight w:val="300"/>
        </w:trPr>
        <w:tc>
          <w:tcPr>
            <w:tcW w:w="3401" w:type="dxa"/>
            <w:tcBorders>
              <w:top w:val="nil"/>
              <w:left w:val="nil"/>
              <w:bottom w:val="nil"/>
              <w:right w:val="single" w:sz="4" w:space="0" w:color="auto"/>
            </w:tcBorders>
            <w:shd w:val="clear" w:color="auto" w:fill="auto"/>
            <w:vAlign w:val="center"/>
            <w:hideMark/>
          </w:tcPr>
          <w:p w14:paraId="74638010" w14:textId="77777777" w:rsidR="007F25C1" w:rsidRPr="00986950" w:rsidRDefault="007F25C1" w:rsidP="007F25C1">
            <w:pPr>
              <w:spacing w:after="0" w:line="240" w:lineRule="auto"/>
              <w:ind w:firstLineChars="100" w:firstLine="160"/>
              <w:rPr>
                <w:rFonts w:cs="Arial"/>
                <w:color w:val="000000"/>
                <w:sz w:val="16"/>
                <w:szCs w:val="16"/>
              </w:rPr>
            </w:pPr>
            <w:r w:rsidRPr="00986950">
              <w:rPr>
                <w:rFonts w:cs="Arial"/>
                <w:color w:val="000000"/>
                <w:sz w:val="16"/>
                <w:szCs w:val="16"/>
              </w:rPr>
              <w:t>K – Peněžnictví a pojišťovnictví</w:t>
            </w:r>
          </w:p>
        </w:tc>
        <w:tc>
          <w:tcPr>
            <w:tcW w:w="567" w:type="dxa"/>
            <w:tcBorders>
              <w:top w:val="nil"/>
              <w:left w:val="nil"/>
              <w:bottom w:val="nil"/>
              <w:right w:val="nil"/>
            </w:tcBorders>
            <w:shd w:val="clear" w:color="auto" w:fill="auto"/>
            <w:noWrap/>
            <w:vAlign w:val="center"/>
            <w:hideMark/>
          </w:tcPr>
          <w:p w14:paraId="0D555CA3"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31,2</w:t>
            </w:r>
          </w:p>
        </w:tc>
        <w:tc>
          <w:tcPr>
            <w:tcW w:w="567" w:type="dxa"/>
            <w:tcBorders>
              <w:top w:val="nil"/>
              <w:left w:val="nil"/>
              <w:bottom w:val="nil"/>
              <w:right w:val="nil"/>
            </w:tcBorders>
            <w:shd w:val="clear" w:color="auto" w:fill="auto"/>
            <w:noWrap/>
            <w:vAlign w:val="center"/>
            <w:hideMark/>
          </w:tcPr>
          <w:p w14:paraId="1ECFA3D9"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34,3</w:t>
            </w:r>
          </w:p>
        </w:tc>
        <w:tc>
          <w:tcPr>
            <w:tcW w:w="567" w:type="dxa"/>
            <w:tcBorders>
              <w:top w:val="nil"/>
              <w:left w:val="nil"/>
              <w:bottom w:val="nil"/>
              <w:right w:val="nil"/>
            </w:tcBorders>
            <w:shd w:val="clear" w:color="auto" w:fill="auto"/>
            <w:noWrap/>
            <w:vAlign w:val="center"/>
            <w:hideMark/>
          </w:tcPr>
          <w:p w14:paraId="1ECD6C03"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33,1</w:t>
            </w:r>
          </w:p>
        </w:tc>
        <w:tc>
          <w:tcPr>
            <w:tcW w:w="567" w:type="dxa"/>
            <w:tcBorders>
              <w:top w:val="nil"/>
              <w:left w:val="nil"/>
              <w:bottom w:val="nil"/>
              <w:right w:val="nil"/>
            </w:tcBorders>
            <w:shd w:val="clear" w:color="auto" w:fill="auto"/>
            <w:noWrap/>
            <w:vAlign w:val="center"/>
            <w:hideMark/>
          </w:tcPr>
          <w:p w14:paraId="49B58110"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32,4</w:t>
            </w:r>
          </w:p>
        </w:tc>
        <w:tc>
          <w:tcPr>
            <w:tcW w:w="567" w:type="dxa"/>
            <w:tcBorders>
              <w:top w:val="nil"/>
              <w:left w:val="nil"/>
              <w:bottom w:val="nil"/>
              <w:right w:val="nil"/>
            </w:tcBorders>
            <w:shd w:val="clear" w:color="auto" w:fill="auto"/>
            <w:noWrap/>
            <w:vAlign w:val="center"/>
            <w:hideMark/>
          </w:tcPr>
          <w:p w14:paraId="532511B6"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33,8</w:t>
            </w:r>
          </w:p>
        </w:tc>
        <w:tc>
          <w:tcPr>
            <w:tcW w:w="567" w:type="dxa"/>
            <w:tcBorders>
              <w:top w:val="nil"/>
              <w:left w:val="nil"/>
              <w:bottom w:val="nil"/>
              <w:right w:val="nil"/>
            </w:tcBorders>
            <w:shd w:val="clear" w:color="auto" w:fill="auto"/>
            <w:noWrap/>
            <w:vAlign w:val="center"/>
            <w:hideMark/>
          </w:tcPr>
          <w:p w14:paraId="50255739"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31,8</w:t>
            </w:r>
          </w:p>
        </w:tc>
        <w:tc>
          <w:tcPr>
            <w:tcW w:w="567" w:type="dxa"/>
            <w:tcBorders>
              <w:top w:val="nil"/>
              <w:left w:val="nil"/>
              <w:bottom w:val="nil"/>
              <w:right w:val="nil"/>
            </w:tcBorders>
            <w:shd w:val="clear" w:color="auto" w:fill="auto"/>
            <w:noWrap/>
            <w:vAlign w:val="center"/>
            <w:hideMark/>
          </w:tcPr>
          <w:p w14:paraId="438FF2F5"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31,7</w:t>
            </w:r>
          </w:p>
        </w:tc>
        <w:tc>
          <w:tcPr>
            <w:tcW w:w="567" w:type="dxa"/>
            <w:tcBorders>
              <w:top w:val="nil"/>
              <w:left w:val="nil"/>
              <w:bottom w:val="nil"/>
              <w:right w:val="nil"/>
            </w:tcBorders>
            <w:shd w:val="clear" w:color="auto" w:fill="auto"/>
            <w:noWrap/>
            <w:vAlign w:val="center"/>
            <w:hideMark/>
          </w:tcPr>
          <w:p w14:paraId="04688543"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33,0</w:t>
            </w:r>
          </w:p>
        </w:tc>
        <w:tc>
          <w:tcPr>
            <w:tcW w:w="567" w:type="dxa"/>
            <w:vAlign w:val="center"/>
          </w:tcPr>
          <w:p w14:paraId="38CD102A" w14:textId="77777777" w:rsidR="007F25C1" w:rsidRPr="00986950" w:rsidRDefault="007F25C1" w:rsidP="007F25C1">
            <w:pPr>
              <w:spacing w:after="0" w:line="240" w:lineRule="auto"/>
              <w:jc w:val="center"/>
            </w:pPr>
            <w:r w:rsidRPr="00986950">
              <w:rPr>
                <w:rFonts w:cs="Arial"/>
                <w:color w:val="000000"/>
                <w:sz w:val="16"/>
                <w:szCs w:val="16"/>
              </w:rPr>
              <w:t>30,3</w:t>
            </w:r>
          </w:p>
        </w:tc>
        <w:tc>
          <w:tcPr>
            <w:tcW w:w="567" w:type="dxa"/>
            <w:vAlign w:val="center"/>
          </w:tcPr>
          <w:p w14:paraId="2DF1F745"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21,0</w:t>
            </w:r>
          </w:p>
        </w:tc>
        <w:tc>
          <w:tcPr>
            <w:tcW w:w="567" w:type="dxa"/>
            <w:vAlign w:val="center"/>
          </w:tcPr>
          <w:p w14:paraId="0E75C8BC" w14:textId="2C1AC645" w:rsidR="007F25C1" w:rsidRPr="00986950" w:rsidRDefault="007F25C1" w:rsidP="007F25C1">
            <w:pPr>
              <w:spacing w:after="0" w:line="240" w:lineRule="auto"/>
              <w:jc w:val="center"/>
              <w:rPr>
                <w:rFonts w:cs="Arial"/>
                <w:color w:val="000000"/>
                <w:sz w:val="16"/>
                <w:szCs w:val="16"/>
              </w:rPr>
            </w:pPr>
            <w:r>
              <w:rPr>
                <w:rFonts w:cs="Arial"/>
                <w:color w:val="000000"/>
                <w:sz w:val="16"/>
                <w:szCs w:val="16"/>
              </w:rPr>
              <w:t>22,4</w:t>
            </w:r>
          </w:p>
        </w:tc>
      </w:tr>
      <w:tr w:rsidR="007F25C1" w:rsidRPr="00986950" w14:paraId="5944B7ED" w14:textId="57A28D17" w:rsidTr="00245F95">
        <w:trPr>
          <w:trHeight w:val="300"/>
        </w:trPr>
        <w:tc>
          <w:tcPr>
            <w:tcW w:w="3401" w:type="dxa"/>
            <w:tcBorders>
              <w:top w:val="nil"/>
              <w:left w:val="nil"/>
              <w:bottom w:val="nil"/>
              <w:right w:val="single" w:sz="4" w:space="0" w:color="auto"/>
            </w:tcBorders>
            <w:shd w:val="clear" w:color="auto" w:fill="auto"/>
            <w:vAlign w:val="center"/>
            <w:hideMark/>
          </w:tcPr>
          <w:p w14:paraId="63627155" w14:textId="77777777" w:rsidR="007F25C1" w:rsidRPr="00986950" w:rsidRDefault="007F25C1" w:rsidP="007F25C1">
            <w:pPr>
              <w:spacing w:after="0" w:line="240" w:lineRule="auto"/>
              <w:ind w:firstLineChars="100" w:firstLine="160"/>
              <w:rPr>
                <w:rFonts w:cs="Arial"/>
                <w:color w:val="000000"/>
                <w:sz w:val="16"/>
                <w:szCs w:val="16"/>
              </w:rPr>
            </w:pPr>
            <w:r w:rsidRPr="00986950">
              <w:rPr>
                <w:rFonts w:cs="Arial"/>
                <w:color w:val="000000"/>
                <w:sz w:val="16"/>
                <w:szCs w:val="16"/>
              </w:rPr>
              <w:t>L – Činnosti v oblasti nemovitostí</w:t>
            </w:r>
          </w:p>
        </w:tc>
        <w:tc>
          <w:tcPr>
            <w:tcW w:w="567" w:type="dxa"/>
            <w:tcBorders>
              <w:top w:val="nil"/>
              <w:left w:val="nil"/>
              <w:bottom w:val="nil"/>
              <w:right w:val="nil"/>
            </w:tcBorders>
            <w:shd w:val="clear" w:color="auto" w:fill="auto"/>
            <w:noWrap/>
            <w:vAlign w:val="center"/>
            <w:hideMark/>
          </w:tcPr>
          <w:p w14:paraId="4452DCCF"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54,4</w:t>
            </w:r>
          </w:p>
        </w:tc>
        <w:tc>
          <w:tcPr>
            <w:tcW w:w="567" w:type="dxa"/>
            <w:tcBorders>
              <w:top w:val="nil"/>
              <w:left w:val="nil"/>
              <w:bottom w:val="nil"/>
              <w:right w:val="nil"/>
            </w:tcBorders>
            <w:shd w:val="clear" w:color="auto" w:fill="auto"/>
            <w:noWrap/>
            <w:vAlign w:val="center"/>
            <w:hideMark/>
          </w:tcPr>
          <w:p w14:paraId="39EDCD70"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56,3</w:t>
            </w:r>
          </w:p>
        </w:tc>
        <w:tc>
          <w:tcPr>
            <w:tcW w:w="567" w:type="dxa"/>
            <w:tcBorders>
              <w:top w:val="nil"/>
              <w:left w:val="nil"/>
              <w:bottom w:val="nil"/>
              <w:right w:val="nil"/>
            </w:tcBorders>
            <w:shd w:val="clear" w:color="auto" w:fill="auto"/>
            <w:noWrap/>
            <w:vAlign w:val="center"/>
            <w:hideMark/>
          </w:tcPr>
          <w:p w14:paraId="72EF0C2A"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52,0</w:t>
            </w:r>
          </w:p>
        </w:tc>
        <w:tc>
          <w:tcPr>
            <w:tcW w:w="567" w:type="dxa"/>
            <w:tcBorders>
              <w:top w:val="nil"/>
              <w:left w:val="nil"/>
              <w:bottom w:val="nil"/>
              <w:right w:val="nil"/>
            </w:tcBorders>
            <w:shd w:val="clear" w:color="auto" w:fill="auto"/>
            <w:noWrap/>
            <w:vAlign w:val="center"/>
            <w:hideMark/>
          </w:tcPr>
          <w:p w14:paraId="57B2963A"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52,5</w:t>
            </w:r>
          </w:p>
        </w:tc>
        <w:tc>
          <w:tcPr>
            <w:tcW w:w="567" w:type="dxa"/>
            <w:tcBorders>
              <w:top w:val="nil"/>
              <w:left w:val="nil"/>
              <w:bottom w:val="nil"/>
              <w:right w:val="nil"/>
            </w:tcBorders>
            <w:shd w:val="clear" w:color="auto" w:fill="auto"/>
            <w:noWrap/>
            <w:vAlign w:val="center"/>
            <w:hideMark/>
          </w:tcPr>
          <w:p w14:paraId="793A095B"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53,6</w:t>
            </w:r>
          </w:p>
        </w:tc>
        <w:tc>
          <w:tcPr>
            <w:tcW w:w="567" w:type="dxa"/>
            <w:tcBorders>
              <w:top w:val="nil"/>
              <w:left w:val="nil"/>
              <w:bottom w:val="nil"/>
              <w:right w:val="nil"/>
            </w:tcBorders>
            <w:shd w:val="clear" w:color="auto" w:fill="auto"/>
            <w:noWrap/>
            <w:vAlign w:val="center"/>
            <w:hideMark/>
          </w:tcPr>
          <w:p w14:paraId="4285E38A"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51,1</w:t>
            </w:r>
          </w:p>
        </w:tc>
        <w:tc>
          <w:tcPr>
            <w:tcW w:w="567" w:type="dxa"/>
            <w:tcBorders>
              <w:top w:val="nil"/>
              <w:left w:val="nil"/>
              <w:bottom w:val="nil"/>
              <w:right w:val="nil"/>
            </w:tcBorders>
            <w:shd w:val="clear" w:color="auto" w:fill="auto"/>
            <w:noWrap/>
            <w:vAlign w:val="center"/>
            <w:hideMark/>
          </w:tcPr>
          <w:p w14:paraId="25770C29"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50,8</w:t>
            </w:r>
          </w:p>
        </w:tc>
        <w:tc>
          <w:tcPr>
            <w:tcW w:w="567" w:type="dxa"/>
            <w:tcBorders>
              <w:top w:val="nil"/>
              <w:left w:val="nil"/>
              <w:bottom w:val="nil"/>
              <w:right w:val="nil"/>
            </w:tcBorders>
            <w:shd w:val="clear" w:color="auto" w:fill="auto"/>
            <w:noWrap/>
            <w:vAlign w:val="center"/>
            <w:hideMark/>
          </w:tcPr>
          <w:p w14:paraId="631A515E"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46,7</w:t>
            </w:r>
          </w:p>
        </w:tc>
        <w:tc>
          <w:tcPr>
            <w:tcW w:w="567" w:type="dxa"/>
            <w:vAlign w:val="center"/>
          </w:tcPr>
          <w:p w14:paraId="03B06023" w14:textId="77777777" w:rsidR="007F25C1" w:rsidRPr="00986950" w:rsidRDefault="007F25C1" w:rsidP="007F25C1">
            <w:pPr>
              <w:spacing w:after="0" w:line="240" w:lineRule="auto"/>
              <w:jc w:val="center"/>
            </w:pPr>
            <w:r w:rsidRPr="00986950">
              <w:rPr>
                <w:rFonts w:cs="Arial"/>
                <w:color w:val="000000"/>
                <w:sz w:val="16"/>
                <w:szCs w:val="16"/>
              </w:rPr>
              <w:t>39,4</w:t>
            </w:r>
          </w:p>
        </w:tc>
        <w:tc>
          <w:tcPr>
            <w:tcW w:w="567" w:type="dxa"/>
            <w:vAlign w:val="center"/>
          </w:tcPr>
          <w:p w14:paraId="2064E227"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31,3</w:t>
            </w:r>
          </w:p>
        </w:tc>
        <w:tc>
          <w:tcPr>
            <w:tcW w:w="567" w:type="dxa"/>
            <w:vAlign w:val="center"/>
          </w:tcPr>
          <w:p w14:paraId="120B9F6C" w14:textId="1A351445" w:rsidR="007F25C1" w:rsidRPr="00986950" w:rsidRDefault="007F25C1" w:rsidP="007F25C1">
            <w:pPr>
              <w:spacing w:after="0" w:line="240" w:lineRule="auto"/>
              <w:jc w:val="center"/>
              <w:rPr>
                <w:rFonts w:cs="Arial"/>
                <w:color w:val="000000"/>
                <w:sz w:val="16"/>
                <w:szCs w:val="16"/>
              </w:rPr>
            </w:pPr>
            <w:r>
              <w:rPr>
                <w:rFonts w:cs="Arial"/>
                <w:color w:val="000000"/>
                <w:sz w:val="16"/>
                <w:szCs w:val="16"/>
              </w:rPr>
              <w:t>37,8</w:t>
            </w:r>
          </w:p>
        </w:tc>
      </w:tr>
      <w:tr w:rsidR="007F25C1" w:rsidRPr="00986950" w14:paraId="086989BA" w14:textId="62EFB392" w:rsidTr="00245F95">
        <w:trPr>
          <w:trHeight w:val="300"/>
        </w:trPr>
        <w:tc>
          <w:tcPr>
            <w:tcW w:w="3401" w:type="dxa"/>
            <w:tcBorders>
              <w:top w:val="nil"/>
              <w:left w:val="nil"/>
              <w:bottom w:val="nil"/>
              <w:right w:val="single" w:sz="4" w:space="0" w:color="auto"/>
            </w:tcBorders>
            <w:shd w:val="clear" w:color="auto" w:fill="auto"/>
            <w:vAlign w:val="center"/>
            <w:hideMark/>
          </w:tcPr>
          <w:p w14:paraId="3C50DD0F" w14:textId="77777777" w:rsidR="007F25C1" w:rsidRPr="00986950" w:rsidRDefault="007F25C1" w:rsidP="007F25C1">
            <w:pPr>
              <w:spacing w:after="0" w:line="240" w:lineRule="auto"/>
              <w:ind w:firstLineChars="100" w:firstLine="160"/>
              <w:rPr>
                <w:rFonts w:cs="Arial"/>
                <w:color w:val="000000"/>
                <w:sz w:val="16"/>
                <w:szCs w:val="16"/>
              </w:rPr>
            </w:pPr>
            <w:r w:rsidRPr="00986950">
              <w:rPr>
                <w:rFonts w:cs="Arial"/>
                <w:color w:val="000000"/>
                <w:sz w:val="16"/>
                <w:szCs w:val="16"/>
              </w:rPr>
              <w:t>M – Profesní, vědecké a technické činnosti</w:t>
            </w:r>
          </w:p>
        </w:tc>
        <w:tc>
          <w:tcPr>
            <w:tcW w:w="567" w:type="dxa"/>
            <w:tcBorders>
              <w:top w:val="nil"/>
              <w:left w:val="nil"/>
              <w:bottom w:val="nil"/>
              <w:right w:val="nil"/>
            </w:tcBorders>
            <w:shd w:val="clear" w:color="auto" w:fill="auto"/>
            <w:noWrap/>
            <w:vAlign w:val="center"/>
            <w:hideMark/>
          </w:tcPr>
          <w:p w14:paraId="1DA8D14D"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38,9</w:t>
            </w:r>
          </w:p>
        </w:tc>
        <w:tc>
          <w:tcPr>
            <w:tcW w:w="567" w:type="dxa"/>
            <w:tcBorders>
              <w:top w:val="nil"/>
              <w:left w:val="nil"/>
              <w:bottom w:val="nil"/>
              <w:right w:val="nil"/>
            </w:tcBorders>
            <w:shd w:val="clear" w:color="auto" w:fill="auto"/>
            <w:noWrap/>
            <w:vAlign w:val="center"/>
            <w:hideMark/>
          </w:tcPr>
          <w:p w14:paraId="70723370"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40,9</w:t>
            </w:r>
          </w:p>
        </w:tc>
        <w:tc>
          <w:tcPr>
            <w:tcW w:w="567" w:type="dxa"/>
            <w:tcBorders>
              <w:top w:val="nil"/>
              <w:left w:val="nil"/>
              <w:bottom w:val="nil"/>
              <w:right w:val="nil"/>
            </w:tcBorders>
            <w:shd w:val="clear" w:color="auto" w:fill="auto"/>
            <w:noWrap/>
            <w:vAlign w:val="center"/>
            <w:hideMark/>
          </w:tcPr>
          <w:p w14:paraId="682C3FEE"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38,8</w:t>
            </w:r>
          </w:p>
        </w:tc>
        <w:tc>
          <w:tcPr>
            <w:tcW w:w="567" w:type="dxa"/>
            <w:tcBorders>
              <w:top w:val="nil"/>
              <w:left w:val="nil"/>
              <w:bottom w:val="nil"/>
              <w:right w:val="nil"/>
            </w:tcBorders>
            <w:shd w:val="clear" w:color="auto" w:fill="auto"/>
            <w:noWrap/>
            <w:vAlign w:val="center"/>
            <w:hideMark/>
          </w:tcPr>
          <w:p w14:paraId="049D6B33"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38,7</w:t>
            </w:r>
          </w:p>
        </w:tc>
        <w:tc>
          <w:tcPr>
            <w:tcW w:w="567" w:type="dxa"/>
            <w:tcBorders>
              <w:top w:val="nil"/>
              <w:left w:val="nil"/>
              <w:bottom w:val="nil"/>
              <w:right w:val="nil"/>
            </w:tcBorders>
            <w:shd w:val="clear" w:color="auto" w:fill="auto"/>
            <w:noWrap/>
            <w:vAlign w:val="center"/>
            <w:hideMark/>
          </w:tcPr>
          <w:p w14:paraId="26263FEC"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39,2</w:t>
            </w:r>
          </w:p>
        </w:tc>
        <w:tc>
          <w:tcPr>
            <w:tcW w:w="567" w:type="dxa"/>
            <w:tcBorders>
              <w:top w:val="nil"/>
              <w:left w:val="nil"/>
              <w:bottom w:val="nil"/>
              <w:right w:val="nil"/>
            </w:tcBorders>
            <w:shd w:val="clear" w:color="auto" w:fill="auto"/>
            <w:noWrap/>
            <w:vAlign w:val="center"/>
            <w:hideMark/>
          </w:tcPr>
          <w:p w14:paraId="246F03A6"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39,6</w:t>
            </w:r>
          </w:p>
        </w:tc>
        <w:tc>
          <w:tcPr>
            <w:tcW w:w="567" w:type="dxa"/>
            <w:tcBorders>
              <w:top w:val="nil"/>
              <w:left w:val="nil"/>
              <w:bottom w:val="nil"/>
              <w:right w:val="nil"/>
            </w:tcBorders>
            <w:shd w:val="clear" w:color="auto" w:fill="auto"/>
            <w:noWrap/>
            <w:vAlign w:val="center"/>
            <w:hideMark/>
          </w:tcPr>
          <w:p w14:paraId="51EBB2A6"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39,2</w:t>
            </w:r>
          </w:p>
        </w:tc>
        <w:tc>
          <w:tcPr>
            <w:tcW w:w="567" w:type="dxa"/>
            <w:tcBorders>
              <w:top w:val="nil"/>
              <w:left w:val="nil"/>
              <w:bottom w:val="nil"/>
              <w:right w:val="nil"/>
            </w:tcBorders>
            <w:shd w:val="clear" w:color="auto" w:fill="auto"/>
            <w:noWrap/>
            <w:vAlign w:val="center"/>
            <w:hideMark/>
          </w:tcPr>
          <w:p w14:paraId="5A315EBF"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36,9</w:t>
            </w:r>
          </w:p>
        </w:tc>
        <w:tc>
          <w:tcPr>
            <w:tcW w:w="567" w:type="dxa"/>
            <w:vAlign w:val="center"/>
          </w:tcPr>
          <w:p w14:paraId="330CBA6D" w14:textId="77777777" w:rsidR="007F25C1" w:rsidRPr="00986950" w:rsidRDefault="007F25C1" w:rsidP="007F25C1">
            <w:pPr>
              <w:spacing w:after="0" w:line="240" w:lineRule="auto"/>
              <w:jc w:val="center"/>
            </w:pPr>
            <w:r w:rsidRPr="00986950">
              <w:rPr>
                <w:rFonts w:cs="Arial"/>
                <w:color w:val="000000"/>
                <w:sz w:val="16"/>
                <w:szCs w:val="16"/>
              </w:rPr>
              <w:t>32,1</w:t>
            </w:r>
          </w:p>
        </w:tc>
        <w:tc>
          <w:tcPr>
            <w:tcW w:w="567" w:type="dxa"/>
            <w:vAlign w:val="center"/>
          </w:tcPr>
          <w:p w14:paraId="0A58B6CD"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23,2</w:t>
            </w:r>
          </w:p>
        </w:tc>
        <w:tc>
          <w:tcPr>
            <w:tcW w:w="567" w:type="dxa"/>
            <w:vAlign w:val="center"/>
          </w:tcPr>
          <w:p w14:paraId="20C8D0DE" w14:textId="01574E52" w:rsidR="007F25C1" w:rsidRPr="00986950" w:rsidRDefault="007F25C1" w:rsidP="007F25C1">
            <w:pPr>
              <w:spacing w:after="0" w:line="240" w:lineRule="auto"/>
              <w:jc w:val="center"/>
              <w:rPr>
                <w:rFonts w:cs="Arial"/>
                <w:color w:val="000000"/>
                <w:sz w:val="16"/>
                <w:szCs w:val="16"/>
              </w:rPr>
            </w:pPr>
            <w:r>
              <w:rPr>
                <w:rFonts w:cs="Arial"/>
                <w:color w:val="000000"/>
                <w:sz w:val="16"/>
                <w:szCs w:val="16"/>
              </w:rPr>
              <w:t>27,7</w:t>
            </w:r>
          </w:p>
        </w:tc>
      </w:tr>
      <w:tr w:rsidR="007F25C1" w:rsidRPr="00986950" w14:paraId="70D83BF4" w14:textId="53018C8B" w:rsidTr="00245F95">
        <w:trPr>
          <w:trHeight w:val="300"/>
        </w:trPr>
        <w:tc>
          <w:tcPr>
            <w:tcW w:w="3401" w:type="dxa"/>
            <w:tcBorders>
              <w:top w:val="nil"/>
              <w:left w:val="nil"/>
              <w:bottom w:val="nil"/>
              <w:right w:val="single" w:sz="4" w:space="0" w:color="auto"/>
            </w:tcBorders>
            <w:shd w:val="clear" w:color="auto" w:fill="auto"/>
            <w:vAlign w:val="center"/>
            <w:hideMark/>
          </w:tcPr>
          <w:p w14:paraId="53D56156" w14:textId="77777777" w:rsidR="007F25C1" w:rsidRPr="00986950" w:rsidRDefault="007F25C1" w:rsidP="007F25C1">
            <w:pPr>
              <w:spacing w:after="0" w:line="240" w:lineRule="auto"/>
              <w:ind w:firstLineChars="100" w:firstLine="160"/>
              <w:rPr>
                <w:rFonts w:cs="Arial"/>
                <w:color w:val="000000"/>
                <w:sz w:val="16"/>
                <w:szCs w:val="16"/>
              </w:rPr>
            </w:pPr>
            <w:r w:rsidRPr="00986950">
              <w:rPr>
                <w:rFonts w:cs="Arial"/>
                <w:color w:val="000000"/>
                <w:sz w:val="16"/>
                <w:szCs w:val="16"/>
              </w:rPr>
              <w:t>N – Administrativní a podpůrné činnosti</w:t>
            </w:r>
          </w:p>
        </w:tc>
        <w:tc>
          <w:tcPr>
            <w:tcW w:w="567" w:type="dxa"/>
            <w:tcBorders>
              <w:top w:val="nil"/>
              <w:left w:val="nil"/>
              <w:bottom w:val="nil"/>
              <w:right w:val="nil"/>
            </w:tcBorders>
            <w:shd w:val="clear" w:color="auto" w:fill="auto"/>
            <w:noWrap/>
            <w:vAlign w:val="center"/>
            <w:hideMark/>
          </w:tcPr>
          <w:p w14:paraId="0166D4BE"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41,7</w:t>
            </w:r>
          </w:p>
        </w:tc>
        <w:tc>
          <w:tcPr>
            <w:tcW w:w="567" w:type="dxa"/>
            <w:tcBorders>
              <w:top w:val="nil"/>
              <w:left w:val="nil"/>
              <w:bottom w:val="nil"/>
              <w:right w:val="nil"/>
            </w:tcBorders>
            <w:shd w:val="clear" w:color="auto" w:fill="auto"/>
            <w:noWrap/>
            <w:vAlign w:val="center"/>
            <w:hideMark/>
          </w:tcPr>
          <w:p w14:paraId="60FC2CFA"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41,3</w:t>
            </w:r>
          </w:p>
        </w:tc>
        <w:tc>
          <w:tcPr>
            <w:tcW w:w="567" w:type="dxa"/>
            <w:tcBorders>
              <w:top w:val="nil"/>
              <w:left w:val="nil"/>
              <w:bottom w:val="nil"/>
              <w:right w:val="nil"/>
            </w:tcBorders>
            <w:shd w:val="clear" w:color="auto" w:fill="auto"/>
            <w:noWrap/>
            <w:vAlign w:val="center"/>
            <w:hideMark/>
          </w:tcPr>
          <w:p w14:paraId="45565640"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38,5</w:t>
            </w:r>
          </w:p>
        </w:tc>
        <w:tc>
          <w:tcPr>
            <w:tcW w:w="567" w:type="dxa"/>
            <w:tcBorders>
              <w:top w:val="nil"/>
              <w:left w:val="nil"/>
              <w:bottom w:val="nil"/>
              <w:right w:val="nil"/>
            </w:tcBorders>
            <w:shd w:val="clear" w:color="auto" w:fill="auto"/>
            <w:noWrap/>
            <w:vAlign w:val="center"/>
            <w:hideMark/>
          </w:tcPr>
          <w:p w14:paraId="1C37BBFB"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38,2</w:t>
            </w:r>
          </w:p>
        </w:tc>
        <w:tc>
          <w:tcPr>
            <w:tcW w:w="567" w:type="dxa"/>
            <w:tcBorders>
              <w:top w:val="nil"/>
              <w:left w:val="nil"/>
              <w:bottom w:val="nil"/>
              <w:right w:val="nil"/>
            </w:tcBorders>
            <w:shd w:val="clear" w:color="auto" w:fill="auto"/>
            <w:noWrap/>
            <w:vAlign w:val="center"/>
            <w:hideMark/>
          </w:tcPr>
          <w:p w14:paraId="213340C9"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39,2</w:t>
            </w:r>
          </w:p>
        </w:tc>
        <w:tc>
          <w:tcPr>
            <w:tcW w:w="567" w:type="dxa"/>
            <w:tcBorders>
              <w:top w:val="nil"/>
              <w:left w:val="nil"/>
              <w:bottom w:val="nil"/>
              <w:right w:val="nil"/>
            </w:tcBorders>
            <w:shd w:val="clear" w:color="auto" w:fill="auto"/>
            <w:noWrap/>
            <w:vAlign w:val="center"/>
            <w:hideMark/>
          </w:tcPr>
          <w:p w14:paraId="46492620"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40,5</w:t>
            </w:r>
          </w:p>
        </w:tc>
        <w:tc>
          <w:tcPr>
            <w:tcW w:w="567" w:type="dxa"/>
            <w:tcBorders>
              <w:top w:val="nil"/>
              <w:left w:val="nil"/>
              <w:bottom w:val="nil"/>
              <w:right w:val="nil"/>
            </w:tcBorders>
            <w:shd w:val="clear" w:color="auto" w:fill="auto"/>
            <w:noWrap/>
            <w:vAlign w:val="center"/>
            <w:hideMark/>
          </w:tcPr>
          <w:p w14:paraId="7F4881EC"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42,8</w:t>
            </w:r>
          </w:p>
        </w:tc>
        <w:tc>
          <w:tcPr>
            <w:tcW w:w="567" w:type="dxa"/>
            <w:tcBorders>
              <w:top w:val="nil"/>
              <w:left w:val="nil"/>
              <w:bottom w:val="nil"/>
              <w:right w:val="nil"/>
            </w:tcBorders>
            <w:shd w:val="clear" w:color="auto" w:fill="auto"/>
            <w:noWrap/>
            <w:vAlign w:val="center"/>
            <w:hideMark/>
          </w:tcPr>
          <w:p w14:paraId="1BAD34F2"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43,6</w:t>
            </w:r>
          </w:p>
        </w:tc>
        <w:tc>
          <w:tcPr>
            <w:tcW w:w="567" w:type="dxa"/>
            <w:vAlign w:val="center"/>
          </w:tcPr>
          <w:p w14:paraId="5ED4E547" w14:textId="77777777" w:rsidR="007F25C1" w:rsidRPr="00986950" w:rsidRDefault="007F25C1" w:rsidP="007F25C1">
            <w:pPr>
              <w:spacing w:after="0" w:line="240" w:lineRule="auto"/>
              <w:jc w:val="center"/>
            </w:pPr>
            <w:r w:rsidRPr="00986950">
              <w:rPr>
                <w:rFonts w:cs="Arial"/>
                <w:color w:val="000000"/>
                <w:sz w:val="16"/>
                <w:szCs w:val="16"/>
              </w:rPr>
              <w:t>38,0</w:t>
            </w:r>
          </w:p>
        </w:tc>
        <w:tc>
          <w:tcPr>
            <w:tcW w:w="567" w:type="dxa"/>
            <w:vAlign w:val="center"/>
          </w:tcPr>
          <w:p w14:paraId="286CCBEE"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32,1</w:t>
            </w:r>
          </w:p>
        </w:tc>
        <w:tc>
          <w:tcPr>
            <w:tcW w:w="567" w:type="dxa"/>
            <w:vAlign w:val="center"/>
          </w:tcPr>
          <w:p w14:paraId="7D799DAA" w14:textId="0D645C8F" w:rsidR="007F25C1" w:rsidRPr="00986950" w:rsidRDefault="007F25C1" w:rsidP="007F25C1">
            <w:pPr>
              <w:spacing w:after="0" w:line="240" w:lineRule="auto"/>
              <w:jc w:val="center"/>
              <w:rPr>
                <w:rFonts w:cs="Arial"/>
                <w:color w:val="000000"/>
                <w:sz w:val="16"/>
                <w:szCs w:val="16"/>
              </w:rPr>
            </w:pPr>
            <w:r>
              <w:rPr>
                <w:rFonts w:cs="Arial"/>
                <w:color w:val="000000"/>
                <w:sz w:val="16"/>
                <w:szCs w:val="16"/>
              </w:rPr>
              <w:t>35,0</w:t>
            </w:r>
          </w:p>
        </w:tc>
      </w:tr>
      <w:tr w:rsidR="007F25C1" w:rsidRPr="00986950" w14:paraId="0F06145C" w14:textId="3DA2758C" w:rsidTr="00245F95">
        <w:trPr>
          <w:trHeight w:val="480"/>
        </w:trPr>
        <w:tc>
          <w:tcPr>
            <w:tcW w:w="3401" w:type="dxa"/>
            <w:tcBorders>
              <w:top w:val="nil"/>
              <w:left w:val="nil"/>
              <w:bottom w:val="nil"/>
              <w:right w:val="single" w:sz="4" w:space="0" w:color="auto"/>
            </w:tcBorders>
            <w:shd w:val="clear" w:color="auto" w:fill="auto"/>
            <w:vAlign w:val="center"/>
            <w:hideMark/>
          </w:tcPr>
          <w:p w14:paraId="3280FF52" w14:textId="77777777" w:rsidR="007F25C1" w:rsidRPr="00986950" w:rsidRDefault="007F25C1" w:rsidP="007F25C1">
            <w:pPr>
              <w:spacing w:after="0" w:line="240" w:lineRule="auto"/>
              <w:ind w:firstLineChars="100" w:firstLine="160"/>
              <w:rPr>
                <w:rFonts w:cs="Arial"/>
                <w:color w:val="000000"/>
                <w:sz w:val="16"/>
                <w:szCs w:val="16"/>
              </w:rPr>
            </w:pPr>
            <w:r w:rsidRPr="00986950">
              <w:rPr>
                <w:rFonts w:cs="Arial"/>
                <w:color w:val="000000"/>
                <w:sz w:val="16"/>
                <w:szCs w:val="16"/>
              </w:rPr>
              <w:t xml:space="preserve">O – Veřejná správa a obrana; </w:t>
            </w:r>
            <w:r w:rsidRPr="00986950">
              <w:rPr>
                <w:rFonts w:cs="Arial"/>
                <w:color w:val="000000"/>
                <w:sz w:val="16"/>
                <w:szCs w:val="16"/>
              </w:rPr>
              <w:br/>
              <w:t xml:space="preserve">           povinné sociální zabezpečení</w:t>
            </w:r>
          </w:p>
        </w:tc>
        <w:tc>
          <w:tcPr>
            <w:tcW w:w="567" w:type="dxa"/>
            <w:tcBorders>
              <w:top w:val="nil"/>
              <w:left w:val="nil"/>
              <w:bottom w:val="nil"/>
              <w:right w:val="nil"/>
            </w:tcBorders>
            <w:shd w:val="clear" w:color="auto" w:fill="auto"/>
            <w:noWrap/>
            <w:vAlign w:val="center"/>
            <w:hideMark/>
          </w:tcPr>
          <w:p w14:paraId="503B003B"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34,8</w:t>
            </w:r>
          </w:p>
        </w:tc>
        <w:tc>
          <w:tcPr>
            <w:tcW w:w="567" w:type="dxa"/>
            <w:tcBorders>
              <w:top w:val="nil"/>
              <w:left w:val="nil"/>
              <w:bottom w:val="nil"/>
              <w:right w:val="nil"/>
            </w:tcBorders>
            <w:shd w:val="clear" w:color="auto" w:fill="auto"/>
            <w:noWrap/>
            <w:vAlign w:val="center"/>
            <w:hideMark/>
          </w:tcPr>
          <w:p w14:paraId="0284C967"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38,0</w:t>
            </w:r>
          </w:p>
        </w:tc>
        <w:tc>
          <w:tcPr>
            <w:tcW w:w="567" w:type="dxa"/>
            <w:tcBorders>
              <w:top w:val="nil"/>
              <w:left w:val="nil"/>
              <w:bottom w:val="nil"/>
              <w:right w:val="nil"/>
            </w:tcBorders>
            <w:shd w:val="clear" w:color="auto" w:fill="auto"/>
            <w:noWrap/>
            <w:vAlign w:val="center"/>
            <w:hideMark/>
          </w:tcPr>
          <w:p w14:paraId="3B2F3276"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35,9</w:t>
            </w:r>
          </w:p>
        </w:tc>
        <w:tc>
          <w:tcPr>
            <w:tcW w:w="567" w:type="dxa"/>
            <w:tcBorders>
              <w:top w:val="nil"/>
              <w:left w:val="nil"/>
              <w:bottom w:val="nil"/>
              <w:right w:val="nil"/>
            </w:tcBorders>
            <w:shd w:val="clear" w:color="auto" w:fill="auto"/>
            <w:noWrap/>
            <w:vAlign w:val="center"/>
            <w:hideMark/>
          </w:tcPr>
          <w:p w14:paraId="1CAF9BA2"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37,2</w:t>
            </w:r>
          </w:p>
        </w:tc>
        <w:tc>
          <w:tcPr>
            <w:tcW w:w="567" w:type="dxa"/>
            <w:tcBorders>
              <w:top w:val="nil"/>
              <w:left w:val="nil"/>
              <w:bottom w:val="nil"/>
              <w:right w:val="nil"/>
            </w:tcBorders>
            <w:shd w:val="clear" w:color="auto" w:fill="auto"/>
            <w:noWrap/>
            <w:vAlign w:val="center"/>
            <w:hideMark/>
          </w:tcPr>
          <w:p w14:paraId="17F25A44"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36,2</w:t>
            </w:r>
          </w:p>
        </w:tc>
        <w:tc>
          <w:tcPr>
            <w:tcW w:w="567" w:type="dxa"/>
            <w:tcBorders>
              <w:top w:val="nil"/>
              <w:left w:val="nil"/>
              <w:bottom w:val="nil"/>
              <w:right w:val="nil"/>
            </w:tcBorders>
            <w:shd w:val="clear" w:color="auto" w:fill="auto"/>
            <w:noWrap/>
            <w:vAlign w:val="center"/>
            <w:hideMark/>
          </w:tcPr>
          <w:p w14:paraId="477D8FF6"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34,9</w:t>
            </w:r>
          </w:p>
        </w:tc>
        <w:tc>
          <w:tcPr>
            <w:tcW w:w="567" w:type="dxa"/>
            <w:tcBorders>
              <w:top w:val="nil"/>
              <w:left w:val="nil"/>
              <w:bottom w:val="nil"/>
              <w:right w:val="nil"/>
            </w:tcBorders>
            <w:shd w:val="clear" w:color="auto" w:fill="auto"/>
            <w:noWrap/>
            <w:vAlign w:val="center"/>
            <w:hideMark/>
          </w:tcPr>
          <w:p w14:paraId="37089F1E"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35,1</w:t>
            </w:r>
          </w:p>
        </w:tc>
        <w:tc>
          <w:tcPr>
            <w:tcW w:w="567" w:type="dxa"/>
            <w:tcBorders>
              <w:top w:val="nil"/>
              <w:left w:val="nil"/>
              <w:bottom w:val="nil"/>
              <w:right w:val="nil"/>
            </w:tcBorders>
            <w:shd w:val="clear" w:color="auto" w:fill="auto"/>
            <w:noWrap/>
            <w:vAlign w:val="center"/>
            <w:hideMark/>
          </w:tcPr>
          <w:p w14:paraId="60CD1810"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31,5</w:t>
            </w:r>
          </w:p>
        </w:tc>
        <w:tc>
          <w:tcPr>
            <w:tcW w:w="567" w:type="dxa"/>
            <w:vAlign w:val="center"/>
          </w:tcPr>
          <w:p w14:paraId="372119AB" w14:textId="77777777" w:rsidR="007F25C1" w:rsidRPr="00986950" w:rsidRDefault="007F25C1" w:rsidP="007F25C1">
            <w:pPr>
              <w:spacing w:after="0" w:line="240" w:lineRule="auto"/>
              <w:jc w:val="center"/>
            </w:pPr>
            <w:r w:rsidRPr="00986950">
              <w:rPr>
                <w:rFonts w:cs="Arial"/>
                <w:color w:val="000000"/>
                <w:sz w:val="16"/>
                <w:szCs w:val="16"/>
              </w:rPr>
              <w:t>28,7</w:t>
            </w:r>
          </w:p>
        </w:tc>
        <w:tc>
          <w:tcPr>
            <w:tcW w:w="567" w:type="dxa"/>
            <w:vAlign w:val="center"/>
          </w:tcPr>
          <w:p w14:paraId="0BE298A1"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20,7</w:t>
            </w:r>
          </w:p>
        </w:tc>
        <w:tc>
          <w:tcPr>
            <w:tcW w:w="567" w:type="dxa"/>
            <w:vAlign w:val="center"/>
          </w:tcPr>
          <w:p w14:paraId="1C846031" w14:textId="5E3F9957" w:rsidR="007F25C1" w:rsidRPr="00986950" w:rsidRDefault="007F25C1" w:rsidP="007F25C1">
            <w:pPr>
              <w:spacing w:after="0" w:line="240" w:lineRule="auto"/>
              <w:jc w:val="center"/>
              <w:rPr>
                <w:rFonts w:cs="Arial"/>
                <w:color w:val="000000"/>
                <w:sz w:val="16"/>
                <w:szCs w:val="16"/>
              </w:rPr>
            </w:pPr>
            <w:r>
              <w:rPr>
                <w:rFonts w:cs="Arial"/>
                <w:color w:val="000000"/>
                <w:sz w:val="16"/>
                <w:szCs w:val="16"/>
              </w:rPr>
              <w:t>24,8</w:t>
            </w:r>
          </w:p>
        </w:tc>
      </w:tr>
      <w:tr w:rsidR="007F25C1" w:rsidRPr="00986950" w14:paraId="29140617" w14:textId="1D6AF399" w:rsidTr="00245F95">
        <w:trPr>
          <w:trHeight w:val="300"/>
        </w:trPr>
        <w:tc>
          <w:tcPr>
            <w:tcW w:w="3401" w:type="dxa"/>
            <w:tcBorders>
              <w:top w:val="nil"/>
              <w:left w:val="nil"/>
              <w:bottom w:val="nil"/>
              <w:right w:val="single" w:sz="4" w:space="0" w:color="auto"/>
            </w:tcBorders>
            <w:shd w:val="clear" w:color="auto" w:fill="auto"/>
            <w:vAlign w:val="center"/>
            <w:hideMark/>
          </w:tcPr>
          <w:p w14:paraId="7747C5EA" w14:textId="77777777" w:rsidR="007F25C1" w:rsidRPr="00986950" w:rsidRDefault="007F25C1" w:rsidP="007F25C1">
            <w:pPr>
              <w:spacing w:after="0" w:line="240" w:lineRule="auto"/>
              <w:ind w:firstLineChars="100" w:firstLine="160"/>
              <w:rPr>
                <w:rFonts w:cs="Arial"/>
                <w:color w:val="000000"/>
                <w:sz w:val="16"/>
                <w:szCs w:val="16"/>
              </w:rPr>
            </w:pPr>
            <w:r w:rsidRPr="00986950">
              <w:rPr>
                <w:rFonts w:cs="Arial"/>
                <w:color w:val="000000"/>
                <w:sz w:val="16"/>
                <w:szCs w:val="16"/>
              </w:rPr>
              <w:t>P – Vzdělávání</w:t>
            </w:r>
          </w:p>
        </w:tc>
        <w:tc>
          <w:tcPr>
            <w:tcW w:w="567" w:type="dxa"/>
            <w:tcBorders>
              <w:top w:val="nil"/>
              <w:left w:val="nil"/>
              <w:bottom w:val="nil"/>
              <w:right w:val="nil"/>
            </w:tcBorders>
            <w:shd w:val="clear" w:color="auto" w:fill="auto"/>
            <w:noWrap/>
            <w:vAlign w:val="center"/>
            <w:hideMark/>
          </w:tcPr>
          <w:p w14:paraId="3C9C8636"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33,6</w:t>
            </w:r>
          </w:p>
        </w:tc>
        <w:tc>
          <w:tcPr>
            <w:tcW w:w="567" w:type="dxa"/>
            <w:tcBorders>
              <w:top w:val="nil"/>
              <w:left w:val="nil"/>
              <w:bottom w:val="nil"/>
              <w:right w:val="nil"/>
            </w:tcBorders>
            <w:shd w:val="clear" w:color="auto" w:fill="auto"/>
            <w:noWrap/>
            <w:vAlign w:val="center"/>
            <w:hideMark/>
          </w:tcPr>
          <w:p w14:paraId="5BD58D8C"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35,6</w:t>
            </w:r>
          </w:p>
        </w:tc>
        <w:tc>
          <w:tcPr>
            <w:tcW w:w="567" w:type="dxa"/>
            <w:tcBorders>
              <w:top w:val="nil"/>
              <w:left w:val="nil"/>
              <w:bottom w:val="nil"/>
              <w:right w:val="nil"/>
            </w:tcBorders>
            <w:shd w:val="clear" w:color="auto" w:fill="auto"/>
            <w:noWrap/>
            <w:vAlign w:val="center"/>
            <w:hideMark/>
          </w:tcPr>
          <w:p w14:paraId="2AA41C16"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32,6</w:t>
            </w:r>
          </w:p>
        </w:tc>
        <w:tc>
          <w:tcPr>
            <w:tcW w:w="567" w:type="dxa"/>
            <w:tcBorders>
              <w:top w:val="nil"/>
              <w:left w:val="nil"/>
              <w:bottom w:val="nil"/>
              <w:right w:val="nil"/>
            </w:tcBorders>
            <w:shd w:val="clear" w:color="auto" w:fill="auto"/>
            <w:noWrap/>
            <w:vAlign w:val="center"/>
            <w:hideMark/>
          </w:tcPr>
          <w:p w14:paraId="74D644DE"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33,3</w:t>
            </w:r>
          </w:p>
        </w:tc>
        <w:tc>
          <w:tcPr>
            <w:tcW w:w="567" w:type="dxa"/>
            <w:tcBorders>
              <w:top w:val="nil"/>
              <w:left w:val="nil"/>
              <w:bottom w:val="nil"/>
              <w:right w:val="nil"/>
            </w:tcBorders>
            <w:shd w:val="clear" w:color="auto" w:fill="auto"/>
            <w:noWrap/>
            <w:vAlign w:val="center"/>
            <w:hideMark/>
          </w:tcPr>
          <w:p w14:paraId="5B1CE06C"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32,2</w:t>
            </w:r>
          </w:p>
        </w:tc>
        <w:tc>
          <w:tcPr>
            <w:tcW w:w="567" w:type="dxa"/>
            <w:tcBorders>
              <w:top w:val="nil"/>
              <w:left w:val="nil"/>
              <w:bottom w:val="nil"/>
              <w:right w:val="nil"/>
            </w:tcBorders>
            <w:shd w:val="clear" w:color="auto" w:fill="auto"/>
            <w:noWrap/>
            <w:vAlign w:val="center"/>
            <w:hideMark/>
          </w:tcPr>
          <w:p w14:paraId="7DDA7F19"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30,5</w:t>
            </w:r>
          </w:p>
        </w:tc>
        <w:tc>
          <w:tcPr>
            <w:tcW w:w="567" w:type="dxa"/>
            <w:tcBorders>
              <w:top w:val="nil"/>
              <w:left w:val="nil"/>
              <w:bottom w:val="nil"/>
              <w:right w:val="nil"/>
            </w:tcBorders>
            <w:shd w:val="clear" w:color="auto" w:fill="auto"/>
            <w:noWrap/>
            <w:vAlign w:val="center"/>
            <w:hideMark/>
          </w:tcPr>
          <w:p w14:paraId="424AE98D"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31,2</w:t>
            </w:r>
          </w:p>
        </w:tc>
        <w:tc>
          <w:tcPr>
            <w:tcW w:w="567" w:type="dxa"/>
            <w:tcBorders>
              <w:top w:val="nil"/>
              <w:left w:val="nil"/>
              <w:bottom w:val="nil"/>
              <w:right w:val="nil"/>
            </w:tcBorders>
            <w:shd w:val="clear" w:color="auto" w:fill="auto"/>
            <w:noWrap/>
            <w:vAlign w:val="center"/>
            <w:hideMark/>
          </w:tcPr>
          <w:p w14:paraId="4EEEAFA5"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27,9</w:t>
            </w:r>
          </w:p>
        </w:tc>
        <w:tc>
          <w:tcPr>
            <w:tcW w:w="567" w:type="dxa"/>
            <w:vAlign w:val="center"/>
          </w:tcPr>
          <w:p w14:paraId="35D53C96" w14:textId="77777777" w:rsidR="007F25C1" w:rsidRPr="00986950" w:rsidRDefault="007F25C1" w:rsidP="007F25C1">
            <w:pPr>
              <w:spacing w:after="0" w:line="240" w:lineRule="auto"/>
              <w:jc w:val="center"/>
            </w:pPr>
            <w:r w:rsidRPr="00986950">
              <w:rPr>
                <w:rFonts w:cs="Arial"/>
                <w:color w:val="000000"/>
                <w:sz w:val="16"/>
                <w:szCs w:val="16"/>
              </w:rPr>
              <w:t>24,0</w:t>
            </w:r>
          </w:p>
        </w:tc>
        <w:tc>
          <w:tcPr>
            <w:tcW w:w="567" w:type="dxa"/>
            <w:vAlign w:val="center"/>
          </w:tcPr>
          <w:p w14:paraId="508212B2"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16,9</w:t>
            </w:r>
          </w:p>
        </w:tc>
        <w:tc>
          <w:tcPr>
            <w:tcW w:w="567" w:type="dxa"/>
            <w:vAlign w:val="center"/>
          </w:tcPr>
          <w:p w14:paraId="2B0FE61C" w14:textId="48EA7735" w:rsidR="007F25C1" w:rsidRPr="00986950" w:rsidRDefault="007F25C1" w:rsidP="007F25C1">
            <w:pPr>
              <w:spacing w:after="0" w:line="240" w:lineRule="auto"/>
              <w:jc w:val="center"/>
              <w:rPr>
                <w:rFonts w:cs="Arial"/>
                <w:color w:val="000000"/>
                <w:sz w:val="16"/>
                <w:szCs w:val="16"/>
              </w:rPr>
            </w:pPr>
            <w:r>
              <w:rPr>
                <w:rFonts w:cs="Arial"/>
                <w:color w:val="000000"/>
                <w:sz w:val="16"/>
                <w:szCs w:val="16"/>
              </w:rPr>
              <w:t>19,9</w:t>
            </w:r>
          </w:p>
        </w:tc>
      </w:tr>
      <w:tr w:rsidR="007F25C1" w:rsidRPr="00986950" w14:paraId="580FF185" w14:textId="1BFB9C7C" w:rsidTr="00245F95">
        <w:trPr>
          <w:trHeight w:val="300"/>
        </w:trPr>
        <w:tc>
          <w:tcPr>
            <w:tcW w:w="3401" w:type="dxa"/>
            <w:tcBorders>
              <w:top w:val="nil"/>
              <w:left w:val="nil"/>
              <w:bottom w:val="nil"/>
              <w:right w:val="single" w:sz="4" w:space="0" w:color="auto"/>
            </w:tcBorders>
            <w:shd w:val="clear" w:color="auto" w:fill="auto"/>
            <w:vAlign w:val="center"/>
            <w:hideMark/>
          </w:tcPr>
          <w:p w14:paraId="003A6884" w14:textId="77777777" w:rsidR="007F25C1" w:rsidRPr="00986950" w:rsidRDefault="007F25C1" w:rsidP="007F25C1">
            <w:pPr>
              <w:spacing w:after="0" w:line="240" w:lineRule="auto"/>
              <w:ind w:firstLineChars="100" w:firstLine="160"/>
              <w:rPr>
                <w:rFonts w:cs="Arial"/>
                <w:color w:val="000000"/>
                <w:sz w:val="16"/>
                <w:szCs w:val="16"/>
              </w:rPr>
            </w:pPr>
            <w:r w:rsidRPr="00986950">
              <w:rPr>
                <w:rFonts w:cs="Arial"/>
                <w:color w:val="000000"/>
                <w:sz w:val="16"/>
                <w:szCs w:val="16"/>
              </w:rPr>
              <w:t>Q – Zdravotní a sociální péče</w:t>
            </w:r>
          </w:p>
        </w:tc>
        <w:tc>
          <w:tcPr>
            <w:tcW w:w="567" w:type="dxa"/>
            <w:tcBorders>
              <w:top w:val="nil"/>
              <w:left w:val="nil"/>
              <w:bottom w:val="nil"/>
              <w:right w:val="nil"/>
            </w:tcBorders>
            <w:shd w:val="clear" w:color="auto" w:fill="auto"/>
            <w:noWrap/>
            <w:vAlign w:val="center"/>
            <w:hideMark/>
          </w:tcPr>
          <w:p w14:paraId="2C59C9F0"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48,9</w:t>
            </w:r>
          </w:p>
        </w:tc>
        <w:tc>
          <w:tcPr>
            <w:tcW w:w="567" w:type="dxa"/>
            <w:tcBorders>
              <w:top w:val="nil"/>
              <w:left w:val="nil"/>
              <w:bottom w:val="nil"/>
              <w:right w:val="nil"/>
            </w:tcBorders>
            <w:shd w:val="clear" w:color="auto" w:fill="auto"/>
            <w:noWrap/>
            <w:vAlign w:val="center"/>
            <w:hideMark/>
          </w:tcPr>
          <w:p w14:paraId="0BA4CD1D"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51,7</w:t>
            </w:r>
          </w:p>
        </w:tc>
        <w:tc>
          <w:tcPr>
            <w:tcW w:w="567" w:type="dxa"/>
            <w:tcBorders>
              <w:top w:val="nil"/>
              <w:left w:val="nil"/>
              <w:bottom w:val="nil"/>
              <w:right w:val="nil"/>
            </w:tcBorders>
            <w:shd w:val="clear" w:color="auto" w:fill="auto"/>
            <w:noWrap/>
            <w:vAlign w:val="center"/>
            <w:hideMark/>
          </w:tcPr>
          <w:p w14:paraId="4C5D8B9B"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48,1</w:t>
            </w:r>
          </w:p>
        </w:tc>
        <w:tc>
          <w:tcPr>
            <w:tcW w:w="567" w:type="dxa"/>
            <w:tcBorders>
              <w:top w:val="nil"/>
              <w:left w:val="nil"/>
              <w:bottom w:val="nil"/>
              <w:right w:val="nil"/>
            </w:tcBorders>
            <w:shd w:val="clear" w:color="auto" w:fill="auto"/>
            <w:noWrap/>
            <w:vAlign w:val="center"/>
            <w:hideMark/>
          </w:tcPr>
          <w:p w14:paraId="3BC18A62"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48,8</w:t>
            </w:r>
          </w:p>
        </w:tc>
        <w:tc>
          <w:tcPr>
            <w:tcW w:w="567" w:type="dxa"/>
            <w:tcBorders>
              <w:top w:val="nil"/>
              <w:left w:val="nil"/>
              <w:bottom w:val="nil"/>
              <w:right w:val="nil"/>
            </w:tcBorders>
            <w:shd w:val="clear" w:color="auto" w:fill="auto"/>
            <w:noWrap/>
            <w:vAlign w:val="center"/>
            <w:hideMark/>
          </w:tcPr>
          <w:p w14:paraId="0AE6999C"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48,0</w:t>
            </w:r>
          </w:p>
        </w:tc>
        <w:tc>
          <w:tcPr>
            <w:tcW w:w="567" w:type="dxa"/>
            <w:tcBorders>
              <w:top w:val="nil"/>
              <w:left w:val="nil"/>
              <w:bottom w:val="nil"/>
              <w:right w:val="nil"/>
            </w:tcBorders>
            <w:shd w:val="clear" w:color="auto" w:fill="auto"/>
            <w:noWrap/>
            <w:vAlign w:val="center"/>
            <w:hideMark/>
          </w:tcPr>
          <w:p w14:paraId="4B9FBE80"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46,0</w:t>
            </w:r>
          </w:p>
        </w:tc>
        <w:tc>
          <w:tcPr>
            <w:tcW w:w="567" w:type="dxa"/>
            <w:tcBorders>
              <w:top w:val="nil"/>
              <w:left w:val="nil"/>
              <w:bottom w:val="nil"/>
              <w:right w:val="nil"/>
            </w:tcBorders>
            <w:shd w:val="clear" w:color="auto" w:fill="auto"/>
            <w:noWrap/>
            <w:vAlign w:val="center"/>
            <w:hideMark/>
          </w:tcPr>
          <w:p w14:paraId="4A5C239E"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46,3</w:t>
            </w:r>
          </w:p>
        </w:tc>
        <w:tc>
          <w:tcPr>
            <w:tcW w:w="567" w:type="dxa"/>
            <w:tcBorders>
              <w:top w:val="nil"/>
              <w:left w:val="nil"/>
              <w:bottom w:val="nil"/>
              <w:right w:val="nil"/>
            </w:tcBorders>
            <w:shd w:val="clear" w:color="auto" w:fill="auto"/>
            <w:noWrap/>
            <w:vAlign w:val="center"/>
            <w:hideMark/>
          </w:tcPr>
          <w:p w14:paraId="4BCF4C8C"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36,0</w:t>
            </w:r>
          </w:p>
        </w:tc>
        <w:tc>
          <w:tcPr>
            <w:tcW w:w="567" w:type="dxa"/>
            <w:vAlign w:val="center"/>
          </w:tcPr>
          <w:p w14:paraId="6AB88321" w14:textId="77777777" w:rsidR="007F25C1" w:rsidRPr="00986950" w:rsidRDefault="007F25C1" w:rsidP="007F25C1">
            <w:pPr>
              <w:spacing w:after="0" w:line="240" w:lineRule="auto"/>
              <w:jc w:val="center"/>
            </w:pPr>
            <w:r w:rsidRPr="00986950">
              <w:rPr>
                <w:rFonts w:cs="Arial"/>
                <w:color w:val="000000"/>
                <w:sz w:val="16"/>
                <w:szCs w:val="16"/>
              </w:rPr>
              <w:t>37,5</w:t>
            </w:r>
          </w:p>
        </w:tc>
        <w:tc>
          <w:tcPr>
            <w:tcW w:w="567" w:type="dxa"/>
            <w:vAlign w:val="center"/>
          </w:tcPr>
          <w:p w14:paraId="438B74E3"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27,0</w:t>
            </w:r>
          </w:p>
        </w:tc>
        <w:tc>
          <w:tcPr>
            <w:tcW w:w="567" w:type="dxa"/>
            <w:vAlign w:val="center"/>
          </w:tcPr>
          <w:p w14:paraId="1EAF127F" w14:textId="65EC1141" w:rsidR="007F25C1" w:rsidRPr="00986950" w:rsidRDefault="007F25C1" w:rsidP="007F25C1">
            <w:pPr>
              <w:spacing w:after="0" w:line="240" w:lineRule="auto"/>
              <w:jc w:val="center"/>
              <w:rPr>
                <w:rFonts w:cs="Arial"/>
                <w:color w:val="000000"/>
                <w:sz w:val="16"/>
                <w:szCs w:val="16"/>
              </w:rPr>
            </w:pPr>
            <w:r>
              <w:rPr>
                <w:rFonts w:cs="Arial"/>
                <w:color w:val="000000"/>
                <w:sz w:val="16"/>
                <w:szCs w:val="16"/>
              </w:rPr>
              <w:t>32,2</w:t>
            </w:r>
          </w:p>
        </w:tc>
      </w:tr>
      <w:tr w:rsidR="007F25C1" w:rsidRPr="00986950" w14:paraId="7393BD62" w14:textId="3D65569F" w:rsidTr="00245F95">
        <w:trPr>
          <w:trHeight w:val="300"/>
        </w:trPr>
        <w:tc>
          <w:tcPr>
            <w:tcW w:w="3401" w:type="dxa"/>
            <w:tcBorders>
              <w:top w:val="nil"/>
              <w:left w:val="nil"/>
              <w:bottom w:val="nil"/>
              <w:right w:val="single" w:sz="4" w:space="0" w:color="auto"/>
            </w:tcBorders>
            <w:shd w:val="clear" w:color="auto" w:fill="auto"/>
            <w:vAlign w:val="center"/>
            <w:hideMark/>
          </w:tcPr>
          <w:p w14:paraId="76B158F9" w14:textId="77777777" w:rsidR="007F25C1" w:rsidRPr="00986950" w:rsidRDefault="007F25C1" w:rsidP="007F25C1">
            <w:pPr>
              <w:spacing w:after="0" w:line="240" w:lineRule="auto"/>
              <w:ind w:firstLineChars="100" w:firstLine="160"/>
              <w:rPr>
                <w:rFonts w:cs="Arial"/>
                <w:color w:val="000000"/>
                <w:sz w:val="16"/>
                <w:szCs w:val="16"/>
              </w:rPr>
            </w:pPr>
            <w:r w:rsidRPr="00986950">
              <w:rPr>
                <w:rFonts w:cs="Arial"/>
                <w:color w:val="000000"/>
                <w:sz w:val="16"/>
                <w:szCs w:val="16"/>
              </w:rPr>
              <w:t>R – Kulturní, zábavní a rekreační činnosti</w:t>
            </w:r>
          </w:p>
        </w:tc>
        <w:tc>
          <w:tcPr>
            <w:tcW w:w="567" w:type="dxa"/>
            <w:tcBorders>
              <w:top w:val="nil"/>
              <w:left w:val="nil"/>
              <w:bottom w:val="nil"/>
              <w:right w:val="nil"/>
            </w:tcBorders>
            <w:shd w:val="clear" w:color="auto" w:fill="auto"/>
            <w:noWrap/>
            <w:vAlign w:val="center"/>
            <w:hideMark/>
          </w:tcPr>
          <w:p w14:paraId="3BCE09C8"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42,7</w:t>
            </w:r>
          </w:p>
        </w:tc>
        <w:tc>
          <w:tcPr>
            <w:tcW w:w="567" w:type="dxa"/>
            <w:tcBorders>
              <w:top w:val="nil"/>
              <w:left w:val="nil"/>
              <w:bottom w:val="nil"/>
              <w:right w:val="nil"/>
            </w:tcBorders>
            <w:shd w:val="clear" w:color="auto" w:fill="auto"/>
            <w:noWrap/>
            <w:vAlign w:val="center"/>
            <w:hideMark/>
          </w:tcPr>
          <w:p w14:paraId="6A59FF97"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44,2</w:t>
            </w:r>
          </w:p>
        </w:tc>
        <w:tc>
          <w:tcPr>
            <w:tcW w:w="567" w:type="dxa"/>
            <w:tcBorders>
              <w:top w:val="nil"/>
              <w:left w:val="nil"/>
              <w:bottom w:val="nil"/>
              <w:right w:val="nil"/>
            </w:tcBorders>
            <w:shd w:val="clear" w:color="auto" w:fill="auto"/>
            <w:noWrap/>
            <w:vAlign w:val="center"/>
            <w:hideMark/>
          </w:tcPr>
          <w:p w14:paraId="19AF3E11"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41,3</w:t>
            </w:r>
          </w:p>
        </w:tc>
        <w:tc>
          <w:tcPr>
            <w:tcW w:w="567" w:type="dxa"/>
            <w:tcBorders>
              <w:top w:val="nil"/>
              <w:left w:val="nil"/>
              <w:bottom w:val="nil"/>
              <w:right w:val="nil"/>
            </w:tcBorders>
            <w:shd w:val="clear" w:color="auto" w:fill="auto"/>
            <w:noWrap/>
            <w:vAlign w:val="center"/>
            <w:hideMark/>
          </w:tcPr>
          <w:p w14:paraId="72ECCF77"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41,9</w:t>
            </w:r>
          </w:p>
        </w:tc>
        <w:tc>
          <w:tcPr>
            <w:tcW w:w="567" w:type="dxa"/>
            <w:tcBorders>
              <w:top w:val="nil"/>
              <w:left w:val="nil"/>
              <w:bottom w:val="nil"/>
              <w:right w:val="nil"/>
            </w:tcBorders>
            <w:shd w:val="clear" w:color="auto" w:fill="auto"/>
            <w:noWrap/>
            <w:vAlign w:val="center"/>
            <w:hideMark/>
          </w:tcPr>
          <w:p w14:paraId="01DFF867"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42,8</w:t>
            </w:r>
          </w:p>
        </w:tc>
        <w:tc>
          <w:tcPr>
            <w:tcW w:w="567" w:type="dxa"/>
            <w:tcBorders>
              <w:top w:val="nil"/>
              <w:left w:val="nil"/>
              <w:bottom w:val="nil"/>
              <w:right w:val="nil"/>
            </w:tcBorders>
            <w:shd w:val="clear" w:color="auto" w:fill="auto"/>
            <w:noWrap/>
            <w:vAlign w:val="center"/>
            <w:hideMark/>
          </w:tcPr>
          <w:p w14:paraId="084937C0"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41,1</w:t>
            </w:r>
          </w:p>
        </w:tc>
        <w:tc>
          <w:tcPr>
            <w:tcW w:w="567" w:type="dxa"/>
            <w:tcBorders>
              <w:top w:val="nil"/>
              <w:left w:val="nil"/>
              <w:bottom w:val="nil"/>
              <w:right w:val="nil"/>
            </w:tcBorders>
            <w:shd w:val="clear" w:color="auto" w:fill="auto"/>
            <w:noWrap/>
            <w:vAlign w:val="center"/>
            <w:hideMark/>
          </w:tcPr>
          <w:p w14:paraId="7BEC7A4B"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40,3</w:t>
            </w:r>
          </w:p>
        </w:tc>
        <w:tc>
          <w:tcPr>
            <w:tcW w:w="567" w:type="dxa"/>
            <w:tcBorders>
              <w:top w:val="nil"/>
              <w:left w:val="nil"/>
              <w:bottom w:val="nil"/>
              <w:right w:val="nil"/>
            </w:tcBorders>
            <w:shd w:val="clear" w:color="auto" w:fill="auto"/>
            <w:noWrap/>
            <w:vAlign w:val="center"/>
            <w:hideMark/>
          </w:tcPr>
          <w:p w14:paraId="3A1C9343"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39,5</w:t>
            </w:r>
          </w:p>
        </w:tc>
        <w:tc>
          <w:tcPr>
            <w:tcW w:w="567" w:type="dxa"/>
            <w:vAlign w:val="center"/>
          </w:tcPr>
          <w:p w14:paraId="754A3DFD" w14:textId="77777777" w:rsidR="007F25C1" w:rsidRPr="00986950" w:rsidRDefault="007F25C1" w:rsidP="007F25C1">
            <w:pPr>
              <w:spacing w:after="0" w:line="240" w:lineRule="auto"/>
              <w:jc w:val="center"/>
            </w:pPr>
            <w:r w:rsidRPr="00986950">
              <w:rPr>
                <w:rFonts w:cs="Arial"/>
                <w:color w:val="000000"/>
                <w:sz w:val="16"/>
                <w:szCs w:val="16"/>
              </w:rPr>
              <w:t>33,9</w:t>
            </w:r>
          </w:p>
        </w:tc>
        <w:tc>
          <w:tcPr>
            <w:tcW w:w="567" w:type="dxa"/>
            <w:vAlign w:val="center"/>
          </w:tcPr>
          <w:p w14:paraId="3C390C25"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23,9</w:t>
            </w:r>
          </w:p>
        </w:tc>
        <w:tc>
          <w:tcPr>
            <w:tcW w:w="567" w:type="dxa"/>
            <w:vAlign w:val="center"/>
          </w:tcPr>
          <w:p w14:paraId="73B8EC59" w14:textId="2C5EE51F" w:rsidR="007F25C1" w:rsidRPr="00986950" w:rsidRDefault="007F25C1" w:rsidP="007F25C1">
            <w:pPr>
              <w:spacing w:after="0" w:line="240" w:lineRule="auto"/>
              <w:jc w:val="center"/>
              <w:rPr>
                <w:rFonts w:cs="Arial"/>
                <w:color w:val="000000"/>
                <w:sz w:val="16"/>
                <w:szCs w:val="16"/>
              </w:rPr>
            </w:pPr>
            <w:r>
              <w:rPr>
                <w:rFonts w:cs="Arial"/>
                <w:color w:val="000000"/>
                <w:sz w:val="16"/>
                <w:szCs w:val="16"/>
              </w:rPr>
              <w:t>29,6</w:t>
            </w:r>
          </w:p>
        </w:tc>
      </w:tr>
      <w:tr w:rsidR="007F25C1" w:rsidRPr="00986950" w14:paraId="0C47D8D1" w14:textId="18500354" w:rsidTr="00245F95">
        <w:trPr>
          <w:trHeight w:val="300"/>
        </w:trPr>
        <w:tc>
          <w:tcPr>
            <w:tcW w:w="3401" w:type="dxa"/>
            <w:tcBorders>
              <w:top w:val="nil"/>
              <w:left w:val="nil"/>
              <w:bottom w:val="nil"/>
              <w:right w:val="single" w:sz="4" w:space="0" w:color="auto"/>
            </w:tcBorders>
            <w:shd w:val="clear" w:color="auto" w:fill="auto"/>
            <w:vAlign w:val="center"/>
            <w:hideMark/>
          </w:tcPr>
          <w:p w14:paraId="05D53F8F" w14:textId="77777777" w:rsidR="007F25C1" w:rsidRPr="00986950" w:rsidRDefault="007F25C1" w:rsidP="007F25C1">
            <w:pPr>
              <w:spacing w:after="0" w:line="240" w:lineRule="auto"/>
              <w:ind w:firstLineChars="100" w:firstLine="160"/>
              <w:rPr>
                <w:rFonts w:cs="Arial"/>
                <w:color w:val="000000"/>
                <w:sz w:val="16"/>
                <w:szCs w:val="16"/>
              </w:rPr>
            </w:pPr>
            <w:r w:rsidRPr="00986950">
              <w:rPr>
                <w:rFonts w:cs="Arial"/>
                <w:color w:val="000000"/>
                <w:sz w:val="16"/>
                <w:szCs w:val="16"/>
              </w:rPr>
              <w:t>S – Ostatní činnosti</w:t>
            </w:r>
          </w:p>
        </w:tc>
        <w:tc>
          <w:tcPr>
            <w:tcW w:w="567" w:type="dxa"/>
            <w:tcBorders>
              <w:top w:val="nil"/>
              <w:left w:val="nil"/>
              <w:bottom w:val="nil"/>
              <w:right w:val="nil"/>
            </w:tcBorders>
            <w:shd w:val="clear" w:color="auto" w:fill="auto"/>
            <w:noWrap/>
            <w:vAlign w:val="center"/>
            <w:hideMark/>
          </w:tcPr>
          <w:p w14:paraId="09EDB735"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48,3</w:t>
            </w:r>
          </w:p>
        </w:tc>
        <w:tc>
          <w:tcPr>
            <w:tcW w:w="567" w:type="dxa"/>
            <w:tcBorders>
              <w:top w:val="nil"/>
              <w:left w:val="nil"/>
              <w:bottom w:val="nil"/>
              <w:right w:val="nil"/>
            </w:tcBorders>
            <w:shd w:val="clear" w:color="auto" w:fill="auto"/>
            <w:noWrap/>
            <w:vAlign w:val="center"/>
            <w:hideMark/>
          </w:tcPr>
          <w:p w14:paraId="7F9A2712"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49,6</w:t>
            </w:r>
          </w:p>
        </w:tc>
        <w:tc>
          <w:tcPr>
            <w:tcW w:w="567" w:type="dxa"/>
            <w:tcBorders>
              <w:top w:val="nil"/>
              <w:left w:val="nil"/>
              <w:bottom w:val="nil"/>
              <w:right w:val="nil"/>
            </w:tcBorders>
            <w:shd w:val="clear" w:color="auto" w:fill="auto"/>
            <w:noWrap/>
            <w:vAlign w:val="center"/>
            <w:hideMark/>
          </w:tcPr>
          <w:p w14:paraId="57D9CDEE"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48,1</w:t>
            </w:r>
          </w:p>
        </w:tc>
        <w:tc>
          <w:tcPr>
            <w:tcW w:w="567" w:type="dxa"/>
            <w:tcBorders>
              <w:top w:val="nil"/>
              <w:left w:val="nil"/>
              <w:bottom w:val="nil"/>
              <w:right w:val="nil"/>
            </w:tcBorders>
            <w:shd w:val="clear" w:color="auto" w:fill="auto"/>
            <w:noWrap/>
            <w:vAlign w:val="center"/>
            <w:hideMark/>
          </w:tcPr>
          <w:p w14:paraId="59BE0EFB"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48,9</w:t>
            </w:r>
          </w:p>
        </w:tc>
        <w:tc>
          <w:tcPr>
            <w:tcW w:w="567" w:type="dxa"/>
            <w:tcBorders>
              <w:top w:val="nil"/>
              <w:left w:val="nil"/>
              <w:bottom w:val="nil"/>
              <w:right w:val="nil"/>
            </w:tcBorders>
            <w:shd w:val="clear" w:color="auto" w:fill="auto"/>
            <w:noWrap/>
            <w:vAlign w:val="center"/>
            <w:hideMark/>
          </w:tcPr>
          <w:p w14:paraId="6B51A61F"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46,9</w:t>
            </w:r>
          </w:p>
        </w:tc>
        <w:tc>
          <w:tcPr>
            <w:tcW w:w="567" w:type="dxa"/>
            <w:tcBorders>
              <w:top w:val="nil"/>
              <w:left w:val="nil"/>
              <w:bottom w:val="nil"/>
              <w:right w:val="nil"/>
            </w:tcBorders>
            <w:shd w:val="clear" w:color="auto" w:fill="auto"/>
            <w:noWrap/>
            <w:vAlign w:val="center"/>
            <w:hideMark/>
          </w:tcPr>
          <w:p w14:paraId="365EE587"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45,8</w:t>
            </w:r>
          </w:p>
        </w:tc>
        <w:tc>
          <w:tcPr>
            <w:tcW w:w="567" w:type="dxa"/>
            <w:tcBorders>
              <w:top w:val="nil"/>
              <w:left w:val="nil"/>
              <w:bottom w:val="nil"/>
              <w:right w:val="nil"/>
            </w:tcBorders>
            <w:shd w:val="clear" w:color="auto" w:fill="auto"/>
            <w:noWrap/>
            <w:vAlign w:val="center"/>
            <w:hideMark/>
          </w:tcPr>
          <w:p w14:paraId="71984607"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46,3</w:t>
            </w:r>
          </w:p>
        </w:tc>
        <w:tc>
          <w:tcPr>
            <w:tcW w:w="567" w:type="dxa"/>
            <w:tcBorders>
              <w:top w:val="nil"/>
              <w:left w:val="nil"/>
              <w:bottom w:val="nil"/>
              <w:right w:val="nil"/>
            </w:tcBorders>
            <w:shd w:val="clear" w:color="auto" w:fill="auto"/>
            <w:noWrap/>
            <w:vAlign w:val="center"/>
            <w:hideMark/>
          </w:tcPr>
          <w:p w14:paraId="79C38083"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42,8</w:t>
            </w:r>
          </w:p>
        </w:tc>
        <w:tc>
          <w:tcPr>
            <w:tcW w:w="567" w:type="dxa"/>
            <w:vAlign w:val="center"/>
          </w:tcPr>
          <w:p w14:paraId="5C261919" w14:textId="77777777" w:rsidR="007F25C1" w:rsidRPr="00986950" w:rsidRDefault="007F25C1" w:rsidP="007F25C1">
            <w:pPr>
              <w:spacing w:after="0" w:line="240" w:lineRule="auto"/>
              <w:jc w:val="center"/>
            </w:pPr>
            <w:r w:rsidRPr="00986950">
              <w:rPr>
                <w:rFonts w:cs="Arial"/>
                <w:color w:val="000000"/>
                <w:sz w:val="16"/>
                <w:szCs w:val="16"/>
              </w:rPr>
              <w:t>38,4</w:t>
            </w:r>
          </w:p>
        </w:tc>
        <w:tc>
          <w:tcPr>
            <w:tcW w:w="567" w:type="dxa"/>
            <w:vAlign w:val="center"/>
          </w:tcPr>
          <w:p w14:paraId="3C9DC97F" w14:textId="77777777" w:rsidR="007F25C1" w:rsidRPr="00986950" w:rsidRDefault="007F25C1" w:rsidP="007F25C1">
            <w:pPr>
              <w:spacing w:after="0" w:line="240" w:lineRule="auto"/>
              <w:jc w:val="center"/>
              <w:rPr>
                <w:rFonts w:cs="Arial"/>
                <w:color w:val="000000"/>
                <w:sz w:val="16"/>
                <w:szCs w:val="16"/>
              </w:rPr>
            </w:pPr>
            <w:r w:rsidRPr="00986950">
              <w:rPr>
                <w:rFonts w:cs="Arial"/>
                <w:color w:val="000000"/>
                <w:sz w:val="16"/>
                <w:szCs w:val="16"/>
              </w:rPr>
              <w:t>29,4</w:t>
            </w:r>
          </w:p>
        </w:tc>
        <w:tc>
          <w:tcPr>
            <w:tcW w:w="567" w:type="dxa"/>
            <w:vAlign w:val="center"/>
          </w:tcPr>
          <w:p w14:paraId="509C5DB2" w14:textId="4F88AF6D" w:rsidR="007F25C1" w:rsidRPr="00986950" w:rsidRDefault="007F25C1" w:rsidP="007F25C1">
            <w:pPr>
              <w:spacing w:after="0" w:line="240" w:lineRule="auto"/>
              <w:jc w:val="center"/>
              <w:rPr>
                <w:rFonts w:cs="Arial"/>
                <w:color w:val="000000"/>
                <w:sz w:val="16"/>
                <w:szCs w:val="16"/>
              </w:rPr>
            </w:pPr>
            <w:r>
              <w:rPr>
                <w:rFonts w:cs="Arial"/>
                <w:color w:val="000000"/>
                <w:sz w:val="16"/>
                <w:szCs w:val="16"/>
              </w:rPr>
              <w:t>37,7</w:t>
            </w:r>
          </w:p>
        </w:tc>
      </w:tr>
    </w:tbl>
    <w:p w14:paraId="758D0DF6" w14:textId="77777777" w:rsidR="007F25C1" w:rsidRDefault="007F25C1" w:rsidP="007F25C1">
      <w:pPr>
        <w:spacing w:before="120" w:after="120" w:line="240" w:lineRule="auto"/>
        <w:jc w:val="both"/>
        <w:rPr>
          <w:rFonts w:cs="Arial"/>
          <w:color w:val="000000"/>
          <w:sz w:val="16"/>
          <w:szCs w:val="16"/>
        </w:rPr>
      </w:pPr>
      <w:r>
        <w:rPr>
          <w:rFonts w:cs="Arial"/>
          <w:color w:val="000000"/>
          <w:sz w:val="16"/>
          <w:szCs w:val="16"/>
        </w:rPr>
        <w:t>* Údaje za rok 2022 nejsou srovnatelné s údaji za ostatní roky.</w:t>
      </w:r>
    </w:p>
    <w:p w14:paraId="5C594BD3" w14:textId="77777777" w:rsidR="007F25C1" w:rsidRPr="00986950" w:rsidRDefault="007F25C1" w:rsidP="007F25C1">
      <w:pPr>
        <w:spacing w:before="120" w:after="120"/>
        <w:rPr>
          <w:sz w:val="16"/>
        </w:rPr>
      </w:pPr>
      <w:r w:rsidRPr="00986950">
        <w:rPr>
          <w:sz w:val="16"/>
        </w:rPr>
        <w:t>Zdroj: ČSÚ</w:t>
      </w:r>
    </w:p>
    <w:p w14:paraId="76437753" w14:textId="79C40D4F" w:rsidR="00CF44C1" w:rsidRDefault="00CF44C1">
      <w:pPr>
        <w:spacing w:after="0" w:line="240" w:lineRule="auto"/>
      </w:pPr>
    </w:p>
    <w:p w14:paraId="32EAD834" w14:textId="1714EC5A" w:rsidR="007F25C1" w:rsidRPr="007F25C1" w:rsidRDefault="007F25C1" w:rsidP="007F25C1">
      <w:pPr>
        <w:spacing w:after="0" w:line="240" w:lineRule="auto"/>
        <w:jc w:val="both"/>
        <w:rPr>
          <w:rFonts w:cs="Arial"/>
          <w:b/>
          <w:bCs/>
          <w:color w:val="000000"/>
          <w:szCs w:val="20"/>
        </w:rPr>
      </w:pPr>
      <w:r w:rsidRPr="007F25C1">
        <w:rPr>
          <w:rFonts w:cs="Arial"/>
          <w:b/>
          <w:bCs/>
          <w:color w:val="000000"/>
          <w:szCs w:val="20"/>
        </w:rPr>
        <w:t>Graf 2.1</w:t>
      </w:r>
      <w:r>
        <w:rPr>
          <w:rFonts w:cs="Arial"/>
          <w:b/>
          <w:bCs/>
          <w:color w:val="000000"/>
          <w:szCs w:val="20"/>
        </w:rPr>
        <w:t>0</w:t>
      </w:r>
      <w:r w:rsidRPr="007F25C1">
        <w:rPr>
          <w:rFonts w:cs="Arial"/>
          <w:b/>
          <w:bCs/>
          <w:color w:val="000000"/>
          <w:szCs w:val="20"/>
        </w:rPr>
        <w:t>: Průměrná délka trvání dočasné pracovní neschopnosti podle velikosti podniku a příčiny, 2023</w:t>
      </w:r>
    </w:p>
    <w:p w14:paraId="14036F4D" w14:textId="0287220D" w:rsidR="005F17A0" w:rsidRDefault="007F25C1" w:rsidP="00D744C7">
      <w:pPr>
        <w:spacing w:before="120" w:after="120"/>
        <w:jc w:val="both"/>
        <w:rPr>
          <w:b/>
        </w:rPr>
      </w:pPr>
      <w:r>
        <w:rPr>
          <w:noProof/>
        </w:rPr>
        <w:drawing>
          <wp:inline distT="0" distB="0" distL="0" distR="0" wp14:anchorId="1CEB5983" wp14:editId="05AA0DCC">
            <wp:extent cx="6162675" cy="2905125"/>
            <wp:effectExtent l="0" t="0" r="9525" b="9525"/>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65A82D1" w14:textId="77777777" w:rsidR="007F25C1" w:rsidRPr="00986950" w:rsidRDefault="007F25C1" w:rsidP="007F25C1">
      <w:pPr>
        <w:spacing w:before="120" w:after="120"/>
        <w:rPr>
          <w:sz w:val="16"/>
        </w:rPr>
      </w:pPr>
      <w:r w:rsidRPr="00986950">
        <w:rPr>
          <w:sz w:val="16"/>
        </w:rPr>
        <w:t>Zdroj: ČSÚ</w:t>
      </w:r>
    </w:p>
    <w:p w14:paraId="0034EEA1" w14:textId="24895AED" w:rsidR="00245F95" w:rsidRPr="00245F95" w:rsidRDefault="00245F95" w:rsidP="00245F95">
      <w:pPr>
        <w:pStyle w:val="Nadpis4"/>
        <w:rPr>
          <w:sz w:val="24"/>
        </w:rPr>
      </w:pPr>
      <w:bookmarkStart w:id="27" w:name="_Toc54262802"/>
      <w:bookmarkStart w:id="28" w:name="_Toc149295404"/>
      <w:bookmarkStart w:id="29" w:name="_Toc167965227"/>
      <w:r>
        <w:rPr>
          <w:sz w:val="24"/>
        </w:rPr>
        <w:lastRenderedPageBreak/>
        <w:t xml:space="preserve">4.2.3 </w:t>
      </w:r>
      <w:r w:rsidRPr="00245F95">
        <w:rPr>
          <w:sz w:val="24"/>
        </w:rPr>
        <w:t>Průměrné procento dočasné pracovní neschopnosti a průměrný denní stav dočasně práce neschopných</w:t>
      </w:r>
      <w:bookmarkEnd w:id="27"/>
      <w:bookmarkEnd w:id="28"/>
      <w:bookmarkEnd w:id="29"/>
    </w:p>
    <w:p w14:paraId="09B33703" w14:textId="77777777" w:rsidR="00245F95" w:rsidRPr="004876D0" w:rsidRDefault="00245F95" w:rsidP="00245F95">
      <w:pPr>
        <w:spacing w:after="120"/>
        <w:jc w:val="both"/>
      </w:pPr>
      <w:r w:rsidRPr="004876D0">
        <w:t xml:space="preserve">Nejkomplexnějším ukazatelem statistiky pracovní neschopnosti pro nemoc a úraz je </w:t>
      </w:r>
      <w:r w:rsidRPr="004876D0">
        <w:rPr>
          <w:b/>
        </w:rPr>
        <w:t>průměrné procento dočasné pracovní neschopnosti</w:t>
      </w:r>
      <w:r w:rsidRPr="004876D0">
        <w:t xml:space="preserve">. Zohledňuje jak celkový počet případů pracovní neschopnosti (jak často lidé do pracovní neschopnosti nastupují), tak i průměrné trvání jednoho případu pracovní neschopnosti (jak dlouho v pracovní neschopnosti setrvávají). Statistiky pak doplňuje ještě další ukazatel – </w:t>
      </w:r>
      <w:r w:rsidRPr="004876D0">
        <w:rPr>
          <w:b/>
        </w:rPr>
        <w:t>průměrný denní stav dočasně práce neschopných</w:t>
      </w:r>
      <w:r w:rsidRPr="004876D0">
        <w:t>, který říká, kolik osob průměrně denně chybělo na pracovišti v důsledku dočasné pracovní neschopnosti pro nemoc a úraz.</w:t>
      </w:r>
    </w:p>
    <w:p w14:paraId="3B521B20" w14:textId="77777777" w:rsidR="00245F95" w:rsidRPr="004876D0" w:rsidRDefault="00245F95" w:rsidP="00245F95">
      <w:pPr>
        <w:pStyle w:val="Box1"/>
        <w:ind w:left="0"/>
        <w:jc w:val="both"/>
        <w:rPr>
          <w:i/>
        </w:rPr>
      </w:pPr>
      <w:r w:rsidRPr="004876D0">
        <w:rPr>
          <w:b/>
          <w:i/>
        </w:rPr>
        <w:t xml:space="preserve">Průměrné procento dočasné pracovní neschopnosti </w:t>
      </w:r>
      <w:r w:rsidRPr="004876D0">
        <w:rPr>
          <w:i/>
        </w:rPr>
        <w:t xml:space="preserve">– ukazatel udává, kolik ze 100 </w:t>
      </w:r>
      <w:proofErr w:type="spellStart"/>
      <w:r w:rsidRPr="004876D0">
        <w:rPr>
          <w:i/>
        </w:rPr>
        <w:t>nemocensky</w:t>
      </w:r>
      <w:proofErr w:type="spellEnd"/>
      <w:r w:rsidRPr="004876D0">
        <w:rPr>
          <w:i/>
        </w:rPr>
        <w:t xml:space="preserve"> pojištěných je průměrně každý den v pracovní neschopnosti pro nemoc či úraz. </w:t>
      </w:r>
    </w:p>
    <w:p w14:paraId="57E762D8" w14:textId="77777777" w:rsidR="00245F95" w:rsidRPr="004876D0" w:rsidRDefault="00245F95" w:rsidP="00245F95">
      <w:pPr>
        <w:pStyle w:val="Box1"/>
        <w:ind w:left="0"/>
        <w:jc w:val="both"/>
        <w:rPr>
          <w:i/>
          <w:u w:val="single"/>
        </w:rPr>
      </w:pPr>
      <w:r w:rsidRPr="004876D0">
        <w:rPr>
          <w:i/>
          <w:u w:val="single"/>
        </w:rPr>
        <w:t>Způsob výpočtu:</w:t>
      </w:r>
    </w:p>
    <w:p w14:paraId="62C7ED48" w14:textId="77777777" w:rsidR="00245F95" w:rsidRPr="004876D0" w:rsidRDefault="00245F95" w:rsidP="00245F95">
      <w:pPr>
        <w:pStyle w:val="Box1"/>
        <w:spacing w:before="120" w:after="120"/>
        <w:ind w:left="0"/>
        <w:contextualSpacing w:val="0"/>
        <w:jc w:val="both"/>
        <w:rPr>
          <w:i/>
        </w:rPr>
      </w:pPr>
      <w:r w:rsidRPr="004876D0">
        <w:rPr>
          <w:i/>
        </w:rPr>
        <w:t xml:space="preserve">Průměrné procento dočasné pracovní neschopnosti = počet kalendářních dnů dočasné pracovní neschopnosti x 100 / (průměrný počet osob </w:t>
      </w:r>
      <w:proofErr w:type="spellStart"/>
      <w:r w:rsidRPr="004876D0">
        <w:rPr>
          <w:i/>
        </w:rPr>
        <w:t>nemocensky</w:t>
      </w:r>
      <w:proofErr w:type="spellEnd"/>
      <w:r w:rsidRPr="004876D0">
        <w:rPr>
          <w:i/>
        </w:rPr>
        <w:t xml:space="preserve"> pojištěných x počet kalendářních dnů ve sledovaném období).</w:t>
      </w:r>
    </w:p>
    <w:p w14:paraId="2AE6C3D1" w14:textId="39F2C5E2" w:rsidR="00245F95" w:rsidRPr="004876D0" w:rsidRDefault="00245F95" w:rsidP="00245F95">
      <w:pPr>
        <w:pStyle w:val="Box1"/>
        <w:ind w:left="0"/>
        <w:jc w:val="both"/>
        <w:rPr>
          <w:i/>
        </w:rPr>
      </w:pPr>
      <w:r w:rsidRPr="004876D0">
        <w:rPr>
          <w:b/>
          <w:i/>
        </w:rPr>
        <w:t xml:space="preserve">Průměrný denní stav dočasně práce neschopných </w:t>
      </w:r>
      <w:r w:rsidRPr="004876D0">
        <w:rPr>
          <w:i/>
        </w:rPr>
        <w:t xml:space="preserve">– ukazatel vyjadřuje počet </w:t>
      </w:r>
      <w:proofErr w:type="spellStart"/>
      <w:r w:rsidRPr="004876D0">
        <w:rPr>
          <w:i/>
        </w:rPr>
        <w:t>nemocensky</w:t>
      </w:r>
      <w:proofErr w:type="spellEnd"/>
      <w:r w:rsidRPr="004876D0">
        <w:rPr>
          <w:i/>
        </w:rPr>
        <w:t xml:space="preserve"> pojištěných, kteří byli ve sledovaném období (</w:t>
      </w:r>
      <w:r w:rsidR="00DD5A0D">
        <w:rPr>
          <w:i/>
        </w:rPr>
        <w:t>roce</w:t>
      </w:r>
      <w:r w:rsidRPr="004876D0">
        <w:rPr>
          <w:i/>
        </w:rPr>
        <w:t xml:space="preserve">) denně nepřítomni v práci z důvodů pracovní neschopnosti. </w:t>
      </w:r>
    </w:p>
    <w:p w14:paraId="71F2E88A" w14:textId="77777777" w:rsidR="00245F95" w:rsidRPr="004876D0" w:rsidRDefault="00245F95" w:rsidP="00245F95">
      <w:pPr>
        <w:pStyle w:val="Box1"/>
        <w:ind w:left="0"/>
        <w:jc w:val="both"/>
        <w:rPr>
          <w:i/>
          <w:u w:val="single"/>
        </w:rPr>
      </w:pPr>
      <w:r w:rsidRPr="004876D0">
        <w:rPr>
          <w:i/>
          <w:u w:val="single"/>
        </w:rPr>
        <w:t>Způsob výpočtu:</w:t>
      </w:r>
    </w:p>
    <w:p w14:paraId="0ECFD824" w14:textId="77777777" w:rsidR="00245F95" w:rsidRPr="004876D0" w:rsidRDefault="00245F95" w:rsidP="00245F95">
      <w:pPr>
        <w:pStyle w:val="Box1"/>
        <w:spacing w:before="120" w:after="120"/>
        <w:ind w:left="0"/>
        <w:contextualSpacing w:val="0"/>
        <w:jc w:val="both"/>
        <w:rPr>
          <w:i/>
        </w:rPr>
      </w:pPr>
      <w:r w:rsidRPr="004876D0">
        <w:rPr>
          <w:i/>
        </w:rPr>
        <w:t>Průměrný denní stav dočasně práce neschopných = počet kalendářních dnů dočasné pracovní neschopnosti / počet kalendářních dnů ve sledovaném období.</w:t>
      </w:r>
    </w:p>
    <w:p w14:paraId="56A3A708" w14:textId="449B3B14" w:rsidR="00C609FE" w:rsidRDefault="00245F95" w:rsidP="00245F95">
      <w:pPr>
        <w:spacing w:before="120" w:after="120"/>
        <w:jc w:val="both"/>
      </w:pPr>
      <w:r w:rsidRPr="00251BF8">
        <w:t xml:space="preserve">Hodnota ukazatele </w:t>
      </w:r>
      <w:r w:rsidRPr="00251BF8">
        <w:rPr>
          <w:b/>
        </w:rPr>
        <w:t>průměrné procento dočasné pracovní neschopnosti</w:t>
      </w:r>
      <w:r w:rsidRPr="00251BF8">
        <w:t xml:space="preserve"> měla od </w:t>
      </w:r>
      <w:r w:rsidR="001526AD" w:rsidRPr="00251BF8">
        <w:t>roku 2012 rostoucí tendenci, ačkoliv v roce 2021 byla patrná meziroční stagnace na 5,5 %. V roce 2022 oproti roku předchozímu poklesla</w:t>
      </w:r>
      <w:r w:rsidRPr="00251BF8">
        <w:t xml:space="preserve"> </w:t>
      </w:r>
      <w:r w:rsidR="001526AD" w:rsidRPr="00251BF8">
        <w:t xml:space="preserve">na 5,3 %. Pokles pokračoval i v roce 2023, kdy </w:t>
      </w:r>
      <w:r w:rsidR="00452914" w:rsidRPr="00251BF8">
        <w:t>ukazatel dosáhl 4,6 %, tedy došlo k návratu na podobnou</w:t>
      </w:r>
      <w:r w:rsidRPr="00251BF8">
        <w:t xml:space="preserve"> hodnotu jako v </w:t>
      </w:r>
      <w:r w:rsidR="00452914" w:rsidRPr="00251BF8">
        <w:t>roce</w:t>
      </w:r>
      <w:r w:rsidRPr="00251BF8">
        <w:t xml:space="preserve"> 2019. Průměrné procento dočasné pracovní neschopnosti je dlouhodobě vyšší u žen, u kterých v </w:t>
      </w:r>
      <w:r w:rsidR="00452914" w:rsidRPr="00251BF8">
        <w:t>roce 2023 činilo 4,9</w:t>
      </w:r>
      <w:r w:rsidRPr="00251BF8">
        <w:t xml:space="preserve"> %, zatímco pro muže 4,</w:t>
      </w:r>
      <w:r w:rsidR="00452914" w:rsidRPr="00251BF8">
        <w:t>2</w:t>
      </w:r>
      <w:r w:rsidRPr="00251BF8">
        <w:t> %.</w:t>
      </w:r>
    </w:p>
    <w:p w14:paraId="15320A51" w14:textId="1477134E" w:rsidR="007F25C1" w:rsidRDefault="00452914" w:rsidP="00B920BC">
      <w:pPr>
        <w:spacing w:after="0" w:line="240" w:lineRule="auto"/>
        <w:jc w:val="both"/>
        <w:rPr>
          <w:b/>
        </w:rPr>
      </w:pPr>
      <w:r w:rsidRPr="00452914">
        <w:rPr>
          <w:rFonts w:cs="Arial"/>
          <w:b/>
          <w:bCs/>
          <w:color w:val="000000"/>
          <w:szCs w:val="20"/>
        </w:rPr>
        <w:t>Graf 2.1</w:t>
      </w:r>
      <w:r>
        <w:rPr>
          <w:rFonts w:cs="Arial"/>
          <w:b/>
          <w:bCs/>
          <w:color w:val="000000"/>
          <w:szCs w:val="20"/>
        </w:rPr>
        <w:t>1</w:t>
      </w:r>
      <w:r w:rsidRPr="00452914">
        <w:rPr>
          <w:rFonts w:cs="Arial"/>
          <w:b/>
          <w:bCs/>
          <w:color w:val="000000"/>
          <w:szCs w:val="20"/>
        </w:rPr>
        <w:t>: Průměrné procento dočasné pracovní neschopnosti podle odvětví (sekce CZ-NACE), 2023</w:t>
      </w:r>
      <w:r>
        <w:rPr>
          <w:noProof/>
        </w:rPr>
        <w:drawing>
          <wp:inline distT="0" distB="0" distL="0" distR="0" wp14:anchorId="3BF12F74" wp14:editId="6D5664A4">
            <wp:extent cx="6105525" cy="4238625"/>
            <wp:effectExtent l="0" t="0" r="9525" b="9525"/>
            <wp:docPr id="35"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1E247EB" w14:textId="77777777" w:rsidR="00452914" w:rsidRPr="00986950" w:rsidRDefault="00452914" w:rsidP="00452914">
      <w:pPr>
        <w:spacing w:before="120" w:after="120"/>
        <w:rPr>
          <w:sz w:val="16"/>
        </w:rPr>
      </w:pPr>
      <w:r w:rsidRPr="00986950">
        <w:rPr>
          <w:sz w:val="16"/>
        </w:rPr>
        <w:t>Zdroj: ČSÚ</w:t>
      </w:r>
    </w:p>
    <w:p w14:paraId="028F5F21" w14:textId="6B449CF9" w:rsidR="00C609FE" w:rsidRDefault="00452914" w:rsidP="00452914">
      <w:pPr>
        <w:spacing w:before="120" w:after="120"/>
        <w:jc w:val="both"/>
        <w:rPr>
          <w:rFonts w:cs="Arial"/>
          <w:color w:val="000000"/>
          <w:szCs w:val="16"/>
        </w:rPr>
      </w:pPr>
      <w:r w:rsidRPr="00251BF8">
        <w:rPr>
          <w:rFonts w:cs="Arial"/>
          <w:color w:val="000000"/>
          <w:szCs w:val="16"/>
        </w:rPr>
        <w:lastRenderedPageBreak/>
        <w:t xml:space="preserve">Nejvyšší průměrné procento dočasné pracovní neschopnosti </w:t>
      </w:r>
      <w:r w:rsidRPr="00251BF8">
        <w:rPr>
          <w:rFonts w:cs="Arial"/>
          <w:b/>
          <w:color w:val="000000"/>
          <w:szCs w:val="16"/>
        </w:rPr>
        <w:t>z hlediska odvětvové činnosti</w:t>
      </w:r>
      <w:r w:rsidRPr="00251BF8">
        <w:rPr>
          <w:rFonts w:cs="Arial"/>
          <w:color w:val="000000"/>
          <w:szCs w:val="16"/>
        </w:rPr>
        <w:t xml:space="preserve"> bylo zaznamenáno v odvětví Zpracovatelský průmysl (6,1 %) s nejvyšším počtem případů pracovní neschopnosti na 100 pojištěnců. Jinými slovy, 6 % pojištěnců pracujících v této sekci bylo denně v pracovní neschopnosti. Odvětvími s více než 5% podílem osob dočasně práce neschopných denně byla Těžba a dobývání (5,7 %), Zásobování vodou; činnosti související s odpady a sanacemi, stejně jako Administrativní a podpůrné činnosti (obě sekce shodně 5,4 %) a Zemědělství, lesnictví, rybářství (5,2 %). Naopak nejméně pracovníků v pracovní neschopnosti ze 100 pojištěnců bylo denně evidováno v odvětví Informační a komunikační činnosti (1,5), Peněžnictví a pojišťovnictví (2,1) a Profesní, vědecké a technické činnosti (2,2). Podrobněji viz graf 2.11 a tabulka 2.</w:t>
      </w:r>
      <w:r w:rsidR="00DD5A0D" w:rsidRPr="00251BF8">
        <w:rPr>
          <w:rFonts w:cs="Arial"/>
          <w:color w:val="000000"/>
          <w:szCs w:val="16"/>
        </w:rPr>
        <w:t>6</w:t>
      </w:r>
      <w:r w:rsidRPr="00251BF8">
        <w:rPr>
          <w:rFonts w:cs="Arial"/>
          <w:color w:val="000000"/>
          <w:szCs w:val="16"/>
        </w:rPr>
        <w:t>.</w:t>
      </w:r>
    </w:p>
    <w:p w14:paraId="5AFE0DF7" w14:textId="452F7866" w:rsidR="00407F89" w:rsidRDefault="00B920BC" w:rsidP="00452914">
      <w:pPr>
        <w:spacing w:before="120" w:after="120"/>
        <w:jc w:val="both"/>
        <w:rPr>
          <w:rFonts w:cs="Arial"/>
          <w:color w:val="000000"/>
          <w:szCs w:val="16"/>
        </w:rPr>
      </w:pPr>
      <w:r>
        <w:rPr>
          <w:rFonts w:cs="Arial"/>
          <w:color w:val="000000"/>
          <w:szCs w:val="16"/>
        </w:rPr>
        <w:t>Ve většině odvětvových sekcích průměrné procento dočasné pracovní neschopnosti oproti roku 2019 pokleslo. Nejvíce v sekci Peněžnictví a pojišťovnictví (o 0,6</w:t>
      </w:r>
      <w:r w:rsidR="00D05A05">
        <w:rPr>
          <w:rFonts w:cs="Arial"/>
          <w:color w:val="000000"/>
          <w:szCs w:val="16"/>
        </w:rPr>
        <w:t xml:space="preserve"> p. b.</w:t>
      </w:r>
      <w:r>
        <w:rPr>
          <w:rFonts w:cs="Arial"/>
          <w:color w:val="000000"/>
          <w:szCs w:val="16"/>
        </w:rPr>
        <w:t xml:space="preserve">). Nárůst mezi 0,2–0,4 </w:t>
      </w:r>
      <w:r w:rsidR="00D05A05">
        <w:rPr>
          <w:rFonts w:cs="Arial"/>
          <w:color w:val="000000"/>
          <w:szCs w:val="16"/>
        </w:rPr>
        <w:t>p. b.</w:t>
      </w:r>
      <w:r>
        <w:rPr>
          <w:rFonts w:cs="Arial"/>
          <w:color w:val="000000"/>
          <w:szCs w:val="16"/>
        </w:rPr>
        <w:t xml:space="preserve"> </w:t>
      </w:r>
      <w:proofErr w:type="gramStart"/>
      <w:r>
        <w:rPr>
          <w:rFonts w:cs="Arial"/>
          <w:color w:val="000000"/>
          <w:szCs w:val="16"/>
        </w:rPr>
        <w:t>byl</w:t>
      </w:r>
      <w:proofErr w:type="gramEnd"/>
      <w:r>
        <w:rPr>
          <w:rFonts w:cs="Arial"/>
          <w:color w:val="000000"/>
          <w:szCs w:val="16"/>
        </w:rPr>
        <w:t xml:space="preserve"> patrný v sekcích Zdravotní a</w:t>
      </w:r>
      <w:r w:rsidR="00957C5B">
        <w:rPr>
          <w:rFonts w:cs="Arial"/>
          <w:color w:val="000000"/>
          <w:szCs w:val="16"/>
        </w:rPr>
        <w:t> </w:t>
      </w:r>
      <w:r>
        <w:rPr>
          <w:rFonts w:cs="Arial"/>
          <w:color w:val="000000"/>
          <w:szCs w:val="16"/>
        </w:rPr>
        <w:t>sociální péče, Veřejná správa a obrana; povinné sociální zabezpečení a Vzdělávání. Naopak při srovnání s rokem 2013 lze vidět nárůst ve všech sekcích vyjma Informačních a komunikačních činností a</w:t>
      </w:r>
      <w:r w:rsidR="00CD736F">
        <w:rPr>
          <w:rFonts w:cs="Arial"/>
          <w:color w:val="000000"/>
          <w:szCs w:val="16"/>
        </w:rPr>
        <w:t> </w:t>
      </w:r>
      <w:r>
        <w:rPr>
          <w:rFonts w:cs="Arial"/>
          <w:color w:val="000000"/>
          <w:szCs w:val="16"/>
        </w:rPr>
        <w:t xml:space="preserve">Peněžnictví a pojišťovnictví. Hodnota průměrného procenta dočasné pracovní neschopnosti </w:t>
      </w:r>
      <w:r w:rsidR="00D05A05">
        <w:rPr>
          <w:rFonts w:cs="Arial"/>
          <w:color w:val="000000"/>
          <w:szCs w:val="16"/>
        </w:rPr>
        <w:t xml:space="preserve">za tu dobu nejvíce vzrostla </w:t>
      </w:r>
      <w:r>
        <w:rPr>
          <w:rFonts w:cs="Arial"/>
          <w:color w:val="000000"/>
          <w:szCs w:val="16"/>
        </w:rPr>
        <w:t xml:space="preserve">v sekci E </w:t>
      </w:r>
      <w:r w:rsidR="00957C5B">
        <w:rPr>
          <w:rFonts w:cs="Arial"/>
          <w:color w:val="000000"/>
          <w:szCs w:val="16"/>
        </w:rPr>
        <w:t xml:space="preserve">– </w:t>
      </w:r>
      <w:r>
        <w:rPr>
          <w:rFonts w:cs="Arial"/>
          <w:color w:val="000000"/>
          <w:szCs w:val="16"/>
        </w:rPr>
        <w:t>Zásobování vodou; činnosti související s odpady a sanacemi (+1,7 p. b.) a ve Zpracovatelském průmyslu (+1,5</w:t>
      </w:r>
      <w:r w:rsidR="00D264DA">
        <w:rPr>
          <w:rFonts w:cs="Arial"/>
          <w:color w:val="000000"/>
          <w:szCs w:val="16"/>
        </w:rPr>
        <w:t> p. b</w:t>
      </w:r>
      <w:r>
        <w:rPr>
          <w:rFonts w:cs="Arial"/>
          <w:color w:val="000000"/>
          <w:szCs w:val="16"/>
        </w:rPr>
        <w:t>.</w:t>
      </w:r>
      <w:r w:rsidR="00D264DA">
        <w:rPr>
          <w:rFonts w:cs="Arial"/>
          <w:color w:val="000000"/>
          <w:szCs w:val="16"/>
        </w:rPr>
        <w:t>).</w:t>
      </w:r>
    </w:p>
    <w:p w14:paraId="6D730D52" w14:textId="78CE9E20" w:rsidR="00C609FE" w:rsidRDefault="00C609FE">
      <w:pPr>
        <w:spacing w:after="0" w:line="240" w:lineRule="auto"/>
        <w:rPr>
          <w:rFonts w:cs="Arial"/>
          <w:color w:val="000000"/>
          <w:szCs w:val="16"/>
        </w:rPr>
      </w:pPr>
    </w:p>
    <w:p w14:paraId="1954C4DE" w14:textId="4BBC365A" w:rsidR="00452914" w:rsidRPr="00452914" w:rsidRDefault="00DD5A0D" w:rsidP="00452914">
      <w:pPr>
        <w:spacing w:after="0" w:line="240" w:lineRule="auto"/>
        <w:jc w:val="both"/>
        <w:rPr>
          <w:rFonts w:cs="Arial"/>
          <w:b/>
          <w:bCs/>
          <w:color w:val="000000"/>
          <w:szCs w:val="20"/>
        </w:rPr>
      </w:pPr>
      <w:r>
        <w:rPr>
          <w:rFonts w:cs="Arial"/>
          <w:b/>
          <w:bCs/>
          <w:color w:val="000000"/>
          <w:szCs w:val="20"/>
        </w:rPr>
        <w:t>Tab. 2.6</w:t>
      </w:r>
      <w:r w:rsidR="00452914" w:rsidRPr="00452914">
        <w:rPr>
          <w:rFonts w:cs="Arial"/>
          <w:b/>
          <w:bCs/>
          <w:color w:val="000000"/>
          <w:szCs w:val="20"/>
        </w:rPr>
        <w:t xml:space="preserve">: Průměrné procento dočasné pracovní neschopnosti podle odvětví (sekce CZ-NACE), </w:t>
      </w:r>
      <w:r w:rsidR="002C474B">
        <w:rPr>
          <w:rFonts w:cs="Arial"/>
          <w:b/>
          <w:bCs/>
          <w:color w:val="000000"/>
          <w:szCs w:val="20"/>
        </w:rPr>
        <w:br/>
      </w:r>
      <w:r w:rsidR="00452914" w:rsidRPr="00452914">
        <w:rPr>
          <w:rFonts w:cs="Arial"/>
          <w:b/>
          <w:bCs/>
          <w:color w:val="000000"/>
          <w:szCs w:val="20"/>
        </w:rPr>
        <w:t>2013–2023</w:t>
      </w:r>
    </w:p>
    <w:tbl>
      <w:tblPr>
        <w:tblW w:w="9638" w:type="dxa"/>
        <w:tblCellMar>
          <w:left w:w="70" w:type="dxa"/>
          <w:right w:w="70" w:type="dxa"/>
        </w:tblCellMar>
        <w:tblLook w:val="04A0" w:firstRow="1" w:lastRow="0" w:firstColumn="1" w:lastColumn="0" w:noHBand="0" w:noVBand="1"/>
      </w:tblPr>
      <w:tblGrid>
        <w:gridCol w:w="3401"/>
        <w:gridCol w:w="567"/>
        <w:gridCol w:w="567"/>
        <w:gridCol w:w="567"/>
        <w:gridCol w:w="567"/>
        <w:gridCol w:w="567"/>
        <w:gridCol w:w="567"/>
        <w:gridCol w:w="567"/>
        <w:gridCol w:w="567"/>
        <w:gridCol w:w="567"/>
        <w:gridCol w:w="567"/>
        <w:gridCol w:w="567"/>
      </w:tblGrid>
      <w:tr w:rsidR="00452914" w:rsidRPr="000F2639" w14:paraId="477308A7" w14:textId="1B8503FA" w:rsidTr="00C609FE">
        <w:trPr>
          <w:trHeight w:val="300"/>
        </w:trPr>
        <w:tc>
          <w:tcPr>
            <w:tcW w:w="3401" w:type="dxa"/>
            <w:tcBorders>
              <w:top w:val="single" w:sz="4" w:space="0" w:color="auto"/>
              <w:left w:val="nil"/>
              <w:bottom w:val="single" w:sz="4" w:space="0" w:color="auto"/>
              <w:right w:val="single" w:sz="4" w:space="0" w:color="auto"/>
            </w:tcBorders>
            <w:shd w:val="clear" w:color="000000" w:fill="F5DADD"/>
            <w:vAlign w:val="center"/>
            <w:hideMark/>
          </w:tcPr>
          <w:p w14:paraId="47F3B57A"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Sekce CZ-NACE</w:t>
            </w:r>
          </w:p>
        </w:tc>
        <w:tc>
          <w:tcPr>
            <w:tcW w:w="567" w:type="dxa"/>
            <w:tcBorders>
              <w:top w:val="single" w:sz="4" w:space="0" w:color="auto"/>
              <w:left w:val="nil"/>
              <w:bottom w:val="single" w:sz="4" w:space="0" w:color="auto"/>
              <w:right w:val="nil"/>
            </w:tcBorders>
            <w:shd w:val="clear" w:color="000000" w:fill="F5DADD"/>
            <w:noWrap/>
            <w:vAlign w:val="center"/>
            <w:hideMark/>
          </w:tcPr>
          <w:p w14:paraId="080CC8BB"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2013</w:t>
            </w:r>
          </w:p>
        </w:tc>
        <w:tc>
          <w:tcPr>
            <w:tcW w:w="567" w:type="dxa"/>
            <w:tcBorders>
              <w:top w:val="single" w:sz="4" w:space="0" w:color="auto"/>
              <w:left w:val="nil"/>
              <w:bottom w:val="single" w:sz="4" w:space="0" w:color="auto"/>
              <w:right w:val="nil"/>
            </w:tcBorders>
            <w:shd w:val="clear" w:color="000000" w:fill="F5DADD"/>
            <w:noWrap/>
            <w:vAlign w:val="center"/>
            <w:hideMark/>
          </w:tcPr>
          <w:p w14:paraId="6D7D5006"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2014</w:t>
            </w:r>
          </w:p>
        </w:tc>
        <w:tc>
          <w:tcPr>
            <w:tcW w:w="567" w:type="dxa"/>
            <w:tcBorders>
              <w:top w:val="single" w:sz="4" w:space="0" w:color="auto"/>
              <w:left w:val="nil"/>
              <w:bottom w:val="single" w:sz="4" w:space="0" w:color="auto"/>
              <w:right w:val="nil"/>
            </w:tcBorders>
            <w:shd w:val="clear" w:color="000000" w:fill="F5DADD"/>
            <w:noWrap/>
            <w:vAlign w:val="center"/>
            <w:hideMark/>
          </w:tcPr>
          <w:p w14:paraId="7B73E8D1"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2015</w:t>
            </w:r>
          </w:p>
        </w:tc>
        <w:tc>
          <w:tcPr>
            <w:tcW w:w="567" w:type="dxa"/>
            <w:tcBorders>
              <w:top w:val="single" w:sz="4" w:space="0" w:color="auto"/>
              <w:left w:val="nil"/>
              <w:bottom w:val="single" w:sz="4" w:space="0" w:color="auto"/>
              <w:right w:val="nil"/>
            </w:tcBorders>
            <w:shd w:val="clear" w:color="000000" w:fill="F5DADD"/>
            <w:noWrap/>
            <w:vAlign w:val="center"/>
            <w:hideMark/>
          </w:tcPr>
          <w:p w14:paraId="28B796D5"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2016</w:t>
            </w:r>
          </w:p>
        </w:tc>
        <w:tc>
          <w:tcPr>
            <w:tcW w:w="567" w:type="dxa"/>
            <w:tcBorders>
              <w:top w:val="single" w:sz="4" w:space="0" w:color="auto"/>
              <w:left w:val="nil"/>
              <w:bottom w:val="single" w:sz="4" w:space="0" w:color="auto"/>
              <w:right w:val="nil"/>
            </w:tcBorders>
            <w:shd w:val="clear" w:color="000000" w:fill="F5DADD"/>
            <w:noWrap/>
            <w:vAlign w:val="center"/>
            <w:hideMark/>
          </w:tcPr>
          <w:p w14:paraId="26223B6D"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2017</w:t>
            </w:r>
          </w:p>
        </w:tc>
        <w:tc>
          <w:tcPr>
            <w:tcW w:w="567" w:type="dxa"/>
            <w:tcBorders>
              <w:top w:val="single" w:sz="4" w:space="0" w:color="auto"/>
              <w:left w:val="nil"/>
              <w:bottom w:val="single" w:sz="4" w:space="0" w:color="auto"/>
              <w:right w:val="nil"/>
            </w:tcBorders>
            <w:shd w:val="clear" w:color="000000" w:fill="F5DADD"/>
            <w:noWrap/>
            <w:vAlign w:val="center"/>
            <w:hideMark/>
          </w:tcPr>
          <w:p w14:paraId="0A4E9A78"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2018</w:t>
            </w:r>
          </w:p>
        </w:tc>
        <w:tc>
          <w:tcPr>
            <w:tcW w:w="567" w:type="dxa"/>
            <w:tcBorders>
              <w:top w:val="single" w:sz="4" w:space="0" w:color="auto"/>
              <w:left w:val="nil"/>
              <w:bottom w:val="single" w:sz="4" w:space="0" w:color="auto"/>
              <w:right w:val="nil"/>
            </w:tcBorders>
            <w:shd w:val="clear" w:color="000000" w:fill="F5DADD"/>
            <w:noWrap/>
            <w:vAlign w:val="center"/>
            <w:hideMark/>
          </w:tcPr>
          <w:p w14:paraId="0488A738"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2019</w:t>
            </w:r>
          </w:p>
        </w:tc>
        <w:tc>
          <w:tcPr>
            <w:tcW w:w="567" w:type="dxa"/>
            <w:tcBorders>
              <w:top w:val="single" w:sz="4" w:space="0" w:color="auto"/>
              <w:left w:val="nil"/>
              <w:bottom w:val="single" w:sz="4" w:space="0" w:color="auto"/>
              <w:right w:val="nil"/>
            </w:tcBorders>
            <w:shd w:val="clear" w:color="000000" w:fill="F5DADD"/>
            <w:noWrap/>
            <w:vAlign w:val="center"/>
            <w:hideMark/>
          </w:tcPr>
          <w:p w14:paraId="0983B69C"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2020</w:t>
            </w:r>
          </w:p>
        </w:tc>
        <w:tc>
          <w:tcPr>
            <w:tcW w:w="567" w:type="dxa"/>
            <w:tcBorders>
              <w:top w:val="single" w:sz="4" w:space="0" w:color="auto"/>
              <w:bottom w:val="single" w:sz="4" w:space="0" w:color="auto"/>
            </w:tcBorders>
            <w:shd w:val="clear" w:color="auto" w:fill="F5DADD"/>
            <w:vAlign w:val="center"/>
          </w:tcPr>
          <w:p w14:paraId="1D01390B" w14:textId="77777777" w:rsidR="00452914" w:rsidRPr="000F2639" w:rsidRDefault="00452914" w:rsidP="00452914">
            <w:pPr>
              <w:spacing w:after="0" w:line="240" w:lineRule="auto"/>
              <w:jc w:val="center"/>
            </w:pPr>
            <w:r w:rsidRPr="000F2639">
              <w:rPr>
                <w:rFonts w:cs="Arial"/>
                <w:color w:val="000000"/>
                <w:sz w:val="16"/>
                <w:szCs w:val="16"/>
              </w:rPr>
              <w:t>2021</w:t>
            </w:r>
          </w:p>
        </w:tc>
        <w:tc>
          <w:tcPr>
            <w:tcW w:w="567" w:type="dxa"/>
            <w:tcBorders>
              <w:top w:val="single" w:sz="4" w:space="0" w:color="auto"/>
              <w:bottom w:val="single" w:sz="4" w:space="0" w:color="auto"/>
            </w:tcBorders>
            <w:shd w:val="clear" w:color="auto" w:fill="F5DADD"/>
            <w:vAlign w:val="center"/>
          </w:tcPr>
          <w:p w14:paraId="52F62194" w14:textId="3BDB7D32"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2022</w:t>
            </w:r>
            <w:r>
              <w:rPr>
                <w:rFonts w:cs="Arial"/>
                <w:color w:val="000000"/>
                <w:sz w:val="16"/>
                <w:szCs w:val="16"/>
              </w:rPr>
              <w:t>*</w:t>
            </w:r>
          </w:p>
        </w:tc>
        <w:tc>
          <w:tcPr>
            <w:tcW w:w="567" w:type="dxa"/>
            <w:tcBorders>
              <w:top w:val="single" w:sz="4" w:space="0" w:color="auto"/>
              <w:bottom w:val="single" w:sz="4" w:space="0" w:color="auto"/>
            </w:tcBorders>
            <w:shd w:val="clear" w:color="auto" w:fill="F5DADD"/>
            <w:vAlign w:val="center"/>
          </w:tcPr>
          <w:p w14:paraId="58F6463D" w14:textId="6D51AA55" w:rsidR="00452914" w:rsidRPr="000F2639" w:rsidRDefault="00452914" w:rsidP="00452914">
            <w:pPr>
              <w:spacing w:after="0" w:line="240" w:lineRule="auto"/>
              <w:jc w:val="center"/>
              <w:rPr>
                <w:rFonts w:cs="Arial"/>
                <w:color w:val="000000"/>
                <w:sz w:val="16"/>
                <w:szCs w:val="16"/>
              </w:rPr>
            </w:pPr>
            <w:r>
              <w:rPr>
                <w:rFonts w:cs="Arial"/>
                <w:color w:val="000000"/>
                <w:sz w:val="16"/>
                <w:szCs w:val="16"/>
              </w:rPr>
              <w:t>2023</w:t>
            </w:r>
          </w:p>
        </w:tc>
      </w:tr>
      <w:tr w:rsidR="00452914" w:rsidRPr="000F2639" w14:paraId="05CD96AB" w14:textId="7AF189BE" w:rsidTr="00C609FE">
        <w:trPr>
          <w:trHeight w:val="300"/>
        </w:trPr>
        <w:tc>
          <w:tcPr>
            <w:tcW w:w="3401" w:type="dxa"/>
            <w:tcBorders>
              <w:top w:val="nil"/>
              <w:left w:val="nil"/>
              <w:bottom w:val="nil"/>
              <w:right w:val="single" w:sz="4" w:space="0" w:color="auto"/>
            </w:tcBorders>
            <w:shd w:val="clear" w:color="auto" w:fill="auto"/>
            <w:vAlign w:val="center"/>
            <w:hideMark/>
          </w:tcPr>
          <w:p w14:paraId="231FB900" w14:textId="77777777" w:rsidR="00452914" w:rsidRPr="000F2639" w:rsidRDefault="00452914" w:rsidP="00452914">
            <w:pPr>
              <w:spacing w:after="0" w:line="240" w:lineRule="auto"/>
              <w:rPr>
                <w:rFonts w:cs="Arial"/>
                <w:b/>
                <w:bCs/>
                <w:color w:val="000000"/>
                <w:sz w:val="16"/>
                <w:szCs w:val="16"/>
              </w:rPr>
            </w:pPr>
            <w:r w:rsidRPr="000F2639">
              <w:rPr>
                <w:rFonts w:cs="Arial"/>
                <w:b/>
                <w:bCs/>
                <w:color w:val="000000"/>
                <w:sz w:val="16"/>
                <w:szCs w:val="16"/>
              </w:rPr>
              <w:t>Celkem</w:t>
            </w:r>
          </w:p>
        </w:tc>
        <w:tc>
          <w:tcPr>
            <w:tcW w:w="567" w:type="dxa"/>
            <w:tcBorders>
              <w:top w:val="nil"/>
              <w:left w:val="nil"/>
              <w:bottom w:val="nil"/>
              <w:right w:val="nil"/>
            </w:tcBorders>
            <w:shd w:val="clear" w:color="auto" w:fill="auto"/>
            <w:noWrap/>
            <w:vAlign w:val="center"/>
            <w:hideMark/>
          </w:tcPr>
          <w:p w14:paraId="58DF5593" w14:textId="77777777" w:rsidR="00452914" w:rsidRPr="000F2639" w:rsidRDefault="00452914" w:rsidP="00452914">
            <w:pPr>
              <w:spacing w:after="0" w:line="240" w:lineRule="auto"/>
              <w:jc w:val="center"/>
              <w:rPr>
                <w:rFonts w:cs="Arial"/>
                <w:b/>
                <w:bCs/>
                <w:color w:val="000000"/>
                <w:sz w:val="16"/>
                <w:szCs w:val="16"/>
              </w:rPr>
            </w:pPr>
            <w:r w:rsidRPr="000F2639">
              <w:rPr>
                <w:rFonts w:cs="Arial"/>
                <w:b/>
                <w:bCs/>
                <w:color w:val="000000"/>
                <w:sz w:val="16"/>
                <w:szCs w:val="16"/>
              </w:rPr>
              <w:t>3,6</w:t>
            </w:r>
          </w:p>
        </w:tc>
        <w:tc>
          <w:tcPr>
            <w:tcW w:w="567" w:type="dxa"/>
            <w:tcBorders>
              <w:top w:val="nil"/>
              <w:left w:val="nil"/>
              <w:bottom w:val="nil"/>
              <w:right w:val="nil"/>
            </w:tcBorders>
            <w:shd w:val="clear" w:color="auto" w:fill="auto"/>
            <w:noWrap/>
            <w:vAlign w:val="center"/>
            <w:hideMark/>
          </w:tcPr>
          <w:p w14:paraId="0AE2DC2C" w14:textId="77777777" w:rsidR="00452914" w:rsidRPr="000F2639" w:rsidRDefault="00452914" w:rsidP="00452914">
            <w:pPr>
              <w:spacing w:after="0" w:line="240" w:lineRule="auto"/>
              <w:jc w:val="center"/>
              <w:rPr>
                <w:rFonts w:cs="Arial"/>
                <w:b/>
                <w:bCs/>
                <w:color w:val="000000"/>
                <w:sz w:val="16"/>
                <w:szCs w:val="16"/>
              </w:rPr>
            </w:pPr>
            <w:r w:rsidRPr="000F2639">
              <w:rPr>
                <w:rFonts w:cs="Arial"/>
                <w:b/>
                <w:bCs/>
                <w:color w:val="000000"/>
                <w:sz w:val="16"/>
                <w:szCs w:val="16"/>
              </w:rPr>
              <w:t>3,7</w:t>
            </w:r>
          </w:p>
        </w:tc>
        <w:tc>
          <w:tcPr>
            <w:tcW w:w="567" w:type="dxa"/>
            <w:tcBorders>
              <w:top w:val="nil"/>
              <w:left w:val="nil"/>
              <w:bottom w:val="nil"/>
              <w:right w:val="nil"/>
            </w:tcBorders>
            <w:shd w:val="clear" w:color="auto" w:fill="auto"/>
            <w:noWrap/>
            <w:vAlign w:val="center"/>
            <w:hideMark/>
          </w:tcPr>
          <w:p w14:paraId="3C252973" w14:textId="77777777" w:rsidR="00452914" w:rsidRPr="000F2639" w:rsidRDefault="00452914" w:rsidP="00452914">
            <w:pPr>
              <w:spacing w:after="0" w:line="240" w:lineRule="auto"/>
              <w:jc w:val="center"/>
              <w:rPr>
                <w:rFonts w:cs="Arial"/>
                <w:b/>
                <w:bCs/>
                <w:color w:val="000000"/>
                <w:sz w:val="16"/>
                <w:szCs w:val="16"/>
              </w:rPr>
            </w:pPr>
            <w:r w:rsidRPr="000F2639">
              <w:rPr>
                <w:rFonts w:cs="Arial"/>
                <w:b/>
                <w:bCs/>
                <w:color w:val="000000"/>
                <w:sz w:val="16"/>
                <w:szCs w:val="16"/>
              </w:rPr>
              <w:t>4,1</w:t>
            </w:r>
          </w:p>
        </w:tc>
        <w:tc>
          <w:tcPr>
            <w:tcW w:w="567" w:type="dxa"/>
            <w:tcBorders>
              <w:top w:val="nil"/>
              <w:left w:val="nil"/>
              <w:bottom w:val="nil"/>
              <w:right w:val="nil"/>
            </w:tcBorders>
            <w:shd w:val="clear" w:color="auto" w:fill="auto"/>
            <w:noWrap/>
            <w:vAlign w:val="center"/>
            <w:hideMark/>
          </w:tcPr>
          <w:p w14:paraId="78B3F3B8" w14:textId="77777777" w:rsidR="00452914" w:rsidRPr="000F2639" w:rsidRDefault="00452914" w:rsidP="00452914">
            <w:pPr>
              <w:spacing w:after="0" w:line="240" w:lineRule="auto"/>
              <w:jc w:val="center"/>
              <w:rPr>
                <w:rFonts w:cs="Arial"/>
                <w:b/>
                <w:bCs/>
                <w:color w:val="000000"/>
                <w:sz w:val="16"/>
                <w:szCs w:val="16"/>
              </w:rPr>
            </w:pPr>
            <w:r w:rsidRPr="000F2639">
              <w:rPr>
                <w:rFonts w:cs="Arial"/>
                <w:b/>
                <w:bCs/>
                <w:color w:val="000000"/>
                <w:sz w:val="16"/>
                <w:szCs w:val="16"/>
              </w:rPr>
              <w:t>4,2</w:t>
            </w:r>
          </w:p>
        </w:tc>
        <w:tc>
          <w:tcPr>
            <w:tcW w:w="567" w:type="dxa"/>
            <w:tcBorders>
              <w:top w:val="nil"/>
              <w:left w:val="nil"/>
              <w:bottom w:val="nil"/>
              <w:right w:val="nil"/>
            </w:tcBorders>
            <w:shd w:val="clear" w:color="auto" w:fill="auto"/>
            <w:noWrap/>
            <w:vAlign w:val="center"/>
            <w:hideMark/>
          </w:tcPr>
          <w:p w14:paraId="2A99DCF8" w14:textId="77777777" w:rsidR="00452914" w:rsidRPr="000F2639" w:rsidRDefault="00452914" w:rsidP="00452914">
            <w:pPr>
              <w:spacing w:after="0" w:line="240" w:lineRule="auto"/>
              <w:jc w:val="center"/>
              <w:rPr>
                <w:rFonts w:cs="Arial"/>
                <w:b/>
                <w:bCs/>
                <w:color w:val="000000"/>
                <w:sz w:val="16"/>
                <w:szCs w:val="16"/>
              </w:rPr>
            </w:pPr>
            <w:r w:rsidRPr="000F2639">
              <w:rPr>
                <w:rFonts w:cs="Arial"/>
                <w:b/>
                <w:bCs/>
                <w:color w:val="000000"/>
                <w:sz w:val="16"/>
                <w:szCs w:val="16"/>
              </w:rPr>
              <w:t>4,3</w:t>
            </w:r>
          </w:p>
        </w:tc>
        <w:tc>
          <w:tcPr>
            <w:tcW w:w="567" w:type="dxa"/>
            <w:tcBorders>
              <w:top w:val="nil"/>
              <w:left w:val="nil"/>
              <w:bottom w:val="nil"/>
              <w:right w:val="nil"/>
            </w:tcBorders>
            <w:shd w:val="clear" w:color="auto" w:fill="auto"/>
            <w:noWrap/>
            <w:vAlign w:val="center"/>
            <w:hideMark/>
          </w:tcPr>
          <w:p w14:paraId="6BBEEB23" w14:textId="77777777" w:rsidR="00452914" w:rsidRPr="000F2639" w:rsidRDefault="00452914" w:rsidP="00452914">
            <w:pPr>
              <w:spacing w:after="0" w:line="240" w:lineRule="auto"/>
              <w:jc w:val="center"/>
              <w:rPr>
                <w:rFonts w:cs="Arial"/>
                <w:b/>
                <w:bCs/>
                <w:color w:val="000000"/>
                <w:sz w:val="16"/>
                <w:szCs w:val="16"/>
              </w:rPr>
            </w:pPr>
            <w:r w:rsidRPr="000F2639">
              <w:rPr>
                <w:rFonts w:cs="Arial"/>
                <w:b/>
                <w:bCs/>
                <w:color w:val="000000"/>
                <w:sz w:val="16"/>
                <w:szCs w:val="16"/>
              </w:rPr>
              <w:t>4,5</w:t>
            </w:r>
          </w:p>
        </w:tc>
        <w:tc>
          <w:tcPr>
            <w:tcW w:w="567" w:type="dxa"/>
            <w:tcBorders>
              <w:top w:val="nil"/>
              <w:left w:val="nil"/>
              <w:bottom w:val="nil"/>
              <w:right w:val="nil"/>
            </w:tcBorders>
            <w:shd w:val="clear" w:color="auto" w:fill="auto"/>
            <w:noWrap/>
            <w:vAlign w:val="center"/>
            <w:hideMark/>
          </w:tcPr>
          <w:p w14:paraId="164F7DC7" w14:textId="77777777" w:rsidR="00452914" w:rsidRPr="000F2639" w:rsidRDefault="00452914" w:rsidP="00452914">
            <w:pPr>
              <w:spacing w:after="0" w:line="240" w:lineRule="auto"/>
              <w:jc w:val="center"/>
              <w:rPr>
                <w:rFonts w:cs="Arial"/>
                <w:b/>
                <w:bCs/>
                <w:color w:val="000000"/>
                <w:sz w:val="16"/>
                <w:szCs w:val="16"/>
              </w:rPr>
            </w:pPr>
            <w:r w:rsidRPr="000F2639">
              <w:rPr>
                <w:rFonts w:cs="Arial"/>
                <w:b/>
                <w:bCs/>
                <w:color w:val="000000"/>
                <w:sz w:val="16"/>
                <w:szCs w:val="16"/>
              </w:rPr>
              <w:t>4,7</w:t>
            </w:r>
          </w:p>
        </w:tc>
        <w:tc>
          <w:tcPr>
            <w:tcW w:w="567" w:type="dxa"/>
            <w:tcBorders>
              <w:top w:val="nil"/>
              <w:left w:val="nil"/>
              <w:bottom w:val="nil"/>
              <w:right w:val="nil"/>
            </w:tcBorders>
            <w:shd w:val="clear" w:color="auto" w:fill="auto"/>
            <w:noWrap/>
            <w:vAlign w:val="center"/>
            <w:hideMark/>
          </w:tcPr>
          <w:p w14:paraId="0298E9AD" w14:textId="77777777" w:rsidR="00452914" w:rsidRPr="000F2639" w:rsidRDefault="00452914" w:rsidP="00452914">
            <w:pPr>
              <w:spacing w:after="0" w:line="240" w:lineRule="auto"/>
              <w:jc w:val="center"/>
              <w:rPr>
                <w:rFonts w:cs="Arial"/>
                <w:b/>
                <w:bCs/>
                <w:color w:val="000000"/>
                <w:sz w:val="16"/>
                <w:szCs w:val="16"/>
              </w:rPr>
            </w:pPr>
            <w:r w:rsidRPr="000F2639">
              <w:rPr>
                <w:rFonts w:cs="Arial"/>
                <w:b/>
                <w:bCs/>
                <w:color w:val="000000"/>
                <w:sz w:val="16"/>
                <w:szCs w:val="16"/>
              </w:rPr>
              <w:t>5,5</w:t>
            </w:r>
          </w:p>
        </w:tc>
        <w:tc>
          <w:tcPr>
            <w:tcW w:w="567" w:type="dxa"/>
            <w:tcBorders>
              <w:top w:val="single" w:sz="4" w:space="0" w:color="auto"/>
            </w:tcBorders>
            <w:vAlign w:val="center"/>
          </w:tcPr>
          <w:p w14:paraId="3F495608" w14:textId="77777777" w:rsidR="00452914" w:rsidRPr="000F2639" w:rsidRDefault="00452914" w:rsidP="00452914">
            <w:pPr>
              <w:spacing w:after="0" w:line="240" w:lineRule="auto"/>
              <w:jc w:val="center"/>
            </w:pPr>
            <w:r w:rsidRPr="000F2639">
              <w:rPr>
                <w:rFonts w:cs="Arial"/>
                <w:b/>
                <w:bCs/>
                <w:color w:val="000000"/>
                <w:sz w:val="16"/>
                <w:szCs w:val="16"/>
              </w:rPr>
              <w:t>5,5</w:t>
            </w:r>
          </w:p>
        </w:tc>
        <w:tc>
          <w:tcPr>
            <w:tcW w:w="567" w:type="dxa"/>
            <w:tcBorders>
              <w:top w:val="single" w:sz="4" w:space="0" w:color="auto"/>
            </w:tcBorders>
            <w:vAlign w:val="center"/>
          </w:tcPr>
          <w:p w14:paraId="7B7655FC" w14:textId="77777777" w:rsidR="00452914" w:rsidRPr="000F2639" w:rsidRDefault="00452914" w:rsidP="00452914">
            <w:pPr>
              <w:spacing w:after="0" w:line="240" w:lineRule="auto"/>
              <w:jc w:val="center"/>
              <w:rPr>
                <w:rFonts w:cs="Arial"/>
                <w:b/>
                <w:bCs/>
                <w:color w:val="000000"/>
                <w:sz w:val="16"/>
                <w:szCs w:val="16"/>
              </w:rPr>
            </w:pPr>
            <w:r>
              <w:rPr>
                <w:rFonts w:cs="Arial"/>
                <w:b/>
                <w:bCs/>
                <w:color w:val="000000"/>
                <w:sz w:val="16"/>
                <w:szCs w:val="16"/>
              </w:rPr>
              <w:t>5,3</w:t>
            </w:r>
          </w:p>
        </w:tc>
        <w:tc>
          <w:tcPr>
            <w:tcW w:w="567" w:type="dxa"/>
            <w:tcBorders>
              <w:top w:val="single" w:sz="4" w:space="0" w:color="auto"/>
            </w:tcBorders>
            <w:vAlign w:val="center"/>
          </w:tcPr>
          <w:p w14:paraId="1F3E3A55" w14:textId="71006228" w:rsidR="00452914" w:rsidRDefault="00452914" w:rsidP="00452914">
            <w:pPr>
              <w:spacing w:after="0" w:line="240" w:lineRule="auto"/>
              <w:jc w:val="center"/>
              <w:rPr>
                <w:rFonts w:cs="Arial"/>
                <w:b/>
                <w:bCs/>
                <w:color w:val="000000"/>
                <w:sz w:val="16"/>
                <w:szCs w:val="16"/>
              </w:rPr>
            </w:pPr>
            <w:r>
              <w:rPr>
                <w:rFonts w:cs="Arial"/>
                <w:b/>
                <w:bCs/>
                <w:color w:val="000000"/>
                <w:sz w:val="16"/>
                <w:szCs w:val="16"/>
              </w:rPr>
              <w:t>4,6</w:t>
            </w:r>
          </w:p>
        </w:tc>
      </w:tr>
      <w:tr w:rsidR="00452914" w:rsidRPr="000F2639" w14:paraId="21016721" w14:textId="31508F8B" w:rsidTr="00C609FE">
        <w:trPr>
          <w:trHeight w:val="300"/>
        </w:trPr>
        <w:tc>
          <w:tcPr>
            <w:tcW w:w="3401" w:type="dxa"/>
            <w:tcBorders>
              <w:top w:val="nil"/>
              <w:left w:val="nil"/>
              <w:bottom w:val="nil"/>
              <w:right w:val="single" w:sz="4" w:space="0" w:color="auto"/>
            </w:tcBorders>
            <w:shd w:val="clear" w:color="auto" w:fill="auto"/>
            <w:vAlign w:val="center"/>
            <w:hideMark/>
          </w:tcPr>
          <w:p w14:paraId="3B19C3D0" w14:textId="77777777" w:rsidR="00452914" w:rsidRPr="000F2639" w:rsidRDefault="00452914" w:rsidP="00452914">
            <w:pPr>
              <w:spacing w:after="0" w:line="240" w:lineRule="auto"/>
              <w:ind w:firstLineChars="100" w:firstLine="160"/>
              <w:rPr>
                <w:rFonts w:cs="Arial"/>
                <w:color w:val="000000"/>
                <w:sz w:val="16"/>
                <w:szCs w:val="16"/>
              </w:rPr>
            </w:pPr>
            <w:r w:rsidRPr="000F2639">
              <w:rPr>
                <w:rFonts w:cs="Arial"/>
                <w:color w:val="000000"/>
                <w:sz w:val="16"/>
                <w:szCs w:val="16"/>
              </w:rPr>
              <w:t>A – Zemědělství, lesnictví a rybářství</w:t>
            </w:r>
          </w:p>
        </w:tc>
        <w:tc>
          <w:tcPr>
            <w:tcW w:w="567" w:type="dxa"/>
            <w:tcBorders>
              <w:top w:val="nil"/>
              <w:left w:val="nil"/>
              <w:bottom w:val="nil"/>
              <w:right w:val="nil"/>
            </w:tcBorders>
            <w:shd w:val="clear" w:color="auto" w:fill="auto"/>
            <w:noWrap/>
            <w:vAlign w:val="center"/>
            <w:hideMark/>
          </w:tcPr>
          <w:p w14:paraId="6862F71E"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4,4</w:t>
            </w:r>
          </w:p>
        </w:tc>
        <w:tc>
          <w:tcPr>
            <w:tcW w:w="567" w:type="dxa"/>
            <w:tcBorders>
              <w:top w:val="nil"/>
              <w:left w:val="nil"/>
              <w:bottom w:val="nil"/>
              <w:right w:val="nil"/>
            </w:tcBorders>
            <w:shd w:val="clear" w:color="auto" w:fill="auto"/>
            <w:noWrap/>
            <w:vAlign w:val="center"/>
            <w:hideMark/>
          </w:tcPr>
          <w:p w14:paraId="37AF3648"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4,4</w:t>
            </w:r>
          </w:p>
        </w:tc>
        <w:tc>
          <w:tcPr>
            <w:tcW w:w="567" w:type="dxa"/>
            <w:tcBorders>
              <w:top w:val="nil"/>
              <w:left w:val="nil"/>
              <w:bottom w:val="nil"/>
              <w:right w:val="nil"/>
            </w:tcBorders>
            <w:shd w:val="clear" w:color="auto" w:fill="auto"/>
            <w:noWrap/>
            <w:vAlign w:val="center"/>
            <w:hideMark/>
          </w:tcPr>
          <w:p w14:paraId="57C22FB6"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4,8</w:t>
            </w:r>
          </w:p>
        </w:tc>
        <w:tc>
          <w:tcPr>
            <w:tcW w:w="567" w:type="dxa"/>
            <w:tcBorders>
              <w:top w:val="nil"/>
              <w:left w:val="nil"/>
              <w:bottom w:val="nil"/>
              <w:right w:val="nil"/>
            </w:tcBorders>
            <w:shd w:val="clear" w:color="auto" w:fill="auto"/>
            <w:noWrap/>
            <w:vAlign w:val="center"/>
            <w:hideMark/>
          </w:tcPr>
          <w:p w14:paraId="4FAD44DD"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5,0</w:t>
            </w:r>
          </w:p>
        </w:tc>
        <w:tc>
          <w:tcPr>
            <w:tcW w:w="567" w:type="dxa"/>
            <w:tcBorders>
              <w:top w:val="nil"/>
              <w:left w:val="nil"/>
              <w:bottom w:val="nil"/>
              <w:right w:val="nil"/>
            </w:tcBorders>
            <w:shd w:val="clear" w:color="auto" w:fill="auto"/>
            <w:noWrap/>
            <w:vAlign w:val="center"/>
            <w:hideMark/>
          </w:tcPr>
          <w:p w14:paraId="4537B3C4"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5,1</w:t>
            </w:r>
          </w:p>
        </w:tc>
        <w:tc>
          <w:tcPr>
            <w:tcW w:w="567" w:type="dxa"/>
            <w:tcBorders>
              <w:top w:val="nil"/>
              <w:left w:val="nil"/>
              <w:bottom w:val="nil"/>
              <w:right w:val="nil"/>
            </w:tcBorders>
            <w:shd w:val="clear" w:color="auto" w:fill="auto"/>
            <w:noWrap/>
            <w:vAlign w:val="center"/>
            <w:hideMark/>
          </w:tcPr>
          <w:p w14:paraId="04F84C1C"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5,3</w:t>
            </w:r>
          </w:p>
        </w:tc>
        <w:tc>
          <w:tcPr>
            <w:tcW w:w="567" w:type="dxa"/>
            <w:tcBorders>
              <w:top w:val="nil"/>
              <w:left w:val="nil"/>
              <w:bottom w:val="nil"/>
              <w:right w:val="nil"/>
            </w:tcBorders>
            <w:shd w:val="clear" w:color="auto" w:fill="auto"/>
            <w:noWrap/>
            <w:vAlign w:val="center"/>
            <w:hideMark/>
          </w:tcPr>
          <w:p w14:paraId="448C82D9"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5,4</w:t>
            </w:r>
          </w:p>
        </w:tc>
        <w:tc>
          <w:tcPr>
            <w:tcW w:w="567" w:type="dxa"/>
            <w:tcBorders>
              <w:top w:val="nil"/>
              <w:left w:val="nil"/>
              <w:bottom w:val="nil"/>
              <w:right w:val="nil"/>
            </w:tcBorders>
            <w:shd w:val="clear" w:color="auto" w:fill="auto"/>
            <w:noWrap/>
            <w:vAlign w:val="center"/>
            <w:hideMark/>
          </w:tcPr>
          <w:p w14:paraId="5D848CE8"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5,8</w:t>
            </w:r>
          </w:p>
        </w:tc>
        <w:tc>
          <w:tcPr>
            <w:tcW w:w="567" w:type="dxa"/>
            <w:vAlign w:val="center"/>
          </w:tcPr>
          <w:p w14:paraId="411E8476" w14:textId="77777777" w:rsidR="00452914" w:rsidRPr="000F2639" w:rsidRDefault="00452914" w:rsidP="00452914">
            <w:pPr>
              <w:spacing w:after="0" w:line="240" w:lineRule="auto"/>
              <w:jc w:val="center"/>
            </w:pPr>
            <w:r w:rsidRPr="000F2639">
              <w:rPr>
                <w:rFonts w:cs="Arial"/>
                <w:color w:val="000000"/>
                <w:sz w:val="16"/>
                <w:szCs w:val="16"/>
              </w:rPr>
              <w:t>6,3</w:t>
            </w:r>
          </w:p>
        </w:tc>
        <w:tc>
          <w:tcPr>
            <w:tcW w:w="567" w:type="dxa"/>
            <w:vAlign w:val="center"/>
          </w:tcPr>
          <w:p w14:paraId="4ACC7716" w14:textId="77777777" w:rsidR="00452914" w:rsidRPr="000F2639" w:rsidRDefault="00452914" w:rsidP="00452914">
            <w:pPr>
              <w:spacing w:after="0" w:line="240" w:lineRule="auto"/>
              <w:jc w:val="center"/>
              <w:rPr>
                <w:rFonts w:cs="Arial"/>
                <w:color w:val="000000"/>
                <w:sz w:val="16"/>
                <w:szCs w:val="16"/>
              </w:rPr>
            </w:pPr>
            <w:r>
              <w:rPr>
                <w:rFonts w:cs="Arial"/>
                <w:color w:val="000000"/>
                <w:sz w:val="16"/>
                <w:szCs w:val="16"/>
              </w:rPr>
              <w:t>5,9</w:t>
            </w:r>
          </w:p>
        </w:tc>
        <w:tc>
          <w:tcPr>
            <w:tcW w:w="567" w:type="dxa"/>
            <w:vAlign w:val="center"/>
          </w:tcPr>
          <w:p w14:paraId="7A9F97F7" w14:textId="36C28C4C" w:rsidR="00452914" w:rsidRDefault="00452914" w:rsidP="00452914">
            <w:pPr>
              <w:spacing w:after="0" w:line="240" w:lineRule="auto"/>
              <w:jc w:val="center"/>
              <w:rPr>
                <w:rFonts w:cs="Arial"/>
                <w:color w:val="000000"/>
                <w:sz w:val="16"/>
                <w:szCs w:val="16"/>
              </w:rPr>
            </w:pPr>
            <w:r>
              <w:rPr>
                <w:rFonts w:cs="Arial"/>
                <w:color w:val="000000"/>
                <w:sz w:val="16"/>
                <w:szCs w:val="16"/>
              </w:rPr>
              <w:t>5,2</w:t>
            </w:r>
          </w:p>
        </w:tc>
      </w:tr>
      <w:tr w:rsidR="00452914" w:rsidRPr="000F2639" w14:paraId="6A792CAE" w14:textId="5795E214" w:rsidTr="00C609FE">
        <w:trPr>
          <w:trHeight w:val="300"/>
        </w:trPr>
        <w:tc>
          <w:tcPr>
            <w:tcW w:w="3401" w:type="dxa"/>
            <w:tcBorders>
              <w:top w:val="nil"/>
              <w:left w:val="nil"/>
              <w:bottom w:val="nil"/>
              <w:right w:val="single" w:sz="4" w:space="0" w:color="auto"/>
            </w:tcBorders>
            <w:shd w:val="clear" w:color="auto" w:fill="auto"/>
            <w:vAlign w:val="center"/>
            <w:hideMark/>
          </w:tcPr>
          <w:p w14:paraId="4DDE1230" w14:textId="77777777" w:rsidR="00452914" w:rsidRPr="000F2639" w:rsidRDefault="00452914" w:rsidP="00452914">
            <w:pPr>
              <w:spacing w:after="0" w:line="240" w:lineRule="auto"/>
              <w:ind w:firstLineChars="100" w:firstLine="160"/>
              <w:rPr>
                <w:rFonts w:cs="Arial"/>
                <w:color w:val="000000"/>
                <w:sz w:val="16"/>
                <w:szCs w:val="16"/>
              </w:rPr>
            </w:pPr>
            <w:r w:rsidRPr="000F2639">
              <w:rPr>
                <w:rFonts w:cs="Arial"/>
                <w:color w:val="000000"/>
                <w:sz w:val="16"/>
                <w:szCs w:val="16"/>
              </w:rPr>
              <w:t>B – Těžba a dobývání</w:t>
            </w:r>
          </w:p>
        </w:tc>
        <w:tc>
          <w:tcPr>
            <w:tcW w:w="567" w:type="dxa"/>
            <w:tcBorders>
              <w:top w:val="nil"/>
              <w:left w:val="nil"/>
              <w:bottom w:val="nil"/>
              <w:right w:val="nil"/>
            </w:tcBorders>
            <w:shd w:val="clear" w:color="auto" w:fill="auto"/>
            <w:noWrap/>
            <w:vAlign w:val="center"/>
            <w:hideMark/>
          </w:tcPr>
          <w:p w14:paraId="6F73D8CA"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4,8</w:t>
            </w:r>
          </w:p>
        </w:tc>
        <w:tc>
          <w:tcPr>
            <w:tcW w:w="567" w:type="dxa"/>
            <w:tcBorders>
              <w:top w:val="nil"/>
              <w:left w:val="nil"/>
              <w:bottom w:val="nil"/>
              <w:right w:val="nil"/>
            </w:tcBorders>
            <w:shd w:val="clear" w:color="auto" w:fill="auto"/>
            <w:noWrap/>
            <w:vAlign w:val="center"/>
            <w:hideMark/>
          </w:tcPr>
          <w:p w14:paraId="4A50BA96"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4,7</w:t>
            </w:r>
          </w:p>
        </w:tc>
        <w:tc>
          <w:tcPr>
            <w:tcW w:w="567" w:type="dxa"/>
            <w:tcBorders>
              <w:top w:val="nil"/>
              <w:left w:val="nil"/>
              <w:bottom w:val="nil"/>
              <w:right w:val="nil"/>
            </w:tcBorders>
            <w:shd w:val="clear" w:color="auto" w:fill="auto"/>
            <w:noWrap/>
            <w:vAlign w:val="center"/>
            <w:hideMark/>
          </w:tcPr>
          <w:p w14:paraId="1612FA6A"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4,9</w:t>
            </w:r>
          </w:p>
        </w:tc>
        <w:tc>
          <w:tcPr>
            <w:tcW w:w="567" w:type="dxa"/>
            <w:tcBorders>
              <w:top w:val="nil"/>
              <w:left w:val="nil"/>
              <w:bottom w:val="nil"/>
              <w:right w:val="nil"/>
            </w:tcBorders>
            <w:shd w:val="clear" w:color="auto" w:fill="auto"/>
            <w:noWrap/>
            <w:vAlign w:val="center"/>
            <w:hideMark/>
          </w:tcPr>
          <w:p w14:paraId="711D79E4"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5,8</w:t>
            </w:r>
          </w:p>
        </w:tc>
        <w:tc>
          <w:tcPr>
            <w:tcW w:w="567" w:type="dxa"/>
            <w:tcBorders>
              <w:top w:val="nil"/>
              <w:left w:val="nil"/>
              <w:bottom w:val="nil"/>
              <w:right w:val="nil"/>
            </w:tcBorders>
            <w:shd w:val="clear" w:color="auto" w:fill="auto"/>
            <w:noWrap/>
            <w:vAlign w:val="center"/>
            <w:hideMark/>
          </w:tcPr>
          <w:p w14:paraId="12DA0150"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6,0</w:t>
            </w:r>
          </w:p>
        </w:tc>
        <w:tc>
          <w:tcPr>
            <w:tcW w:w="567" w:type="dxa"/>
            <w:tcBorders>
              <w:top w:val="nil"/>
              <w:left w:val="nil"/>
              <w:bottom w:val="nil"/>
              <w:right w:val="nil"/>
            </w:tcBorders>
            <w:shd w:val="clear" w:color="auto" w:fill="auto"/>
            <w:noWrap/>
            <w:vAlign w:val="center"/>
            <w:hideMark/>
          </w:tcPr>
          <w:p w14:paraId="507119AD"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5,6</w:t>
            </w:r>
          </w:p>
        </w:tc>
        <w:tc>
          <w:tcPr>
            <w:tcW w:w="567" w:type="dxa"/>
            <w:tcBorders>
              <w:top w:val="nil"/>
              <w:left w:val="nil"/>
              <w:bottom w:val="nil"/>
              <w:right w:val="nil"/>
            </w:tcBorders>
            <w:shd w:val="clear" w:color="auto" w:fill="auto"/>
            <w:noWrap/>
            <w:vAlign w:val="center"/>
            <w:hideMark/>
          </w:tcPr>
          <w:p w14:paraId="1DF2E3DB"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6,0</w:t>
            </w:r>
          </w:p>
        </w:tc>
        <w:tc>
          <w:tcPr>
            <w:tcW w:w="567" w:type="dxa"/>
            <w:tcBorders>
              <w:top w:val="nil"/>
              <w:left w:val="nil"/>
              <w:bottom w:val="nil"/>
              <w:right w:val="nil"/>
            </w:tcBorders>
            <w:shd w:val="clear" w:color="auto" w:fill="auto"/>
            <w:noWrap/>
            <w:vAlign w:val="center"/>
            <w:hideMark/>
          </w:tcPr>
          <w:p w14:paraId="0A1C1284"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7,9</w:t>
            </w:r>
          </w:p>
        </w:tc>
        <w:tc>
          <w:tcPr>
            <w:tcW w:w="567" w:type="dxa"/>
            <w:vAlign w:val="center"/>
          </w:tcPr>
          <w:p w14:paraId="71FF1024" w14:textId="77777777" w:rsidR="00452914" w:rsidRPr="000F2639" w:rsidRDefault="00452914" w:rsidP="00452914">
            <w:pPr>
              <w:spacing w:after="0" w:line="240" w:lineRule="auto"/>
              <w:jc w:val="center"/>
            </w:pPr>
            <w:r w:rsidRPr="000F2639">
              <w:rPr>
                <w:rFonts w:cs="Arial"/>
                <w:color w:val="000000"/>
                <w:sz w:val="16"/>
                <w:szCs w:val="16"/>
              </w:rPr>
              <w:t>7,9</w:t>
            </w:r>
          </w:p>
        </w:tc>
        <w:tc>
          <w:tcPr>
            <w:tcW w:w="567" w:type="dxa"/>
            <w:vAlign w:val="center"/>
          </w:tcPr>
          <w:p w14:paraId="611B2C23" w14:textId="77777777" w:rsidR="00452914" w:rsidRPr="000F2639" w:rsidRDefault="00452914" w:rsidP="00452914">
            <w:pPr>
              <w:spacing w:after="0" w:line="240" w:lineRule="auto"/>
              <w:jc w:val="center"/>
              <w:rPr>
                <w:rFonts w:cs="Arial"/>
                <w:color w:val="000000"/>
                <w:sz w:val="16"/>
                <w:szCs w:val="16"/>
              </w:rPr>
            </w:pPr>
            <w:r>
              <w:rPr>
                <w:rFonts w:cs="Arial"/>
                <w:color w:val="000000"/>
                <w:sz w:val="16"/>
                <w:szCs w:val="16"/>
              </w:rPr>
              <w:t>6,6</w:t>
            </w:r>
          </w:p>
        </w:tc>
        <w:tc>
          <w:tcPr>
            <w:tcW w:w="567" w:type="dxa"/>
            <w:vAlign w:val="center"/>
          </w:tcPr>
          <w:p w14:paraId="2C0F0324" w14:textId="608D0B83" w:rsidR="00452914" w:rsidRDefault="00452914" w:rsidP="00452914">
            <w:pPr>
              <w:spacing w:after="0" w:line="240" w:lineRule="auto"/>
              <w:jc w:val="center"/>
              <w:rPr>
                <w:rFonts w:cs="Arial"/>
                <w:color w:val="000000"/>
                <w:sz w:val="16"/>
                <w:szCs w:val="16"/>
              </w:rPr>
            </w:pPr>
            <w:r>
              <w:rPr>
                <w:rFonts w:cs="Arial"/>
                <w:color w:val="000000"/>
                <w:sz w:val="16"/>
                <w:szCs w:val="16"/>
              </w:rPr>
              <w:t>5,7</w:t>
            </w:r>
          </w:p>
        </w:tc>
      </w:tr>
      <w:tr w:rsidR="00452914" w:rsidRPr="000F2639" w14:paraId="5DEABBE7" w14:textId="56F848CE" w:rsidTr="00C609FE">
        <w:trPr>
          <w:trHeight w:val="300"/>
        </w:trPr>
        <w:tc>
          <w:tcPr>
            <w:tcW w:w="3401" w:type="dxa"/>
            <w:tcBorders>
              <w:top w:val="nil"/>
              <w:left w:val="nil"/>
              <w:bottom w:val="nil"/>
              <w:right w:val="single" w:sz="4" w:space="0" w:color="auto"/>
            </w:tcBorders>
            <w:shd w:val="clear" w:color="auto" w:fill="auto"/>
            <w:vAlign w:val="center"/>
            <w:hideMark/>
          </w:tcPr>
          <w:p w14:paraId="45B3F39D" w14:textId="77777777" w:rsidR="00452914" w:rsidRPr="000F2639" w:rsidRDefault="00452914" w:rsidP="00452914">
            <w:pPr>
              <w:spacing w:after="0" w:line="240" w:lineRule="auto"/>
              <w:ind w:firstLineChars="100" w:firstLine="160"/>
              <w:rPr>
                <w:rFonts w:cs="Arial"/>
                <w:color w:val="000000"/>
                <w:sz w:val="16"/>
                <w:szCs w:val="16"/>
              </w:rPr>
            </w:pPr>
            <w:r w:rsidRPr="000F2639">
              <w:rPr>
                <w:rFonts w:cs="Arial"/>
                <w:color w:val="000000"/>
                <w:sz w:val="16"/>
                <w:szCs w:val="16"/>
              </w:rPr>
              <w:t>C – Zpracovatelský průmysl</w:t>
            </w:r>
          </w:p>
        </w:tc>
        <w:tc>
          <w:tcPr>
            <w:tcW w:w="567" w:type="dxa"/>
            <w:tcBorders>
              <w:top w:val="nil"/>
              <w:left w:val="nil"/>
              <w:bottom w:val="nil"/>
              <w:right w:val="nil"/>
            </w:tcBorders>
            <w:shd w:val="clear" w:color="auto" w:fill="auto"/>
            <w:noWrap/>
            <w:vAlign w:val="center"/>
            <w:hideMark/>
          </w:tcPr>
          <w:p w14:paraId="41A073AA"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4,5</w:t>
            </w:r>
          </w:p>
        </w:tc>
        <w:tc>
          <w:tcPr>
            <w:tcW w:w="567" w:type="dxa"/>
            <w:tcBorders>
              <w:top w:val="nil"/>
              <w:left w:val="nil"/>
              <w:bottom w:val="nil"/>
              <w:right w:val="nil"/>
            </w:tcBorders>
            <w:shd w:val="clear" w:color="auto" w:fill="auto"/>
            <w:noWrap/>
            <w:vAlign w:val="center"/>
            <w:hideMark/>
          </w:tcPr>
          <w:p w14:paraId="43821D72"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4,6</w:t>
            </w:r>
          </w:p>
        </w:tc>
        <w:tc>
          <w:tcPr>
            <w:tcW w:w="567" w:type="dxa"/>
            <w:tcBorders>
              <w:top w:val="nil"/>
              <w:left w:val="nil"/>
              <w:bottom w:val="nil"/>
              <w:right w:val="nil"/>
            </w:tcBorders>
            <w:shd w:val="clear" w:color="auto" w:fill="auto"/>
            <w:noWrap/>
            <w:vAlign w:val="center"/>
            <w:hideMark/>
          </w:tcPr>
          <w:p w14:paraId="71B06C56"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5,1</w:t>
            </w:r>
          </w:p>
        </w:tc>
        <w:tc>
          <w:tcPr>
            <w:tcW w:w="567" w:type="dxa"/>
            <w:tcBorders>
              <w:top w:val="nil"/>
              <w:left w:val="nil"/>
              <w:bottom w:val="nil"/>
              <w:right w:val="nil"/>
            </w:tcBorders>
            <w:shd w:val="clear" w:color="auto" w:fill="auto"/>
            <w:noWrap/>
            <w:vAlign w:val="center"/>
            <w:hideMark/>
          </w:tcPr>
          <w:p w14:paraId="18391BDA"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5,5</w:t>
            </w:r>
          </w:p>
        </w:tc>
        <w:tc>
          <w:tcPr>
            <w:tcW w:w="567" w:type="dxa"/>
            <w:tcBorders>
              <w:top w:val="nil"/>
              <w:left w:val="nil"/>
              <w:bottom w:val="nil"/>
              <w:right w:val="nil"/>
            </w:tcBorders>
            <w:shd w:val="clear" w:color="auto" w:fill="auto"/>
            <w:noWrap/>
            <w:vAlign w:val="center"/>
            <w:hideMark/>
          </w:tcPr>
          <w:p w14:paraId="61EE305E"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5,5</w:t>
            </w:r>
          </w:p>
        </w:tc>
        <w:tc>
          <w:tcPr>
            <w:tcW w:w="567" w:type="dxa"/>
            <w:tcBorders>
              <w:top w:val="nil"/>
              <w:left w:val="nil"/>
              <w:bottom w:val="nil"/>
              <w:right w:val="nil"/>
            </w:tcBorders>
            <w:shd w:val="clear" w:color="auto" w:fill="auto"/>
            <w:noWrap/>
            <w:vAlign w:val="center"/>
            <w:hideMark/>
          </w:tcPr>
          <w:p w14:paraId="09C26C81"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5,9</w:t>
            </w:r>
          </w:p>
        </w:tc>
        <w:tc>
          <w:tcPr>
            <w:tcW w:w="567" w:type="dxa"/>
            <w:tcBorders>
              <w:top w:val="nil"/>
              <w:left w:val="nil"/>
              <w:bottom w:val="nil"/>
              <w:right w:val="nil"/>
            </w:tcBorders>
            <w:shd w:val="clear" w:color="auto" w:fill="auto"/>
            <w:noWrap/>
            <w:vAlign w:val="center"/>
            <w:hideMark/>
          </w:tcPr>
          <w:p w14:paraId="02C948FD"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6,2</w:t>
            </w:r>
          </w:p>
        </w:tc>
        <w:tc>
          <w:tcPr>
            <w:tcW w:w="567" w:type="dxa"/>
            <w:tcBorders>
              <w:top w:val="nil"/>
              <w:left w:val="nil"/>
              <w:bottom w:val="nil"/>
              <w:right w:val="nil"/>
            </w:tcBorders>
            <w:shd w:val="clear" w:color="auto" w:fill="auto"/>
            <w:noWrap/>
            <w:vAlign w:val="center"/>
            <w:hideMark/>
          </w:tcPr>
          <w:p w14:paraId="7F01C741"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7,3</w:t>
            </w:r>
          </w:p>
        </w:tc>
        <w:tc>
          <w:tcPr>
            <w:tcW w:w="567" w:type="dxa"/>
            <w:vAlign w:val="center"/>
          </w:tcPr>
          <w:p w14:paraId="02461569" w14:textId="77777777" w:rsidR="00452914" w:rsidRPr="000F2639" w:rsidRDefault="00452914" w:rsidP="00452914">
            <w:pPr>
              <w:spacing w:after="0" w:line="240" w:lineRule="auto"/>
              <w:jc w:val="center"/>
            </w:pPr>
            <w:r w:rsidRPr="000F2639">
              <w:rPr>
                <w:rFonts w:cs="Arial"/>
                <w:color w:val="000000"/>
                <w:sz w:val="16"/>
                <w:szCs w:val="16"/>
              </w:rPr>
              <w:t>7,4</w:t>
            </w:r>
          </w:p>
        </w:tc>
        <w:tc>
          <w:tcPr>
            <w:tcW w:w="567" w:type="dxa"/>
            <w:vAlign w:val="center"/>
          </w:tcPr>
          <w:p w14:paraId="55B00CDF" w14:textId="77777777" w:rsidR="00452914" w:rsidRPr="000F2639" w:rsidRDefault="00452914" w:rsidP="00452914">
            <w:pPr>
              <w:spacing w:after="0" w:line="240" w:lineRule="auto"/>
              <w:jc w:val="center"/>
              <w:rPr>
                <w:rFonts w:cs="Arial"/>
                <w:color w:val="000000"/>
                <w:sz w:val="16"/>
                <w:szCs w:val="16"/>
              </w:rPr>
            </w:pPr>
            <w:r>
              <w:rPr>
                <w:rFonts w:cs="Arial"/>
                <w:color w:val="000000"/>
                <w:sz w:val="16"/>
                <w:szCs w:val="16"/>
              </w:rPr>
              <w:t>6,9</w:t>
            </w:r>
          </w:p>
        </w:tc>
        <w:tc>
          <w:tcPr>
            <w:tcW w:w="567" w:type="dxa"/>
            <w:vAlign w:val="center"/>
          </w:tcPr>
          <w:p w14:paraId="0E0DE0AE" w14:textId="1DFF7A82" w:rsidR="00452914" w:rsidRDefault="00452914" w:rsidP="00452914">
            <w:pPr>
              <w:spacing w:after="0" w:line="240" w:lineRule="auto"/>
              <w:jc w:val="center"/>
              <w:rPr>
                <w:rFonts w:cs="Arial"/>
                <w:color w:val="000000"/>
                <w:sz w:val="16"/>
                <w:szCs w:val="16"/>
              </w:rPr>
            </w:pPr>
            <w:r>
              <w:rPr>
                <w:rFonts w:cs="Arial"/>
                <w:color w:val="000000"/>
                <w:sz w:val="16"/>
                <w:szCs w:val="16"/>
              </w:rPr>
              <w:t>6,1</w:t>
            </w:r>
          </w:p>
        </w:tc>
      </w:tr>
      <w:tr w:rsidR="00452914" w:rsidRPr="000F2639" w14:paraId="28BC243B" w14:textId="45711E85" w:rsidTr="00C609FE">
        <w:trPr>
          <w:trHeight w:val="480"/>
        </w:trPr>
        <w:tc>
          <w:tcPr>
            <w:tcW w:w="3401" w:type="dxa"/>
            <w:tcBorders>
              <w:top w:val="nil"/>
              <w:left w:val="nil"/>
              <w:bottom w:val="nil"/>
              <w:right w:val="single" w:sz="4" w:space="0" w:color="auto"/>
            </w:tcBorders>
            <w:shd w:val="clear" w:color="auto" w:fill="auto"/>
            <w:vAlign w:val="center"/>
            <w:hideMark/>
          </w:tcPr>
          <w:p w14:paraId="11376530" w14:textId="77777777" w:rsidR="00452914" w:rsidRPr="000F2639" w:rsidRDefault="00452914" w:rsidP="00452914">
            <w:pPr>
              <w:spacing w:after="0" w:line="240" w:lineRule="auto"/>
              <w:ind w:firstLineChars="100" w:firstLine="160"/>
              <w:rPr>
                <w:rFonts w:cs="Arial"/>
                <w:color w:val="000000"/>
                <w:sz w:val="16"/>
                <w:szCs w:val="16"/>
              </w:rPr>
            </w:pPr>
            <w:r w:rsidRPr="000F2639">
              <w:rPr>
                <w:rFonts w:cs="Arial"/>
                <w:color w:val="000000"/>
                <w:sz w:val="16"/>
                <w:szCs w:val="16"/>
              </w:rPr>
              <w:t xml:space="preserve">D – Výroba a rozvod elektřiny, plynu, tepla    </w:t>
            </w:r>
          </w:p>
          <w:p w14:paraId="153194DE" w14:textId="77777777" w:rsidR="00452914" w:rsidRPr="000F2639" w:rsidRDefault="00452914" w:rsidP="00452914">
            <w:pPr>
              <w:spacing w:after="0" w:line="240" w:lineRule="auto"/>
              <w:ind w:firstLineChars="100" w:firstLine="160"/>
              <w:rPr>
                <w:rFonts w:cs="Arial"/>
                <w:color w:val="000000"/>
                <w:sz w:val="16"/>
                <w:szCs w:val="16"/>
              </w:rPr>
            </w:pPr>
            <w:r w:rsidRPr="000F2639">
              <w:rPr>
                <w:rFonts w:cs="Arial"/>
                <w:color w:val="000000"/>
                <w:sz w:val="16"/>
                <w:szCs w:val="16"/>
              </w:rPr>
              <w:t xml:space="preserve">      a klimatizovaného vzduchu</w:t>
            </w:r>
          </w:p>
        </w:tc>
        <w:tc>
          <w:tcPr>
            <w:tcW w:w="567" w:type="dxa"/>
            <w:tcBorders>
              <w:top w:val="nil"/>
              <w:left w:val="nil"/>
              <w:bottom w:val="nil"/>
              <w:right w:val="nil"/>
            </w:tcBorders>
            <w:shd w:val="clear" w:color="auto" w:fill="auto"/>
            <w:noWrap/>
            <w:vAlign w:val="center"/>
            <w:hideMark/>
          </w:tcPr>
          <w:p w14:paraId="792D3921"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2,1</w:t>
            </w:r>
          </w:p>
        </w:tc>
        <w:tc>
          <w:tcPr>
            <w:tcW w:w="567" w:type="dxa"/>
            <w:tcBorders>
              <w:top w:val="nil"/>
              <w:left w:val="nil"/>
              <w:bottom w:val="nil"/>
              <w:right w:val="nil"/>
            </w:tcBorders>
            <w:shd w:val="clear" w:color="auto" w:fill="auto"/>
            <w:noWrap/>
            <w:vAlign w:val="center"/>
            <w:hideMark/>
          </w:tcPr>
          <w:p w14:paraId="56F59655"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2,2</w:t>
            </w:r>
          </w:p>
        </w:tc>
        <w:tc>
          <w:tcPr>
            <w:tcW w:w="567" w:type="dxa"/>
            <w:tcBorders>
              <w:top w:val="nil"/>
              <w:left w:val="nil"/>
              <w:bottom w:val="nil"/>
              <w:right w:val="nil"/>
            </w:tcBorders>
            <w:shd w:val="clear" w:color="auto" w:fill="auto"/>
            <w:noWrap/>
            <w:vAlign w:val="center"/>
            <w:hideMark/>
          </w:tcPr>
          <w:p w14:paraId="269511B9"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2,5</w:t>
            </w:r>
          </w:p>
        </w:tc>
        <w:tc>
          <w:tcPr>
            <w:tcW w:w="567" w:type="dxa"/>
            <w:tcBorders>
              <w:top w:val="nil"/>
              <w:left w:val="nil"/>
              <w:bottom w:val="nil"/>
              <w:right w:val="nil"/>
            </w:tcBorders>
            <w:shd w:val="clear" w:color="auto" w:fill="auto"/>
            <w:noWrap/>
            <w:vAlign w:val="center"/>
            <w:hideMark/>
          </w:tcPr>
          <w:p w14:paraId="3FD5ADB0"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2,7</w:t>
            </w:r>
          </w:p>
        </w:tc>
        <w:tc>
          <w:tcPr>
            <w:tcW w:w="567" w:type="dxa"/>
            <w:tcBorders>
              <w:top w:val="nil"/>
              <w:left w:val="nil"/>
              <w:bottom w:val="nil"/>
              <w:right w:val="nil"/>
            </w:tcBorders>
            <w:shd w:val="clear" w:color="auto" w:fill="auto"/>
            <w:noWrap/>
            <w:vAlign w:val="center"/>
            <w:hideMark/>
          </w:tcPr>
          <w:p w14:paraId="03751DB8"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2,8</w:t>
            </w:r>
          </w:p>
        </w:tc>
        <w:tc>
          <w:tcPr>
            <w:tcW w:w="567" w:type="dxa"/>
            <w:tcBorders>
              <w:top w:val="nil"/>
              <w:left w:val="nil"/>
              <w:bottom w:val="nil"/>
              <w:right w:val="nil"/>
            </w:tcBorders>
            <w:shd w:val="clear" w:color="auto" w:fill="auto"/>
            <w:noWrap/>
            <w:vAlign w:val="center"/>
            <w:hideMark/>
          </w:tcPr>
          <w:p w14:paraId="3F01DB15"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2,9</w:t>
            </w:r>
          </w:p>
        </w:tc>
        <w:tc>
          <w:tcPr>
            <w:tcW w:w="567" w:type="dxa"/>
            <w:tcBorders>
              <w:top w:val="nil"/>
              <w:left w:val="nil"/>
              <w:bottom w:val="nil"/>
              <w:right w:val="nil"/>
            </w:tcBorders>
            <w:shd w:val="clear" w:color="auto" w:fill="auto"/>
            <w:noWrap/>
            <w:vAlign w:val="center"/>
            <w:hideMark/>
          </w:tcPr>
          <w:p w14:paraId="453E9A28"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3,1</w:t>
            </w:r>
          </w:p>
        </w:tc>
        <w:tc>
          <w:tcPr>
            <w:tcW w:w="567" w:type="dxa"/>
            <w:tcBorders>
              <w:top w:val="nil"/>
              <w:left w:val="nil"/>
              <w:bottom w:val="nil"/>
              <w:right w:val="nil"/>
            </w:tcBorders>
            <w:shd w:val="clear" w:color="auto" w:fill="auto"/>
            <w:noWrap/>
            <w:vAlign w:val="center"/>
            <w:hideMark/>
          </w:tcPr>
          <w:p w14:paraId="0DACCF18"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3,3</w:t>
            </w:r>
          </w:p>
        </w:tc>
        <w:tc>
          <w:tcPr>
            <w:tcW w:w="567" w:type="dxa"/>
            <w:vAlign w:val="center"/>
          </w:tcPr>
          <w:p w14:paraId="39918809" w14:textId="77777777" w:rsidR="00452914" w:rsidRPr="000F2639" w:rsidRDefault="00452914" w:rsidP="00452914">
            <w:pPr>
              <w:spacing w:after="0" w:line="240" w:lineRule="auto"/>
              <w:jc w:val="center"/>
            </w:pPr>
            <w:r w:rsidRPr="000F2639">
              <w:rPr>
                <w:rFonts w:cs="Arial"/>
                <w:color w:val="000000"/>
                <w:sz w:val="16"/>
                <w:szCs w:val="16"/>
              </w:rPr>
              <w:t>3,6</w:t>
            </w:r>
          </w:p>
        </w:tc>
        <w:tc>
          <w:tcPr>
            <w:tcW w:w="567" w:type="dxa"/>
            <w:vAlign w:val="center"/>
          </w:tcPr>
          <w:p w14:paraId="1F1CA394" w14:textId="77777777" w:rsidR="00452914" w:rsidRPr="000F2639" w:rsidRDefault="00452914" w:rsidP="00452914">
            <w:pPr>
              <w:spacing w:after="0" w:line="240" w:lineRule="auto"/>
              <w:jc w:val="center"/>
              <w:rPr>
                <w:rFonts w:cs="Arial"/>
                <w:color w:val="000000"/>
                <w:sz w:val="16"/>
                <w:szCs w:val="16"/>
              </w:rPr>
            </w:pPr>
            <w:r>
              <w:rPr>
                <w:rFonts w:cs="Arial"/>
                <w:color w:val="000000"/>
                <w:sz w:val="16"/>
                <w:szCs w:val="16"/>
              </w:rPr>
              <w:t>3,4</w:t>
            </w:r>
          </w:p>
        </w:tc>
        <w:tc>
          <w:tcPr>
            <w:tcW w:w="567" w:type="dxa"/>
            <w:vAlign w:val="center"/>
          </w:tcPr>
          <w:p w14:paraId="1FACADB5" w14:textId="6D0B7F80" w:rsidR="00452914" w:rsidRDefault="00452914" w:rsidP="00452914">
            <w:pPr>
              <w:spacing w:after="0" w:line="240" w:lineRule="auto"/>
              <w:jc w:val="center"/>
              <w:rPr>
                <w:rFonts w:cs="Arial"/>
                <w:color w:val="000000"/>
                <w:sz w:val="16"/>
                <w:szCs w:val="16"/>
              </w:rPr>
            </w:pPr>
            <w:r>
              <w:rPr>
                <w:rFonts w:cs="Arial"/>
                <w:color w:val="000000"/>
                <w:sz w:val="16"/>
                <w:szCs w:val="16"/>
              </w:rPr>
              <w:t>2,9</w:t>
            </w:r>
          </w:p>
        </w:tc>
      </w:tr>
      <w:tr w:rsidR="00452914" w:rsidRPr="000F2639" w14:paraId="0B261802" w14:textId="3E90C6FB" w:rsidTr="00C609FE">
        <w:trPr>
          <w:trHeight w:val="480"/>
        </w:trPr>
        <w:tc>
          <w:tcPr>
            <w:tcW w:w="3401" w:type="dxa"/>
            <w:tcBorders>
              <w:top w:val="nil"/>
              <w:left w:val="nil"/>
              <w:bottom w:val="nil"/>
              <w:right w:val="single" w:sz="4" w:space="0" w:color="auto"/>
            </w:tcBorders>
            <w:shd w:val="clear" w:color="auto" w:fill="auto"/>
            <w:vAlign w:val="center"/>
            <w:hideMark/>
          </w:tcPr>
          <w:p w14:paraId="54C6BF81" w14:textId="77777777" w:rsidR="00452914" w:rsidRPr="000F2639" w:rsidRDefault="00452914" w:rsidP="00452914">
            <w:pPr>
              <w:spacing w:after="0" w:line="240" w:lineRule="auto"/>
              <w:ind w:firstLineChars="100" w:firstLine="160"/>
              <w:rPr>
                <w:rFonts w:cs="Arial"/>
                <w:color w:val="000000"/>
                <w:sz w:val="16"/>
                <w:szCs w:val="16"/>
              </w:rPr>
            </w:pPr>
            <w:r w:rsidRPr="000F2639">
              <w:rPr>
                <w:rFonts w:cs="Arial"/>
                <w:color w:val="000000"/>
                <w:sz w:val="16"/>
                <w:szCs w:val="16"/>
              </w:rPr>
              <w:t xml:space="preserve">E – Zásobování vodou; činnosti </w:t>
            </w:r>
            <w:r w:rsidRPr="000F2639">
              <w:rPr>
                <w:rFonts w:cs="Arial"/>
                <w:color w:val="000000"/>
                <w:sz w:val="16"/>
                <w:szCs w:val="16"/>
              </w:rPr>
              <w:br/>
              <w:t xml:space="preserve">          související s odpady a sanacemi</w:t>
            </w:r>
          </w:p>
        </w:tc>
        <w:tc>
          <w:tcPr>
            <w:tcW w:w="567" w:type="dxa"/>
            <w:tcBorders>
              <w:top w:val="nil"/>
              <w:left w:val="nil"/>
              <w:bottom w:val="nil"/>
              <w:right w:val="nil"/>
            </w:tcBorders>
            <w:shd w:val="clear" w:color="auto" w:fill="auto"/>
            <w:noWrap/>
            <w:vAlign w:val="center"/>
            <w:hideMark/>
          </w:tcPr>
          <w:p w14:paraId="07964542"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3,7</w:t>
            </w:r>
          </w:p>
        </w:tc>
        <w:tc>
          <w:tcPr>
            <w:tcW w:w="567" w:type="dxa"/>
            <w:tcBorders>
              <w:top w:val="nil"/>
              <w:left w:val="nil"/>
              <w:bottom w:val="nil"/>
              <w:right w:val="nil"/>
            </w:tcBorders>
            <w:shd w:val="clear" w:color="auto" w:fill="auto"/>
            <w:noWrap/>
            <w:vAlign w:val="center"/>
            <w:hideMark/>
          </w:tcPr>
          <w:p w14:paraId="2AEBA65B"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3,9</w:t>
            </w:r>
          </w:p>
        </w:tc>
        <w:tc>
          <w:tcPr>
            <w:tcW w:w="567" w:type="dxa"/>
            <w:tcBorders>
              <w:top w:val="nil"/>
              <w:left w:val="nil"/>
              <w:bottom w:val="nil"/>
              <w:right w:val="nil"/>
            </w:tcBorders>
            <w:shd w:val="clear" w:color="auto" w:fill="auto"/>
            <w:noWrap/>
            <w:vAlign w:val="center"/>
            <w:hideMark/>
          </w:tcPr>
          <w:p w14:paraId="2D59BF6F"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4,3</w:t>
            </w:r>
          </w:p>
        </w:tc>
        <w:tc>
          <w:tcPr>
            <w:tcW w:w="567" w:type="dxa"/>
            <w:tcBorders>
              <w:top w:val="nil"/>
              <w:left w:val="nil"/>
              <w:bottom w:val="nil"/>
              <w:right w:val="nil"/>
            </w:tcBorders>
            <w:shd w:val="clear" w:color="auto" w:fill="auto"/>
            <w:noWrap/>
            <w:vAlign w:val="center"/>
            <w:hideMark/>
          </w:tcPr>
          <w:p w14:paraId="6711DF03"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4,4</w:t>
            </w:r>
          </w:p>
        </w:tc>
        <w:tc>
          <w:tcPr>
            <w:tcW w:w="567" w:type="dxa"/>
            <w:tcBorders>
              <w:top w:val="nil"/>
              <w:left w:val="nil"/>
              <w:bottom w:val="nil"/>
              <w:right w:val="nil"/>
            </w:tcBorders>
            <w:shd w:val="clear" w:color="auto" w:fill="auto"/>
            <w:noWrap/>
            <w:vAlign w:val="center"/>
            <w:hideMark/>
          </w:tcPr>
          <w:p w14:paraId="33A56030"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4,6</w:t>
            </w:r>
          </w:p>
        </w:tc>
        <w:tc>
          <w:tcPr>
            <w:tcW w:w="567" w:type="dxa"/>
            <w:tcBorders>
              <w:top w:val="nil"/>
              <w:left w:val="nil"/>
              <w:bottom w:val="nil"/>
              <w:right w:val="nil"/>
            </w:tcBorders>
            <w:shd w:val="clear" w:color="auto" w:fill="auto"/>
            <w:noWrap/>
            <w:vAlign w:val="center"/>
            <w:hideMark/>
          </w:tcPr>
          <w:p w14:paraId="6A67F311"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4,9</w:t>
            </w:r>
          </w:p>
        </w:tc>
        <w:tc>
          <w:tcPr>
            <w:tcW w:w="567" w:type="dxa"/>
            <w:tcBorders>
              <w:top w:val="nil"/>
              <w:left w:val="nil"/>
              <w:bottom w:val="nil"/>
              <w:right w:val="nil"/>
            </w:tcBorders>
            <w:shd w:val="clear" w:color="auto" w:fill="auto"/>
            <w:noWrap/>
            <w:vAlign w:val="center"/>
            <w:hideMark/>
          </w:tcPr>
          <w:p w14:paraId="30E4C704"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5,2</w:t>
            </w:r>
          </w:p>
        </w:tc>
        <w:tc>
          <w:tcPr>
            <w:tcW w:w="567" w:type="dxa"/>
            <w:tcBorders>
              <w:top w:val="nil"/>
              <w:left w:val="nil"/>
              <w:bottom w:val="nil"/>
              <w:right w:val="nil"/>
            </w:tcBorders>
            <w:shd w:val="clear" w:color="auto" w:fill="auto"/>
            <w:noWrap/>
            <w:vAlign w:val="center"/>
            <w:hideMark/>
          </w:tcPr>
          <w:p w14:paraId="53B3B73F"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5,9</w:t>
            </w:r>
          </w:p>
        </w:tc>
        <w:tc>
          <w:tcPr>
            <w:tcW w:w="567" w:type="dxa"/>
            <w:vAlign w:val="center"/>
          </w:tcPr>
          <w:p w14:paraId="3089E113" w14:textId="53441794" w:rsidR="00452914" w:rsidRPr="000F2639" w:rsidRDefault="00452914" w:rsidP="00452914">
            <w:pPr>
              <w:spacing w:after="0" w:line="240" w:lineRule="auto"/>
              <w:jc w:val="center"/>
            </w:pPr>
            <w:r w:rsidRPr="000F2639">
              <w:rPr>
                <w:rFonts w:cs="Arial"/>
                <w:color w:val="000000"/>
                <w:sz w:val="16"/>
                <w:szCs w:val="16"/>
              </w:rPr>
              <w:t>6,5</w:t>
            </w:r>
          </w:p>
        </w:tc>
        <w:tc>
          <w:tcPr>
            <w:tcW w:w="567" w:type="dxa"/>
            <w:vAlign w:val="center"/>
          </w:tcPr>
          <w:p w14:paraId="348C730A" w14:textId="77777777" w:rsidR="00452914" w:rsidRPr="000F2639" w:rsidRDefault="00452914" w:rsidP="00452914">
            <w:pPr>
              <w:spacing w:after="0" w:line="240" w:lineRule="auto"/>
              <w:jc w:val="center"/>
              <w:rPr>
                <w:rFonts w:cs="Arial"/>
                <w:color w:val="000000"/>
                <w:sz w:val="16"/>
                <w:szCs w:val="16"/>
              </w:rPr>
            </w:pPr>
            <w:r>
              <w:rPr>
                <w:rFonts w:cs="Arial"/>
                <w:color w:val="000000"/>
                <w:sz w:val="16"/>
                <w:szCs w:val="16"/>
              </w:rPr>
              <w:t>6,1</w:t>
            </w:r>
          </w:p>
        </w:tc>
        <w:tc>
          <w:tcPr>
            <w:tcW w:w="567" w:type="dxa"/>
            <w:vAlign w:val="center"/>
          </w:tcPr>
          <w:p w14:paraId="532E56EF" w14:textId="6D274D21" w:rsidR="00452914" w:rsidRDefault="00452914" w:rsidP="00452914">
            <w:pPr>
              <w:spacing w:after="0" w:line="240" w:lineRule="auto"/>
              <w:jc w:val="center"/>
              <w:rPr>
                <w:rFonts w:cs="Arial"/>
                <w:color w:val="000000"/>
                <w:sz w:val="16"/>
                <w:szCs w:val="16"/>
              </w:rPr>
            </w:pPr>
            <w:r>
              <w:rPr>
                <w:rFonts w:cs="Arial"/>
                <w:color w:val="000000"/>
                <w:sz w:val="16"/>
                <w:szCs w:val="16"/>
              </w:rPr>
              <w:t>5,4</w:t>
            </w:r>
          </w:p>
        </w:tc>
      </w:tr>
      <w:tr w:rsidR="00452914" w:rsidRPr="000F2639" w14:paraId="2DE3B36A" w14:textId="33CA012A" w:rsidTr="00C609FE">
        <w:trPr>
          <w:trHeight w:val="300"/>
        </w:trPr>
        <w:tc>
          <w:tcPr>
            <w:tcW w:w="3401" w:type="dxa"/>
            <w:tcBorders>
              <w:top w:val="nil"/>
              <w:left w:val="nil"/>
              <w:bottom w:val="nil"/>
              <w:right w:val="single" w:sz="4" w:space="0" w:color="auto"/>
            </w:tcBorders>
            <w:shd w:val="clear" w:color="auto" w:fill="auto"/>
            <w:vAlign w:val="center"/>
            <w:hideMark/>
          </w:tcPr>
          <w:p w14:paraId="4F73C23E" w14:textId="77777777" w:rsidR="00452914" w:rsidRPr="000F2639" w:rsidRDefault="00452914" w:rsidP="00452914">
            <w:pPr>
              <w:spacing w:after="0" w:line="240" w:lineRule="auto"/>
              <w:ind w:firstLineChars="100" w:firstLine="160"/>
              <w:rPr>
                <w:rFonts w:cs="Arial"/>
                <w:color w:val="000000"/>
                <w:sz w:val="16"/>
                <w:szCs w:val="16"/>
              </w:rPr>
            </w:pPr>
            <w:r w:rsidRPr="000F2639">
              <w:rPr>
                <w:rFonts w:cs="Arial"/>
                <w:color w:val="000000"/>
                <w:sz w:val="16"/>
                <w:szCs w:val="16"/>
              </w:rPr>
              <w:t>F – Stavebnictví</w:t>
            </w:r>
          </w:p>
        </w:tc>
        <w:tc>
          <w:tcPr>
            <w:tcW w:w="567" w:type="dxa"/>
            <w:tcBorders>
              <w:top w:val="nil"/>
              <w:left w:val="nil"/>
              <w:bottom w:val="nil"/>
              <w:right w:val="nil"/>
            </w:tcBorders>
            <w:shd w:val="clear" w:color="auto" w:fill="auto"/>
            <w:noWrap/>
            <w:vAlign w:val="center"/>
            <w:hideMark/>
          </w:tcPr>
          <w:p w14:paraId="5255FF0D"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4,5</w:t>
            </w:r>
          </w:p>
        </w:tc>
        <w:tc>
          <w:tcPr>
            <w:tcW w:w="567" w:type="dxa"/>
            <w:tcBorders>
              <w:top w:val="nil"/>
              <w:left w:val="nil"/>
              <w:bottom w:val="nil"/>
              <w:right w:val="nil"/>
            </w:tcBorders>
            <w:shd w:val="clear" w:color="auto" w:fill="auto"/>
            <w:noWrap/>
            <w:vAlign w:val="center"/>
            <w:hideMark/>
          </w:tcPr>
          <w:p w14:paraId="48266FC9"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4,4</w:t>
            </w:r>
          </w:p>
        </w:tc>
        <w:tc>
          <w:tcPr>
            <w:tcW w:w="567" w:type="dxa"/>
            <w:tcBorders>
              <w:top w:val="nil"/>
              <w:left w:val="nil"/>
              <w:bottom w:val="nil"/>
              <w:right w:val="nil"/>
            </w:tcBorders>
            <w:shd w:val="clear" w:color="auto" w:fill="auto"/>
            <w:noWrap/>
            <w:vAlign w:val="center"/>
            <w:hideMark/>
          </w:tcPr>
          <w:p w14:paraId="059B589A"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4,6</w:t>
            </w:r>
          </w:p>
        </w:tc>
        <w:tc>
          <w:tcPr>
            <w:tcW w:w="567" w:type="dxa"/>
            <w:tcBorders>
              <w:top w:val="nil"/>
              <w:left w:val="nil"/>
              <w:bottom w:val="nil"/>
              <w:right w:val="nil"/>
            </w:tcBorders>
            <w:shd w:val="clear" w:color="auto" w:fill="auto"/>
            <w:noWrap/>
            <w:vAlign w:val="center"/>
            <w:hideMark/>
          </w:tcPr>
          <w:p w14:paraId="33A2B29C"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4,7</w:t>
            </w:r>
          </w:p>
        </w:tc>
        <w:tc>
          <w:tcPr>
            <w:tcW w:w="567" w:type="dxa"/>
            <w:tcBorders>
              <w:top w:val="nil"/>
              <w:left w:val="nil"/>
              <w:bottom w:val="nil"/>
              <w:right w:val="nil"/>
            </w:tcBorders>
            <w:shd w:val="clear" w:color="auto" w:fill="auto"/>
            <w:noWrap/>
            <w:vAlign w:val="center"/>
            <w:hideMark/>
          </w:tcPr>
          <w:p w14:paraId="03AADA06"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4,7</w:t>
            </w:r>
          </w:p>
        </w:tc>
        <w:tc>
          <w:tcPr>
            <w:tcW w:w="567" w:type="dxa"/>
            <w:tcBorders>
              <w:top w:val="nil"/>
              <w:left w:val="nil"/>
              <w:bottom w:val="nil"/>
              <w:right w:val="nil"/>
            </w:tcBorders>
            <w:shd w:val="clear" w:color="auto" w:fill="auto"/>
            <w:noWrap/>
            <w:vAlign w:val="center"/>
            <w:hideMark/>
          </w:tcPr>
          <w:p w14:paraId="4C7AD95E"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4,7</w:t>
            </w:r>
          </w:p>
        </w:tc>
        <w:tc>
          <w:tcPr>
            <w:tcW w:w="567" w:type="dxa"/>
            <w:tcBorders>
              <w:top w:val="nil"/>
              <w:left w:val="nil"/>
              <w:bottom w:val="nil"/>
              <w:right w:val="nil"/>
            </w:tcBorders>
            <w:shd w:val="clear" w:color="auto" w:fill="auto"/>
            <w:noWrap/>
            <w:vAlign w:val="center"/>
            <w:hideMark/>
          </w:tcPr>
          <w:p w14:paraId="1FF1C60A"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4,8</w:t>
            </w:r>
          </w:p>
        </w:tc>
        <w:tc>
          <w:tcPr>
            <w:tcW w:w="567" w:type="dxa"/>
            <w:tcBorders>
              <w:top w:val="nil"/>
              <w:left w:val="nil"/>
              <w:bottom w:val="nil"/>
              <w:right w:val="nil"/>
            </w:tcBorders>
            <w:shd w:val="clear" w:color="auto" w:fill="auto"/>
            <w:noWrap/>
            <w:vAlign w:val="center"/>
            <w:hideMark/>
          </w:tcPr>
          <w:p w14:paraId="19472DC6"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5,5</w:t>
            </w:r>
          </w:p>
        </w:tc>
        <w:tc>
          <w:tcPr>
            <w:tcW w:w="567" w:type="dxa"/>
            <w:vAlign w:val="center"/>
          </w:tcPr>
          <w:p w14:paraId="5AB3CAFD" w14:textId="77777777" w:rsidR="00452914" w:rsidRPr="000F2639" w:rsidRDefault="00452914" w:rsidP="00452914">
            <w:pPr>
              <w:spacing w:after="0" w:line="240" w:lineRule="auto"/>
              <w:jc w:val="center"/>
            </w:pPr>
            <w:r w:rsidRPr="000F2639">
              <w:rPr>
                <w:rFonts w:cs="Arial"/>
                <w:color w:val="000000"/>
                <w:sz w:val="16"/>
                <w:szCs w:val="16"/>
              </w:rPr>
              <w:t>5,7</w:t>
            </w:r>
          </w:p>
        </w:tc>
        <w:tc>
          <w:tcPr>
            <w:tcW w:w="567" w:type="dxa"/>
            <w:vAlign w:val="center"/>
          </w:tcPr>
          <w:p w14:paraId="3E7F1F61" w14:textId="77777777" w:rsidR="00452914" w:rsidRPr="000F2639" w:rsidRDefault="00452914" w:rsidP="00452914">
            <w:pPr>
              <w:spacing w:after="0" w:line="240" w:lineRule="auto"/>
              <w:jc w:val="center"/>
              <w:rPr>
                <w:rFonts w:cs="Arial"/>
                <w:color w:val="000000"/>
                <w:sz w:val="16"/>
                <w:szCs w:val="16"/>
              </w:rPr>
            </w:pPr>
            <w:r>
              <w:rPr>
                <w:rFonts w:cs="Arial"/>
                <w:color w:val="000000"/>
                <w:sz w:val="16"/>
                <w:szCs w:val="16"/>
              </w:rPr>
              <w:t>5,2</w:t>
            </w:r>
          </w:p>
        </w:tc>
        <w:tc>
          <w:tcPr>
            <w:tcW w:w="567" w:type="dxa"/>
            <w:vAlign w:val="center"/>
          </w:tcPr>
          <w:p w14:paraId="679B8923" w14:textId="17C6E01B" w:rsidR="00452914" w:rsidRDefault="00452914" w:rsidP="00452914">
            <w:pPr>
              <w:spacing w:after="0" w:line="240" w:lineRule="auto"/>
              <w:jc w:val="center"/>
              <w:rPr>
                <w:rFonts w:cs="Arial"/>
                <w:color w:val="000000"/>
                <w:sz w:val="16"/>
                <w:szCs w:val="16"/>
              </w:rPr>
            </w:pPr>
            <w:r>
              <w:rPr>
                <w:rFonts w:cs="Arial"/>
                <w:color w:val="000000"/>
                <w:sz w:val="16"/>
                <w:szCs w:val="16"/>
              </w:rPr>
              <w:t>4,7</w:t>
            </w:r>
          </w:p>
        </w:tc>
      </w:tr>
      <w:tr w:rsidR="00452914" w:rsidRPr="000F2639" w14:paraId="6E0355CC" w14:textId="54E8FE99" w:rsidTr="00C609FE">
        <w:trPr>
          <w:trHeight w:val="480"/>
        </w:trPr>
        <w:tc>
          <w:tcPr>
            <w:tcW w:w="3401" w:type="dxa"/>
            <w:tcBorders>
              <w:top w:val="nil"/>
              <w:left w:val="nil"/>
              <w:bottom w:val="nil"/>
              <w:right w:val="single" w:sz="4" w:space="0" w:color="auto"/>
            </w:tcBorders>
            <w:shd w:val="clear" w:color="auto" w:fill="auto"/>
            <w:vAlign w:val="center"/>
            <w:hideMark/>
          </w:tcPr>
          <w:p w14:paraId="1366C7EC" w14:textId="77777777" w:rsidR="00452914" w:rsidRPr="000F2639" w:rsidRDefault="00452914" w:rsidP="00452914">
            <w:pPr>
              <w:spacing w:after="0" w:line="240" w:lineRule="auto"/>
              <w:ind w:firstLineChars="100" w:firstLine="160"/>
              <w:rPr>
                <w:rFonts w:cs="Arial"/>
                <w:color w:val="000000"/>
                <w:sz w:val="16"/>
                <w:szCs w:val="16"/>
              </w:rPr>
            </w:pPr>
            <w:r w:rsidRPr="000F2639">
              <w:rPr>
                <w:rFonts w:cs="Arial"/>
                <w:color w:val="000000"/>
                <w:sz w:val="16"/>
                <w:szCs w:val="16"/>
              </w:rPr>
              <w:t xml:space="preserve">G – Velkoobchod a maloobchod; </w:t>
            </w:r>
            <w:r w:rsidRPr="000F2639">
              <w:rPr>
                <w:rFonts w:cs="Arial"/>
                <w:color w:val="000000"/>
                <w:sz w:val="16"/>
                <w:szCs w:val="16"/>
              </w:rPr>
              <w:br/>
              <w:t xml:space="preserve">          opravy a údržba motorových vozidel</w:t>
            </w:r>
          </w:p>
        </w:tc>
        <w:tc>
          <w:tcPr>
            <w:tcW w:w="567" w:type="dxa"/>
            <w:tcBorders>
              <w:top w:val="nil"/>
              <w:left w:val="nil"/>
              <w:bottom w:val="nil"/>
              <w:right w:val="nil"/>
            </w:tcBorders>
            <w:shd w:val="clear" w:color="auto" w:fill="auto"/>
            <w:noWrap/>
            <w:vAlign w:val="center"/>
            <w:hideMark/>
          </w:tcPr>
          <w:p w14:paraId="32EADE16"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3,6</w:t>
            </w:r>
          </w:p>
        </w:tc>
        <w:tc>
          <w:tcPr>
            <w:tcW w:w="567" w:type="dxa"/>
            <w:tcBorders>
              <w:top w:val="nil"/>
              <w:left w:val="nil"/>
              <w:bottom w:val="nil"/>
              <w:right w:val="nil"/>
            </w:tcBorders>
            <w:shd w:val="clear" w:color="auto" w:fill="auto"/>
            <w:noWrap/>
            <w:vAlign w:val="center"/>
            <w:hideMark/>
          </w:tcPr>
          <w:p w14:paraId="7756B0B4"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3,6</w:t>
            </w:r>
          </w:p>
        </w:tc>
        <w:tc>
          <w:tcPr>
            <w:tcW w:w="567" w:type="dxa"/>
            <w:tcBorders>
              <w:top w:val="nil"/>
              <w:left w:val="nil"/>
              <w:bottom w:val="nil"/>
              <w:right w:val="nil"/>
            </w:tcBorders>
            <w:shd w:val="clear" w:color="auto" w:fill="auto"/>
            <w:noWrap/>
            <w:vAlign w:val="center"/>
            <w:hideMark/>
          </w:tcPr>
          <w:p w14:paraId="53C5EADE"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3,9</w:t>
            </w:r>
          </w:p>
        </w:tc>
        <w:tc>
          <w:tcPr>
            <w:tcW w:w="567" w:type="dxa"/>
            <w:tcBorders>
              <w:top w:val="nil"/>
              <w:left w:val="nil"/>
              <w:bottom w:val="nil"/>
              <w:right w:val="nil"/>
            </w:tcBorders>
            <w:shd w:val="clear" w:color="auto" w:fill="auto"/>
            <w:noWrap/>
            <w:vAlign w:val="center"/>
            <w:hideMark/>
          </w:tcPr>
          <w:p w14:paraId="6AD01BB1"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4,1</w:t>
            </w:r>
          </w:p>
        </w:tc>
        <w:tc>
          <w:tcPr>
            <w:tcW w:w="567" w:type="dxa"/>
            <w:tcBorders>
              <w:top w:val="nil"/>
              <w:left w:val="nil"/>
              <w:bottom w:val="nil"/>
              <w:right w:val="nil"/>
            </w:tcBorders>
            <w:shd w:val="clear" w:color="auto" w:fill="auto"/>
            <w:noWrap/>
            <w:vAlign w:val="center"/>
            <w:hideMark/>
          </w:tcPr>
          <w:p w14:paraId="4CC3355C"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4,2</w:t>
            </w:r>
          </w:p>
        </w:tc>
        <w:tc>
          <w:tcPr>
            <w:tcW w:w="567" w:type="dxa"/>
            <w:tcBorders>
              <w:top w:val="nil"/>
              <w:left w:val="nil"/>
              <w:bottom w:val="nil"/>
              <w:right w:val="nil"/>
            </w:tcBorders>
            <w:shd w:val="clear" w:color="auto" w:fill="auto"/>
            <w:noWrap/>
            <w:vAlign w:val="center"/>
            <w:hideMark/>
          </w:tcPr>
          <w:p w14:paraId="77E2DF2A"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4,6</w:t>
            </w:r>
          </w:p>
        </w:tc>
        <w:tc>
          <w:tcPr>
            <w:tcW w:w="567" w:type="dxa"/>
            <w:tcBorders>
              <w:top w:val="nil"/>
              <w:left w:val="nil"/>
              <w:bottom w:val="nil"/>
              <w:right w:val="nil"/>
            </w:tcBorders>
            <w:shd w:val="clear" w:color="auto" w:fill="auto"/>
            <w:noWrap/>
            <w:vAlign w:val="center"/>
            <w:hideMark/>
          </w:tcPr>
          <w:p w14:paraId="559838CE"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4,9</w:t>
            </w:r>
          </w:p>
        </w:tc>
        <w:tc>
          <w:tcPr>
            <w:tcW w:w="567" w:type="dxa"/>
            <w:tcBorders>
              <w:top w:val="nil"/>
              <w:left w:val="nil"/>
              <w:bottom w:val="nil"/>
              <w:right w:val="nil"/>
            </w:tcBorders>
            <w:shd w:val="clear" w:color="auto" w:fill="auto"/>
            <w:noWrap/>
            <w:vAlign w:val="center"/>
            <w:hideMark/>
          </w:tcPr>
          <w:p w14:paraId="4BC81C10"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5,7</w:t>
            </w:r>
          </w:p>
        </w:tc>
        <w:tc>
          <w:tcPr>
            <w:tcW w:w="567" w:type="dxa"/>
            <w:vAlign w:val="center"/>
          </w:tcPr>
          <w:p w14:paraId="56E97ADC" w14:textId="77777777" w:rsidR="00452914" w:rsidRPr="000F2639" w:rsidRDefault="00452914" w:rsidP="00452914">
            <w:pPr>
              <w:spacing w:after="0" w:line="240" w:lineRule="auto"/>
              <w:jc w:val="center"/>
            </w:pPr>
            <w:r w:rsidRPr="000F2639">
              <w:rPr>
                <w:rFonts w:cs="Arial"/>
                <w:color w:val="000000"/>
                <w:sz w:val="16"/>
                <w:szCs w:val="16"/>
              </w:rPr>
              <w:t>5,7</w:t>
            </w:r>
          </w:p>
        </w:tc>
        <w:tc>
          <w:tcPr>
            <w:tcW w:w="567" w:type="dxa"/>
            <w:vAlign w:val="center"/>
          </w:tcPr>
          <w:p w14:paraId="561B3D16" w14:textId="77777777" w:rsidR="00452914" w:rsidRPr="000F2639" w:rsidRDefault="00452914" w:rsidP="00452914">
            <w:pPr>
              <w:spacing w:after="0" w:line="240" w:lineRule="auto"/>
              <w:jc w:val="center"/>
              <w:rPr>
                <w:rFonts w:cs="Arial"/>
                <w:color w:val="000000"/>
                <w:sz w:val="16"/>
                <w:szCs w:val="16"/>
              </w:rPr>
            </w:pPr>
            <w:r>
              <w:rPr>
                <w:rFonts w:cs="Arial"/>
                <w:color w:val="000000"/>
                <w:sz w:val="16"/>
                <w:szCs w:val="16"/>
              </w:rPr>
              <w:t>5,4</w:t>
            </w:r>
          </w:p>
        </w:tc>
        <w:tc>
          <w:tcPr>
            <w:tcW w:w="567" w:type="dxa"/>
            <w:vAlign w:val="center"/>
          </w:tcPr>
          <w:p w14:paraId="097C093B" w14:textId="43901BB0" w:rsidR="00452914" w:rsidRDefault="00452914" w:rsidP="00452914">
            <w:pPr>
              <w:spacing w:after="0" w:line="240" w:lineRule="auto"/>
              <w:jc w:val="center"/>
              <w:rPr>
                <w:rFonts w:cs="Arial"/>
                <w:color w:val="000000"/>
                <w:sz w:val="16"/>
                <w:szCs w:val="16"/>
              </w:rPr>
            </w:pPr>
            <w:r>
              <w:rPr>
                <w:rFonts w:cs="Arial"/>
                <w:color w:val="000000"/>
                <w:sz w:val="16"/>
                <w:szCs w:val="16"/>
              </w:rPr>
              <w:t>4,7</w:t>
            </w:r>
          </w:p>
        </w:tc>
      </w:tr>
      <w:tr w:rsidR="00452914" w:rsidRPr="000F2639" w14:paraId="6B0941B8" w14:textId="767AC125" w:rsidTr="00C609FE">
        <w:trPr>
          <w:trHeight w:val="300"/>
        </w:trPr>
        <w:tc>
          <w:tcPr>
            <w:tcW w:w="3401" w:type="dxa"/>
            <w:tcBorders>
              <w:top w:val="nil"/>
              <w:left w:val="nil"/>
              <w:bottom w:val="nil"/>
              <w:right w:val="single" w:sz="4" w:space="0" w:color="auto"/>
            </w:tcBorders>
            <w:shd w:val="clear" w:color="auto" w:fill="auto"/>
            <w:vAlign w:val="center"/>
            <w:hideMark/>
          </w:tcPr>
          <w:p w14:paraId="10FF6707" w14:textId="77777777" w:rsidR="00452914" w:rsidRPr="000F2639" w:rsidRDefault="00452914" w:rsidP="00452914">
            <w:pPr>
              <w:spacing w:after="0" w:line="240" w:lineRule="auto"/>
              <w:ind w:firstLineChars="100" w:firstLine="160"/>
              <w:rPr>
                <w:rFonts w:cs="Arial"/>
                <w:color w:val="000000"/>
                <w:sz w:val="16"/>
                <w:szCs w:val="16"/>
              </w:rPr>
            </w:pPr>
            <w:r w:rsidRPr="000F2639">
              <w:rPr>
                <w:rFonts w:cs="Arial"/>
                <w:color w:val="000000"/>
                <w:sz w:val="16"/>
                <w:szCs w:val="16"/>
              </w:rPr>
              <w:t>H – Doprava a skladování</w:t>
            </w:r>
          </w:p>
        </w:tc>
        <w:tc>
          <w:tcPr>
            <w:tcW w:w="567" w:type="dxa"/>
            <w:tcBorders>
              <w:top w:val="nil"/>
              <w:left w:val="nil"/>
              <w:bottom w:val="nil"/>
              <w:right w:val="nil"/>
            </w:tcBorders>
            <w:shd w:val="clear" w:color="auto" w:fill="auto"/>
            <w:noWrap/>
            <w:vAlign w:val="center"/>
            <w:hideMark/>
          </w:tcPr>
          <w:p w14:paraId="3A1F307D"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3,8</w:t>
            </w:r>
          </w:p>
        </w:tc>
        <w:tc>
          <w:tcPr>
            <w:tcW w:w="567" w:type="dxa"/>
            <w:tcBorders>
              <w:top w:val="nil"/>
              <w:left w:val="nil"/>
              <w:bottom w:val="nil"/>
              <w:right w:val="nil"/>
            </w:tcBorders>
            <w:shd w:val="clear" w:color="auto" w:fill="auto"/>
            <w:noWrap/>
            <w:vAlign w:val="center"/>
            <w:hideMark/>
          </w:tcPr>
          <w:p w14:paraId="599404CC"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3,8</w:t>
            </w:r>
          </w:p>
        </w:tc>
        <w:tc>
          <w:tcPr>
            <w:tcW w:w="567" w:type="dxa"/>
            <w:tcBorders>
              <w:top w:val="nil"/>
              <w:left w:val="nil"/>
              <w:bottom w:val="nil"/>
              <w:right w:val="nil"/>
            </w:tcBorders>
            <w:shd w:val="clear" w:color="auto" w:fill="auto"/>
            <w:noWrap/>
            <w:vAlign w:val="center"/>
            <w:hideMark/>
          </w:tcPr>
          <w:p w14:paraId="1E88FAB3"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4,1</w:t>
            </w:r>
          </w:p>
        </w:tc>
        <w:tc>
          <w:tcPr>
            <w:tcW w:w="567" w:type="dxa"/>
            <w:tcBorders>
              <w:top w:val="nil"/>
              <w:left w:val="nil"/>
              <w:bottom w:val="nil"/>
              <w:right w:val="nil"/>
            </w:tcBorders>
            <w:shd w:val="clear" w:color="auto" w:fill="auto"/>
            <w:noWrap/>
            <w:vAlign w:val="center"/>
            <w:hideMark/>
          </w:tcPr>
          <w:p w14:paraId="080670C9"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4,2</w:t>
            </w:r>
          </w:p>
        </w:tc>
        <w:tc>
          <w:tcPr>
            <w:tcW w:w="567" w:type="dxa"/>
            <w:tcBorders>
              <w:top w:val="nil"/>
              <w:left w:val="nil"/>
              <w:bottom w:val="nil"/>
              <w:right w:val="nil"/>
            </w:tcBorders>
            <w:shd w:val="clear" w:color="auto" w:fill="auto"/>
            <w:noWrap/>
            <w:vAlign w:val="center"/>
            <w:hideMark/>
          </w:tcPr>
          <w:p w14:paraId="7A2174A1"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4,4</w:t>
            </w:r>
          </w:p>
        </w:tc>
        <w:tc>
          <w:tcPr>
            <w:tcW w:w="567" w:type="dxa"/>
            <w:tcBorders>
              <w:top w:val="nil"/>
              <w:left w:val="nil"/>
              <w:bottom w:val="nil"/>
              <w:right w:val="nil"/>
            </w:tcBorders>
            <w:shd w:val="clear" w:color="auto" w:fill="auto"/>
            <w:noWrap/>
            <w:vAlign w:val="center"/>
            <w:hideMark/>
          </w:tcPr>
          <w:p w14:paraId="70844BBB"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4,8</w:t>
            </w:r>
          </w:p>
        </w:tc>
        <w:tc>
          <w:tcPr>
            <w:tcW w:w="567" w:type="dxa"/>
            <w:tcBorders>
              <w:top w:val="nil"/>
              <w:left w:val="nil"/>
              <w:bottom w:val="nil"/>
              <w:right w:val="nil"/>
            </w:tcBorders>
            <w:shd w:val="clear" w:color="auto" w:fill="auto"/>
            <w:noWrap/>
            <w:vAlign w:val="center"/>
            <w:hideMark/>
          </w:tcPr>
          <w:p w14:paraId="1E5A3FE5"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4,9</w:t>
            </w:r>
          </w:p>
        </w:tc>
        <w:tc>
          <w:tcPr>
            <w:tcW w:w="567" w:type="dxa"/>
            <w:tcBorders>
              <w:top w:val="nil"/>
              <w:left w:val="nil"/>
              <w:bottom w:val="nil"/>
              <w:right w:val="nil"/>
            </w:tcBorders>
            <w:shd w:val="clear" w:color="auto" w:fill="auto"/>
            <w:noWrap/>
            <w:vAlign w:val="center"/>
            <w:hideMark/>
          </w:tcPr>
          <w:p w14:paraId="0751EA85"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5,8</w:t>
            </w:r>
          </w:p>
        </w:tc>
        <w:tc>
          <w:tcPr>
            <w:tcW w:w="567" w:type="dxa"/>
            <w:vAlign w:val="center"/>
          </w:tcPr>
          <w:p w14:paraId="6C9E97E0" w14:textId="77777777" w:rsidR="00452914" w:rsidRPr="000F2639" w:rsidRDefault="00452914" w:rsidP="00452914">
            <w:pPr>
              <w:spacing w:after="0" w:line="240" w:lineRule="auto"/>
              <w:jc w:val="center"/>
            </w:pPr>
            <w:r w:rsidRPr="000F2639">
              <w:rPr>
                <w:rFonts w:cs="Arial"/>
                <w:color w:val="000000"/>
                <w:sz w:val="16"/>
                <w:szCs w:val="16"/>
              </w:rPr>
              <w:t>6,1</w:t>
            </w:r>
          </w:p>
        </w:tc>
        <w:tc>
          <w:tcPr>
            <w:tcW w:w="567" w:type="dxa"/>
            <w:vAlign w:val="center"/>
          </w:tcPr>
          <w:p w14:paraId="1B3568FC" w14:textId="77777777" w:rsidR="00452914" w:rsidRPr="000F2639" w:rsidRDefault="00452914" w:rsidP="00452914">
            <w:pPr>
              <w:spacing w:after="0" w:line="240" w:lineRule="auto"/>
              <w:jc w:val="center"/>
              <w:rPr>
                <w:rFonts w:cs="Arial"/>
                <w:color w:val="000000"/>
                <w:sz w:val="16"/>
                <w:szCs w:val="16"/>
              </w:rPr>
            </w:pPr>
            <w:r>
              <w:rPr>
                <w:rFonts w:cs="Arial"/>
                <w:color w:val="000000"/>
                <w:sz w:val="16"/>
                <w:szCs w:val="16"/>
              </w:rPr>
              <w:t>5,6</w:t>
            </w:r>
          </w:p>
        </w:tc>
        <w:tc>
          <w:tcPr>
            <w:tcW w:w="567" w:type="dxa"/>
            <w:vAlign w:val="center"/>
          </w:tcPr>
          <w:p w14:paraId="5E50A8CB" w14:textId="0A830B67" w:rsidR="00452914" w:rsidRDefault="00452914" w:rsidP="00452914">
            <w:pPr>
              <w:spacing w:after="0" w:line="240" w:lineRule="auto"/>
              <w:jc w:val="center"/>
              <w:rPr>
                <w:rFonts w:cs="Arial"/>
                <w:color w:val="000000"/>
                <w:sz w:val="16"/>
                <w:szCs w:val="16"/>
              </w:rPr>
            </w:pPr>
            <w:r>
              <w:rPr>
                <w:rFonts w:cs="Arial"/>
                <w:color w:val="000000"/>
                <w:sz w:val="16"/>
                <w:szCs w:val="16"/>
              </w:rPr>
              <w:t>4,9</w:t>
            </w:r>
          </w:p>
        </w:tc>
      </w:tr>
      <w:tr w:rsidR="00452914" w:rsidRPr="000F2639" w14:paraId="4480588B" w14:textId="5768536E" w:rsidTr="00C609FE">
        <w:trPr>
          <w:trHeight w:val="300"/>
        </w:trPr>
        <w:tc>
          <w:tcPr>
            <w:tcW w:w="3401" w:type="dxa"/>
            <w:tcBorders>
              <w:top w:val="nil"/>
              <w:left w:val="nil"/>
              <w:bottom w:val="nil"/>
              <w:right w:val="single" w:sz="4" w:space="0" w:color="auto"/>
            </w:tcBorders>
            <w:shd w:val="clear" w:color="auto" w:fill="auto"/>
            <w:vAlign w:val="center"/>
            <w:hideMark/>
          </w:tcPr>
          <w:p w14:paraId="5D2B1632" w14:textId="77777777" w:rsidR="00452914" w:rsidRPr="000F2639" w:rsidRDefault="00452914" w:rsidP="00452914">
            <w:pPr>
              <w:spacing w:after="0" w:line="240" w:lineRule="auto"/>
              <w:ind w:firstLineChars="100" w:firstLine="160"/>
              <w:rPr>
                <w:rFonts w:cs="Arial"/>
                <w:color w:val="000000"/>
                <w:sz w:val="16"/>
                <w:szCs w:val="16"/>
              </w:rPr>
            </w:pPr>
            <w:r w:rsidRPr="000F2639">
              <w:rPr>
                <w:rFonts w:cs="Arial"/>
                <w:color w:val="000000"/>
                <w:sz w:val="16"/>
                <w:szCs w:val="16"/>
              </w:rPr>
              <w:t>I – Ubytování, stravování a pohostinství</w:t>
            </w:r>
          </w:p>
        </w:tc>
        <w:tc>
          <w:tcPr>
            <w:tcW w:w="567" w:type="dxa"/>
            <w:tcBorders>
              <w:top w:val="nil"/>
              <w:left w:val="nil"/>
              <w:bottom w:val="nil"/>
              <w:right w:val="nil"/>
            </w:tcBorders>
            <w:shd w:val="clear" w:color="auto" w:fill="auto"/>
            <w:noWrap/>
            <w:vAlign w:val="center"/>
            <w:hideMark/>
          </w:tcPr>
          <w:p w14:paraId="574B2DC2"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3,7</w:t>
            </w:r>
          </w:p>
        </w:tc>
        <w:tc>
          <w:tcPr>
            <w:tcW w:w="567" w:type="dxa"/>
            <w:tcBorders>
              <w:top w:val="nil"/>
              <w:left w:val="nil"/>
              <w:bottom w:val="nil"/>
              <w:right w:val="nil"/>
            </w:tcBorders>
            <w:shd w:val="clear" w:color="auto" w:fill="auto"/>
            <w:noWrap/>
            <w:vAlign w:val="center"/>
            <w:hideMark/>
          </w:tcPr>
          <w:p w14:paraId="7A2749A8"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3,8</w:t>
            </w:r>
          </w:p>
        </w:tc>
        <w:tc>
          <w:tcPr>
            <w:tcW w:w="567" w:type="dxa"/>
            <w:tcBorders>
              <w:top w:val="nil"/>
              <w:left w:val="nil"/>
              <w:bottom w:val="nil"/>
              <w:right w:val="nil"/>
            </w:tcBorders>
            <w:shd w:val="clear" w:color="auto" w:fill="auto"/>
            <w:noWrap/>
            <w:vAlign w:val="center"/>
            <w:hideMark/>
          </w:tcPr>
          <w:p w14:paraId="5041BE99"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4,1</w:t>
            </w:r>
          </w:p>
        </w:tc>
        <w:tc>
          <w:tcPr>
            <w:tcW w:w="567" w:type="dxa"/>
            <w:tcBorders>
              <w:top w:val="nil"/>
              <w:left w:val="nil"/>
              <w:bottom w:val="nil"/>
              <w:right w:val="nil"/>
            </w:tcBorders>
            <w:shd w:val="clear" w:color="auto" w:fill="auto"/>
            <w:noWrap/>
            <w:vAlign w:val="center"/>
            <w:hideMark/>
          </w:tcPr>
          <w:p w14:paraId="0539C422"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4,2</w:t>
            </w:r>
          </w:p>
        </w:tc>
        <w:tc>
          <w:tcPr>
            <w:tcW w:w="567" w:type="dxa"/>
            <w:tcBorders>
              <w:top w:val="nil"/>
              <w:left w:val="nil"/>
              <w:bottom w:val="nil"/>
              <w:right w:val="nil"/>
            </w:tcBorders>
            <w:shd w:val="clear" w:color="auto" w:fill="auto"/>
            <w:noWrap/>
            <w:vAlign w:val="center"/>
            <w:hideMark/>
          </w:tcPr>
          <w:p w14:paraId="142609F2"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4,2</w:t>
            </w:r>
          </w:p>
        </w:tc>
        <w:tc>
          <w:tcPr>
            <w:tcW w:w="567" w:type="dxa"/>
            <w:tcBorders>
              <w:top w:val="nil"/>
              <w:left w:val="nil"/>
              <w:bottom w:val="nil"/>
              <w:right w:val="nil"/>
            </w:tcBorders>
            <w:shd w:val="clear" w:color="auto" w:fill="auto"/>
            <w:noWrap/>
            <w:vAlign w:val="center"/>
            <w:hideMark/>
          </w:tcPr>
          <w:p w14:paraId="1258483B"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4,4</w:t>
            </w:r>
          </w:p>
        </w:tc>
        <w:tc>
          <w:tcPr>
            <w:tcW w:w="567" w:type="dxa"/>
            <w:tcBorders>
              <w:top w:val="nil"/>
              <w:left w:val="nil"/>
              <w:bottom w:val="nil"/>
              <w:right w:val="nil"/>
            </w:tcBorders>
            <w:shd w:val="clear" w:color="auto" w:fill="auto"/>
            <w:noWrap/>
            <w:vAlign w:val="center"/>
            <w:hideMark/>
          </w:tcPr>
          <w:p w14:paraId="5FD7C591"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4,6</w:t>
            </w:r>
          </w:p>
        </w:tc>
        <w:tc>
          <w:tcPr>
            <w:tcW w:w="567" w:type="dxa"/>
            <w:tcBorders>
              <w:top w:val="nil"/>
              <w:left w:val="nil"/>
              <w:bottom w:val="nil"/>
              <w:right w:val="nil"/>
            </w:tcBorders>
            <w:shd w:val="clear" w:color="auto" w:fill="auto"/>
            <w:noWrap/>
            <w:vAlign w:val="center"/>
            <w:hideMark/>
          </w:tcPr>
          <w:p w14:paraId="73C3261D"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6,5</w:t>
            </w:r>
          </w:p>
        </w:tc>
        <w:tc>
          <w:tcPr>
            <w:tcW w:w="567" w:type="dxa"/>
            <w:vAlign w:val="center"/>
          </w:tcPr>
          <w:p w14:paraId="209A0998" w14:textId="77777777" w:rsidR="00452914" w:rsidRPr="000F2639" w:rsidRDefault="00452914" w:rsidP="00452914">
            <w:pPr>
              <w:spacing w:after="0" w:line="240" w:lineRule="auto"/>
              <w:jc w:val="center"/>
            </w:pPr>
            <w:r w:rsidRPr="000F2639">
              <w:rPr>
                <w:rFonts w:cs="Arial"/>
                <w:color w:val="000000"/>
                <w:sz w:val="16"/>
                <w:szCs w:val="16"/>
              </w:rPr>
              <w:t>5,2</w:t>
            </w:r>
          </w:p>
        </w:tc>
        <w:tc>
          <w:tcPr>
            <w:tcW w:w="567" w:type="dxa"/>
            <w:vAlign w:val="center"/>
          </w:tcPr>
          <w:p w14:paraId="506EC4CA" w14:textId="77777777" w:rsidR="00452914" w:rsidRPr="000F2639" w:rsidRDefault="00452914" w:rsidP="00452914">
            <w:pPr>
              <w:spacing w:after="0" w:line="240" w:lineRule="auto"/>
              <w:jc w:val="center"/>
              <w:rPr>
                <w:rFonts w:cs="Arial"/>
                <w:color w:val="000000"/>
                <w:sz w:val="16"/>
                <w:szCs w:val="16"/>
              </w:rPr>
            </w:pPr>
            <w:r>
              <w:rPr>
                <w:rFonts w:cs="Arial"/>
                <w:color w:val="000000"/>
                <w:sz w:val="16"/>
                <w:szCs w:val="16"/>
              </w:rPr>
              <w:t>5,1</w:t>
            </w:r>
          </w:p>
        </w:tc>
        <w:tc>
          <w:tcPr>
            <w:tcW w:w="567" w:type="dxa"/>
            <w:vAlign w:val="center"/>
          </w:tcPr>
          <w:p w14:paraId="58557B13" w14:textId="60592770" w:rsidR="00452914" w:rsidRDefault="00452914" w:rsidP="00452914">
            <w:pPr>
              <w:spacing w:after="0" w:line="240" w:lineRule="auto"/>
              <w:jc w:val="center"/>
              <w:rPr>
                <w:rFonts w:cs="Arial"/>
                <w:color w:val="000000"/>
                <w:sz w:val="16"/>
                <w:szCs w:val="16"/>
              </w:rPr>
            </w:pPr>
            <w:r>
              <w:rPr>
                <w:rFonts w:cs="Arial"/>
                <w:color w:val="000000"/>
                <w:sz w:val="16"/>
                <w:szCs w:val="16"/>
              </w:rPr>
              <w:t>4,5</w:t>
            </w:r>
          </w:p>
        </w:tc>
      </w:tr>
      <w:tr w:rsidR="00452914" w:rsidRPr="000F2639" w14:paraId="6DE938FC" w14:textId="625F791E" w:rsidTr="00C609FE">
        <w:trPr>
          <w:trHeight w:val="300"/>
        </w:trPr>
        <w:tc>
          <w:tcPr>
            <w:tcW w:w="3401" w:type="dxa"/>
            <w:tcBorders>
              <w:top w:val="nil"/>
              <w:left w:val="nil"/>
              <w:bottom w:val="nil"/>
              <w:right w:val="single" w:sz="4" w:space="0" w:color="auto"/>
            </w:tcBorders>
            <w:shd w:val="clear" w:color="auto" w:fill="auto"/>
            <w:vAlign w:val="center"/>
            <w:hideMark/>
          </w:tcPr>
          <w:p w14:paraId="0AD19A33" w14:textId="77777777" w:rsidR="00452914" w:rsidRPr="000F2639" w:rsidRDefault="00452914" w:rsidP="00452914">
            <w:pPr>
              <w:spacing w:after="0" w:line="240" w:lineRule="auto"/>
              <w:ind w:firstLineChars="100" w:firstLine="160"/>
              <w:rPr>
                <w:rFonts w:cs="Arial"/>
                <w:color w:val="000000"/>
                <w:sz w:val="16"/>
                <w:szCs w:val="16"/>
              </w:rPr>
            </w:pPr>
            <w:r w:rsidRPr="000F2639">
              <w:rPr>
                <w:rFonts w:cs="Arial"/>
                <w:color w:val="000000"/>
                <w:sz w:val="16"/>
                <w:szCs w:val="16"/>
              </w:rPr>
              <w:t>J – Informační a komunikační činnosti</w:t>
            </w:r>
          </w:p>
        </w:tc>
        <w:tc>
          <w:tcPr>
            <w:tcW w:w="567" w:type="dxa"/>
            <w:tcBorders>
              <w:top w:val="nil"/>
              <w:left w:val="nil"/>
              <w:bottom w:val="nil"/>
              <w:right w:val="nil"/>
            </w:tcBorders>
            <w:shd w:val="clear" w:color="auto" w:fill="auto"/>
            <w:noWrap/>
            <w:vAlign w:val="center"/>
            <w:hideMark/>
          </w:tcPr>
          <w:p w14:paraId="1BD8A21D"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1,6</w:t>
            </w:r>
          </w:p>
        </w:tc>
        <w:tc>
          <w:tcPr>
            <w:tcW w:w="567" w:type="dxa"/>
            <w:tcBorders>
              <w:top w:val="nil"/>
              <w:left w:val="nil"/>
              <w:bottom w:val="nil"/>
              <w:right w:val="nil"/>
            </w:tcBorders>
            <w:shd w:val="clear" w:color="auto" w:fill="auto"/>
            <w:noWrap/>
            <w:vAlign w:val="center"/>
            <w:hideMark/>
          </w:tcPr>
          <w:p w14:paraId="60CFEA6E"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1,7</w:t>
            </w:r>
          </w:p>
        </w:tc>
        <w:tc>
          <w:tcPr>
            <w:tcW w:w="567" w:type="dxa"/>
            <w:tcBorders>
              <w:top w:val="nil"/>
              <w:left w:val="nil"/>
              <w:bottom w:val="nil"/>
              <w:right w:val="nil"/>
            </w:tcBorders>
            <w:shd w:val="clear" w:color="auto" w:fill="auto"/>
            <w:noWrap/>
            <w:vAlign w:val="center"/>
            <w:hideMark/>
          </w:tcPr>
          <w:p w14:paraId="23616B22"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1,7</w:t>
            </w:r>
          </w:p>
        </w:tc>
        <w:tc>
          <w:tcPr>
            <w:tcW w:w="567" w:type="dxa"/>
            <w:tcBorders>
              <w:top w:val="nil"/>
              <w:left w:val="nil"/>
              <w:bottom w:val="nil"/>
              <w:right w:val="nil"/>
            </w:tcBorders>
            <w:shd w:val="clear" w:color="auto" w:fill="auto"/>
            <w:noWrap/>
            <w:vAlign w:val="center"/>
            <w:hideMark/>
          </w:tcPr>
          <w:p w14:paraId="6B57C3C7"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1,7</w:t>
            </w:r>
          </w:p>
        </w:tc>
        <w:tc>
          <w:tcPr>
            <w:tcW w:w="567" w:type="dxa"/>
            <w:tcBorders>
              <w:top w:val="nil"/>
              <w:left w:val="nil"/>
              <w:bottom w:val="nil"/>
              <w:right w:val="nil"/>
            </w:tcBorders>
            <w:shd w:val="clear" w:color="auto" w:fill="auto"/>
            <w:noWrap/>
            <w:vAlign w:val="center"/>
            <w:hideMark/>
          </w:tcPr>
          <w:p w14:paraId="20FE8DA0"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1,8</w:t>
            </w:r>
          </w:p>
        </w:tc>
        <w:tc>
          <w:tcPr>
            <w:tcW w:w="567" w:type="dxa"/>
            <w:tcBorders>
              <w:top w:val="nil"/>
              <w:left w:val="nil"/>
              <w:bottom w:val="nil"/>
              <w:right w:val="nil"/>
            </w:tcBorders>
            <w:shd w:val="clear" w:color="auto" w:fill="auto"/>
            <w:noWrap/>
            <w:vAlign w:val="center"/>
            <w:hideMark/>
          </w:tcPr>
          <w:p w14:paraId="608BEEFE"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1,9</w:t>
            </w:r>
          </w:p>
        </w:tc>
        <w:tc>
          <w:tcPr>
            <w:tcW w:w="567" w:type="dxa"/>
            <w:tcBorders>
              <w:top w:val="nil"/>
              <w:left w:val="nil"/>
              <w:bottom w:val="nil"/>
              <w:right w:val="nil"/>
            </w:tcBorders>
            <w:shd w:val="clear" w:color="auto" w:fill="auto"/>
            <w:noWrap/>
            <w:vAlign w:val="center"/>
            <w:hideMark/>
          </w:tcPr>
          <w:p w14:paraId="735C6521"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1,9</w:t>
            </w:r>
          </w:p>
        </w:tc>
        <w:tc>
          <w:tcPr>
            <w:tcW w:w="567" w:type="dxa"/>
            <w:tcBorders>
              <w:top w:val="nil"/>
              <w:left w:val="nil"/>
              <w:bottom w:val="nil"/>
              <w:right w:val="nil"/>
            </w:tcBorders>
            <w:shd w:val="clear" w:color="auto" w:fill="auto"/>
            <w:noWrap/>
            <w:vAlign w:val="center"/>
            <w:hideMark/>
          </w:tcPr>
          <w:p w14:paraId="3AA0A18B"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1,9</w:t>
            </w:r>
          </w:p>
        </w:tc>
        <w:tc>
          <w:tcPr>
            <w:tcW w:w="567" w:type="dxa"/>
            <w:vAlign w:val="center"/>
          </w:tcPr>
          <w:p w14:paraId="3F622365" w14:textId="77777777" w:rsidR="00452914" w:rsidRPr="000F2639" w:rsidRDefault="00452914" w:rsidP="00452914">
            <w:pPr>
              <w:spacing w:after="0" w:line="240" w:lineRule="auto"/>
              <w:jc w:val="center"/>
            </w:pPr>
            <w:r w:rsidRPr="000F2639">
              <w:rPr>
                <w:rFonts w:cs="Arial"/>
                <w:color w:val="000000"/>
                <w:sz w:val="16"/>
                <w:szCs w:val="16"/>
              </w:rPr>
              <w:t>1,8</w:t>
            </w:r>
          </w:p>
        </w:tc>
        <w:tc>
          <w:tcPr>
            <w:tcW w:w="567" w:type="dxa"/>
            <w:vAlign w:val="center"/>
          </w:tcPr>
          <w:p w14:paraId="32F4A1A0" w14:textId="77777777" w:rsidR="00452914" w:rsidRPr="000F2639" w:rsidRDefault="00452914" w:rsidP="00452914">
            <w:pPr>
              <w:spacing w:after="0" w:line="240" w:lineRule="auto"/>
              <w:jc w:val="center"/>
              <w:rPr>
                <w:rFonts w:cs="Arial"/>
                <w:color w:val="000000"/>
                <w:sz w:val="16"/>
                <w:szCs w:val="16"/>
              </w:rPr>
            </w:pPr>
            <w:r>
              <w:rPr>
                <w:rFonts w:cs="Arial"/>
                <w:color w:val="000000"/>
                <w:sz w:val="16"/>
                <w:szCs w:val="16"/>
              </w:rPr>
              <w:t>1,8</w:t>
            </w:r>
          </w:p>
        </w:tc>
        <w:tc>
          <w:tcPr>
            <w:tcW w:w="567" w:type="dxa"/>
            <w:vAlign w:val="center"/>
          </w:tcPr>
          <w:p w14:paraId="03B65F5A" w14:textId="574AD64B" w:rsidR="00452914" w:rsidRDefault="00452914" w:rsidP="00452914">
            <w:pPr>
              <w:spacing w:after="0" w:line="240" w:lineRule="auto"/>
              <w:jc w:val="center"/>
              <w:rPr>
                <w:rFonts w:cs="Arial"/>
                <w:color w:val="000000"/>
                <w:sz w:val="16"/>
                <w:szCs w:val="16"/>
              </w:rPr>
            </w:pPr>
            <w:r>
              <w:rPr>
                <w:rFonts w:cs="Arial"/>
                <w:color w:val="000000"/>
                <w:sz w:val="16"/>
                <w:szCs w:val="16"/>
              </w:rPr>
              <w:t>1,5</w:t>
            </w:r>
          </w:p>
        </w:tc>
      </w:tr>
      <w:tr w:rsidR="00452914" w:rsidRPr="000F2639" w14:paraId="1B517ACD" w14:textId="06749EF2" w:rsidTr="00C609FE">
        <w:trPr>
          <w:trHeight w:val="300"/>
        </w:trPr>
        <w:tc>
          <w:tcPr>
            <w:tcW w:w="3401" w:type="dxa"/>
            <w:tcBorders>
              <w:top w:val="nil"/>
              <w:left w:val="nil"/>
              <w:bottom w:val="nil"/>
              <w:right w:val="single" w:sz="4" w:space="0" w:color="auto"/>
            </w:tcBorders>
            <w:shd w:val="clear" w:color="auto" w:fill="auto"/>
            <w:vAlign w:val="center"/>
            <w:hideMark/>
          </w:tcPr>
          <w:p w14:paraId="273C0ECA" w14:textId="77777777" w:rsidR="00452914" w:rsidRPr="000F2639" w:rsidRDefault="00452914" w:rsidP="00452914">
            <w:pPr>
              <w:spacing w:after="0" w:line="240" w:lineRule="auto"/>
              <w:ind w:firstLineChars="100" w:firstLine="160"/>
              <w:rPr>
                <w:rFonts w:cs="Arial"/>
                <w:color w:val="000000"/>
                <w:sz w:val="16"/>
                <w:szCs w:val="16"/>
              </w:rPr>
            </w:pPr>
            <w:r w:rsidRPr="000F2639">
              <w:rPr>
                <w:rFonts w:cs="Arial"/>
                <w:color w:val="000000"/>
                <w:sz w:val="16"/>
                <w:szCs w:val="16"/>
              </w:rPr>
              <w:t>K – Peněžnictví a pojišťovnictví</w:t>
            </w:r>
          </w:p>
        </w:tc>
        <w:tc>
          <w:tcPr>
            <w:tcW w:w="567" w:type="dxa"/>
            <w:tcBorders>
              <w:top w:val="nil"/>
              <w:left w:val="nil"/>
              <w:bottom w:val="nil"/>
              <w:right w:val="nil"/>
            </w:tcBorders>
            <w:shd w:val="clear" w:color="auto" w:fill="auto"/>
            <w:noWrap/>
            <w:vAlign w:val="center"/>
            <w:hideMark/>
          </w:tcPr>
          <w:p w14:paraId="73334747"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2,3</w:t>
            </w:r>
          </w:p>
        </w:tc>
        <w:tc>
          <w:tcPr>
            <w:tcW w:w="567" w:type="dxa"/>
            <w:tcBorders>
              <w:top w:val="nil"/>
              <w:left w:val="nil"/>
              <w:bottom w:val="nil"/>
              <w:right w:val="nil"/>
            </w:tcBorders>
            <w:shd w:val="clear" w:color="auto" w:fill="auto"/>
            <w:noWrap/>
            <w:vAlign w:val="center"/>
            <w:hideMark/>
          </w:tcPr>
          <w:p w14:paraId="1142670E"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2,4</w:t>
            </w:r>
          </w:p>
        </w:tc>
        <w:tc>
          <w:tcPr>
            <w:tcW w:w="567" w:type="dxa"/>
            <w:tcBorders>
              <w:top w:val="nil"/>
              <w:left w:val="nil"/>
              <w:bottom w:val="nil"/>
              <w:right w:val="nil"/>
            </w:tcBorders>
            <w:shd w:val="clear" w:color="auto" w:fill="auto"/>
            <w:noWrap/>
            <w:vAlign w:val="center"/>
            <w:hideMark/>
          </w:tcPr>
          <w:p w14:paraId="3B784C18"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2,6</w:t>
            </w:r>
          </w:p>
        </w:tc>
        <w:tc>
          <w:tcPr>
            <w:tcW w:w="567" w:type="dxa"/>
            <w:tcBorders>
              <w:top w:val="nil"/>
              <w:left w:val="nil"/>
              <w:bottom w:val="nil"/>
              <w:right w:val="nil"/>
            </w:tcBorders>
            <w:shd w:val="clear" w:color="auto" w:fill="auto"/>
            <w:noWrap/>
            <w:vAlign w:val="center"/>
            <w:hideMark/>
          </w:tcPr>
          <w:p w14:paraId="110BFD8D"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2,5</w:t>
            </w:r>
          </w:p>
        </w:tc>
        <w:tc>
          <w:tcPr>
            <w:tcW w:w="567" w:type="dxa"/>
            <w:tcBorders>
              <w:top w:val="nil"/>
              <w:left w:val="nil"/>
              <w:bottom w:val="nil"/>
              <w:right w:val="nil"/>
            </w:tcBorders>
            <w:shd w:val="clear" w:color="auto" w:fill="auto"/>
            <w:noWrap/>
            <w:vAlign w:val="center"/>
            <w:hideMark/>
          </w:tcPr>
          <w:p w14:paraId="140AD2FB"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2,5</w:t>
            </w:r>
          </w:p>
        </w:tc>
        <w:tc>
          <w:tcPr>
            <w:tcW w:w="567" w:type="dxa"/>
            <w:tcBorders>
              <w:top w:val="nil"/>
              <w:left w:val="nil"/>
              <w:bottom w:val="nil"/>
              <w:right w:val="nil"/>
            </w:tcBorders>
            <w:shd w:val="clear" w:color="auto" w:fill="auto"/>
            <w:noWrap/>
            <w:vAlign w:val="center"/>
            <w:hideMark/>
          </w:tcPr>
          <w:p w14:paraId="7E4CA8F8"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2,6</w:t>
            </w:r>
          </w:p>
        </w:tc>
        <w:tc>
          <w:tcPr>
            <w:tcW w:w="567" w:type="dxa"/>
            <w:tcBorders>
              <w:top w:val="nil"/>
              <w:left w:val="nil"/>
              <w:bottom w:val="nil"/>
              <w:right w:val="nil"/>
            </w:tcBorders>
            <w:shd w:val="clear" w:color="auto" w:fill="auto"/>
            <w:noWrap/>
            <w:vAlign w:val="center"/>
            <w:hideMark/>
          </w:tcPr>
          <w:p w14:paraId="5DFB1E5D"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2,7</w:t>
            </w:r>
          </w:p>
        </w:tc>
        <w:tc>
          <w:tcPr>
            <w:tcW w:w="567" w:type="dxa"/>
            <w:tcBorders>
              <w:top w:val="nil"/>
              <w:left w:val="nil"/>
              <w:bottom w:val="nil"/>
              <w:right w:val="nil"/>
            </w:tcBorders>
            <w:shd w:val="clear" w:color="auto" w:fill="auto"/>
            <w:noWrap/>
            <w:vAlign w:val="center"/>
            <w:hideMark/>
          </w:tcPr>
          <w:p w14:paraId="05C8C1C3"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2,7</w:t>
            </w:r>
          </w:p>
        </w:tc>
        <w:tc>
          <w:tcPr>
            <w:tcW w:w="567" w:type="dxa"/>
            <w:vAlign w:val="center"/>
          </w:tcPr>
          <w:p w14:paraId="01BDFF81" w14:textId="77777777" w:rsidR="00452914" w:rsidRPr="000F2639" w:rsidRDefault="00452914" w:rsidP="00452914">
            <w:pPr>
              <w:spacing w:after="0" w:line="240" w:lineRule="auto"/>
              <w:jc w:val="center"/>
            </w:pPr>
            <w:r w:rsidRPr="000F2639">
              <w:rPr>
                <w:rFonts w:cs="Arial"/>
                <w:color w:val="000000"/>
                <w:sz w:val="16"/>
                <w:szCs w:val="16"/>
              </w:rPr>
              <w:t>2,6</w:t>
            </w:r>
          </w:p>
        </w:tc>
        <w:tc>
          <w:tcPr>
            <w:tcW w:w="567" w:type="dxa"/>
            <w:vAlign w:val="center"/>
          </w:tcPr>
          <w:p w14:paraId="70FFAB09" w14:textId="77777777" w:rsidR="00452914" w:rsidRPr="000F2639" w:rsidRDefault="00452914" w:rsidP="00452914">
            <w:pPr>
              <w:spacing w:after="0" w:line="240" w:lineRule="auto"/>
              <w:jc w:val="center"/>
              <w:rPr>
                <w:rFonts w:cs="Arial"/>
                <w:color w:val="000000"/>
                <w:sz w:val="16"/>
                <w:szCs w:val="16"/>
              </w:rPr>
            </w:pPr>
            <w:r>
              <w:rPr>
                <w:rFonts w:cs="Arial"/>
                <w:color w:val="000000"/>
                <w:sz w:val="16"/>
                <w:szCs w:val="16"/>
              </w:rPr>
              <w:t>2,4</w:t>
            </w:r>
          </w:p>
        </w:tc>
        <w:tc>
          <w:tcPr>
            <w:tcW w:w="567" w:type="dxa"/>
            <w:vAlign w:val="center"/>
          </w:tcPr>
          <w:p w14:paraId="43025393" w14:textId="6D0BD695" w:rsidR="00452914" w:rsidRDefault="00452914" w:rsidP="00452914">
            <w:pPr>
              <w:spacing w:after="0" w:line="240" w:lineRule="auto"/>
              <w:jc w:val="center"/>
              <w:rPr>
                <w:rFonts w:cs="Arial"/>
                <w:color w:val="000000"/>
                <w:sz w:val="16"/>
                <w:szCs w:val="16"/>
              </w:rPr>
            </w:pPr>
            <w:r>
              <w:rPr>
                <w:rFonts w:cs="Arial"/>
                <w:color w:val="000000"/>
                <w:sz w:val="16"/>
                <w:szCs w:val="16"/>
              </w:rPr>
              <w:t>2,1</w:t>
            </w:r>
          </w:p>
        </w:tc>
      </w:tr>
      <w:tr w:rsidR="00452914" w:rsidRPr="000F2639" w14:paraId="6C570C07" w14:textId="4B4D07F1" w:rsidTr="00C609FE">
        <w:trPr>
          <w:trHeight w:val="300"/>
        </w:trPr>
        <w:tc>
          <w:tcPr>
            <w:tcW w:w="3401" w:type="dxa"/>
            <w:tcBorders>
              <w:top w:val="nil"/>
              <w:left w:val="nil"/>
              <w:bottom w:val="nil"/>
              <w:right w:val="single" w:sz="4" w:space="0" w:color="auto"/>
            </w:tcBorders>
            <w:shd w:val="clear" w:color="auto" w:fill="auto"/>
            <w:vAlign w:val="center"/>
            <w:hideMark/>
          </w:tcPr>
          <w:p w14:paraId="1FE0BEB3" w14:textId="77777777" w:rsidR="00452914" w:rsidRPr="000F2639" w:rsidRDefault="00452914" w:rsidP="00452914">
            <w:pPr>
              <w:spacing w:after="0" w:line="240" w:lineRule="auto"/>
              <w:ind w:firstLineChars="100" w:firstLine="160"/>
              <w:rPr>
                <w:rFonts w:cs="Arial"/>
                <w:color w:val="000000"/>
                <w:sz w:val="16"/>
                <w:szCs w:val="16"/>
              </w:rPr>
            </w:pPr>
            <w:r w:rsidRPr="000F2639">
              <w:rPr>
                <w:rFonts w:cs="Arial"/>
                <w:color w:val="000000"/>
                <w:sz w:val="16"/>
                <w:szCs w:val="16"/>
              </w:rPr>
              <w:t>L – Činnosti v oblasti nemovitostí</w:t>
            </w:r>
          </w:p>
        </w:tc>
        <w:tc>
          <w:tcPr>
            <w:tcW w:w="567" w:type="dxa"/>
            <w:tcBorders>
              <w:top w:val="nil"/>
              <w:left w:val="nil"/>
              <w:bottom w:val="nil"/>
              <w:right w:val="nil"/>
            </w:tcBorders>
            <w:shd w:val="clear" w:color="auto" w:fill="auto"/>
            <w:noWrap/>
            <w:vAlign w:val="center"/>
            <w:hideMark/>
          </w:tcPr>
          <w:p w14:paraId="0F933A94"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2,2</w:t>
            </w:r>
          </w:p>
        </w:tc>
        <w:tc>
          <w:tcPr>
            <w:tcW w:w="567" w:type="dxa"/>
            <w:tcBorders>
              <w:top w:val="nil"/>
              <w:left w:val="nil"/>
              <w:bottom w:val="nil"/>
              <w:right w:val="nil"/>
            </w:tcBorders>
            <w:shd w:val="clear" w:color="auto" w:fill="auto"/>
            <w:noWrap/>
            <w:vAlign w:val="center"/>
            <w:hideMark/>
          </w:tcPr>
          <w:p w14:paraId="1E3AEB60"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2,2</w:t>
            </w:r>
          </w:p>
        </w:tc>
        <w:tc>
          <w:tcPr>
            <w:tcW w:w="567" w:type="dxa"/>
            <w:tcBorders>
              <w:top w:val="nil"/>
              <w:left w:val="nil"/>
              <w:bottom w:val="nil"/>
              <w:right w:val="nil"/>
            </w:tcBorders>
            <w:shd w:val="clear" w:color="auto" w:fill="auto"/>
            <w:noWrap/>
            <w:vAlign w:val="center"/>
            <w:hideMark/>
          </w:tcPr>
          <w:p w14:paraId="556490C6"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2,3</w:t>
            </w:r>
          </w:p>
        </w:tc>
        <w:tc>
          <w:tcPr>
            <w:tcW w:w="567" w:type="dxa"/>
            <w:tcBorders>
              <w:top w:val="nil"/>
              <w:left w:val="nil"/>
              <w:bottom w:val="nil"/>
              <w:right w:val="nil"/>
            </w:tcBorders>
            <w:shd w:val="clear" w:color="auto" w:fill="auto"/>
            <w:noWrap/>
            <w:vAlign w:val="center"/>
            <w:hideMark/>
          </w:tcPr>
          <w:p w14:paraId="0E12E00A"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2,4</w:t>
            </w:r>
          </w:p>
        </w:tc>
        <w:tc>
          <w:tcPr>
            <w:tcW w:w="567" w:type="dxa"/>
            <w:tcBorders>
              <w:top w:val="nil"/>
              <w:left w:val="nil"/>
              <w:bottom w:val="nil"/>
              <w:right w:val="nil"/>
            </w:tcBorders>
            <w:shd w:val="clear" w:color="auto" w:fill="auto"/>
            <w:noWrap/>
            <w:vAlign w:val="center"/>
            <w:hideMark/>
          </w:tcPr>
          <w:p w14:paraId="05298686"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2,3</w:t>
            </w:r>
          </w:p>
        </w:tc>
        <w:tc>
          <w:tcPr>
            <w:tcW w:w="567" w:type="dxa"/>
            <w:tcBorders>
              <w:top w:val="nil"/>
              <w:left w:val="nil"/>
              <w:bottom w:val="nil"/>
              <w:right w:val="nil"/>
            </w:tcBorders>
            <w:shd w:val="clear" w:color="auto" w:fill="auto"/>
            <w:noWrap/>
            <w:vAlign w:val="center"/>
            <w:hideMark/>
          </w:tcPr>
          <w:p w14:paraId="251A8093"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2,4</w:t>
            </w:r>
          </w:p>
        </w:tc>
        <w:tc>
          <w:tcPr>
            <w:tcW w:w="567" w:type="dxa"/>
            <w:tcBorders>
              <w:top w:val="nil"/>
              <w:left w:val="nil"/>
              <w:bottom w:val="nil"/>
              <w:right w:val="nil"/>
            </w:tcBorders>
            <w:shd w:val="clear" w:color="auto" w:fill="auto"/>
            <w:noWrap/>
            <w:vAlign w:val="center"/>
            <w:hideMark/>
          </w:tcPr>
          <w:p w14:paraId="04C33C3B"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2,6</w:t>
            </w:r>
          </w:p>
        </w:tc>
        <w:tc>
          <w:tcPr>
            <w:tcW w:w="567" w:type="dxa"/>
            <w:tcBorders>
              <w:top w:val="nil"/>
              <w:left w:val="nil"/>
              <w:bottom w:val="nil"/>
              <w:right w:val="nil"/>
            </w:tcBorders>
            <w:shd w:val="clear" w:color="auto" w:fill="auto"/>
            <w:noWrap/>
            <w:vAlign w:val="center"/>
            <w:hideMark/>
          </w:tcPr>
          <w:p w14:paraId="50EA5915"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3,1</w:t>
            </w:r>
          </w:p>
        </w:tc>
        <w:tc>
          <w:tcPr>
            <w:tcW w:w="567" w:type="dxa"/>
            <w:vAlign w:val="center"/>
          </w:tcPr>
          <w:p w14:paraId="49685691" w14:textId="77777777" w:rsidR="00452914" w:rsidRPr="000F2639" w:rsidRDefault="00452914" w:rsidP="00452914">
            <w:pPr>
              <w:spacing w:after="0" w:line="240" w:lineRule="auto"/>
              <w:jc w:val="center"/>
            </w:pPr>
            <w:r w:rsidRPr="000F2639">
              <w:rPr>
                <w:rFonts w:cs="Arial"/>
                <w:color w:val="000000"/>
                <w:sz w:val="16"/>
                <w:szCs w:val="16"/>
              </w:rPr>
              <w:t>3,1</w:t>
            </w:r>
          </w:p>
        </w:tc>
        <w:tc>
          <w:tcPr>
            <w:tcW w:w="567" w:type="dxa"/>
            <w:vAlign w:val="center"/>
          </w:tcPr>
          <w:p w14:paraId="42CDCDA5" w14:textId="77777777" w:rsidR="00452914" w:rsidRPr="000F2639" w:rsidRDefault="00452914" w:rsidP="00452914">
            <w:pPr>
              <w:spacing w:after="0" w:line="240" w:lineRule="auto"/>
              <w:jc w:val="center"/>
              <w:rPr>
                <w:rFonts w:cs="Arial"/>
                <w:color w:val="000000"/>
                <w:sz w:val="16"/>
                <w:szCs w:val="16"/>
              </w:rPr>
            </w:pPr>
            <w:r>
              <w:rPr>
                <w:rFonts w:cs="Arial"/>
                <w:color w:val="000000"/>
                <w:sz w:val="16"/>
                <w:szCs w:val="16"/>
              </w:rPr>
              <w:t>3,0</w:t>
            </w:r>
          </w:p>
        </w:tc>
        <w:tc>
          <w:tcPr>
            <w:tcW w:w="567" w:type="dxa"/>
            <w:vAlign w:val="center"/>
          </w:tcPr>
          <w:p w14:paraId="653684B6" w14:textId="7A33FC13" w:rsidR="00452914" w:rsidRDefault="00452914" w:rsidP="00452914">
            <w:pPr>
              <w:spacing w:after="0" w:line="240" w:lineRule="auto"/>
              <w:jc w:val="center"/>
              <w:rPr>
                <w:rFonts w:cs="Arial"/>
                <w:color w:val="000000"/>
                <w:sz w:val="16"/>
                <w:szCs w:val="16"/>
              </w:rPr>
            </w:pPr>
            <w:r>
              <w:rPr>
                <w:rFonts w:cs="Arial"/>
                <w:color w:val="000000"/>
                <w:sz w:val="16"/>
                <w:szCs w:val="16"/>
              </w:rPr>
              <w:t>2,6</w:t>
            </w:r>
          </w:p>
        </w:tc>
      </w:tr>
      <w:tr w:rsidR="00452914" w:rsidRPr="000F2639" w14:paraId="759D1980" w14:textId="778E23FD" w:rsidTr="00C609FE">
        <w:trPr>
          <w:trHeight w:val="300"/>
        </w:trPr>
        <w:tc>
          <w:tcPr>
            <w:tcW w:w="3401" w:type="dxa"/>
            <w:tcBorders>
              <w:top w:val="nil"/>
              <w:left w:val="nil"/>
              <w:bottom w:val="nil"/>
              <w:right w:val="single" w:sz="4" w:space="0" w:color="auto"/>
            </w:tcBorders>
            <w:shd w:val="clear" w:color="auto" w:fill="auto"/>
            <w:vAlign w:val="center"/>
            <w:hideMark/>
          </w:tcPr>
          <w:p w14:paraId="6275679F" w14:textId="77777777" w:rsidR="00452914" w:rsidRPr="000F2639" w:rsidRDefault="00452914" w:rsidP="00452914">
            <w:pPr>
              <w:spacing w:after="0" w:line="240" w:lineRule="auto"/>
              <w:ind w:firstLineChars="100" w:firstLine="160"/>
              <w:rPr>
                <w:rFonts w:cs="Arial"/>
                <w:color w:val="000000"/>
                <w:sz w:val="16"/>
                <w:szCs w:val="16"/>
              </w:rPr>
            </w:pPr>
            <w:r w:rsidRPr="000F2639">
              <w:rPr>
                <w:rFonts w:cs="Arial"/>
                <w:color w:val="000000"/>
                <w:sz w:val="16"/>
                <w:szCs w:val="16"/>
              </w:rPr>
              <w:t>M – Profesní, vědecké a technické činnosti</w:t>
            </w:r>
          </w:p>
        </w:tc>
        <w:tc>
          <w:tcPr>
            <w:tcW w:w="567" w:type="dxa"/>
            <w:tcBorders>
              <w:top w:val="nil"/>
              <w:left w:val="nil"/>
              <w:bottom w:val="nil"/>
              <w:right w:val="nil"/>
            </w:tcBorders>
            <w:shd w:val="clear" w:color="auto" w:fill="auto"/>
            <w:noWrap/>
            <w:vAlign w:val="center"/>
            <w:hideMark/>
          </w:tcPr>
          <w:p w14:paraId="3DB9997B"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2,1</w:t>
            </w:r>
          </w:p>
        </w:tc>
        <w:tc>
          <w:tcPr>
            <w:tcW w:w="567" w:type="dxa"/>
            <w:tcBorders>
              <w:top w:val="nil"/>
              <w:left w:val="nil"/>
              <w:bottom w:val="nil"/>
              <w:right w:val="nil"/>
            </w:tcBorders>
            <w:shd w:val="clear" w:color="auto" w:fill="auto"/>
            <w:noWrap/>
            <w:vAlign w:val="center"/>
            <w:hideMark/>
          </w:tcPr>
          <w:p w14:paraId="1441CC4B"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2,1</w:t>
            </w:r>
          </w:p>
        </w:tc>
        <w:tc>
          <w:tcPr>
            <w:tcW w:w="567" w:type="dxa"/>
            <w:tcBorders>
              <w:top w:val="nil"/>
              <w:left w:val="nil"/>
              <w:bottom w:val="nil"/>
              <w:right w:val="nil"/>
            </w:tcBorders>
            <w:shd w:val="clear" w:color="auto" w:fill="auto"/>
            <w:noWrap/>
            <w:vAlign w:val="center"/>
            <w:hideMark/>
          </w:tcPr>
          <w:p w14:paraId="3B470D19"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2,2</w:t>
            </w:r>
          </w:p>
        </w:tc>
        <w:tc>
          <w:tcPr>
            <w:tcW w:w="567" w:type="dxa"/>
            <w:tcBorders>
              <w:top w:val="nil"/>
              <w:left w:val="nil"/>
              <w:bottom w:val="nil"/>
              <w:right w:val="nil"/>
            </w:tcBorders>
            <w:shd w:val="clear" w:color="auto" w:fill="auto"/>
            <w:noWrap/>
            <w:vAlign w:val="center"/>
            <w:hideMark/>
          </w:tcPr>
          <w:p w14:paraId="2FCE463C"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2,3</w:t>
            </w:r>
          </w:p>
        </w:tc>
        <w:tc>
          <w:tcPr>
            <w:tcW w:w="567" w:type="dxa"/>
            <w:tcBorders>
              <w:top w:val="nil"/>
              <w:left w:val="nil"/>
              <w:bottom w:val="nil"/>
              <w:right w:val="nil"/>
            </w:tcBorders>
            <w:shd w:val="clear" w:color="auto" w:fill="auto"/>
            <w:noWrap/>
            <w:vAlign w:val="center"/>
            <w:hideMark/>
          </w:tcPr>
          <w:p w14:paraId="17693095"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2,3</w:t>
            </w:r>
          </w:p>
        </w:tc>
        <w:tc>
          <w:tcPr>
            <w:tcW w:w="567" w:type="dxa"/>
            <w:tcBorders>
              <w:top w:val="nil"/>
              <w:left w:val="nil"/>
              <w:bottom w:val="nil"/>
              <w:right w:val="nil"/>
            </w:tcBorders>
            <w:shd w:val="clear" w:color="auto" w:fill="auto"/>
            <w:noWrap/>
            <w:vAlign w:val="center"/>
            <w:hideMark/>
          </w:tcPr>
          <w:p w14:paraId="3979943A"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2,4</w:t>
            </w:r>
          </w:p>
        </w:tc>
        <w:tc>
          <w:tcPr>
            <w:tcW w:w="567" w:type="dxa"/>
            <w:tcBorders>
              <w:top w:val="nil"/>
              <w:left w:val="nil"/>
              <w:bottom w:val="nil"/>
              <w:right w:val="nil"/>
            </w:tcBorders>
            <w:shd w:val="clear" w:color="auto" w:fill="auto"/>
            <w:noWrap/>
            <w:vAlign w:val="center"/>
            <w:hideMark/>
          </w:tcPr>
          <w:p w14:paraId="08385595"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2,5</w:t>
            </w:r>
          </w:p>
        </w:tc>
        <w:tc>
          <w:tcPr>
            <w:tcW w:w="567" w:type="dxa"/>
            <w:tcBorders>
              <w:top w:val="nil"/>
              <w:left w:val="nil"/>
              <w:bottom w:val="nil"/>
              <w:right w:val="nil"/>
            </w:tcBorders>
            <w:shd w:val="clear" w:color="auto" w:fill="auto"/>
            <w:noWrap/>
            <w:vAlign w:val="center"/>
            <w:hideMark/>
          </w:tcPr>
          <w:p w14:paraId="7437E6CE"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2,8</w:t>
            </w:r>
          </w:p>
        </w:tc>
        <w:tc>
          <w:tcPr>
            <w:tcW w:w="567" w:type="dxa"/>
            <w:vAlign w:val="center"/>
          </w:tcPr>
          <w:p w14:paraId="1F9E5716" w14:textId="77777777" w:rsidR="00452914" w:rsidRPr="000F2639" w:rsidRDefault="00452914" w:rsidP="00452914">
            <w:pPr>
              <w:spacing w:after="0" w:line="240" w:lineRule="auto"/>
              <w:jc w:val="center"/>
            </w:pPr>
            <w:r w:rsidRPr="000F2639">
              <w:rPr>
                <w:rFonts w:cs="Arial"/>
                <w:color w:val="000000"/>
                <w:sz w:val="16"/>
                <w:szCs w:val="16"/>
              </w:rPr>
              <w:t>2,7</w:t>
            </w:r>
          </w:p>
        </w:tc>
        <w:tc>
          <w:tcPr>
            <w:tcW w:w="567" w:type="dxa"/>
            <w:vAlign w:val="center"/>
          </w:tcPr>
          <w:p w14:paraId="187FB05A" w14:textId="77777777" w:rsidR="00452914" w:rsidRPr="000F2639" w:rsidRDefault="00452914" w:rsidP="00452914">
            <w:pPr>
              <w:spacing w:after="0" w:line="240" w:lineRule="auto"/>
              <w:jc w:val="center"/>
              <w:rPr>
                <w:rFonts w:cs="Arial"/>
                <w:color w:val="000000"/>
                <w:sz w:val="16"/>
                <w:szCs w:val="16"/>
              </w:rPr>
            </w:pPr>
            <w:r>
              <w:rPr>
                <w:rFonts w:cs="Arial"/>
                <w:color w:val="000000"/>
                <w:sz w:val="16"/>
                <w:szCs w:val="16"/>
              </w:rPr>
              <w:t>2,5</w:t>
            </w:r>
          </w:p>
        </w:tc>
        <w:tc>
          <w:tcPr>
            <w:tcW w:w="567" w:type="dxa"/>
            <w:vAlign w:val="center"/>
          </w:tcPr>
          <w:p w14:paraId="23079401" w14:textId="375A5F1C" w:rsidR="00452914" w:rsidRDefault="00452914" w:rsidP="00452914">
            <w:pPr>
              <w:spacing w:after="0" w:line="240" w:lineRule="auto"/>
              <w:jc w:val="center"/>
              <w:rPr>
                <w:rFonts w:cs="Arial"/>
                <w:color w:val="000000"/>
                <w:sz w:val="16"/>
                <w:szCs w:val="16"/>
              </w:rPr>
            </w:pPr>
            <w:r>
              <w:rPr>
                <w:rFonts w:cs="Arial"/>
                <w:color w:val="000000"/>
                <w:sz w:val="16"/>
                <w:szCs w:val="16"/>
              </w:rPr>
              <w:t>2,2</w:t>
            </w:r>
          </w:p>
        </w:tc>
      </w:tr>
      <w:tr w:rsidR="00452914" w:rsidRPr="000F2639" w14:paraId="5EC493D6" w14:textId="74C59DD6" w:rsidTr="00C609FE">
        <w:trPr>
          <w:trHeight w:val="300"/>
        </w:trPr>
        <w:tc>
          <w:tcPr>
            <w:tcW w:w="3401" w:type="dxa"/>
            <w:tcBorders>
              <w:top w:val="nil"/>
              <w:left w:val="nil"/>
              <w:bottom w:val="nil"/>
              <w:right w:val="single" w:sz="4" w:space="0" w:color="auto"/>
            </w:tcBorders>
            <w:shd w:val="clear" w:color="auto" w:fill="auto"/>
            <w:vAlign w:val="center"/>
            <w:hideMark/>
          </w:tcPr>
          <w:p w14:paraId="26E8352B" w14:textId="77777777" w:rsidR="00452914" w:rsidRPr="000F2639" w:rsidRDefault="00452914" w:rsidP="00452914">
            <w:pPr>
              <w:spacing w:after="0" w:line="240" w:lineRule="auto"/>
              <w:ind w:firstLineChars="100" w:firstLine="160"/>
              <w:rPr>
                <w:rFonts w:cs="Arial"/>
                <w:color w:val="000000"/>
                <w:sz w:val="16"/>
                <w:szCs w:val="16"/>
              </w:rPr>
            </w:pPr>
            <w:r w:rsidRPr="000F2639">
              <w:rPr>
                <w:rFonts w:cs="Arial"/>
                <w:color w:val="000000"/>
                <w:sz w:val="16"/>
                <w:szCs w:val="16"/>
              </w:rPr>
              <w:t>N – Administrativní a podpůrné činnosti</w:t>
            </w:r>
          </w:p>
        </w:tc>
        <w:tc>
          <w:tcPr>
            <w:tcW w:w="567" w:type="dxa"/>
            <w:tcBorders>
              <w:top w:val="nil"/>
              <w:left w:val="nil"/>
              <w:bottom w:val="nil"/>
              <w:right w:val="nil"/>
            </w:tcBorders>
            <w:shd w:val="clear" w:color="auto" w:fill="auto"/>
            <w:noWrap/>
            <w:vAlign w:val="center"/>
            <w:hideMark/>
          </w:tcPr>
          <w:p w14:paraId="52203A48"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4,1</w:t>
            </w:r>
          </w:p>
        </w:tc>
        <w:tc>
          <w:tcPr>
            <w:tcW w:w="567" w:type="dxa"/>
            <w:tcBorders>
              <w:top w:val="nil"/>
              <w:left w:val="nil"/>
              <w:bottom w:val="nil"/>
              <w:right w:val="nil"/>
            </w:tcBorders>
            <w:shd w:val="clear" w:color="auto" w:fill="auto"/>
            <w:noWrap/>
            <w:vAlign w:val="center"/>
            <w:hideMark/>
          </w:tcPr>
          <w:p w14:paraId="3968D0AC"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4,6</w:t>
            </w:r>
          </w:p>
        </w:tc>
        <w:tc>
          <w:tcPr>
            <w:tcW w:w="567" w:type="dxa"/>
            <w:tcBorders>
              <w:top w:val="nil"/>
              <w:left w:val="nil"/>
              <w:bottom w:val="nil"/>
              <w:right w:val="nil"/>
            </w:tcBorders>
            <w:shd w:val="clear" w:color="auto" w:fill="auto"/>
            <w:noWrap/>
            <w:vAlign w:val="center"/>
            <w:hideMark/>
          </w:tcPr>
          <w:p w14:paraId="051A1B46"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5,1</w:t>
            </w:r>
          </w:p>
        </w:tc>
        <w:tc>
          <w:tcPr>
            <w:tcW w:w="567" w:type="dxa"/>
            <w:tcBorders>
              <w:top w:val="nil"/>
              <w:left w:val="nil"/>
              <w:bottom w:val="nil"/>
              <w:right w:val="nil"/>
            </w:tcBorders>
            <w:shd w:val="clear" w:color="auto" w:fill="auto"/>
            <w:noWrap/>
            <w:vAlign w:val="center"/>
            <w:hideMark/>
          </w:tcPr>
          <w:p w14:paraId="5594F62A"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5,2</w:t>
            </w:r>
          </w:p>
        </w:tc>
        <w:tc>
          <w:tcPr>
            <w:tcW w:w="567" w:type="dxa"/>
            <w:tcBorders>
              <w:top w:val="nil"/>
              <w:left w:val="nil"/>
              <w:bottom w:val="nil"/>
              <w:right w:val="nil"/>
            </w:tcBorders>
            <w:shd w:val="clear" w:color="auto" w:fill="auto"/>
            <w:noWrap/>
            <w:vAlign w:val="center"/>
            <w:hideMark/>
          </w:tcPr>
          <w:p w14:paraId="4EB489C4"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5,2</w:t>
            </w:r>
          </w:p>
        </w:tc>
        <w:tc>
          <w:tcPr>
            <w:tcW w:w="567" w:type="dxa"/>
            <w:tcBorders>
              <w:top w:val="nil"/>
              <w:left w:val="nil"/>
              <w:bottom w:val="nil"/>
              <w:right w:val="nil"/>
            </w:tcBorders>
            <w:shd w:val="clear" w:color="auto" w:fill="auto"/>
            <w:noWrap/>
            <w:vAlign w:val="center"/>
            <w:hideMark/>
          </w:tcPr>
          <w:p w14:paraId="7F15FC3E"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5,4</w:t>
            </w:r>
          </w:p>
        </w:tc>
        <w:tc>
          <w:tcPr>
            <w:tcW w:w="567" w:type="dxa"/>
            <w:tcBorders>
              <w:top w:val="nil"/>
              <w:left w:val="nil"/>
              <w:bottom w:val="nil"/>
              <w:right w:val="nil"/>
            </w:tcBorders>
            <w:shd w:val="clear" w:color="auto" w:fill="auto"/>
            <w:noWrap/>
            <w:vAlign w:val="center"/>
            <w:hideMark/>
          </w:tcPr>
          <w:p w14:paraId="097AC0C7"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5,8</w:t>
            </w:r>
          </w:p>
        </w:tc>
        <w:tc>
          <w:tcPr>
            <w:tcW w:w="567" w:type="dxa"/>
            <w:tcBorders>
              <w:top w:val="nil"/>
              <w:left w:val="nil"/>
              <w:bottom w:val="nil"/>
              <w:right w:val="nil"/>
            </w:tcBorders>
            <w:shd w:val="clear" w:color="auto" w:fill="auto"/>
            <w:noWrap/>
            <w:vAlign w:val="center"/>
            <w:hideMark/>
          </w:tcPr>
          <w:p w14:paraId="45423549"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6,8</w:t>
            </w:r>
          </w:p>
        </w:tc>
        <w:tc>
          <w:tcPr>
            <w:tcW w:w="567" w:type="dxa"/>
            <w:vAlign w:val="center"/>
          </w:tcPr>
          <w:p w14:paraId="180304B1" w14:textId="77777777" w:rsidR="00452914" w:rsidRPr="000F2639" w:rsidRDefault="00452914" w:rsidP="00452914">
            <w:pPr>
              <w:spacing w:after="0" w:line="240" w:lineRule="auto"/>
              <w:jc w:val="center"/>
            </w:pPr>
            <w:r w:rsidRPr="000F2639">
              <w:rPr>
                <w:rFonts w:cs="Arial"/>
                <w:color w:val="000000"/>
                <w:sz w:val="16"/>
                <w:szCs w:val="16"/>
              </w:rPr>
              <w:t>6,9</w:t>
            </w:r>
          </w:p>
        </w:tc>
        <w:tc>
          <w:tcPr>
            <w:tcW w:w="567" w:type="dxa"/>
            <w:vAlign w:val="center"/>
          </w:tcPr>
          <w:p w14:paraId="46D7C59B" w14:textId="77777777" w:rsidR="00452914" w:rsidRPr="000F2639" w:rsidRDefault="00452914" w:rsidP="00452914">
            <w:pPr>
              <w:spacing w:after="0" w:line="240" w:lineRule="auto"/>
              <w:jc w:val="center"/>
              <w:rPr>
                <w:rFonts w:cs="Arial"/>
                <w:color w:val="000000"/>
                <w:sz w:val="16"/>
                <w:szCs w:val="16"/>
              </w:rPr>
            </w:pPr>
            <w:r>
              <w:rPr>
                <w:rFonts w:cs="Arial"/>
                <w:color w:val="000000"/>
                <w:sz w:val="16"/>
                <w:szCs w:val="16"/>
              </w:rPr>
              <w:t>6,2</w:t>
            </w:r>
          </w:p>
        </w:tc>
        <w:tc>
          <w:tcPr>
            <w:tcW w:w="567" w:type="dxa"/>
            <w:vAlign w:val="center"/>
          </w:tcPr>
          <w:p w14:paraId="5C4512C7" w14:textId="20FF98E7" w:rsidR="00452914" w:rsidRDefault="00452914" w:rsidP="00452914">
            <w:pPr>
              <w:spacing w:after="0" w:line="240" w:lineRule="auto"/>
              <w:jc w:val="center"/>
              <w:rPr>
                <w:rFonts w:cs="Arial"/>
                <w:color w:val="000000"/>
                <w:sz w:val="16"/>
                <w:szCs w:val="16"/>
              </w:rPr>
            </w:pPr>
            <w:r>
              <w:rPr>
                <w:rFonts w:cs="Arial"/>
                <w:color w:val="000000"/>
                <w:sz w:val="16"/>
                <w:szCs w:val="16"/>
              </w:rPr>
              <w:t>5,4</w:t>
            </w:r>
          </w:p>
        </w:tc>
      </w:tr>
      <w:tr w:rsidR="00452914" w:rsidRPr="000F2639" w14:paraId="1AAF3D50" w14:textId="60EE35D5" w:rsidTr="00C609FE">
        <w:trPr>
          <w:trHeight w:val="480"/>
        </w:trPr>
        <w:tc>
          <w:tcPr>
            <w:tcW w:w="3401" w:type="dxa"/>
            <w:tcBorders>
              <w:top w:val="nil"/>
              <w:left w:val="nil"/>
              <w:bottom w:val="nil"/>
              <w:right w:val="single" w:sz="4" w:space="0" w:color="auto"/>
            </w:tcBorders>
            <w:shd w:val="clear" w:color="auto" w:fill="auto"/>
            <w:vAlign w:val="center"/>
            <w:hideMark/>
          </w:tcPr>
          <w:p w14:paraId="3668725A" w14:textId="77777777" w:rsidR="00452914" w:rsidRPr="000F2639" w:rsidRDefault="00452914" w:rsidP="00452914">
            <w:pPr>
              <w:spacing w:after="0" w:line="240" w:lineRule="auto"/>
              <w:ind w:firstLineChars="100" w:firstLine="160"/>
              <w:rPr>
                <w:rFonts w:cs="Arial"/>
                <w:color w:val="000000"/>
                <w:sz w:val="16"/>
                <w:szCs w:val="16"/>
              </w:rPr>
            </w:pPr>
            <w:r w:rsidRPr="000F2639">
              <w:rPr>
                <w:rFonts w:cs="Arial"/>
                <w:color w:val="000000"/>
                <w:sz w:val="16"/>
                <w:szCs w:val="16"/>
              </w:rPr>
              <w:t xml:space="preserve">O – Veřejná správa a obrana; </w:t>
            </w:r>
            <w:r w:rsidRPr="000F2639">
              <w:rPr>
                <w:rFonts w:cs="Arial"/>
                <w:color w:val="000000"/>
                <w:sz w:val="16"/>
                <w:szCs w:val="16"/>
              </w:rPr>
              <w:br/>
              <w:t xml:space="preserve">          povinné sociální zabezpečení</w:t>
            </w:r>
          </w:p>
        </w:tc>
        <w:tc>
          <w:tcPr>
            <w:tcW w:w="567" w:type="dxa"/>
            <w:tcBorders>
              <w:top w:val="nil"/>
              <w:left w:val="nil"/>
              <w:bottom w:val="nil"/>
              <w:right w:val="nil"/>
            </w:tcBorders>
            <w:shd w:val="clear" w:color="auto" w:fill="auto"/>
            <w:noWrap/>
            <w:vAlign w:val="center"/>
            <w:hideMark/>
          </w:tcPr>
          <w:p w14:paraId="3D7FC681"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2,7</w:t>
            </w:r>
          </w:p>
        </w:tc>
        <w:tc>
          <w:tcPr>
            <w:tcW w:w="567" w:type="dxa"/>
            <w:tcBorders>
              <w:top w:val="nil"/>
              <w:left w:val="nil"/>
              <w:bottom w:val="nil"/>
              <w:right w:val="nil"/>
            </w:tcBorders>
            <w:shd w:val="clear" w:color="auto" w:fill="auto"/>
            <w:noWrap/>
            <w:vAlign w:val="center"/>
            <w:hideMark/>
          </w:tcPr>
          <w:p w14:paraId="69EF167B"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2,7</w:t>
            </w:r>
          </w:p>
        </w:tc>
        <w:tc>
          <w:tcPr>
            <w:tcW w:w="567" w:type="dxa"/>
            <w:tcBorders>
              <w:top w:val="nil"/>
              <w:left w:val="nil"/>
              <w:bottom w:val="nil"/>
              <w:right w:val="nil"/>
            </w:tcBorders>
            <w:shd w:val="clear" w:color="auto" w:fill="auto"/>
            <w:noWrap/>
            <w:vAlign w:val="center"/>
            <w:hideMark/>
          </w:tcPr>
          <w:p w14:paraId="143E61CD"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3,1</w:t>
            </w:r>
          </w:p>
        </w:tc>
        <w:tc>
          <w:tcPr>
            <w:tcW w:w="567" w:type="dxa"/>
            <w:tcBorders>
              <w:top w:val="nil"/>
              <w:left w:val="nil"/>
              <w:bottom w:val="nil"/>
              <w:right w:val="nil"/>
            </w:tcBorders>
            <w:shd w:val="clear" w:color="auto" w:fill="auto"/>
            <w:noWrap/>
            <w:vAlign w:val="center"/>
            <w:hideMark/>
          </w:tcPr>
          <w:p w14:paraId="383AA547"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3,1</w:t>
            </w:r>
          </w:p>
        </w:tc>
        <w:tc>
          <w:tcPr>
            <w:tcW w:w="567" w:type="dxa"/>
            <w:tcBorders>
              <w:top w:val="nil"/>
              <w:left w:val="nil"/>
              <w:bottom w:val="nil"/>
              <w:right w:val="nil"/>
            </w:tcBorders>
            <w:shd w:val="clear" w:color="auto" w:fill="auto"/>
            <w:noWrap/>
            <w:vAlign w:val="center"/>
            <w:hideMark/>
          </w:tcPr>
          <w:p w14:paraId="3CE36A49"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3,1</w:t>
            </w:r>
          </w:p>
        </w:tc>
        <w:tc>
          <w:tcPr>
            <w:tcW w:w="567" w:type="dxa"/>
            <w:tcBorders>
              <w:top w:val="nil"/>
              <w:left w:val="nil"/>
              <w:bottom w:val="nil"/>
              <w:right w:val="nil"/>
            </w:tcBorders>
            <w:shd w:val="clear" w:color="auto" w:fill="auto"/>
            <w:noWrap/>
            <w:vAlign w:val="center"/>
            <w:hideMark/>
          </w:tcPr>
          <w:p w14:paraId="7B715605"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3,3</w:t>
            </w:r>
          </w:p>
        </w:tc>
        <w:tc>
          <w:tcPr>
            <w:tcW w:w="567" w:type="dxa"/>
            <w:tcBorders>
              <w:top w:val="nil"/>
              <w:left w:val="nil"/>
              <w:bottom w:val="nil"/>
              <w:right w:val="nil"/>
            </w:tcBorders>
            <w:shd w:val="clear" w:color="auto" w:fill="auto"/>
            <w:noWrap/>
            <w:vAlign w:val="center"/>
            <w:hideMark/>
          </w:tcPr>
          <w:p w14:paraId="45FE0669"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3,4</w:t>
            </w:r>
          </w:p>
        </w:tc>
        <w:tc>
          <w:tcPr>
            <w:tcW w:w="567" w:type="dxa"/>
            <w:tcBorders>
              <w:top w:val="nil"/>
              <w:left w:val="nil"/>
              <w:bottom w:val="nil"/>
              <w:right w:val="nil"/>
            </w:tcBorders>
            <w:shd w:val="clear" w:color="auto" w:fill="auto"/>
            <w:noWrap/>
            <w:vAlign w:val="center"/>
            <w:hideMark/>
          </w:tcPr>
          <w:p w14:paraId="3D48C914"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3,9</w:t>
            </w:r>
          </w:p>
        </w:tc>
        <w:tc>
          <w:tcPr>
            <w:tcW w:w="567" w:type="dxa"/>
            <w:vAlign w:val="center"/>
          </w:tcPr>
          <w:p w14:paraId="2C56E36D" w14:textId="77777777" w:rsidR="00452914" w:rsidRPr="000F2639" w:rsidRDefault="00452914" w:rsidP="00452914">
            <w:pPr>
              <w:spacing w:after="0" w:line="240" w:lineRule="auto"/>
              <w:jc w:val="center"/>
            </w:pPr>
            <w:r w:rsidRPr="000F2639">
              <w:rPr>
                <w:rFonts w:cs="Arial"/>
                <w:color w:val="000000"/>
                <w:sz w:val="16"/>
                <w:szCs w:val="16"/>
              </w:rPr>
              <w:t>4,1</w:t>
            </w:r>
          </w:p>
        </w:tc>
        <w:tc>
          <w:tcPr>
            <w:tcW w:w="567" w:type="dxa"/>
            <w:vAlign w:val="center"/>
          </w:tcPr>
          <w:p w14:paraId="1C5F9A4D" w14:textId="77777777" w:rsidR="00452914" w:rsidRPr="000F2639" w:rsidRDefault="00452914" w:rsidP="00452914">
            <w:pPr>
              <w:spacing w:after="0" w:line="240" w:lineRule="auto"/>
              <w:jc w:val="center"/>
              <w:rPr>
                <w:rFonts w:cs="Arial"/>
                <w:color w:val="000000"/>
                <w:sz w:val="16"/>
                <w:szCs w:val="16"/>
              </w:rPr>
            </w:pPr>
            <w:r>
              <w:rPr>
                <w:rFonts w:cs="Arial"/>
                <w:color w:val="000000"/>
                <w:sz w:val="16"/>
                <w:szCs w:val="16"/>
              </w:rPr>
              <w:t>4,4</w:t>
            </w:r>
          </w:p>
        </w:tc>
        <w:tc>
          <w:tcPr>
            <w:tcW w:w="567" w:type="dxa"/>
            <w:vAlign w:val="center"/>
          </w:tcPr>
          <w:p w14:paraId="2D94088B" w14:textId="0899A6B2" w:rsidR="00452914" w:rsidRDefault="00452914" w:rsidP="00452914">
            <w:pPr>
              <w:spacing w:after="0" w:line="240" w:lineRule="auto"/>
              <w:jc w:val="center"/>
              <w:rPr>
                <w:rFonts w:cs="Arial"/>
                <w:color w:val="000000"/>
                <w:sz w:val="16"/>
                <w:szCs w:val="16"/>
              </w:rPr>
            </w:pPr>
            <w:r>
              <w:rPr>
                <w:rFonts w:cs="Arial"/>
                <w:color w:val="000000"/>
                <w:sz w:val="16"/>
                <w:szCs w:val="16"/>
              </w:rPr>
              <w:t>3,7</w:t>
            </w:r>
          </w:p>
        </w:tc>
      </w:tr>
      <w:tr w:rsidR="00452914" w:rsidRPr="000F2639" w14:paraId="3F2CAEE9" w14:textId="23188002" w:rsidTr="00C609FE">
        <w:trPr>
          <w:trHeight w:val="300"/>
        </w:trPr>
        <w:tc>
          <w:tcPr>
            <w:tcW w:w="3401" w:type="dxa"/>
            <w:tcBorders>
              <w:top w:val="nil"/>
              <w:left w:val="nil"/>
              <w:bottom w:val="nil"/>
              <w:right w:val="single" w:sz="4" w:space="0" w:color="auto"/>
            </w:tcBorders>
            <w:shd w:val="clear" w:color="auto" w:fill="auto"/>
            <w:vAlign w:val="center"/>
            <w:hideMark/>
          </w:tcPr>
          <w:p w14:paraId="4FCFE886" w14:textId="77777777" w:rsidR="00452914" w:rsidRPr="000F2639" w:rsidRDefault="00452914" w:rsidP="00452914">
            <w:pPr>
              <w:spacing w:after="0" w:line="240" w:lineRule="auto"/>
              <w:ind w:firstLineChars="100" w:firstLine="160"/>
              <w:rPr>
                <w:rFonts w:cs="Arial"/>
                <w:color w:val="000000"/>
                <w:sz w:val="16"/>
                <w:szCs w:val="16"/>
              </w:rPr>
            </w:pPr>
            <w:r w:rsidRPr="000F2639">
              <w:rPr>
                <w:rFonts w:cs="Arial"/>
                <w:color w:val="000000"/>
                <w:sz w:val="16"/>
                <w:szCs w:val="16"/>
              </w:rPr>
              <w:t>P – Vzdělávání</w:t>
            </w:r>
          </w:p>
        </w:tc>
        <w:tc>
          <w:tcPr>
            <w:tcW w:w="567" w:type="dxa"/>
            <w:tcBorders>
              <w:top w:val="nil"/>
              <w:left w:val="nil"/>
              <w:bottom w:val="nil"/>
              <w:right w:val="nil"/>
            </w:tcBorders>
            <w:shd w:val="clear" w:color="auto" w:fill="auto"/>
            <w:noWrap/>
            <w:vAlign w:val="center"/>
            <w:hideMark/>
          </w:tcPr>
          <w:p w14:paraId="1A99F65C"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2,3</w:t>
            </w:r>
          </w:p>
        </w:tc>
        <w:tc>
          <w:tcPr>
            <w:tcW w:w="567" w:type="dxa"/>
            <w:tcBorders>
              <w:top w:val="nil"/>
              <w:left w:val="nil"/>
              <w:bottom w:val="nil"/>
              <w:right w:val="nil"/>
            </w:tcBorders>
            <w:shd w:val="clear" w:color="auto" w:fill="auto"/>
            <w:noWrap/>
            <w:vAlign w:val="center"/>
            <w:hideMark/>
          </w:tcPr>
          <w:p w14:paraId="1F8CF3ED"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2,4</w:t>
            </w:r>
          </w:p>
        </w:tc>
        <w:tc>
          <w:tcPr>
            <w:tcW w:w="567" w:type="dxa"/>
            <w:tcBorders>
              <w:top w:val="nil"/>
              <w:left w:val="nil"/>
              <w:bottom w:val="nil"/>
              <w:right w:val="nil"/>
            </w:tcBorders>
            <w:shd w:val="clear" w:color="auto" w:fill="auto"/>
            <w:noWrap/>
            <w:vAlign w:val="center"/>
            <w:hideMark/>
          </w:tcPr>
          <w:p w14:paraId="7D769007"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2,7</w:t>
            </w:r>
          </w:p>
        </w:tc>
        <w:tc>
          <w:tcPr>
            <w:tcW w:w="567" w:type="dxa"/>
            <w:tcBorders>
              <w:top w:val="nil"/>
              <w:left w:val="nil"/>
              <w:bottom w:val="nil"/>
              <w:right w:val="nil"/>
            </w:tcBorders>
            <w:shd w:val="clear" w:color="auto" w:fill="auto"/>
            <w:noWrap/>
            <w:vAlign w:val="center"/>
            <w:hideMark/>
          </w:tcPr>
          <w:p w14:paraId="488060F1"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2,8</w:t>
            </w:r>
          </w:p>
        </w:tc>
        <w:tc>
          <w:tcPr>
            <w:tcW w:w="567" w:type="dxa"/>
            <w:tcBorders>
              <w:top w:val="nil"/>
              <w:left w:val="nil"/>
              <w:bottom w:val="nil"/>
              <w:right w:val="nil"/>
            </w:tcBorders>
            <w:shd w:val="clear" w:color="auto" w:fill="auto"/>
            <w:noWrap/>
            <w:vAlign w:val="center"/>
            <w:hideMark/>
          </w:tcPr>
          <w:p w14:paraId="0013D5E5"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2,9</w:t>
            </w:r>
          </w:p>
        </w:tc>
        <w:tc>
          <w:tcPr>
            <w:tcW w:w="567" w:type="dxa"/>
            <w:tcBorders>
              <w:top w:val="nil"/>
              <w:left w:val="nil"/>
              <w:bottom w:val="nil"/>
              <w:right w:val="nil"/>
            </w:tcBorders>
            <w:shd w:val="clear" w:color="auto" w:fill="auto"/>
            <w:noWrap/>
            <w:vAlign w:val="center"/>
            <w:hideMark/>
          </w:tcPr>
          <w:p w14:paraId="14016B97"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3,0</w:t>
            </w:r>
          </w:p>
        </w:tc>
        <w:tc>
          <w:tcPr>
            <w:tcW w:w="567" w:type="dxa"/>
            <w:tcBorders>
              <w:top w:val="nil"/>
              <w:left w:val="nil"/>
              <w:bottom w:val="nil"/>
              <w:right w:val="nil"/>
            </w:tcBorders>
            <w:shd w:val="clear" w:color="auto" w:fill="auto"/>
            <w:noWrap/>
            <w:vAlign w:val="center"/>
            <w:hideMark/>
          </w:tcPr>
          <w:p w14:paraId="15893895"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3,1</w:t>
            </w:r>
          </w:p>
        </w:tc>
        <w:tc>
          <w:tcPr>
            <w:tcW w:w="567" w:type="dxa"/>
            <w:tcBorders>
              <w:top w:val="nil"/>
              <w:left w:val="nil"/>
              <w:bottom w:val="nil"/>
              <w:right w:val="nil"/>
            </w:tcBorders>
            <w:shd w:val="clear" w:color="auto" w:fill="auto"/>
            <w:noWrap/>
            <w:vAlign w:val="center"/>
            <w:hideMark/>
          </w:tcPr>
          <w:p w14:paraId="4C4C5A27"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3,3</w:t>
            </w:r>
          </w:p>
        </w:tc>
        <w:tc>
          <w:tcPr>
            <w:tcW w:w="567" w:type="dxa"/>
            <w:vAlign w:val="center"/>
          </w:tcPr>
          <w:p w14:paraId="282B7064" w14:textId="77777777" w:rsidR="00452914" w:rsidRPr="000F2639" w:rsidRDefault="00452914" w:rsidP="00452914">
            <w:pPr>
              <w:spacing w:after="0" w:line="240" w:lineRule="auto"/>
              <w:jc w:val="center"/>
            </w:pPr>
            <w:r w:rsidRPr="000F2639">
              <w:rPr>
                <w:rFonts w:cs="Arial"/>
                <w:color w:val="000000"/>
                <w:sz w:val="16"/>
                <w:szCs w:val="16"/>
              </w:rPr>
              <w:t>3,7</w:t>
            </w:r>
          </w:p>
        </w:tc>
        <w:tc>
          <w:tcPr>
            <w:tcW w:w="567" w:type="dxa"/>
            <w:vAlign w:val="center"/>
          </w:tcPr>
          <w:p w14:paraId="25837503" w14:textId="77777777" w:rsidR="00452914" w:rsidRPr="000F2639" w:rsidRDefault="00452914" w:rsidP="00452914">
            <w:pPr>
              <w:spacing w:after="0" w:line="240" w:lineRule="auto"/>
              <w:jc w:val="center"/>
              <w:rPr>
                <w:rFonts w:cs="Arial"/>
                <w:color w:val="000000"/>
                <w:sz w:val="16"/>
                <w:szCs w:val="16"/>
              </w:rPr>
            </w:pPr>
            <w:r>
              <w:rPr>
                <w:rFonts w:cs="Arial"/>
                <w:color w:val="000000"/>
                <w:sz w:val="16"/>
                <w:szCs w:val="16"/>
              </w:rPr>
              <w:t>4,0</w:t>
            </w:r>
          </w:p>
        </w:tc>
        <w:tc>
          <w:tcPr>
            <w:tcW w:w="567" w:type="dxa"/>
            <w:vAlign w:val="center"/>
          </w:tcPr>
          <w:p w14:paraId="7DF39973" w14:textId="099CA6CD" w:rsidR="00452914" w:rsidRDefault="00452914" w:rsidP="00452914">
            <w:pPr>
              <w:spacing w:after="0" w:line="240" w:lineRule="auto"/>
              <w:jc w:val="center"/>
              <w:rPr>
                <w:rFonts w:cs="Arial"/>
                <w:color w:val="000000"/>
                <w:sz w:val="16"/>
                <w:szCs w:val="16"/>
              </w:rPr>
            </w:pPr>
            <w:r>
              <w:rPr>
                <w:rFonts w:cs="Arial"/>
                <w:color w:val="000000"/>
                <w:sz w:val="16"/>
                <w:szCs w:val="16"/>
              </w:rPr>
              <w:t>3,4</w:t>
            </w:r>
          </w:p>
        </w:tc>
      </w:tr>
      <w:tr w:rsidR="00452914" w:rsidRPr="000F2639" w14:paraId="6DC03C10" w14:textId="0552D0FC" w:rsidTr="00C609FE">
        <w:trPr>
          <w:trHeight w:val="300"/>
        </w:trPr>
        <w:tc>
          <w:tcPr>
            <w:tcW w:w="3401" w:type="dxa"/>
            <w:tcBorders>
              <w:top w:val="nil"/>
              <w:left w:val="nil"/>
              <w:bottom w:val="nil"/>
              <w:right w:val="single" w:sz="4" w:space="0" w:color="auto"/>
            </w:tcBorders>
            <w:shd w:val="clear" w:color="auto" w:fill="auto"/>
            <w:vAlign w:val="center"/>
            <w:hideMark/>
          </w:tcPr>
          <w:p w14:paraId="303EEAAD" w14:textId="77777777" w:rsidR="00452914" w:rsidRPr="000F2639" w:rsidRDefault="00452914" w:rsidP="00452914">
            <w:pPr>
              <w:spacing w:after="0" w:line="240" w:lineRule="auto"/>
              <w:ind w:firstLineChars="100" w:firstLine="160"/>
              <w:rPr>
                <w:rFonts w:cs="Arial"/>
                <w:color w:val="000000"/>
                <w:sz w:val="16"/>
                <w:szCs w:val="16"/>
              </w:rPr>
            </w:pPr>
            <w:r w:rsidRPr="000F2639">
              <w:rPr>
                <w:rFonts w:cs="Arial"/>
                <w:color w:val="000000"/>
                <w:sz w:val="16"/>
                <w:szCs w:val="16"/>
              </w:rPr>
              <w:t>Q – Zdravotní a sociální péče</w:t>
            </w:r>
          </w:p>
        </w:tc>
        <w:tc>
          <w:tcPr>
            <w:tcW w:w="567" w:type="dxa"/>
            <w:tcBorders>
              <w:top w:val="nil"/>
              <w:left w:val="nil"/>
              <w:bottom w:val="nil"/>
              <w:right w:val="nil"/>
            </w:tcBorders>
            <w:shd w:val="clear" w:color="auto" w:fill="auto"/>
            <w:noWrap/>
            <w:vAlign w:val="center"/>
            <w:hideMark/>
          </w:tcPr>
          <w:p w14:paraId="20AF7D4E"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3,4</w:t>
            </w:r>
          </w:p>
        </w:tc>
        <w:tc>
          <w:tcPr>
            <w:tcW w:w="567" w:type="dxa"/>
            <w:tcBorders>
              <w:top w:val="nil"/>
              <w:left w:val="nil"/>
              <w:bottom w:val="nil"/>
              <w:right w:val="nil"/>
            </w:tcBorders>
            <w:shd w:val="clear" w:color="auto" w:fill="auto"/>
            <w:noWrap/>
            <w:vAlign w:val="center"/>
            <w:hideMark/>
          </w:tcPr>
          <w:p w14:paraId="0766E564"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3,6</w:t>
            </w:r>
          </w:p>
        </w:tc>
        <w:tc>
          <w:tcPr>
            <w:tcW w:w="567" w:type="dxa"/>
            <w:tcBorders>
              <w:top w:val="nil"/>
              <w:left w:val="nil"/>
              <w:bottom w:val="nil"/>
              <w:right w:val="nil"/>
            </w:tcBorders>
            <w:shd w:val="clear" w:color="auto" w:fill="auto"/>
            <w:noWrap/>
            <w:vAlign w:val="center"/>
            <w:hideMark/>
          </w:tcPr>
          <w:p w14:paraId="117AEED2"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3,9</w:t>
            </w:r>
          </w:p>
        </w:tc>
        <w:tc>
          <w:tcPr>
            <w:tcW w:w="567" w:type="dxa"/>
            <w:tcBorders>
              <w:top w:val="nil"/>
              <w:left w:val="nil"/>
              <w:bottom w:val="nil"/>
              <w:right w:val="nil"/>
            </w:tcBorders>
            <w:shd w:val="clear" w:color="auto" w:fill="auto"/>
            <w:noWrap/>
            <w:vAlign w:val="center"/>
            <w:hideMark/>
          </w:tcPr>
          <w:p w14:paraId="34289853"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4,1</w:t>
            </w:r>
          </w:p>
        </w:tc>
        <w:tc>
          <w:tcPr>
            <w:tcW w:w="567" w:type="dxa"/>
            <w:tcBorders>
              <w:top w:val="nil"/>
              <w:left w:val="nil"/>
              <w:bottom w:val="nil"/>
              <w:right w:val="nil"/>
            </w:tcBorders>
            <w:shd w:val="clear" w:color="auto" w:fill="auto"/>
            <w:noWrap/>
            <w:vAlign w:val="center"/>
            <w:hideMark/>
          </w:tcPr>
          <w:p w14:paraId="14687E2C"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4,1</w:t>
            </w:r>
          </w:p>
        </w:tc>
        <w:tc>
          <w:tcPr>
            <w:tcW w:w="567" w:type="dxa"/>
            <w:tcBorders>
              <w:top w:val="nil"/>
              <w:left w:val="nil"/>
              <w:bottom w:val="nil"/>
              <w:right w:val="nil"/>
            </w:tcBorders>
            <w:shd w:val="clear" w:color="auto" w:fill="auto"/>
            <w:noWrap/>
            <w:vAlign w:val="center"/>
            <w:hideMark/>
          </w:tcPr>
          <w:p w14:paraId="07BD258B"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4,3</w:t>
            </w:r>
          </w:p>
        </w:tc>
        <w:tc>
          <w:tcPr>
            <w:tcW w:w="567" w:type="dxa"/>
            <w:tcBorders>
              <w:top w:val="nil"/>
              <w:left w:val="nil"/>
              <w:bottom w:val="nil"/>
              <w:right w:val="nil"/>
            </w:tcBorders>
            <w:shd w:val="clear" w:color="auto" w:fill="auto"/>
            <w:noWrap/>
            <w:vAlign w:val="center"/>
            <w:hideMark/>
          </w:tcPr>
          <w:p w14:paraId="7E560AE0"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4,5</w:t>
            </w:r>
          </w:p>
        </w:tc>
        <w:tc>
          <w:tcPr>
            <w:tcW w:w="567" w:type="dxa"/>
            <w:tcBorders>
              <w:top w:val="nil"/>
              <w:left w:val="nil"/>
              <w:bottom w:val="nil"/>
              <w:right w:val="nil"/>
            </w:tcBorders>
            <w:shd w:val="clear" w:color="auto" w:fill="auto"/>
            <w:noWrap/>
            <w:vAlign w:val="center"/>
            <w:hideMark/>
          </w:tcPr>
          <w:p w14:paraId="45EC3B38"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5,9</w:t>
            </w:r>
          </w:p>
        </w:tc>
        <w:tc>
          <w:tcPr>
            <w:tcW w:w="567" w:type="dxa"/>
            <w:vAlign w:val="center"/>
          </w:tcPr>
          <w:p w14:paraId="12A8B953" w14:textId="77777777" w:rsidR="00452914" w:rsidRPr="000F2639" w:rsidRDefault="00452914" w:rsidP="00452914">
            <w:pPr>
              <w:spacing w:after="0" w:line="240" w:lineRule="auto"/>
              <w:jc w:val="center"/>
            </w:pPr>
            <w:r w:rsidRPr="000F2639">
              <w:rPr>
                <w:rFonts w:cs="Arial"/>
                <w:color w:val="000000"/>
                <w:sz w:val="16"/>
                <w:szCs w:val="16"/>
              </w:rPr>
              <w:t>5,4</w:t>
            </w:r>
          </w:p>
        </w:tc>
        <w:tc>
          <w:tcPr>
            <w:tcW w:w="567" w:type="dxa"/>
            <w:vAlign w:val="center"/>
          </w:tcPr>
          <w:p w14:paraId="6DDA60CB" w14:textId="77777777" w:rsidR="00452914" w:rsidRPr="000F2639" w:rsidRDefault="00452914" w:rsidP="00452914">
            <w:pPr>
              <w:spacing w:after="0" w:line="240" w:lineRule="auto"/>
              <w:jc w:val="center"/>
              <w:rPr>
                <w:rFonts w:cs="Arial"/>
                <w:color w:val="000000"/>
                <w:sz w:val="16"/>
                <w:szCs w:val="16"/>
              </w:rPr>
            </w:pPr>
            <w:r>
              <w:rPr>
                <w:rFonts w:cs="Arial"/>
                <w:color w:val="000000"/>
                <w:sz w:val="16"/>
                <w:szCs w:val="16"/>
              </w:rPr>
              <w:t>5,3</w:t>
            </w:r>
          </w:p>
        </w:tc>
        <w:tc>
          <w:tcPr>
            <w:tcW w:w="567" w:type="dxa"/>
            <w:vAlign w:val="center"/>
          </w:tcPr>
          <w:p w14:paraId="5527FEEE" w14:textId="59B7B96C" w:rsidR="00452914" w:rsidRDefault="00452914" w:rsidP="00452914">
            <w:pPr>
              <w:spacing w:after="0" w:line="240" w:lineRule="auto"/>
              <w:jc w:val="center"/>
              <w:rPr>
                <w:rFonts w:cs="Arial"/>
                <w:color w:val="000000"/>
                <w:sz w:val="16"/>
                <w:szCs w:val="16"/>
              </w:rPr>
            </w:pPr>
            <w:r>
              <w:rPr>
                <w:rFonts w:cs="Arial"/>
                <w:color w:val="000000"/>
                <w:sz w:val="16"/>
                <w:szCs w:val="16"/>
              </w:rPr>
              <w:t>4,7</w:t>
            </w:r>
          </w:p>
        </w:tc>
      </w:tr>
      <w:tr w:rsidR="00452914" w:rsidRPr="000F2639" w14:paraId="13788F60" w14:textId="7A6BD0D1" w:rsidTr="00C609FE">
        <w:trPr>
          <w:trHeight w:val="300"/>
        </w:trPr>
        <w:tc>
          <w:tcPr>
            <w:tcW w:w="3401" w:type="dxa"/>
            <w:tcBorders>
              <w:top w:val="nil"/>
              <w:left w:val="nil"/>
              <w:bottom w:val="nil"/>
              <w:right w:val="single" w:sz="4" w:space="0" w:color="auto"/>
            </w:tcBorders>
            <w:shd w:val="clear" w:color="auto" w:fill="auto"/>
            <w:vAlign w:val="center"/>
            <w:hideMark/>
          </w:tcPr>
          <w:p w14:paraId="02CD1672" w14:textId="77777777" w:rsidR="00452914" w:rsidRPr="000F2639" w:rsidRDefault="00452914" w:rsidP="00452914">
            <w:pPr>
              <w:spacing w:after="0" w:line="240" w:lineRule="auto"/>
              <w:ind w:firstLineChars="100" w:firstLine="160"/>
              <w:rPr>
                <w:rFonts w:cs="Arial"/>
                <w:color w:val="000000"/>
                <w:sz w:val="16"/>
                <w:szCs w:val="16"/>
              </w:rPr>
            </w:pPr>
            <w:r w:rsidRPr="000F2639">
              <w:rPr>
                <w:rFonts w:cs="Arial"/>
                <w:color w:val="000000"/>
                <w:sz w:val="16"/>
                <w:szCs w:val="16"/>
              </w:rPr>
              <w:t>R – Kulturní, zábavní a rekreační činnosti</w:t>
            </w:r>
          </w:p>
        </w:tc>
        <w:tc>
          <w:tcPr>
            <w:tcW w:w="567" w:type="dxa"/>
            <w:tcBorders>
              <w:top w:val="nil"/>
              <w:left w:val="nil"/>
              <w:bottom w:val="nil"/>
              <w:right w:val="nil"/>
            </w:tcBorders>
            <w:shd w:val="clear" w:color="auto" w:fill="auto"/>
            <w:noWrap/>
            <w:vAlign w:val="center"/>
            <w:hideMark/>
          </w:tcPr>
          <w:p w14:paraId="66A46E1F"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2,5</w:t>
            </w:r>
          </w:p>
        </w:tc>
        <w:tc>
          <w:tcPr>
            <w:tcW w:w="567" w:type="dxa"/>
            <w:tcBorders>
              <w:top w:val="nil"/>
              <w:left w:val="nil"/>
              <w:bottom w:val="nil"/>
              <w:right w:val="nil"/>
            </w:tcBorders>
            <w:shd w:val="clear" w:color="auto" w:fill="auto"/>
            <w:noWrap/>
            <w:vAlign w:val="center"/>
            <w:hideMark/>
          </w:tcPr>
          <w:p w14:paraId="4D218BF4"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2,5</w:t>
            </w:r>
          </w:p>
        </w:tc>
        <w:tc>
          <w:tcPr>
            <w:tcW w:w="567" w:type="dxa"/>
            <w:tcBorders>
              <w:top w:val="nil"/>
              <w:left w:val="nil"/>
              <w:bottom w:val="nil"/>
              <w:right w:val="nil"/>
            </w:tcBorders>
            <w:shd w:val="clear" w:color="auto" w:fill="auto"/>
            <w:noWrap/>
            <w:vAlign w:val="center"/>
            <w:hideMark/>
          </w:tcPr>
          <w:p w14:paraId="1B02F0AD"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2,7</w:t>
            </w:r>
          </w:p>
        </w:tc>
        <w:tc>
          <w:tcPr>
            <w:tcW w:w="567" w:type="dxa"/>
            <w:tcBorders>
              <w:top w:val="nil"/>
              <w:left w:val="nil"/>
              <w:bottom w:val="nil"/>
              <w:right w:val="nil"/>
            </w:tcBorders>
            <w:shd w:val="clear" w:color="auto" w:fill="auto"/>
            <w:noWrap/>
            <w:vAlign w:val="center"/>
            <w:hideMark/>
          </w:tcPr>
          <w:p w14:paraId="5AD7D8F0"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2,8</w:t>
            </w:r>
          </w:p>
        </w:tc>
        <w:tc>
          <w:tcPr>
            <w:tcW w:w="567" w:type="dxa"/>
            <w:tcBorders>
              <w:top w:val="nil"/>
              <w:left w:val="nil"/>
              <w:bottom w:val="nil"/>
              <w:right w:val="nil"/>
            </w:tcBorders>
            <w:shd w:val="clear" w:color="auto" w:fill="auto"/>
            <w:noWrap/>
            <w:vAlign w:val="center"/>
            <w:hideMark/>
          </w:tcPr>
          <w:p w14:paraId="25AA62F4"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2,9</w:t>
            </w:r>
          </w:p>
        </w:tc>
        <w:tc>
          <w:tcPr>
            <w:tcW w:w="567" w:type="dxa"/>
            <w:tcBorders>
              <w:top w:val="nil"/>
              <w:left w:val="nil"/>
              <w:bottom w:val="nil"/>
              <w:right w:val="nil"/>
            </w:tcBorders>
            <w:shd w:val="clear" w:color="auto" w:fill="auto"/>
            <w:noWrap/>
            <w:vAlign w:val="center"/>
            <w:hideMark/>
          </w:tcPr>
          <w:p w14:paraId="14A2F679"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3,0</w:t>
            </w:r>
          </w:p>
        </w:tc>
        <w:tc>
          <w:tcPr>
            <w:tcW w:w="567" w:type="dxa"/>
            <w:tcBorders>
              <w:top w:val="nil"/>
              <w:left w:val="nil"/>
              <w:bottom w:val="nil"/>
              <w:right w:val="nil"/>
            </w:tcBorders>
            <w:shd w:val="clear" w:color="auto" w:fill="auto"/>
            <w:noWrap/>
            <w:vAlign w:val="center"/>
            <w:hideMark/>
          </w:tcPr>
          <w:p w14:paraId="4AD62C8A"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3,1</w:t>
            </w:r>
          </w:p>
        </w:tc>
        <w:tc>
          <w:tcPr>
            <w:tcW w:w="567" w:type="dxa"/>
            <w:tcBorders>
              <w:top w:val="nil"/>
              <w:left w:val="nil"/>
              <w:bottom w:val="nil"/>
              <w:right w:val="nil"/>
            </w:tcBorders>
            <w:shd w:val="clear" w:color="auto" w:fill="auto"/>
            <w:noWrap/>
            <w:vAlign w:val="center"/>
            <w:hideMark/>
          </w:tcPr>
          <w:p w14:paraId="157786E6"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3,7</w:t>
            </w:r>
          </w:p>
        </w:tc>
        <w:tc>
          <w:tcPr>
            <w:tcW w:w="567" w:type="dxa"/>
            <w:vAlign w:val="center"/>
          </w:tcPr>
          <w:p w14:paraId="257ED416" w14:textId="77777777" w:rsidR="00452914" w:rsidRPr="000F2639" w:rsidRDefault="00452914" w:rsidP="00452914">
            <w:pPr>
              <w:spacing w:after="0" w:line="240" w:lineRule="auto"/>
              <w:jc w:val="center"/>
            </w:pPr>
            <w:r w:rsidRPr="000F2639">
              <w:rPr>
                <w:rFonts w:cs="Arial"/>
                <w:color w:val="000000"/>
                <w:sz w:val="16"/>
                <w:szCs w:val="16"/>
              </w:rPr>
              <w:t>3,4</w:t>
            </w:r>
          </w:p>
        </w:tc>
        <w:tc>
          <w:tcPr>
            <w:tcW w:w="567" w:type="dxa"/>
            <w:vAlign w:val="center"/>
          </w:tcPr>
          <w:p w14:paraId="0D9B221E" w14:textId="77777777" w:rsidR="00452914" w:rsidRPr="000F2639" w:rsidRDefault="00452914" w:rsidP="00452914">
            <w:pPr>
              <w:spacing w:after="0" w:line="240" w:lineRule="auto"/>
              <w:jc w:val="center"/>
              <w:rPr>
                <w:rFonts w:cs="Arial"/>
                <w:color w:val="000000"/>
                <w:sz w:val="16"/>
                <w:szCs w:val="16"/>
              </w:rPr>
            </w:pPr>
            <w:r>
              <w:rPr>
                <w:rFonts w:cs="Arial"/>
                <w:color w:val="000000"/>
                <w:sz w:val="16"/>
                <w:szCs w:val="16"/>
              </w:rPr>
              <w:t>3,7</w:t>
            </w:r>
          </w:p>
        </w:tc>
        <w:tc>
          <w:tcPr>
            <w:tcW w:w="567" w:type="dxa"/>
            <w:vAlign w:val="center"/>
          </w:tcPr>
          <w:p w14:paraId="1536D265" w14:textId="785151DA" w:rsidR="00452914" w:rsidRDefault="00452914" w:rsidP="00452914">
            <w:pPr>
              <w:spacing w:after="0" w:line="240" w:lineRule="auto"/>
              <w:jc w:val="center"/>
              <w:rPr>
                <w:rFonts w:cs="Arial"/>
                <w:color w:val="000000"/>
                <w:sz w:val="16"/>
                <w:szCs w:val="16"/>
              </w:rPr>
            </w:pPr>
            <w:r>
              <w:rPr>
                <w:rFonts w:cs="Arial"/>
                <w:color w:val="000000"/>
                <w:sz w:val="16"/>
                <w:szCs w:val="16"/>
              </w:rPr>
              <w:t>3,2</w:t>
            </w:r>
          </w:p>
        </w:tc>
      </w:tr>
      <w:tr w:rsidR="00452914" w:rsidRPr="000F2639" w14:paraId="63CBC10A" w14:textId="733238E4" w:rsidTr="00C609FE">
        <w:trPr>
          <w:trHeight w:val="300"/>
        </w:trPr>
        <w:tc>
          <w:tcPr>
            <w:tcW w:w="3401" w:type="dxa"/>
            <w:tcBorders>
              <w:top w:val="nil"/>
              <w:left w:val="nil"/>
              <w:bottom w:val="nil"/>
              <w:right w:val="single" w:sz="4" w:space="0" w:color="auto"/>
            </w:tcBorders>
            <w:shd w:val="clear" w:color="auto" w:fill="auto"/>
            <w:vAlign w:val="center"/>
            <w:hideMark/>
          </w:tcPr>
          <w:p w14:paraId="13210B60" w14:textId="77777777" w:rsidR="00452914" w:rsidRPr="000F2639" w:rsidRDefault="00452914" w:rsidP="00452914">
            <w:pPr>
              <w:spacing w:after="0" w:line="240" w:lineRule="auto"/>
              <w:ind w:firstLineChars="100" w:firstLine="160"/>
              <w:rPr>
                <w:rFonts w:cs="Arial"/>
                <w:color w:val="000000"/>
                <w:sz w:val="16"/>
                <w:szCs w:val="16"/>
              </w:rPr>
            </w:pPr>
            <w:r w:rsidRPr="000F2639">
              <w:rPr>
                <w:rFonts w:cs="Arial"/>
                <w:color w:val="000000"/>
                <w:sz w:val="16"/>
                <w:szCs w:val="16"/>
              </w:rPr>
              <w:t>S – Ostatní činnosti</w:t>
            </w:r>
          </w:p>
        </w:tc>
        <w:tc>
          <w:tcPr>
            <w:tcW w:w="567" w:type="dxa"/>
            <w:tcBorders>
              <w:top w:val="nil"/>
              <w:left w:val="nil"/>
              <w:bottom w:val="nil"/>
              <w:right w:val="nil"/>
            </w:tcBorders>
            <w:shd w:val="clear" w:color="auto" w:fill="auto"/>
            <w:noWrap/>
            <w:vAlign w:val="center"/>
            <w:hideMark/>
          </w:tcPr>
          <w:p w14:paraId="1C3F8197"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3,1</w:t>
            </w:r>
          </w:p>
        </w:tc>
        <w:tc>
          <w:tcPr>
            <w:tcW w:w="567" w:type="dxa"/>
            <w:tcBorders>
              <w:top w:val="nil"/>
              <w:left w:val="nil"/>
              <w:bottom w:val="nil"/>
              <w:right w:val="nil"/>
            </w:tcBorders>
            <w:shd w:val="clear" w:color="auto" w:fill="auto"/>
            <w:noWrap/>
            <w:vAlign w:val="center"/>
            <w:hideMark/>
          </w:tcPr>
          <w:p w14:paraId="4B5B2FD5"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3,2</w:t>
            </w:r>
          </w:p>
        </w:tc>
        <w:tc>
          <w:tcPr>
            <w:tcW w:w="567" w:type="dxa"/>
            <w:tcBorders>
              <w:top w:val="nil"/>
              <w:left w:val="nil"/>
              <w:bottom w:val="nil"/>
              <w:right w:val="nil"/>
            </w:tcBorders>
            <w:shd w:val="clear" w:color="auto" w:fill="auto"/>
            <w:noWrap/>
            <w:vAlign w:val="center"/>
            <w:hideMark/>
          </w:tcPr>
          <w:p w14:paraId="0446DE24"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3,6</w:t>
            </w:r>
          </w:p>
        </w:tc>
        <w:tc>
          <w:tcPr>
            <w:tcW w:w="567" w:type="dxa"/>
            <w:tcBorders>
              <w:top w:val="nil"/>
              <w:left w:val="nil"/>
              <w:bottom w:val="nil"/>
              <w:right w:val="nil"/>
            </w:tcBorders>
            <w:shd w:val="clear" w:color="auto" w:fill="auto"/>
            <w:noWrap/>
            <w:vAlign w:val="center"/>
            <w:hideMark/>
          </w:tcPr>
          <w:p w14:paraId="2DC4C3CD"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3,8</w:t>
            </w:r>
          </w:p>
        </w:tc>
        <w:tc>
          <w:tcPr>
            <w:tcW w:w="567" w:type="dxa"/>
            <w:tcBorders>
              <w:top w:val="nil"/>
              <w:left w:val="nil"/>
              <w:bottom w:val="nil"/>
              <w:right w:val="nil"/>
            </w:tcBorders>
            <w:shd w:val="clear" w:color="auto" w:fill="auto"/>
            <w:noWrap/>
            <w:vAlign w:val="center"/>
            <w:hideMark/>
          </w:tcPr>
          <w:p w14:paraId="70985634"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3,6</w:t>
            </w:r>
          </w:p>
        </w:tc>
        <w:tc>
          <w:tcPr>
            <w:tcW w:w="567" w:type="dxa"/>
            <w:tcBorders>
              <w:top w:val="nil"/>
              <w:left w:val="nil"/>
              <w:bottom w:val="nil"/>
              <w:right w:val="nil"/>
            </w:tcBorders>
            <w:shd w:val="clear" w:color="auto" w:fill="auto"/>
            <w:noWrap/>
            <w:vAlign w:val="center"/>
            <w:hideMark/>
          </w:tcPr>
          <w:p w14:paraId="1F2FF4B7"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3,8</w:t>
            </w:r>
          </w:p>
        </w:tc>
        <w:tc>
          <w:tcPr>
            <w:tcW w:w="567" w:type="dxa"/>
            <w:tcBorders>
              <w:top w:val="nil"/>
              <w:left w:val="nil"/>
              <w:bottom w:val="nil"/>
              <w:right w:val="nil"/>
            </w:tcBorders>
            <w:shd w:val="clear" w:color="auto" w:fill="auto"/>
            <w:noWrap/>
            <w:vAlign w:val="center"/>
            <w:hideMark/>
          </w:tcPr>
          <w:p w14:paraId="0DCBD2A5"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4,0</w:t>
            </w:r>
          </w:p>
        </w:tc>
        <w:tc>
          <w:tcPr>
            <w:tcW w:w="567" w:type="dxa"/>
            <w:tcBorders>
              <w:top w:val="nil"/>
              <w:left w:val="nil"/>
              <w:bottom w:val="nil"/>
              <w:right w:val="nil"/>
            </w:tcBorders>
            <w:shd w:val="clear" w:color="auto" w:fill="auto"/>
            <w:noWrap/>
            <w:vAlign w:val="center"/>
            <w:hideMark/>
          </w:tcPr>
          <w:p w14:paraId="5F5CC654" w14:textId="77777777" w:rsidR="00452914" w:rsidRPr="000F2639" w:rsidRDefault="00452914" w:rsidP="00452914">
            <w:pPr>
              <w:spacing w:after="0" w:line="240" w:lineRule="auto"/>
              <w:jc w:val="center"/>
              <w:rPr>
                <w:rFonts w:cs="Arial"/>
                <w:color w:val="000000"/>
                <w:sz w:val="16"/>
                <w:szCs w:val="16"/>
              </w:rPr>
            </w:pPr>
            <w:r w:rsidRPr="000F2639">
              <w:rPr>
                <w:rFonts w:cs="Arial"/>
                <w:color w:val="000000"/>
                <w:sz w:val="16"/>
                <w:szCs w:val="16"/>
              </w:rPr>
              <w:t>4,8</w:t>
            </w:r>
          </w:p>
        </w:tc>
        <w:tc>
          <w:tcPr>
            <w:tcW w:w="567" w:type="dxa"/>
            <w:vAlign w:val="center"/>
          </w:tcPr>
          <w:p w14:paraId="05315BD0" w14:textId="77777777" w:rsidR="00452914" w:rsidRPr="000F2639" w:rsidRDefault="00452914" w:rsidP="00452914">
            <w:pPr>
              <w:spacing w:after="0" w:line="240" w:lineRule="auto"/>
              <w:jc w:val="center"/>
            </w:pPr>
            <w:r w:rsidRPr="000F2639">
              <w:rPr>
                <w:rFonts w:cs="Arial"/>
                <w:color w:val="000000"/>
                <w:sz w:val="16"/>
                <w:szCs w:val="16"/>
              </w:rPr>
              <w:t>4,6</w:t>
            </w:r>
          </w:p>
        </w:tc>
        <w:tc>
          <w:tcPr>
            <w:tcW w:w="567" w:type="dxa"/>
            <w:vAlign w:val="center"/>
          </w:tcPr>
          <w:p w14:paraId="519BDF20" w14:textId="77777777" w:rsidR="00452914" w:rsidRPr="000F2639" w:rsidRDefault="00452914" w:rsidP="00452914">
            <w:pPr>
              <w:spacing w:after="0" w:line="240" w:lineRule="auto"/>
              <w:jc w:val="center"/>
              <w:rPr>
                <w:rFonts w:cs="Arial"/>
                <w:color w:val="000000"/>
                <w:sz w:val="16"/>
                <w:szCs w:val="16"/>
              </w:rPr>
            </w:pPr>
            <w:r>
              <w:rPr>
                <w:rFonts w:cs="Arial"/>
                <w:color w:val="000000"/>
                <w:sz w:val="16"/>
                <w:szCs w:val="16"/>
              </w:rPr>
              <w:t>4,5</w:t>
            </w:r>
          </w:p>
        </w:tc>
        <w:tc>
          <w:tcPr>
            <w:tcW w:w="567" w:type="dxa"/>
            <w:vAlign w:val="center"/>
          </w:tcPr>
          <w:p w14:paraId="68BD789D" w14:textId="62BE0E6E" w:rsidR="00452914" w:rsidRDefault="00452914" w:rsidP="00452914">
            <w:pPr>
              <w:spacing w:after="0" w:line="240" w:lineRule="auto"/>
              <w:jc w:val="center"/>
              <w:rPr>
                <w:rFonts w:cs="Arial"/>
                <w:color w:val="000000"/>
                <w:sz w:val="16"/>
                <w:szCs w:val="16"/>
              </w:rPr>
            </w:pPr>
            <w:r>
              <w:rPr>
                <w:rFonts w:cs="Arial"/>
                <w:color w:val="000000"/>
                <w:sz w:val="16"/>
                <w:szCs w:val="16"/>
              </w:rPr>
              <w:t>3,5</w:t>
            </w:r>
          </w:p>
        </w:tc>
      </w:tr>
    </w:tbl>
    <w:p w14:paraId="33A61B7A" w14:textId="77777777" w:rsidR="005D05AB" w:rsidRDefault="005D05AB" w:rsidP="005D05AB">
      <w:pPr>
        <w:spacing w:before="120" w:after="120" w:line="240" w:lineRule="auto"/>
        <w:jc w:val="both"/>
        <w:rPr>
          <w:rFonts w:cs="Arial"/>
          <w:color w:val="000000"/>
          <w:sz w:val="16"/>
          <w:szCs w:val="16"/>
        </w:rPr>
      </w:pPr>
      <w:r>
        <w:rPr>
          <w:rFonts w:cs="Arial"/>
          <w:color w:val="000000"/>
          <w:sz w:val="16"/>
          <w:szCs w:val="16"/>
        </w:rPr>
        <w:t>* Údaje za rok 2022 nejsou srovnatelné s údaji za ostatní roky.</w:t>
      </w:r>
    </w:p>
    <w:p w14:paraId="5A1C5972" w14:textId="77777777" w:rsidR="00452914" w:rsidRPr="000F2639" w:rsidRDefault="00452914" w:rsidP="00452914">
      <w:pPr>
        <w:spacing w:before="120" w:after="120"/>
        <w:rPr>
          <w:sz w:val="16"/>
        </w:rPr>
      </w:pPr>
      <w:r w:rsidRPr="000F2639">
        <w:rPr>
          <w:sz w:val="16"/>
        </w:rPr>
        <w:t>Zdroj: ČSÚ</w:t>
      </w:r>
    </w:p>
    <w:p w14:paraId="34D6AA7F" w14:textId="77777777" w:rsidR="005D05AB" w:rsidRPr="00251BF8" w:rsidRDefault="005D05AB" w:rsidP="005D05AB">
      <w:pPr>
        <w:spacing w:before="120" w:after="120"/>
        <w:jc w:val="both"/>
      </w:pPr>
      <w:r w:rsidRPr="00251BF8">
        <w:t xml:space="preserve">Obdobný ukazatel jako průměrné procento dočasné pracovní neschopnosti, avšak v absolutním vyjádření, představuje </w:t>
      </w:r>
      <w:r w:rsidRPr="00251BF8">
        <w:rPr>
          <w:b/>
        </w:rPr>
        <w:t>průměrný denní stav dočasně práce neschopných</w:t>
      </w:r>
      <w:r w:rsidRPr="00251BF8">
        <w:t xml:space="preserve">. Říká, kolik </w:t>
      </w:r>
      <w:proofErr w:type="spellStart"/>
      <w:r w:rsidRPr="00251BF8">
        <w:t>nemocensky</w:t>
      </w:r>
      <w:proofErr w:type="spellEnd"/>
      <w:r w:rsidRPr="00251BF8">
        <w:t xml:space="preserve"> pojištěných bylo v daném období v průměru denně nepřítomno v práci z důvodu pracovní neschopnosti pro nemoc a úraz.</w:t>
      </w:r>
    </w:p>
    <w:p w14:paraId="2A579751" w14:textId="3D1E7E6F" w:rsidR="005D05AB" w:rsidRPr="00251BF8" w:rsidRDefault="005D05AB" w:rsidP="005D05AB">
      <w:pPr>
        <w:spacing w:before="120" w:after="120"/>
        <w:jc w:val="both"/>
        <w:rPr>
          <w:noProof/>
        </w:rPr>
      </w:pPr>
      <w:r w:rsidRPr="00251BF8">
        <w:rPr>
          <w:rFonts w:cs="Arial"/>
          <w:color w:val="000000"/>
          <w:szCs w:val="16"/>
        </w:rPr>
        <w:lastRenderedPageBreak/>
        <w:t xml:space="preserve">V roce 2023 kvůli dočasné pracovní neschopnosti způsobené nemocí či úrazem denně chybělo na pracovištích 217 985 </w:t>
      </w:r>
      <w:proofErr w:type="spellStart"/>
      <w:r w:rsidRPr="00251BF8">
        <w:rPr>
          <w:rFonts w:cs="Arial"/>
          <w:color w:val="000000"/>
          <w:szCs w:val="16"/>
        </w:rPr>
        <w:t>nemocensky</w:t>
      </w:r>
      <w:proofErr w:type="spellEnd"/>
      <w:r w:rsidRPr="00251BF8">
        <w:rPr>
          <w:rFonts w:cs="Arial"/>
          <w:color w:val="000000"/>
          <w:szCs w:val="16"/>
        </w:rPr>
        <w:t xml:space="preserve"> pojištěných osob. Oproti roku 2019, kdy hodnota činila 222 479 pojištěnců, se jedná o 2% pokles (o 4,5 tis.). Naopak ve srovnání s rokem 2013 přibylo 58 tis. (tj. 36 %) dočasně práce neschopných denně. Na tomto nárůstu se podílely především neschopenky zapříčiněné nemocí (+50 tis.), o dvě pětiny však vzrostl i denní počet práce neschopných osob s mimopracovními úrazy (+7 tis.).</w:t>
      </w:r>
      <w:r w:rsidRPr="00251BF8">
        <w:rPr>
          <w:noProof/>
        </w:rPr>
        <w:t xml:space="preserve"> </w:t>
      </w:r>
      <w:r w:rsidRPr="00251BF8">
        <w:t>Vývoj hodnot ukazatele průměrný denní stav dočasně práce neschopných v posledních deseti letech je zřejmý z tabulky 2.</w:t>
      </w:r>
      <w:r w:rsidR="00DD5A0D" w:rsidRPr="00251BF8">
        <w:t>7</w:t>
      </w:r>
      <w:r w:rsidRPr="00251BF8">
        <w:t>.</w:t>
      </w:r>
    </w:p>
    <w:p w14:paraId="38658068" w14:textId="1170F80C" w:rsidR="00C609FE" w:rsidRDefault="005D05AB" w:rsidP="00D264DA">
      <w:pPr>
        <w:pStyle w:val="Textkomente"/>
        <w:spacing w:line="288" w:lineRule="auto"/>
        <w:jc w:val="both"/>
        <w:rPr>
          <w:rFonts w:cs="Arial"/>
          <w:color w:val="000000"/>
          <w:szCs w:val="16"/>
        </w:rPr>
      </w:pPr>
      <w:r w:rsidRPr="00251BF8">
        <w:rPr>
          <w:rFonts w:cs="Arial"/>
          <w:color w:val="000000"/>
          <w:szCs w:val="16"/>
        </w:rPr>
        <w:t xml:space="preserve">Pro nemoc bylo v roce 2023 průměrně denně v neschopnosti 185 929 pojištěnců, v důsledku pracovního úrazu 6 689 osob a následkem ostatních úrazů 25 367 </w:t>
      </w:r>
      <w:proofErr w:type="spellStart"/>
      <w:r w:rsidRPr="00251BF8">
        <w:rPr>
          <w:rFonts w:cs="Arial"/>
          <w:color w:val="000000"/>
          <w:szCs w:val="16"/>
        </w:rPr>
        <w:t>nemocensky</w:t>
      </w:r>
      <w:proofErr w:type="spellEnd"/>
      <w:r w:rsidRPr="00251BF8">
        <w:rPr>
          <w:rFonts w:cs="Arial"/>
          <w:color w:val="000000"/>
          <w:szCs w:val="16"/>
        </w:rPr>
        <w:t xml:space="preserve"> pojištěných.</w:t>
      </w:r>
      <w:r w:rsidR="00C609FE" w:rsidRPr="00251BF8">
        <w:rPr>
          <w:rFonts w:cs="Arial"/>
          <w:color w:val="000000"/>
          <w:szCs w:val="16"/>
        </w:rPr>
        <w:t xml:space="preserve"> Ve Zpracovatelském průmyslu chybělo denně pro pracovní neschopnost 71 tis. pojištěnců, v odvětví Velkoobchod a maloobchod, opra</w:t>
      </w:r>
      <w:r w:rsidR="00FF661E" w:rsidRPr="00251BF8">
        <w:rPr>
          <w:rFonts w:cs="Arial"/>
          <w:color w:val="000000"/>
          <w:szCs w:val="16"/>
        </w:rPr>
        <w:t>vy a údržba motorových vozidel 30</w:t>
      </w:r>
      <w:r w:rsidR="00C609FE" w:rsidRPr="00251BF8">
        <w:rPr>
          <w:rFonts w:cs="Arial"/>
          <w:color w:val="000000"/>
          <w:szCs w:val="16"/>
        </w:rPr>
        <w:t> tis. osob. Tyto hodnoty jsou značně ovlivněné velikostí odvětví.</w:t>
      </w:r>
    </w:p>
    <w:p w14:paraId="7E3B5538" w14:textId="4C2B81DE" w:rsidR="005D05AB" w:rsidRPr="005D05AB" w:rsidRDefault="00DD5A0D" w:rsidP="005D05AB">
      <w:pPr>
        <w:spacing w:after="0" w:line="240" w:lineRule="auto"/>
        <w:jc w:val="both"/>
        <w:rPr>
          <w:rFonts w:cs="Arial"/>
          <w:b/>
          <w:bCs/>
          <w:color w:val="000000"/>
          <w:szCs w:val="20"/>
        </w:rPr>
      </w:pPr>
      <w:r>
        <w:rPr>
          <w:rFonts w:cs="Arial"/>
          <w:b/>
          <w:bCs/>
          <w:color w:val="000000"/>
          <w:szCs w:val="20"/>
        </w:rPr>
        <w:t>Tab. 2.7</w:t>
      </w:r>
      <w:r w:rsidR="005D05AB" w:rsidRPr="005D05AB">
        <w:rPr>
          <w:rFonts w:cs="Arial"/>
          <w:b/>
          <w:bCs/>
          <w:color w:val="000000"/>
          <w:szCs w:val="20"/>
        </w:rPr>
        <w:t>: Průměrný denní stav dočasně práce neschopných, 2013–2023 (v tis.)</w:t>
      </w:r>
    </w:p>
    <w:tbl>
      <w:tblPr>
        <w:tblW w:w="9594" w:type="dxa"/>
        <w:tblCellMar>
          <w:left w:w="70" w:type="dxa"/>
          <w:right w:w="70" w:type="dxa"/>
        </w:tblCellMar>
        <w:tblLook w:val="04A0" w:firstRow="1" w:lastRow="0" w:firstColumn="1" w:lastColumn="0" w:noHBand="0" w:noVBand="1"/>
      </w:tblPr>
      <w:tblGrid>
        <w:gridCol w:w="737"/>
        <w:gridCol w:w="737"/>
        <w:gridCol w:w="736"/>
        <w:gridCol w:w="736"/>
        <w:gridCol w:w="737"/>
        <w:gridCol w:w="736"/>
        <w:gridCol w:w="736"/>
        <w:gridCol w:w="754"/>
        <w:gridCol w:w="737"/>
        <w:gridCol w:w="737"/>
        <w:gridCol w:w="737"/>
        <w:gridCol w:w="737"/>
        <w:gridCol w:w="737"/>
      </w:tblGrid>
      <w:tr w:rsidR="005D05AB" w:rsidRPr="00577417" w14:paraId="07B2C1A6" w14:textId="77777777" w:rsidTr="00C609FE">
        <w:trPr>
          <w:trHeight w:val="300"/>
        </w:trPr>
        <w:tc>
          <w:tcPr>
            <w:tcW w:w="737" w:type="dxa"/>
            <w:vMerge w:val="restart"/>
            <w:tcBorders>
              <w:top w:val="single" w:sz="4" w:space="0" w:color="auto"/>
              <w:left w:val="nil"/>
              <w:bottom w:val="single" w:sz="4" w:space="0" w:color="000000"/>
              <w:right w:val="nil"/>
            </w:tcBorders>
            <w:shd w:val="clear" w:color="000000" w:fill="F5DADD"/>
            <w:vAlign w:val="center"/>
            <w:hideMark/>
          </w:tcPr>
          <w:p w14:paraId="454149D1"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Rok</w:t>
            </w:r>
          </w:p>
        </w:tc>
        <w:tc>
          <w:tcPr>
            <w:tcW w:w="737" w:type="dxa"/>
            <w:vMerge w:val="restart"/>
            <w:tcBorders>
              <w:top w:val="single" w:sz="4" w:space="0" w:color="auto"/>
              <w:left w:val="single" w:sz="4" w:space="0" w:color="auto"/>
              <w:bottom w:val="single" w:sz="4" w:space="0" w:color="000000"/>
              <w:right w:val="nil"/>
            </w:tcBorders>
            <w:shd w:val="clear" w:color="000000" w:fill="F2DBDB"/>
            <w:vAlign w:val="center"/>
            <w:hideMark/>
          </w:tcPr>
          <w:p w14:paraId="74B9B628" w14:textId="77777777" w:rsidR="005D05AB" w:rsidRPr="00577417" w:rsidRDefault="005D05AB" w:rsidP="00C609FE">
            <w:pPr>
              <w:spacing w:after="0" w:line="240" w:lineRule="auto"/>
              <w:jc w:val="center"/>
              <w:rPr>
                <w:rFonts w:cs="Arial"/>
                <w:b/>
                <w:bCs/>
                <w:color w:val="000000"/>
                <w:sz w:val="16"/>
                <w:szCs w:val="16"/>
              </w:rPr>
            </w:pPr>
            <w:r w:rsidRPr="00577417">
              <w:rPr>
                <w:rFonts w:cs="Arial"/>
                <w:b/>
                <w:bCs/>
                <w:color w:val="000000"/>
                <w:sz w:val="16"/>
                <w:szCs w:val="16"/>
              </w:rPr>
              <w:t>Celkem</w:t>
            </w:r>
          </w:p>
        </w:tc>
        <w:tc>
          <w:tcPr>
            <w:tcW w:w="1472" w:type="dxa"/>
            <w:gridSpan w:val="2"/>
            <w:tcBorders>
              <w:top w:val="single" w:sz="4" w:space="0" w:color="auto"/>
              <w:left w:val="single" w:sz="4" w:space="0" w:color="auto"/>
              <w:bottom w:val="single" w:sz="4" w:space="0" w:color="auto"/>
              <w:right w:val="single" w:sz="4" w:space="0" w:color="auto"/>
            </w:tcBorders>
            <w:shd w:val="clear" w:color="000000" w:fill="F2DBDB"/>
            <w:vAlign w:val="center"/>
            <w:hideMark/>
          </w:tcPr>
          <w:p w14:paraId="138E1791"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podle pohlaví</w:t>
            </w:r>
          </w:p>
        </w:tc>
        <w:tc>
          <w:tcPr>
            <w:tcW w:w="737" w:type="dxa"/>
            <w:vMerge w:val="restart"/>
            <w:tcBorders>
              <w:top w:val="single" w:sz="4" w:space="0" w:color="auto"/>
              <w:left w:val="nil"/>
              <w:right w:val="nil"/>
            </w:tcBorders>
            <w:shd w:val="clear" w:color="000000" w:fill="F2DBDB"/>
            <w:vAlign w:val="center"/>
            <w:hideMark/>
          </w:tcPr>
          <w:p w14:paraId="4D2AD30B"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Pro nemoc</w:t>
            </w:r>
          </w:p>
        </w:tc>
        <w:tc>
          <w:tcPr>
            <w:tcW w:w="1472" w:type="dxa"/>
            <w:gridSpan w:val="2"/>
            <w:tcBorders>
              <w:top w:val="single" w:sz="4" w:space="0" w:color="auto"/>
              <w:left w:val="single" w:sz="4" w:space="0" w:color="auto"/>
              <w:bottom w:val="single" w:sz="4" w:space="0" w:color="auto"/>
              <w:right w:val="single" w:sz="4" w:space="0" w:color="auto"/>
            </w:tcBorders>
            <w:shd w:val="clear" w:color="000000" w:fill="F2DBDB"/>
            <w:vAlign w:val="center"/>
            <w:hideMark/>
          </w:tcPr>
          <w:p w14:paraId="7EEF1DC4"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podle pohlaví</w:t>
            </w:r>
          </w:p>
        </w:tc>
        <w:tc>
          <w:tcPr>
            <w:tcW w:w="754" w:type="dxa"/>
            <w:vMerge w:val="restart"/>
            <w:tcBorders>
              <w:top w:val="single" w:sz="4" w:space="0" w:color="auto"/>
              <w:left w:val="single" w:sz="4" w:space="0" w:color="auto"/>
              <w:right w:val="nil"/>
            </w:tcBorders>
            <w:shd w:val="clear" w:color="000000" w:fill="F2DBDB"/>
            <w:vAlign w:val="center"/>
            <w:hideMark/>
          </w:tcPr>
          <w:p w14:paraId="3655E110"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Pro pracovní úrazy</w:t>
            </w:r>
          </w:p>
        </w:tc>
        <w:tc>
          <w:tcPr>
            <w:tcW w:w="1474" w:type="dxa"/>
            <w:gridSpan w:val="2"/>
            <w:tcBorders>
              <w:top w:val="single" w:sz="4" w:space="0" w:color="auto"/>
              <w:left w:val="single" w:sz="4" w:space="0" w:color="auto"/>
              <w:bottom w:val="single" w:sz="4" w:space="0" w:color="auto"/>
              <w:right w:val="single" w:sz="4" w:space="0" w:color="auto"/>
            </w:tcBorders>
            <w:shd w:val="clear" w:color="000000" w:fill="F2DBDB"/>
            <w:vAlign w:val="center"/>
            <w:hideMark/>
          </w:tcPr>
          <w:p w14:paraId="17A7FC34"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podle pohlaví</w:t>
            </w:r>
          </w:p>
        </w:tc>
        <w:tc>
          <w:tcPr>
            <w:tcW w:w="737" w:type="dxa"/>
            <w:vMerge w:val="restart"/>
            <w:tcBorders>
              <w:top w:val="single" w:sz="4" w:space="0" w:color="auto"/>
              <w:left w:val="nil"/>
              <w:right w:val="nil"/>
            </w:tcBorders>
            <w:shd w:val="clear" w:color="000000" w:fill="F2DBDB"/>
            <w:vAlign w:val="center"/>
            <w:hideMark/>
          </w:tcPr>
          <w:p w14:paraId="2283251E"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Pro ostatní úrazy</w:t>
            </w:r>
          </w:p>
        </w:tc>
        <w:tc>
          <w:tcPr>
            <w:tcW w:w="1474" w:type="dxa"/>
            <w:gridSpan w:val="2"/>
            <w:tcBorders>
              <w:top w:val="single" w:sz="4" w:space="0" w:color="auto"/>
              <w:left w:val="single" w:sz="4" w:space="0" w:color="auto"/>
              <w:bottom w:val="single" w:sz="4" w:space="0" w:color="auto"/>
            </w:tcBorders>
            <w:shd w:val="clear" w:color="000000" w:fill="F2DBDB"/>
            <w:vAlign w:val="center"/>
            <w:hideMark/>
          </w:tcPr>
          <w:p w14:paraId="1C33BBA7"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podle pohlaví</w:t>
            </w:r>
          </w:p>
        </w:tc>
      </w:tr>
      <w:tr w:rsidR="005D05AB" w:rsidRPr="00577417" w14:paraId="659162B2" w14:textId="77777777" w:rsidTr="00C609FE">
        <w:trPr>
          <w:trHeight w:val="390"/>
        </w:trPr>
        <w:tc>
          <w:tcPr>
            <w:tcW w:w="737" w:type="dxa"/>
            <w:vMerge/>
            <w:tcBorders>
              <w:top w:val="single" w:sz="4" w:space="0" w:color="auto"/>
              <w:left w:val="nil"/>
              <w:bottom w:val="single" w:sz="4" w:space="0" w:color="000000"/>
              <w:right w:val="nil"/>
            </w:tcBorders>
            <w:vAlign w:val="center"/>
            <w:hideMark/>
          </w:tcPr>
          <w:p w14:paraId="6FBBB7D2" w14:textId="77777777" w:rsidR="005D05AB" w:rsidRPr="00577417" w:rsidRDefault="005D05AB" w:rsidP="00C609FE">
            <w:pPr>
              <w:spacing w:after="0" w:line="240" w:lineRule="auto"/>
              <w:rPr>
                <w:rFonts w:cs="Arial"/>
                <w:color w:val="000000"/>
                <w:sz w:val="16"/>
                <w:szCs w:val="16"/>
              </w:rPr>
            </w:pPr>
          </w:p>
        </w:tc>
        <w:tc>
          <w:tcPr>
            <w:tcW w:w="737" w:type="dxa"/>
            <w:vMerge/>
            <w:tcBorders>
              <w:top w:val="single" w:sz="4" w:space="0" w:color="auto"/>
              <w:left w:val="single" w:sz="4" w:space="0" w:color="auto"/>
              <w:bottom w:val="single" w:sz="4" w:space="0" w:color="000000"/>
              <w:right w:val="nil"/>
            </w:tcBorders>
            <w:vAlign w:val="center"/>
            <w:hideMark/>
          </w:tcPr>
          <w:p w14:paraId="0F87EE2D" w14:textId="77777777" w:rsidR="005D05AB" w:rsidRPr="00577417" w:rsidRDefault="005D05AB" w:rsidP="00C609FE">
            <w:pPr>
              <w:spacing w:after="0" w:line="240" w:lineRule="auto"/>
              <w:rPr>
                <w:rFonts w:cs="Arial"/>
                <w:b/>
                <w:bCs/>
                <w:color w:val="000000"/>
                <w:sz w:val="16"/>
                <w:szCs w:val="16"/>
              </w:rPr>
            </w:pPr>
          </w:p>
        </w:tc>
        <w:tc>
          <w:tcPr>
            <w:tcW w:w="736" w:type="dxa"/>
            <w:tcBorders>
              <w:top w:val="nil"/>
              <w:left w:val="single" w:sz="4" w:space="0" w:color="auto"/>
              <w:bottom w:val="single" w:sz="4" w:space="0" w:color="auto"/>
              <w:right w:val="single" w:sz="4" w:space="0" w:color="auto"/>
            </w:tcBorders>
            <w:shd w:val="clear" w:color="000000" w:fill="F2DBDB"/>
            <w:vAlign w:val="center"/>
            <w:hideMark/>
          </w:tcPr>
          <w:p w14:paraId="6CC8E3A0"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muži</w:t>
            </w:r>
          </w:p>
        </w:tc>
        <w:tc>
          <w:tcPr>
            <w:tcW w:w="736" w:type="dxa"/>
            <w:tcBorders>
              <w:top w:val="nil"/>
              <w:left w:val="nil"/>
              <w:bottom w:val="single" w:sz="4" w:space="0" w:color="auto"/>
              <w:right w:val="single" w:sz="4" w:space="0" w:color="auto"/>
            </w:tcBorders>
            <w:shd w:val="clear" w:color="000000" w:fill="F2DBDB"/>
            <w:vAlign w:val="center"/>
            <w:hideMark/>
          </w:tcPr>
          <w:p w14:paraId="71D16290"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ženy</w:t>
            </w:r>
          </w:p>
        </w:tc>
        <w:tc>
          <w:tcPr>
            <w:tcW w:w="737" w:type="dxa"/>
            <w:vMerge/>
            <w:tcBorders>
              <w:left w:val="nil"/>
              <w:bottom w:val="single" w:sz="4" w:space="0" w:color="000000"/>
              <w:right w:val="nil"/>
            </w:tcBorders>
            <w:vAlign w:val="center"/>
            <w:hideMark/>
          </w:tcPr>
          <w:p w14:paraId="08BF2ED1" w14:textId="77777777" w:rsidR="005D05AB" w:rsidRPr="00577417" w:rsidRDefault="005D05AB" w:rsidP="00C609FE">
            <w:pPr>
              <w:spacing w:after="0" w:line="240" w:lineRule="auto"/>
              <w:rPr>
                <w:rFonts w:cs="Arial"/>
                <w:color w:val="000000"/>
                <w:sz w:val="16"/>
                <w:szCs w:val="16"/>
              </w:rPr>
            </w:pPr>
          </w:p>
        </w:tc>
        <w:tc>
          <w:tcPr>
            <w:tcW w:w="736" w:type="dxa"/>
            <w:tcBorders>
              <w:top w:val="nil"/>
              <w:left w:val="single" w:sz="4" w:space="0" w:color="auto"/>
              <w:bottom w:val="single" w:sz="4" w:space="0" w:color="auto"/>
              <w:right w:val="single" w:sz="4" w:space="0" w:color="auto"/>
            </w:tcBorders>
            <w:shd w:val="clear" w:color="000000" w:fill="F2DBDB"/>
            <w:vAlign w:val="center"/>
            <w:hideMark/>
          </w:tcPr>
          <w:p w14:paraId="2973CF2F"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muži</w:t>
            </w:r>
          </w:p>
        </w:tc>
        <w:tc>
          <w:tcPr>
            <w:tcW w:w="736" w:type="dxa"/>
            <w:tcBorders>
              <w:top w:val="nil"/>
              <w:left w:val="nil"/>
              <w:bottom w:val="single" w:sz="4" w:space="0" w:color="auto"/>
              <w:right w:val="single" w:sz="4" w:space="0" w:color="auto"/>
            </w:tcBorders>
            <w:shd w:val="clear" w:color="000000" w:fill="F2DBDB"/>
            <w:vAlign w:val="center"/>
            <w:hideMark/>
          </w:tcPr>
          <w:p w14:paraId="5AE00DF2"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ženy</w:t>
            </w:r>
          </w:p>
        </w:tc>
        <w:tc>
          <w:tcPr>
            <w:tcW w:w="754" w:type="dxa"/>
            <w:vMerge/>
            <w:tcBorders>
              <w:left w:val="single" w:sz="4" w:space="0" w:color="auto"/>
              <w:bottom w:val="single" w:sz="4" w:space="0" w:color="000000"/>
              <w:right w:val="nil"/>
            </w:tcBorders>
            <w:vAlign w:val="center"/>
            <w:hideMark/>
          </w:tcPr>
          <w:p w14:paraId="6083EEE1" w14:textId="77777777" w:rsidR="005D05AB" w:rsidRPr="00577417" w:rsidRDefault="005D05AB" w:rsidP="00C609FE">
            <w:pPr>
              <w:spacing w:after="0" w:line="240" w:lineRule="auto"/>
              <w:rPr>
                <w:rFonts w:cs="Arial"/>
                <w:color w:val="000000"/>
                <w:sz w:val="16"/>
                <w:szCs w:val="16"/>
              </w:rPr>
            </w:pPr>
          </w:p>
        </w:tc>
        <w:tc>
          <w:tcPr>
            <w:tcW w:w="737" w:type="dxa"/>
            <w:tcBorders>
              <w:top w:val="nil"/>
              <w:left w:val="single" w:sz="4" w:space="0" w:color="auto"/>
              <w:bottom w:val="single" w:sz="4" w:space="0" w:color="auto"/>
              <w:right w:val="single" w:sz="4" w:space="0" w:color="auto"/>
            </w:tcBorders>
            <w:shd w:val="clear" w:color="000000" w:fill="F2DBDB"/>
            <w:vAlign w:val="center"/>
            <w:hideMark/>
          </w:tcPr>
          <w:p w14:paraId="40701224"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muži</w:t>
            </w:r>
          </w:p>
        </w:tc>
        <w:tc>
          <w:tcPr>
            <w:tcW w:w="737" w:type="dxa"/>
            <w:tcBorders>
              <w:top w:val="nil"/>
              <w:left w:val="nil"/>
              <w:bottom w:val="single" w:sz="4" w:space="0" w:color="auto"/>
              <w:right w:val="single" w:sz="4" w:space="0" w:color="auto"/>
            </w:tcBorders>
            <w:shd w:val="clear" w:color="000000" w:fill="F2DBDB"/>
            <w:vAlign w:val="center"/>
            <w:hideMark/>
          </w:tcPr>
          <w:p w14:paraId="2674D834"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ženy</w:t>
            </w:r>
          </w:p>
        </w:tc>
        <w:tc>
          <w:tcPr>
            <w:tcW w:w="737" w:type="dxa"/>
            <w:vMerge/>
            <w:tcBorders>
              <w:left w:val="nil"/>
              <w:bottom w:val="single" w:sz="4" w:space="0" w:color="000000"/>
              <w:right w:val="nil"/>
            </w:tcBorders>
            <w:vAlign w:val="center"/>
            <w:hideMark/>
          </w:tcPr>
          <w:p w14:paraId="6B9716A8" w14:textId="77777777" w:rsidR="005D05AB" w:rsidRPr="00577417" w:rsidRDefault="005D05AB" w:rsidP="00C609FE">
            <w:pPr>
              <w:spacing w:after="0" w:line="240" w:lineRule="auto"/>
              <w:rPr>
                <w:rFonts w:cs="Arial"/>
                <w:color w:val="000000"/>
                <w:sz w:val="16"/>
                <w:szCs w:val="16"/>
              </w:rPr>
            </w:pPr>
          </w:p>
        </w:tc>
        <w:tc>
          <w:tcPr>
            <w:tcW w:w="737" w:type="dxa"/>
            <w:tcBorders>
              <w:top w:val="nil"/>
              <w:left w:val="single" w:sz="4" w:space="0" w:color="auto"/>
              <w:bottom w:val="single" w:sz="4" w:space="0" w:color="auto"/>
              <w:right w:val="single" w:sz="4" w:space="0" w:color="auto"/>
            </w:tcBorders>
            <w:shd w:val="clear" w:color="000000" w:fill="F2DBDB"/>
            <w:vAlign w:val="center"/>
            <w:hideMark/>
          </w:tcPr>
          <w:p w14:paraId="1E4D2E15"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muži</w:t>
            </w:r>
          </w:p>
        </w:tc>
        <w:tc>
          <w:tcPr>
            <w:tcW w:w="737" w:type="dxa"/>
            <w:tcBorders>
              <w:top w:val="nil"/>
              <w:left w:val="nil"/>
              <w:bottom w:val="single" w:sz="4" w:space="0" w:color="auto"/>
              <w:right w:val="nil"/>
            </w:tcBorders>
            <w:shd w:val="clear" w:color="000000" w:fill="F2DBDB"/>
            <w:vAlign w:val="center"/>
            <w:hideMark/>
          </w:tcPr>
          <w:p w14:paraId="11EDA9A2"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ženy</w:t>
            </w:r>
          </w:p>
        </w:tc>
      </w:tr>
      <w:tr w:rsidR="005D05AB" w:rsidRPr="00577417" w14:paraId="35208578" w14:textId="77777777" w:rsidTr="00C609FE">
        <w:trPr>
          <w:trHeight w:val="300"/>
        </w:trPr>
        <w:tc>
          <w:tcPr>
            <w:tcW w:w="737" w:type="dxa"/>
            <w:tcBorders>
              <w:top w:val="nil"/>
              <w:left w:val="nil"/>
              <w:bottom w:val="nil"/>
              <w:right w:val="nil"/>
            </w:tcBorders>
            <w:shd w:val="clear" w:color="auto" w:fill="auto"/>
            <w:vAlign w:val="center"/>
            <w:hideMark/>
          </w:tcPr>
          <w:p w14:paraId="6BCAF1C9"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2013</w:t>
            </w:r>
          </w:p>
        </w:tc>
        <w:tc>
          <w:tcPr>
            <w:tcW w:w="737" w:type="dxa"/>
            <w:tcBorders>
              <w:top w:val="nil"/>
              <w:left w:val="single" w:sz="4" w:space="0" w:color="auto"/>
              <w:bottom w:val="nil"/>
              <w:right w:val="nil"/>
            </w:tcBorders>
            <w:shd w:val="clear" w:color="auto" w:fill="auto"/>
            <w:vAlign w:val="center"/>
            <w:hideMark/>
          </w:tcPr>
          <w:p w14:paraId="63AA9F7B"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160,5</w:t>
            </w:r>
          </w:p>
        </w:tc>
        <w:tc>
          <w:tcPr>
            <w:tcW w:w="736" w:type="dxa"/>
            <w:tcBorders>
              <w:top w:val="nil"/>
              <w:left w:val="nil"/>
              <w:bottom w:val="nil"/>
              <w:right w:val="nil"/>
            </w:tcBorders>
            <w:shd w:val="clear" w:color="auto" w:fill="auto"/>
            <w:vAlign w:val="center"/>
            <w:hideMark/>
          </w:tcPr>
          <w:p w14:paraId="23B52E71"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74,0</w:t>
            </w:r>
          </w:p>
        </w:tc>
        <w:tc>
          <w:tcPr>
            <w:tcW w:w="736" w:type="dxa"/>
            <w:tcBorders>
              <w:top w:val="nil"/>
              <w:left w:val="nil"/>
              <w:bottom w:val="nil"/>
              <w:right w:val="single" w:sz="4" w:space="0" w:color="auto"/>
            </w:tcBorders>
            <w:shd w:val="clear" w:color="auto" w:fill="auto"/>
            <w:vAlign w:val="center"/>
            <w:hideMark/>
          </w:tcPr>
          <w:p w14:paraId="78C36915"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86,5</w:t>
            </w:r>
          </w:p>
        </w:tc>
        <w:tc>
          <w:tcPr>
            <w:tcW w:w="737" w:type="dxa"/>
            <w:tcBorders>
              <w:top w:val="nil"/>
              <w:left w:val="nil"/>
              <w:bottom w:val="nil"/>
              <w:right w:val="nil"/>
            </w:tcBorders>
            <w:shd w:val="clear" w:color="auto" w:fill="auto"/>
            <w:vAlign w:val="center"/>
            <w:hideMark/>
          </w:tcPr>
          <w:p w14:paraId="7BA34821"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135,9</w:t>
            </w:r>
          </w:p>
        </w:tc>
        <w:tc>
          <w:tcPr>
            <w:tcW w:w="736" w:type="dxa"/>
            <w:tcBorders>
              <w:top w:val="nil"/>
              <w:left w:val="nil"/>
              <w:bottom w:val="nil"/>
              <w:right w:val="nil"/>
            </w:tcBorders>
            <w:shd w:val="clear" w:color="auto" w:fill="auto"/>
            <w:vAlign w:val="center"/>
            <w:hideMark/>
          </w:tcPr>
          <w:p w14:paraId="421323C8"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58,0</w:t>
            </w:r>
          </w:p>
        </w:tc>
        <w:tc>
          <w:tcPr>
            <w:tcW w:w="736" w:type="dxa"/>
            <w:tcBorders>
              <w:top w:val="nil"/>
              <w:left w:val="nil"/>
              <w:bottom w:val="nil"/>
              <w:right w:val="nil"/>
            </w:tcBorders>
            <w:shd w:val="clear" w:color="auto" w:fill="auto"/>
            <w:vAlign w:val="center"/>
            <w:hideMark/>
          </w:tcPr>
          <w:p w14:paraId="73508AFE"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77,9</w:t>
            </w:r>
          </w:p>
        </w:tc>
        <w:tc>
          <w:tcPr>
            <w:tcW w:w="754" w:type="dxa"/>
            <w:tcBorders>
              <w:top w:val="nil"/>
              <w:left w:val="single" w:sz="4" w:space="0" w:color="auto"/>
              <w:bottom w:val="nil"/>
              <w:right w:val="nil"/>
            </w:tcBorders>
            <w:shd w:val="clear" w:color="auto" w:fill="auto"/>
            <w:vAlign w:val="center"/>
            <w:hideMark/>
          </w:tcPr>
          <w:p w14:paraId="73F11C38"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6,5</w:t>
            </w:r>
          </w:p>
        </w:tc>
        <w:tc>
          <w:tcPr>
            <w:tcW w:w="737" w:type="dxa"/>
            <w:tcBorders>
              <w:top w:val="nil"/>
              <w:left w:val="nil"/>
              <w:bottom w:val="nil"/>
              <w:right w:val="nil"/>
            </w:tcBorders>
            <w:shd w:val="clear" w:color="auto" w:fill="auto"/>
            <w:vAlign w:val="center"/>
            <w:hideMark/>
          </w:tcPr>
          <w:p w14:paraId="03D48A8E"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4,6</w:t>
            </w:r>
          </w:p>
        </w:tc>
        <w:tc>
          <w:tcPr>
            <w:tcW w:w="737" w:type="dxa"/>
            <w:tcBorders>
              <w:top w:val="nil"/>
              <w:left w:val="nil"/>
              <w:bottom w:val="nil"/>
              <w:right w:val="single" w:sz="4" w:space="0" w:color="auto"/>
            </w:tcBorders>
            <w:shd w:val="clear" w:color="auto" w:fill="auto"/>
            <w:vAlign w:val="center"/>
            <w:hideMark/>
          </w:tcPr>
          <w:p w14:paraId="0BD426F5"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1,9</w:t>
            </w:r>
          </w:p>
        </w:tc>
        <w:tc>
          <w:tcPr>
            <w:tcW w:w="737" w:type="dxa"/>
            <w:tcBorders>
              <w:top w:val="nil"/>
              <w:left w:val="nil"/>
              <w:bottom w:val="nil"/>
              <w:right w:val="nil"/>
            </w:tcBorders>
            <w:shd w:val="clear" w:color="auto" w:fill="auto"/>
            <w:vAlign w:val="center"/>
            <w:hideMark/>
          </w:tcPr>
          <w:p w14:paraId="64E72F69"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18,1</w:t>
            </w:r>
          </w:p>
        </w:tc>
        <w:tc>
          <w:tcPr>
            <w:tcW w:w="737" w:type="dxa"/>
            <w:tcBorders>
              <w:top w:val="nil"/>
              <w:left w:val="nil"/>
              <w:bottom w:val="nil"/>
              <w:right w:val="nil"/>
            </w:tcBorders>
            <w:shd w:val="clear" w:color="auto" w:fill="auto"/>
            <w:vAlign w:val="center"/>
            <w:hideMark/>
          </w:tcPr>
          <w:p w14:paraId="1412C802"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11,4</w:t>
            </w:r>
          </w:p>
        </w:tc>
        <w:tc>
          <w:tcPr>
            <w:tcW w:w="737" w:type="dxa"/>
            <w:tcBorders>
              <w:top w:val="nil"/>
              <w:left w:val="nil"/>
              <w:bottom w:val="nil"/>
              <w:right w:val="nil"/>
            </w:tcBorders>
            <w:shd w:val="clear" w:color="auto" w:fill="auto"/>
            <w:vAlign w:val="center"/>
            <w:hideMark/>
          </w:tcPr>
          <w:p w14:paraId="2F8FA7AE"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6,7</w:t>
            </w:r>
          </w:p>
        </w:tc>
      </w:tr>
      <w:tr w:rsidR="005D05AB" w:rsidRPr="00577417" w14:paraId="095713E8" w14:textId="77777777" w:rsidTr="00C609FE">
        <w:trPr>
          <w:trHeight w:val="300"/>
        </w:trPr>
        <w:tc>
          <w:tcPr>
            <w:tcW w:w="737" w:type="dxa"/>
            <w:tcBorders>
              <w:top w:val="nil"/>
              <w:left w:val="nil"/>
              <w:bottom w:val="nil"/>
              <w:right w:val="nil"/>
            </w:tcBorders>
            <w:shd w:val="clear" w:color="auto" w:fill="auto"/>
            <w:vAlign w:val="center"/>
            <w:hideMark/>
          </w:tcPr>
          <w:p w14:paraId="3BAD1C78"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2014</w:t>
            </w:r>
          </w:p>
        </w:tc>
        <w:tc>
          <w:tcPr>
            <w:tcW w:w="737" w:type="dxa"/>
            <w:tcBorders>
              <w:top w:val="nil"/>
              <w:left w:val="single" w:sz="4" w:space="0" w:color="auto"/>
              <w:bottom w:val="nil"/>
              <w:right w:val="nil"/>
            </w:tcBorders>
            <w:shd w:val="clear" w:color="auto" w:fill="auto"/>
            <w:vAlign w:val="center"/>
            <w:hideMark/>
          </w:tcPr>
          <w:p w14:paraId="7B29F331"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165,0</w:t>
            </w:r>
          </w:p>
        </w:tc>
        <w:tc>
          <w:tcPr>
            <w:tcW w:w="736" w:type="dxa"/>
            <w:tcBorders>
              <w:top w:val="nil"/>
              <w:left w:val="nil"/>
              <w:bottom w:val="nil"/>
              <w:right w:val="nil"/>
            </w:tcBorders>
            <w:shd w:val="clear" w:color="auto" w:fill="auto"/>
            <w:vAlign w:val="center"/>
            <w:hideMark/>
          </w:tcPr>
          <w:p w14:paraId="1363A992"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75,1</w:t>
            </w:r>
          </w:p>
        </w:tc>
        <w:tc>
          <w:tcPr>
            <w:tcW w:w="736" w:type="dxa"/>
            <w:tcBorders>
              <w:top w:val="nil"/>
              <w:left w:val="nil"/>
              <w:bottom w:val="nil"/>
              <w:right w:val="single" w:sz="4" w:space="0" w:color="auto"/>
            </w:tcBorders>
            <w:shd w:val="clear" w:color="auto" w:fill="auto"/>
            <w:vAlign w:val="center"/>
            <w:hideMark/>
          </w:tcPr>
          <w:p w14:paraId="716D08CC"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89,9</w:t>
            </w:r>
          </w:p>
        </w:tc>
        <w:tc>
          <w:tcPr>
            <w:tcW w:w="737" w:type="dxa"/>
            <w:tcBorders>
              <w:top w:val="nil"/>
              <w:left w:val="nil"/>
              <w:bottom w:val="nil"/>
              <w:right w:val="nil"/>
            </w:tcBorders>
            <w:shd w:val="clear" w:color="auto" w:fill="auto"/>
            <w:vAlign w:val="center"/>
            <w:hideMark/>
          </w:tcPr>
          <w:p w14:paraId="7EF7743D"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139,9</w:t>
            </w:r>
          </w:p>
        </w:tc>
        <w:tc>
          <w:tcPr>
            <w:tcW w:w="736" w:type="dxa"/>
            <w:tcBorders>
              <w:top w:val="nil"/>
              <w:left w:val="nil"/>
              <w:bottom w:val="nil"/>
              <w:right w:val="nil"/>
            </w:tcBorders>
            <w:shd w:val="clear" w:color="auto" w:fill="auto"/>
            <w:vAlign w:val="center"/>
            <w:hideMark/>
          </w:tcPr>
          <w:p w14:paraId="76334B5B"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58,7</w:t>
            </w:r>
          </w:p>
        </w:tc>
        <w:tc>
          <w:tcPr>
            <w:tcW w:w="736" w:type="dxa"/>
            <w:tcBorders>
              <w:top w:val="nil"/>
              <w:left w:val="nil"/>
              <w:bottom w:val="nil"/>
              <w:right w:val="nil"/>
            </w:tcBorders>
            <w:shd w:val="clear" w:color="auto" w:fill="auto"/>
            <w:vAlign w:val="center"/>
            <w:hideMark/>
          </w:tcPr>
          <w:p w14:paraId="28DEE45C"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81,2</w:t>
            </w:r>
          </w:p>
        </w:tc>
        <w:tc>
          <w:tcPr>
            <w:tcW w:w="754" w:type="dxa"/>
            <w:tcBorders>
              <w:top w:val="nil"/>
              <w:left w:val="single" w:sz="4" w:space="0" w:color="auto"/>
              <w:bottom w:val="nil"/>
              <w:right w:val="nil"/>
            </w:tcBorders>
            <w:shd w:val="clear" w:color="auto" w:fill="auto"/>
            <w:vAlign w:val="center"/>
            <w:hideMark/>
          </w:tcPr>
          <w:p w14:paraId="09EB7278"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6,7</w:t>
            </w:r>
          </w:p>
        </w:tc>
        <w:tc>
          <w:tcPr>
            <w:tcW w:w="737" w:type="dxa"/>
            <w:tcBorders>
              <w:top w:val="nil"/>
              <w:left w:val="nil"/>
              <w:bottom w:val="nil"/>
              <w:right w:val="nil"/>
            </w:tcBorders>
            <w:shd w:val="clear" w:color="auto" w:fill="auto"/>
            <w:vAlign w:val="center"/>
            <w:hideMark/>
          </w:tcPr>
          <w:p w14:paraId="28931F4A"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4,7</w:t>
            </w:r>
          </w:p>
        </w:tc>
        <w:tc>
          <w:tcPr>
            <w:tcW w:w="737" w:type="dxa"/>
            <w:tcBorders>
              <w:top w:val="nil"/>
              <w:left w:val="nil"/>
              <w:bottom w:val="nil"/>
              <w:right w:val="single" w:sz="4" w:space="0" w:color="auto"/>
            </w:tcBorders>
            <w:shd w:val="clear" w:color="auto" w:fill="auto"/>
            <w:vAlign w:val="center"/>
            <w:hideMark/>
          </w:tcPr>
          <w:p w14:paraId="2F242E7A"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2,0</w:t>
            </w:r>
          </w:p>
        </w:tc>
        <w:tc>
          <w:tcPr>
            <w:tcW w:w="737" w:type="dxa"/>
            <w:tcBorders>
              <w:top w:val="nil"/>
              <w:left w:val="nil"/>
              <w:bottom w:val="nil"/>
              <w:right w:val="nil"/>
            </w:tcBorders>
            <w:shd w:val="clear" w:color="auto" w:fill="auto"/>
            <w:vAlign w:val="center"/>
            <w:hideMark/>
          </w:tcPr>
          <w:p w14:paraId="1A17DAEF"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18,4</w:t>
            </w:r>
          </w:p>
        </w:tc>
        <w:tc>
          <w:tcPr>
            <w:tcW w:w="737" w:type="dxa"/>
            <w:tcBorders>
              <w:top w:val="nil"/>
              <w:left w:val="nil"/>
              <w:bottom w:val="nil"/>
              <w:right w:val="nil"/>
            </w:tcBorders>
            <w:shd w:val="clear" w:color="auto" w:fill="auto"/>
            <w:vAlign w:val="center"/>
            <w:hideMark/>
          </w:tcPr>
          <w:p w14:paraId="2036C9C9"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11,7</w:t>
            </w:r>
          </w:p>
        </w:tc>
        <w:tc>
          <w:tcPr>
            <w:tcW w:w="737" w:type="dxa"/>
            <w:tcBorders>
              <w:top w:val="nil"/>
              <w:left w:val="nil"/>
              <w:bottom w:val="nil"/>
              <w:right w:val="nil"/>
            </w:tcBorders>
            <w:shd w:val="clear" w:color="auto" w:fill="auto"/>
            <w:vAlign w:val="center"/>
            <w:hideMark/>
          </w:tcPr>
          <w:p w14:paraId="70E7D804"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6,7</w:t>
            </w:r>
          </w:p>
        </w:tc>
      </w:tr>
      <w:tr w:rsidR="005D05AB" w:rsidRPr="00577417" w14:paraId="6425AD22" w14:textId="77777777" w:rsidTr="00C609FE">
        <w:trPr>
          <w:trHeight w:val="300"/>
        </w:trPr>
        <w:tc>
          <w:tcPr>
            <w:tcW w:w="737" w:type="dxa"/>
            <w:tcBorders>
              <w:top w:val="nil"/>
              <w:left w:val="nil"/>
              <w:bottom w:val="nil"/>
              <w:right w:val="nil"/>
            </w:tcBorders>
            <w:shd w:val="clear" w:color="auto" w:fill="auto"/>
            <w:vAlign w:val="center"/>
            <w:hideMark/>
          </w:tcPr>
          <w:p w14:paraId="6CA367E5"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2015</w:t>
            </w:r>
          </w:p>
        </w:tc>
        <w:tc>
          <w:tcPr>
            <w:tcW w:w="737" w:type="dxa"/>
            <w:tcBorders>
              <w:top w:val="nil"/>
              <w:left w:val="single" w:sz="4" w:space="0" w:color="auto"/>
              <w:bottom w:val="nil"/>
              <w:right w:val="nil"/>
            </w:tcBorders>
            <w:shd w:val="clear" w:color="auto" w:fill="auto"/>
            <w:vAlign w:val="center"/>
            <w:hideMark/>
          </w:tcPr>
          <w:p w14:paraId="53D5BA5F"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183,1</w:t>
            </w:r>
          </w:p>
        </w:tc>
        <w:tc>
          <w:tcPr>
            <w:tcW w:w="736" w:type="dxa"/>
            <w:tcBorders>
              <w:top w:val="nil"/>
              <w:left w:val="nil"/>
              <w:bottom w:val="nil"/>
              <w:right w:val="nil"/>
            </w:tcBorders>
            <w:shd w:val="clear" w:color="auto" w:fill="auto"/>
            <w:vAlign w:val="center"/>
            <w:hideMark/>
          </w:tcPr>
          <w:p w14:paraId="495BA3DB"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83,5</w:t>
            </w:r>
          </w:p>
        </w:tc>
        <w:tc>
          <w:tcPr>
            <w:tcW w:w="736" w:type="dxa"/>
            <w:tcBorders>
              <w:top w:val="nil"/>
              <w:left w:val="nil"/>
              <w:bottom w:val="nil"/>
              <w:right w:val="single" w:sz="4" w:space="0" w:color="auto"/>
            </w:tcBorders>
            <w:shd w:val="clear" w:color="auto" w:fill="auto"/>
            <w:vAlign w:val="center"/>
            <w:hideMark/>
          </w:tcPr>
          <w:p w14:paraId="5BA9DE20"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99,6</w:t>
            </w:r>
          </w:p>
        </w:tc>
        <w:tc>
          <w:tcPr>
            <w:tcW w:w="737" w:type="dxa"/>
            <w:tcBorders>
              <w:top w:val="nil"/>
              <w:left w:val="nil"/>
              <w:bottom w:val="nil"/>
              <w:right w:val="nil"/>
            </w:tcBorders>
            <w:shd w:val="clear" w:color="auto" w:fill="auto"/>
            <w:vAlign w:val="center"/>
            <w:hideMark/>
          </w:tcPr>
          <w:p w14:paraId="1EBB5C1A"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156,2</w:t>
            </w:r>
          </w:p>
        </w:tc>
        <w:tc>
          <w:tcPr>
            <w:tcW w:w="736" w:type="dxa"/>
            <w:tcBorders>
              <w:top w:val="nil"/>
              <w:left w:val="nil"/>
              <w:bottom w:val="nil"/>
              <w:right w:val="nil"/>
            </w:tcBorders>
            <w:shd w:val="clear" w:color="auto" w:fill="auto"/>
            <w:vAlign w:val="center"/>
            <w:hideMark/>
          </w:tcPr>
          <w:p w14:paraId="14C90932"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66,2</w:t>
            </w:r>
          </w:p>
        </w:tc>
        <w:tc>
          <w:tcPr>
            <w:tcW w:w="736" w:type="dxa"/>
            <w:tcBorders>
              <w:top w:val="nil"/>
              <w:left w:val="nil"/>
              <w:bottom w:val="nil"/>
              <w:right w:val="nil"/>
            </w:tcBorders>
            <w:shd w:val="clear" w:color="auto" w:fill="auto"/>
            <w:vAlign w:val="center"/>
            <w:hideMark/>
          </w:tcPr>
          <w:p w14:paraId="7F727C08"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90,0</w:t>
            </w:r>
          </w:p>
        </w:tc>
        <w:tc>
          <w:tcPr>
            <w:tcW w:w="754" w:type="dxa"/>
            <w:tcBorders>
              <w:top w:val="nil"/>
              <w:left w:val="single" w:sz="4" w:space="0" w:color="auto"/>
              <w:bottom w:val="nil"/>
              <w:right w:val="nil"/>
            </w:tcBorders>
            <w:shd w:val="clear" w:color="auto" w:fill="auto"/>
            <w:vAlign w:val="center"/>
            <w:hideMark/>
          </w:tcPr>
          <w:p w14:paraId="660D39F0"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7,0</w:t>
            </w:r>
          </w:p>
        </w:tc>
        <w:tc>
          <w:tcPr>
            <w:tcW w:w="737" w:type="dxa"/>
            <w:tcBorders>
              <w:top w:val="nil"/>
              <w:left w:val="nil"/>
              <w:bottom w:val="nil"/>
              <w:right w:val="nil"/>
            </w:tcBorders>
            <w:shd w:val="clear" w:color="auto" w:fill="auto"/>
            <w:vAlign w:val="center"/>
            <w:hideMark/>
          </w:tcPr>
          <w:p w14:paraId="24748FEB"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4,8</w:t>
            </w:r>
          </w:p>
        </w:tc>
        <w:tc>
          <w:tcPr>
            <w:tcW w:w="737" w:type="dxa"/>
            <w:tcBorders>
              <w:top w:val="nil"/>
              <w:left w:val="nil"/>
              <w:bottom w:val="nil"/>
              <w:right w:val="single" w:sz="4" w:space="0" w:color="auto"/>
            </w:tcBorders>
            <w:shd w:val="clear" w:color="auto" w:fill="auto"/>
            <w:vAlign w:val="center"/>
            <w:hideMark/>
          </w:tcPr>
          <w:p w14:paraId="26C1FB25"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2,2</w:t>
            </w:r>
          </w:p>
        </w:tc>
        <w:tc>
          <w:tcPr>
            <w:tcW w:w="737" w:type="dxa"/>
            <w:tcBorders>
              <w:top w:val="nil"/>
              <w:left w:val="nil"/>
              <w:bottom w:val="nil"/>
              <w:right w:val="nil"/>
            </w:tcBorders>
            <w:shd w:val="clear" w:color="auto" w:fill="auto"/>
            <w:vAlign w:val="center"/>
            <w:hideMark/>
          </w:tcPr>
          <w:p w14:paraId="7ACC8CEF"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19,9</w:t>
            </w:r>
          </w:p>
        </w:tc>
        <w:tc>
          <w:tcPr>
            <w:tcW w:w="737" w:type="dxa"/>
            <w:tcBorders>
              <w:top w:val="nil"/>
              <w:left w:val="nil"/>
              <w:bottom w:val="nil"/>
              <w:right w:val="nil"/>
            </w:tcBorders>
            <w:shd w:val="clear" w:color="auto" w:fill="auto"/>
            <w:vAlign w:val="center"/>
            <w:hideMark/>
          </w:tcPr>
          <w:p w14:paraId="1447AC81"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12,5</w:t>
            </w:r>
          </w:p>
        </w:tc>
        <w:tc>
          <w:tcPr>
            <w:tcW w:w="737" w:type="dxa"/>
            <w:tcBorders>
              <w:top w:val="nil"/>
              <w:left w:val="nil"/>
              <w:bottom w:val="nil"/>
              <w:right w:val="nil"/>
            </w:tcBorders>
            <w:shd w:val="clear" w:color="auto" w:fill="auto"/>
            <w:vAlign w:val="center"/>
            <w:hideMark/>
          </w:tcPr>
          <w:p w14:paraId="1CB1981F"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7,4</w:t>
            </w:r>
          </w:p>
        </w:tc>
      </w:tr>
      <w:tr w:rsidR="005D05AB" w:rsidRPr="00577417" w14:paraId="1AC6ED6F" w14:textId="77777777" w:rsidTr="00C609FE">
        <w:trPr>
          <w:trHeight w:val="300"/>
        </w:trPr>
        <w:tc>
          <w:tcPr>
            <w:tcW w:w="737" w:type="dxa"/>
            <w:tcBorders>
              <w:top w:val="nil"/>
              <w:left w:val="nil"/>
              <w:bottom w:val="nil"/>
              <w:right w:val="nil"/>
            </w:tcBorders>
            <w:shd w:val="clear" w:color="auto" w:fill="auto"/>
            <w:vAlign w:val="center"/>
            <w:hideMark/>
          </w:tcPr>
          <w:p w14:paraId="146FE352"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2016</w:t>
            </w:r>
          </w:p>
        </w:tc>
        <w:tc>
          <w:tcPr>
            <w:tcW w:w="737" w:type="dxa"/>
            <w:tcBorders>
              <w:top w:val="nil"/>
              <w:left w:val="single" w:sz="4" w:space="0" w:color="auto"/>
              <w:bottom w:val="nil"/>
              <w:right w:val="nil"/>
            </w:tcBorders>
            <w:shd w:val="clear" w:color="auto" w:fill="auto"/>
            <w:vAlign w:val="center"/>
            <w:hideMark/>
          </w:tcPr>
          <w:p w14:paraId="23707ED5"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191,9</w:t>
            </w:r>
          </w:p>
        </w:tc>
        <w:tc>
          <w:tcPr>
            <w:tcW w:w="736" w:type="dxa"/>
            <w:tcBorders>
              <w:top w:val="nil"/>
              <w:left w:val="nil"/>
              <w:bottom w:val="nil"/>
              <w:right w:val="nil"/>
            </w:tcBorders>
            <w:shd w:val="clear" w:color="auto" w:fill="auto"/>
            <w:vAlign w:val="center"/>
            <w:hideMark/>
          </w:tcPr>
          <w:p w14:paraId="2DBE7424"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87,1</w:t>
            </w:r>
          </w:p>
        </w:tc>
        <w:tc>
          <w:tcPr>
            <w:tcW w:w="736" w:type="dxa"/>
            <w:tcBorders>
              <w:top w:val="nil"/>
              <w:left w:val="nil"/>
              <w:bottom w:val="nil"/>
              <w:right w:val="single" w:sz="4" w:space="0" w:color="auto"/>
            </w:tcBorders>
            <w:shd w:val="clear" w:color="auto" w:fill="auto"/>
            <w:vAlign w:val="center"/>
            <w:hideMark/>
          </w:tcPr>
          <w:p w14:paraId="7E7A5CD8"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104,8</w:t>
            </w:r>
          </w:p>
        </w:tc>
        <w:tc>
          <w:tcPr>
            <w:tcW w:w="737" w:type="dxa"/>
            <w:tcBorders>
              <w:top w:val="nil"/>
              <w:left w:val="nil"/>
              <w:bottom w:val="nil"/>
              <w:right w:val="nil"/>
            </w:tcBorders>
            <w:shd w:val="clear" w:color="auto" w:fill="auto"/>
            <w:vAlign w:val="center"/>
            <w:hideMark/>
          </w:tcPr>
          <w:p w14:paraId="3748CD85"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164,2</w:t>
            </w:r>
          </w:p>
        </w:tc>
        <w:tc>
          <w:tcPr>
            <w:tcW w:w="736" w:type="dxa"/>
            <w:tcBorders>
              <w:top w:val="nil"/>
              <w:left w:val="nil"/>
              <w:bottom w:val="nil"/>
              <w:right w:val="nil"/>
            </w:tcBorders>
            <w:shd w:val="clear" w:color="auto" w:fill="auto"/>
            <w:vAlign w:val="center"/>
            <w:hideMark/>
          </w:tcPr>
          <w:p w14:paraId="7F013550"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69,4</w:t>
            </w:r>
          </w:p>
        </w:tc>
        <w:tc>
          <w:tcPr>
            <w:tcW w:w="736" w:type="dxa"/>
            <w:tcBorders>
              <w:top w:val="nil"/>
              <w:left w:val="nil"/>
              <w:bottom w:val="nil"/>
              <w:right w:val="nil"/>
            </w:tcBorders>
            <w:shd w:val="clear" w:color="auto" w:fill="auto"/>
            <w:vAlign w:val="center"/>
            <w:hideMark/>
          </w:tcPr>
          <w:p w14:paraId="6C6741A2"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94,8</w:t>
            </w:r>
          </w:p>
        </w:tc>
        <w:tc>
          <w:tcPr>
            <w:tcW w:w="754" w:type="dxa"/>
            <w:tcBorders>
              <w:top w:val="nil"/>
              <w:left w:val="single" w:sz="4" w:space="0" w:color="auto"/>
              <w:bottom w:val="nil"/>
              <w:right w:val="nil"/>
            </w:tcBorders>
            <w:shd w:val="clear" w:color="auto" w:fill="auto"/>
            <w:vAlign w:val="center"/>
            <w:hideMark/>
          </w:tcPr>
          <w:p w14:paraId="504DE28E"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7,0</w:t>
            </w:r>
          </w:p>
        </w:tc>
        <w:tc>
          <w:tcPr>
            <w:tcW w:w="737" w:type="dxa"/>
            <w:tcBorders>
              <w:top w:val="nil"/>
              <w:left w:val="nil"/>
              <w:bottom w:val="nil"/>
              <w:right w:val="nil"/>
            </w:tcBorders>
            <w:shd w:val="clear" w:color="auto" w:fill="auto"/>
            <w:vAlign w:val="center"/>
            <w:hideMark/>
          </w:tcPr>
          <w:p w14:paraId="56F9416B"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4,8</w:t>
            </w:r>
          </w:p>
        </w:tc>
        <w:tc>
          <w:tcPr>
            <w:tcW w:w="737" w:type="dxa"/>
            <w:tcBorders>
              <w:top w:val="nil"/>
              <w:left w:val="nil"/>
              <w:bottom w:val="nil"/>
              <w:right w:val="single" w:sz="4" w:space="0" w:color="auto"/>
            </w:tcBorders>
            <w:shd w:val="clear" w:color="auto" w:fill="auto"/>
            <w:vAlign w:val="center"/>
            <w:hideMark/>
          </w:tcPr>
          <w:p w14:paraId="334F8BED"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2,2</w:t>
            </w:r>
          </w:p>
        </w:tc>
        <w:tc>
          <w:tcPr>
            <w:tcW w:w="737" w:type="dxa"/>
            <w:tcBorders>
              <w:top w:val="nil"/>
              <w:left w:val="nil"/>
              <w:bottom w:val="nil"/>
              <w:right w:val="nil"/>
            </w:tcBorders>
            <w:shd w:val="clear" w:color="auto" w:fill="auto"/>
            <w:vAlign w:val="center"/>
            <w:hideMark/>
          </w:tcPr>
          <w:p w14:paraId="0DB7C5B6"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20,7</w:t>
            </w:r>
          </w:p>
        </w:tc>
        <w:tc>
          <w:tcPr>
            <w:tcW w:w="737" w:type="dxa"/>
            <w:tcBorders>
              <w:top w:val="nil"/>
              <w:left w:val="nil"/>
              <w:bottom w:val="nil"/>
              <w:right w:val="nil"/>
            </w:tcBorders>
            <w:shd w:val="clear" w:color="auto" w:fill="auto"/>
            <w:vAlign w:val="center"/>
            <w:hideMark/>
          </w:tcPr>
          <w:p w14:paraId="5E289CF3"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12,9</w:t>
            </w:r>
          </w:p>
        </w:tc>
        <w:tc>
          <w:tcPr>
            <w:tcW w:w="737" w:type="dxa"/>
            <w:tcBorders>
              <w:top w:val="nil"/>
              <w:left w:val="nil"/>
              <w:bottom w:val="nil"/>
              <w:right w:val="nil"/>
            </w:tcBorders>
            <w:shd w:val="clear" w:color="auto" w:fill="auto"/>
            <w:vAlign w:val="center"/>
            <w:hideMark/>
          </w:tcPr>
          <w:p w14:paraId="5719FB34"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7,8</w:t>
            </w:r>
          </w:p>
        </w:tc>
      </w:tr>
      <w:tr w:rsidR="005D05AB" w:rsidRPr="00577417" w14:paraId="51D01F7A" w14:textId="77777777" w:rsidTr="00C609FE">
        <w:trPr>
          <w:trHeight w:val="300"/>
        </w:trPr>
        <w:tc>
          <w:tcPr>
            <w:tcW w:w="737" w:type="dxa"/>
            <w:tcBorders>
              <w:top w:val="nil"/>
              <w:left w:val="nil"/>
              <w:bottom w:val="nil"/>
              <w:right w:val="nil"/>
            </w:tcBorders>
            <w:shd w:val="clear" w:color="auto" w:fill="auto"/>
            <w:vAlign w:val="center"/>
            <w:hideMark/>
          </w:tcPr>
          <w:p w14:paraId="5C8F723F"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2017</w:t>
            </w:r>
          </w:p>
        </w:tc>
        <w:tc>
          <w:tcPr>
            <w:tcW w:w="737" w:type="dxa"/>
            <w:tcBorders>
              <w:top w:val="nil"/>
              <w:left w:val="single" w:sz="4" w:space="0" w:color="auto"/>
              <w:bottom w:val="nil"/>
              <w:right w:val="nil"/>
            </w:tcBorders>
            <w:shd w:val="clear" w:color="auto" w:fill="auto"/>
            <w:vAlign w:val="center"/>
            <w:hideMark/>
          </w:tcPr>
          <w:p w14:paraId="061EBA33"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199,1</w:t>
            </w:r>
          </w:p>
        </w:tc>
        <w:tc>
          <w:tcPr>
            <w:tcW w:w="736" w:type="dxa"/>
            <w:tcBorders>
              <w:top w:val="nil"/>
              <w:left w:val="nil"/>
              <w:bottom w:val="nil"/>
              <w:right w:val="nil"/>
            </w:tcBorders>
            <w:shd w:val="clear" w:color="auto" w:fill="auto"/>
            <w:vAlign w:val="center"/>
            <w:hideMark/>
          </w:tcPr>
          <w:p w14:paraId="63D9EBCD"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90,6</w:t>
            </w:r>
          </w:p>
        </w:tc>
        <w:tc>
          <w:tcPr>
            <w:tcW w:w="736" w:type="dxa"/>
            <w:tcBorders>
              <w:top w:val="nil"/>
              <w:left w:val="nil"/>
              <w:bottom w:val="nil"/>
              <w:right w:val="single" w:sz="4" w:space="0" w:color="auto"/>
            </w:tcBorders>
            <w:shd w:val="clear" w:color="auto" w:fill="auto"/>
            <w:vAlign w:val="center"/>
            <w:hideMark/>
          </w:tcPr>
          <w:p w14:paraId="3A37F6EF"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108,5</w:t>
            </w:r>
          </w:p>
        </w:tc>
        <w:tc>
          <w:tcPr>
            <w:tcW w:w="737" w:type="dxa"/>
            <w:tcBorders>
              <w:top w:val="nil"/>
              <w:left w:val="nil"/>
              <w:bottom w:val="nil"/>
              <w:right w:val="nil"/>
            </w:tcBorders>
            <w:shd w:val="clear" w:color="auto" w:fill="auto"/>
            <w:vAlign w:val="center"/>
            <w:hideMark/>
          </w:tcPr>
          <w:p w14:paraId="1008F20A"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170,2</w:t>
            </w:r>
          </w:p>
        </w:tc>
        <w:tc>
          <w:tcPr>
            <w:tcW w:w="736" w:type="dxa"/>
            <w:tcBorders>
              <w:top w:val="nil"/>
              <w:left w:val="nil"/>
              <w:bottom w:val="nil"/>
              <w:right w:val="nil"/>
            </w:tcBorders>
            <w:shd w:val="clear" w:color="auto" w:fill="auto"/>
            <w:vAlign w:val="center"/>
            <w:hideMark/>
          </w:tcPr>
          <w:p w14:paraId="423A1A7C"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72,5</w:t>
            </w:r>
          </w:p>
        </w:tc>
        <w:tc>
          <w:tcPr>
            <w:tcW w:w="736" w:type="dxa"/>
            <w:tcBorders>
              <w:top w:val="nil"/>
              <w:left w:val="nil"/>
              <w:bottom w:val="nil"/>
              <w:right w:val="nil"/>
            </w:tcBorders>
            <w:shd w:val="clear" w:color="auto" w:fill="auto"/>
            <w:vAlign w:val="center"/>
            <w:hideMark/>
          </w:tcPr>
          <w:p w14:paraId="4A16F15F"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97,7</w:t>
            </w:r>
          </w:p>
        </w:tc>
        <w:tc>
          <w:tcPr>
            <w:tcW w:w="754" w:type="dxa"/>
            <w:tcBorders>
              <w:top w:val="nil"/>
              <w:left w:val="single" w:sz="4" w:space="0" w:color="auto"/>
              <w:bottom w:val="nil"/>
              <w:right w:val="nil"/>
            </w:tcBorders>
            <w:shd w:val="clear" w:color="auto" w:fill="auto"/>
            <w:vAlign w:val="center"/>
            <w:hideMark/>
          </w:tcPr>
          <w:p w14:paraId="6D3699AF"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7,1</w:t>
            </w:r>
          </w:p>
        </w:tc>
        <w:tc>
          <w:tcPr>
            <w:tcW w:w="737" w:type="dxa"/>
            <w:tcBorders>
              <w:top w:val="nil"/>
              <w:left w:val="nil"/>
              <w:bottom w:val="nil"/>
              <w:right w:val="nil"/>
            </w:tcBorders>
            <w:shd w:val="clear" w:color="auto" w:fill="auto"/>
            <w:vAlign w:val="center"/>
            <w:hideMark/>
          </w:tcPr>
          <w:p w14:paraId="62B2B60C"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4,8</w:t>
            </w:r>
          </w:p>
        </w:tc>
        <w:tc>
          <w:tcPr>
            <w:tcW w:w="737" w:type="dxa"/>
            <w:tcBorders>
              <w:top w:val="nil"/>
              <w:left w:val="nil"/>
              <w:bottom w:val="nil"/>
              <w:right w:val="single" w:sz="4" w:space="0" w:color="auto"/>
            </w:tcBorders>
            <w:shd w:val="clear" w:color="auto" w:fill="auto"/>
            <w:vAlign w:val="center"/>
            <w:hideMark/>
          </w:tcPr>
          <w:p w14:paraId="7CFEE4B7"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2,3</w:t>
            </w:r>
          </w:p>
        </w:tc>
        <w:tc>
          <w:tcPr>
            <w:tcW w:w="737" w:type="dxa"/>
            <w:tcBorders>
              <w:top w:val="nil"/>
              <w:left w:val="nil"/>
              <w:bottom w:val="nil"/>
              <w:right w:val="nil"/>
            </w:tcBorders>
            <w:shd w:val="clear" w:color="auto" w:fill="auto"/>
            <w:vAlign w:val="center"/>
            <w:hideMark/>
          </w:tcPr>
          <w:p w14:paraId="59993212"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21,8</w:t>
            </w:r>
          </w:p>
        </w:tc>
        <w:tc>
          <w:tcPr>
            <w:tcW w:w="737" w:type="dxa"/>
            <w:tcBorders>
              <w:top w:val="nil"/>
              <w:left w:val="nil"/>
              <w:bottom w:val="nil"/>
              <w:right w:val="nil"/>
            </w:tcBorders>
            <w:shd w:val="clear" w:color="auto" w:fill="auto"/>
            <w:vAlign w:val="center"/>
            <w:hideMark/>
          </w:tcPr>
          <w:p w14:paraId="6522C476"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13,3</w:t>
            </w:r>
          </w:p>
        </w:tc>
        <w:tc>
          <w:tcPr>
            <w:tcW w:w="737" w:type="dxa"/>
            <w:tcBorders>
              <w:top w:val="nil"/>
              <w:left w:val="nil"/>
              <w:bottom w:val="nil"/>
              <w:right w:val="nil"/>
            </w:tcBorders>
            <w:shd w:val="clear" w:color="auto" w:fill="auto"/>
            <w:vAlign w:val="center"/>
            <w:hideMark/>
          </w:tcPr>
          <w:p w14:paraId="01D7E09A"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8,5</w:t>
            </w:r>
          </w:p>
        </w:tc>
      </w:tr>
      <w:tr w:rsidR="005D05AB" w:rsidRPr="00577417" w14:paraId="13B347F7" w14:textId="77777777" w:rsidTr="00C609FE">
        <w:trPr>
          <w:trHeight w:val="300"/>
        </w:trPr>
        <w:tc>
          <w:tcPr>
            <w:tcW w:w="737" w:type="dxa"/>
            <w:tcBorders>
              <w:top w:val="nil"/>
              <w:left w:val="nil"/>
              <w:bottom w:val="nil"/>
              <w:right w:val="nil"/>
            </w:tcBorders>
            <w:shd w:val="clear" w:color="auto" w:fill="auto"/>
            <w:vAlign w:val="center"/>
            <w:hideMark/>
          </w:tcPr>
          <w:p w14:paraId="3854799E"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2018</w:t>
            </w:r>
          </w:p>
        </w:tc>
        <w:tc>
          <w:tcPr>
            <w:tcW w:w="737" w:type="dxa"/>
            <w:tcBorders>
              <w:top w:val="nil"/>
              <w:left w:val="single" w:sz="4" w:space="0" w:color="auto"/>
              <w:bottom w:val="nil"/>
              <w:right w:val="nil"/>
            </w:tcBorders>
            <w:shd w:val="clear" w:color="auto" w:fill="auto"/>
            <w:vAlign w:val="center"/>
            <w:hideMark/>
          </w:tcPr>
          <w:p w14:paraId="1BCA7B44"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211,4</w:t>
            </w:r>
          </w:p>
        </w:tc>
        <w:tc>
          <w:tcPr>
            <w:tcW w:w="736" w:type="dxa"/>
            <w:tcBorders>
              <w:top w:val="nil"/>
              <w:left w:val="nil"/>
              <w:bottom w:val="nil"/>
              <w:right w:val="nil"/>
            </w:tcBorders>
            <w:shd w:val="clear" w:color="auto" w:fill="auto"/>
            <w:vAlign w:val="center"/>
            <w:hideMark/>
          </w:tcPr>
          <w:p w14:paraId="41E7A383"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96,5</w:t>
            </w:r>
          </w:p>
        </w:tc>
        <w:tc>
          <w:tcPr>
            <w:tcW w:w="736" w:type="dxa"/>
            <w:tcBorders>
              <w:top w:val="nil"/>
              <w:left w:val="nil"/>
              <w:bottom w:val="nil"/>
              <w:right w:val="single" w:sz="4" w:space="0" w:color="auto"/>
            </w:tcBorders>
            <w:shd w:val="clear" w:color="auto" w:fill="auto"/>
            <w:vAlign w:val="center"/>
            <w:hideMark/>
          </w:tcPr>
          <w:p w14:paraId="6E78C130"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114,9</w:t>
            </w:r>
          </w:p>
        </w:tc>
        <w:tc>
          <w:tcPr>
            <w:tcW w:w="737" w:type="dxa"/>
            <w:tcBorders>
              <w:top w:val="nil"/>
              <w:left w:val="nil"/>
              <w:bottom w:val="nil"/>
              <w:right w:val="nil"/>
            </w:tcBorders>
            <w:shd w:val="clear" w:color="auto" w:fill="auto"/>
            <w:vAlign w:val="center"/>
            <w:hideMark/>
          </w:tcPr>
          <w:p w14:paraId="29983E28"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181,4</w:t>
            </w:r>
          </w:p>
        </w:tc>
        <w:tc>
          <w:tcPr>
            <w:tcW w:w="736" w:type="dxa"/>
            <w:tcBorders>
              <w:top w:val="nil"/>
              <w:left w:val="nil"/>
              <w:bottom w:val="nil"/>
              <w:right w:val="nil"/>
            </w:tcBorders>
            <w:shd w:val="clear" w:color="auto" w:fill="auto"/>
            <w:vAlign w:val="center"/>
            <w:hideMark/>
          </w:tcPr>
          <w:p w14:paraId="509557C7"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77,8</w:t>
            </w:r>
          </w:p>
        </w:tc>
        <w:tc>
          <w:tcPr>
            <w:tcW w:w="736" w:type="dxa"/>
            <w:tcBorders>
              <w:top w:val="nil"/>
              <w:left w:val="nil"/>
              <w:bottom w:val="nil"/>
              <w:right w:val="nil"/>
            </w:tcBorders>
            <w:shd w:val="clear" w:color="auto" w:fill="auto"/>
            <w:vAlign w:val="center"/>
            <w:hideMark/>
          </w:tcPr>
          <w:p w14:paraId="0C553F91"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103,7</w:t>
            </w:r>
          </w:p>
        </w:tc>
        <w:tc>
          <w:tcPr>
            <w:tcW w:w="754" w:type="dxa"/>
            <w:tcBorders>
              <w:top w:val="nil"/>
              <w:left w:val="single" w:sz="4" w:space="0" w:color="auto"/>
              <w:bottom w:val="nil"/>
              <w:right w:val="nil"/>
            </w:tcBorders>
            <w:shd w:val="clear" w:color="auto" w:fill="auto"/>
            <w:vAlign w:val="center"/>
            <w:hideMark/>
          </w:tcPr>
          <w:p w14:paraId="3D746216"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7,0</w:t>
            </w:r>
          </w:p>
        </w:tc>
        <w:tc>
          <w:tcPr>
            <w:tcW w:w="737" w:type="dxa"/>
            <w:tcBorders>
              <w:top w:val="nil"/>
              <w:left w:val="nil"/>
              <w:bottom w:val="nil"/>
              <w:right w:val="nil"/>
            </w:tcBorders>
            <w:shd w:val="clear" w:color="auto" w:fill="auto"/>
            <w:vAlign w:val="center"/>
            <w:hideMark/>
          </w:tcPr>
          <w:p w14:paraId="34E3B99D"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4,8</w:t>
            </w:r>
          </w:p>
        </w:tc>
        <w:tc>
          <w:tcPr>
            <w:tcW w:w="737" w:type="dxa"/>
            <w:tcBorders>
              <w:top w:val="nil"/>
              <w:left w:val="nil"/>
              <w:bottom w:val="nil"/>
              <w:right w:val="single" w:sz="4" w:space="0" w:color="auto"/>
            </w:tcBorders>
            <w:shd w:val="clear" w:color="auto" w:fill="auto"/>
            <w:vAlign w:val="center"/>
            <w:hideMark/>
          </w:tcPr>
          <w:p w14:paraId="1F548ACA"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2,3</w:t>
            </w:r>
          </w:p>
        </w:tc>
        <w:tc>
          <w:tcPr>
            <w:tcW w:w="737" w:type="dxa"/>
            <w:tcBorders>
              <w:top w:val="nil"/>
              <w:left w:val="nil"/>
              <w:bottom w:val="nil"/>
              <w:right w:val="nil"/>
            </w:tcBorders>
            <w:shd w:val="clear" w:color="auto" w:fill="auto"/>
            <w:vAlign w:val="center"/>
            <w:hideMark/>
          </w:tcPr>
          <w:p w14:paraId="095D1731"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22,9</w:t>
            </w:r>
          </w:p>
        </w:tc>
        <w:tc>
          <w:tcPr>
            <w:tcW w:w="737" w:type="dxa"/>
            <w:tcBorders>
              <w:top w:val="nil"/>
              <w:left w:val="nil"/>
              <w:bottom w:val="nil"/>
              <w:right w:val="nil"/>
            </w:tcBorders>
            <w:shd w:val="clear" w:color="auto" w:fill="auto"/>
            <w:vAlign w:val="center"/>
            <w:hideMark/>
          </w:tcPr>
          <w:p w14:paraId="534F61EE"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14,0</w:t>
            </w:r>
          </w:p>
        </w:tc>
        <w:tc>
          <w:tcPr>
            <w:tcW w:w="737" w:type="dxa"/>
            <w:tcBorders>
              <w:top w:val="nil"/>
              <w:left w:val="nil"/>
              <w:bottom w:val="nil"/>
              <w:right w:val="nil"/>
            </w:tcBorders>
            <w:shd w:val="clear" w:color="auto" w:fill="auto"/>
            <w:vAlign w:val="center"/>
            <w:hideMark/>
          </w:tcPr>
          <w:p w14:paraId="276CCAF8"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8,9</w:t>
            </w:r>
          </w:p>
        </w:tc>
      </w:tr>
      <w:tr w:rsidR="005D05AB" w:rsidRPr="00577417" w14:paraId="0FB0A9EF" w14:textId="77777777" w:rsidTr="00C609FE">
        <w:trPr>
          <w:trHeight w:val="300"/>
        </w:trPr>
        <w:tc>
          <w:tcPr>
            <w:tcW w:w="737" w:type="dxa"/>
            <w:tcBorders>
              <w:top w:val="nil"/>
              <w:left w:val="nil"/>
              <w:bottom w:val="nil"/>
              <w:right w:val="nil"/>
            </w:tcBorders>
            <w:shd w:val="clear" w:color="auto" w:fill="auto"/>
            <w:vAlign w:val="center"/>
            <w:hideMark/>
          </w:tcPr>
          <w:p w14:paraId="5FDC873A"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2019</w:t>
            </w:r>
          </w:p>
        </w:tc>
        <w:tc>
          <w:tcPr>
            <w:tcW w:w="737" w:type="dxa"/>
            <w:tcBorders>
              <w:top w:val="nil"/>
              <w:left w:val="single" w:sz="4" w:space="0" w:color="auto"/>
              <w:bottom w:val="nil"/>
              <w:right w:val="nil"/>
            </w:tcBorders>
            <w:shd w:val="clear" w:color="auto" w:fill="auto"/>
            <w:vAlign w:val="center"/>
            <w:hideMark/>
          </w:tcPr>
          <w:p w14:paraId="2A3C9443"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222,5</w:t>
            </w:r>
          </w:p>
        </w:tc>
        <w:tc>
          <w:tcPr>
            <w:tcW w:w="736" w:type="dxa"/>
            <w:tcBorders>
              <w:top w:val="nil"/>
              <w:left w:val="nil"/>
              <w:bottom w:val="nil"/>
              <w:right w:val="nil"/>
            </w:tcBorders>
            <w:shd w:val="clear" w:color="auto" w:fill="auto"/>
            <w:vAlign w:val="center"/>
            <w:hideMark/>
          </w:tcPr>
          <w:p w14:paraId="7110A029"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101,5</w:t>
            </w:r>
          </w:p>
        </w:tc>
        <w:tc>
          <w:tcPr>
            <w:tcW w:w="736" w:type="dxa"/>
            <w:tcBorders>
              <w:top w:val="nil"/>
              <w:left w:val="nil"/>
              <w:bottom w:val="nil"/>
              <w:right w:val="single" w:sz="4" w:space="0" w:color="auto"/>
            </w:tcBorders>
            <w:shd w:val="clear" w:color="auto" w:fill="auto"/>
            <w:vAlign w:val="center"/>
            <w:hideMark/>
          </w:tcPr>
          <w:p w14:paraId="25DD2C39"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121,0</w:t>
            </w:r>
          </w:p>
        </w:tc>
        <w:tc>
          <w:tcPr>
            <w:tcW w:w="737" w:type="dxa"/>
            <w:tcBorders>
              <w:top w:val="nil"/>
              <w:left w:val="nil"/>
              <w:bottom w:val="nil"/>
              <w:right w:val="nil"/>
            </w:tcBorders>
            <w:shd w:val="clear" w:color="auto" w:fill="auto"/>
            <w:vAlign w:val="center"/>
            <w:hideMark/>
          </w:tcPr>
          <w:p w14:paraId="30F64CC4"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191,5</w:t>
            </w:r>
          </w:p>
        </w:tc>
        <w:tc>
          <w:tcPr>
            <w:tcW w:w="736" w:type="dxa"/>
            <w:tcBorders>
              <w:top w:val="nil"/>
              <w:left w:val="nil"/>
              <w:bottom w:val="nil"/>
              <w:right w:val="nil"/>
            </w:tcBorders>
            <w:shd w:val="clear" w:color="auto" w:fill="auto"/>
            <w:vAlign w:val="center"/>
            <w:hideMark/>
          </w:tcPr>
          <w:p w14:paraId="73EBCEAC"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82,2</w:t>
            </w:r>
          </w:p>
        </w:tc>
        <w:tc>
          <w:tcPr>
            <w:tcW w:w="736" w:type="dxa"/>
            <w:tcBorders>
              <w:top w:val="nil"/>
              <w:left w:val="nil"/>
              <w:bottom w:val="nil"/>
              <w:right w:val="nil"/>
            </w:tcBorders>
            <w:shd w:val="clear" w:color="auto" w:fill="auto"/>
            <w:vAlign w:val="center"/>
            <w:hideMark/>
          </w:tcPr>
          <w:p w14:paraId="386483A9"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109,3</w:t>
            </w:r>
          </w:p>
        </w:tc>
        <w:tc>
          <w:tcPr>
            <w:tcW w:w="754" w:type="dxa"/>
            <w:tcBorders>
              <w:top w:val="nil"/>
              <w:left w:val="single" w:sz="4" w:space="0" w:color="auto"/>
              <w:bottom w:val="nil"/>
              <w:right w:val="nil"/>
            </w:tcBorders>
            <w:shd w:val="clear" w:color="auto" w:fill="auto"/>
            <w:vAlign w:val="center"/>
            <w:hideMark/>
          </w:tcPr>
          <w:p w14:paraId="031BC8E2"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6,9</w:t>
            </w:r>
          </w:p>
        </w:tc>
        <w:tc>
          <w:tcPr>
            <w:tcW w:w="737" w:type="dxa"/>
            <w:tcBorders>
              <w:top w:val="nil"/>
              <w:left w:val="nil"/>
              <w:bottom w:val="nil"/>
              <w:right w:val="nil"/>
            </w:tcBorders>
            <w:shd w:val="clear" w:color="auto" w:fill="auto"/>
            <w:vAlign w:val="center"/>
            <w:hideMark/>
          </w:tcPr>
          <w:p w14:paraId="5BF63B73"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4,7</w:t>
            </w:r>
          </w:p>
        </w:tc>
        <w:tc>
          <w:tcPr>
            <w:tcW w:w="737" w:type="dxa"/>
            <w:tcBorders>
              <w:top w:val="nil"/>
              <w:left w:val="nil"/>
              <w:bottom w:val="nil"/>
              <w:right w:val="single" w:sz="4" w:space="0" w:color="auto"/>
            </w:tcBorders>
            <w:shd w:val="clear" w:color="auto" w:fill="auto"/>
            <w:vAlign w:val="center"/>
            <w:hideMark/>
          </w:tcPr>
          <w:p w14:paraId="10539136"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2,3</w:t>
            </w:r>
          </w:p>
        </w:tc>
        <w:tc>
          <w:tcPr>
            <w:tcW w:w="737" w:type="dxa"/>
            <w:tcBorders>
              <w:top w:val="nil"/>
              <w:left w:val="nil"/>
              <w:bottom w:val="nil"/>
              <w:right w:val="nil"/>
            </w:tcBorders>
            <w:shd w:val="clear" w:color="auto" w:fill="auto"/>
            <w:vAlign w:val="center"/>
            <w:hideMark/>
          </w:tcPr>
          <w:p w14:paraId="70F67458"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24,0</w:t>
            </w:r>
          </w:p>
        </w:tc>
        <w:tc>
          <w:tcPr>
            <w:tcW w:w="737" w:type="dxa"/>
            <w:tcBorders>
              <w:top w:val="nil"/>
              <w:left w:val="nil"/>
              <w:bottom w:val="nil"/>
              <w:right w:val="nil"/>
            </w:tcBorders>
            <w:shd w:val="clear" w:color="auto" w:fill="auto"/>
            <w:vAlign w:val="center"/>
            <w:hideMark/>
          </w:tcPr>
          <w:p w14:paraId="39DA48DC"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14,6</w:t>
            </w:r>
          </w:p>
        </w:tc>
        <w:tc>
          <w:tcPr>
            <w:tcW w:w="737" w:type="dxa"/>
            <w:tcBorders>
              <w:top w:val="nil"/>
              <w:left w:val="nil"/>
              <w:bottom w:val="nil"/>
              <w:right w:val="nil"/>
            </w:tcBorders>
            <w:shd w:val="clear" w:color="auto" w:fill="auto"/>
            <w:vAlign w:val="center"/>
            <w:hideMark/>
          </w:tcPr>
          <w:p w14:paraId="0629E130"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9,4</w:t>
            </w:r>
          </w:p>
        </w:tc>
      </w:tr>
      <w:tr w:rsidR="005D05AB" w:rsidRPr="00577417" w14:paraId="53EC3476" w14:textId="77777777" w:rsidTr="00C609FE">
        <w:trPr>
          <w:trHeight w:val="300"/>
        </w:trPr>
        <w:tc>
          <w:tcPr>
            <w:tcW w:w="737" w:type="dxa"/>
            <w:tcBorders>
              <w:top w:val="nil"/>
              <w:left w:val="nil"/>
              <w:bottom w:val="nil"/>
              <w:right w:val="single" w:sz="4" w:space="0" w:color="auto"/>
            </w:tcBorders>
            <w:shd w:val="clear" w:color="auto" w:fill="auto"/>
            <w:vAlign w:val="center"/>
            <w:hideMark/>
          </w:tcPr>
          <w:p w14:paraId="0773F1D8"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2020</w:t>
            </w:r>
          </w:p>
        </w:tc>
        <w:tc>
          <w:tcPr>
            <w:tcW w:w="737" w:type="dxa"/>
            <w:tcBorders>
              <w:top w:val="nil"/>
              <w:left w:val="nil"/>
              <w:bottom w:val="nil"/>
              <w:right w:val="nil"/>
            </w:tcBorders>
            <w:shd w:val="clear" w:color="auto" w:fill="auto"/>
            <w:vAlign w:val="center"/>
            <w:hideMark/>
          </w:tcPr>
          <w:p w14:paraId="0611B1E8"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257,5</w:t>
            </w:r>
          </w:p>
        </w:tc>
        <w:tc>
          <w:tcPr>
            <w:tcW w:w="736" w:type="dxa"/>
            <w:tcBorders>
              <w:top w:val="nil"/>
              <w:left w:val="nil"/>
              <w:bottom w:val="nil"/>
              <w:right w:val="nil"/>
            </w:tcBorders>
            <w:shd w:val="clear" w:color="auto" w:fill="auto"/>
            <w:vAlign w:val="center"/>
            <w:hideMark/>
          </w:tcPr>
          <w:p w14:paraId="6FE2BADD"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118,1</w:t>
            </w:r>
          </w:p>
        </w:tc>
        <w:tc>
          <w:tcPr>
            <w:tcW w:w="736" w:type="dxa"/>
            <w:tcBorders>
              <w:top w:val="nil"/>
              <w:left w:val="nil"/>
              <w:bottom w:val="nil"/>
              <w:right w:val="single" w:sz="4" w:space="0" w:color="auto"/>
            </w:tcBorders>
            <w:shd w:val="clear" w:color="auto" w:fill="auto"/>
            <w:vAlign w:val="center"/>
            <w:hideMark/>
          </w:tcPr>
          <w:p w14:paraId="6827A938"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139,4</w:t>
            </w:r>
          </w:p>
        </w:tc>
        <w:tc>
          <w:tcPr>
            <w:tcW w:w="737" w:type="dxa"/>
            <w:tcBorders>
              <w:top w:val="nil"/>
              <w:left w:val="nil"/>
              <w:bottom w:val="nil"/>
              <w:right w:val="nil"/>
            </w:tcBorders>
            <w:shd w:val="clear" w:color="auto" w:fill="auto"/>
            <w:vAlign w:val="center"/>
            <w:hideMark/>
          </w:tcPr>
          <w:p w14:paraId="5493A9C7"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224,8</w:t>
            </w:r>
          </w:p>
        </w:tc>
        <w:tc>
          <w:tcPr>
            <w:tcW w:w="736" w:type="dxa"/>
            <w:tcBorders>
              <w:top w:val="nil"/>
              <w:left w:val="nil"/>
              <w:bottom w:val="nil"/>
              <w:right w:val="nil"/>
            </w:tcBorders>
            <w:shd w:val="clear" w:color="auto" w:fill="auto"/>
            <w:vAlign w:val="center"/>
            <w:hideMark/>
          </w:tcPr>
          <w:p w14:paraId="3FE5085E"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98,0</w:t>
            </w:r>
          </w:p>
        </w:tc>
        <w:tc>
          <w:tcPr>
            <w:tcW w:w="736" w:type="dxa"/>
            <w:tcBorders>
              <w:top w:val="nil"/>
              <w:left w:val="nil"/>
              <w:bottom w:val="nil"/>
              <w:right w:val="nil"/>
            </w:tcBorders>
            <w:shd w:val="clear" w:color="auto" w:fill="auto"/>
            <w:vAlign w:val="center"/>
            <w:hideMark/>
          </w:tcPr>
          <w:p w14:paraId="507EC627"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126,9</w:t>
            </w:r>
          </w:p>
        </w:tc>
        <w:tc>
          <w:tcPr>
            <w:tcW w:w="754" w:type="dxa"/>
            <w:tcBorders>
              <w:top w:val="nil"/>
              <w:left w:val="single" w:sz="4" w:space="0" w:color="auto"/>
              <w:bottom w:val="nil"/>
              <w:right w:val="nil"/>
            </w:tcBorders>
            <w:shd w:val="clear" w:color="auto" w:fill="auto"/>
            <w:vAlign w:val="center"/>
            <w:hideMark/>
          </w:tcPr>
          <w:p w14:paraId="2A84B55D"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7,1</w:t>
            </w:r>
          </w:p>
        </w:tc>
        <w:tc>
          <w:tcPr>
            <w:tcW w:w="737" w:type="dxa"/>
            <w:tcBorders>
              <w:top w:val="nil"/>
              <w:left w:val="nil"/>
              <w:bottom w:val="nil"/>
              <w:right w:val="nil"/>
            </w:tcBorders>
            <w:shd w:val="clear" w:color="auto" w:fill="auto"/>
            <w:vAlign w:val="center"/>
            <w:hideMark/>
          </w:tcPr>
          <w:p w14:paraId="402E798A"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4,8</w:t>
            </w:r>
          </w:p>
        </w:tc>
        <w:tc>
          <w:tcPr>
            <w:tcW w:w="737" w:type="dxa"/>
            <w:tcBorders>
              <w:top w:val="nil"/>
              <w:left w:val="nil"/>
              <w:bottom w:val="nil"/>
              <w:right w:val="single" w:sz="4" w:space="0" w:color="auto"/>
            </w:tcBorders>
            <w:shd w:val="clear" w:color="auto" w:fill="auto"/>
            <w:vAlign w:val="center"/>
            <w:hideMark/>
          </w:tcPr>
          <w:p w14:paraId="51F98B48"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2,2</w:t>
            </w:r>
          </w:p>
        </w:tc>
        <w:tc>
          <w:tcPr>
            <w:tcW w:w="737" w:type="dxa"/>
            <w:tcBorders>
              <w:top w:val="nil"/>
              <w:left w:val="nil"/>
              <w:bottom w:val="nil"/>
              <w:right w:val="nil"/>
            </w:tcBorders>
            <w:shd w:val="clear" w:color="auto" w:fill="auto"/>
            <w:vAlign w:val="center"/>
            <w:hideMark/>
          </w:tcPr>
          <w:p w14:paraId="6D61356D"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25,6</w:t>
            </w:r>
          </w:p>
        </w:tc>
        <w:tc>
          <w:tcPr>
            <w:tcW w:w="737" w:type="dxa"/>
            <w:tcBorders>
              <w:top w:val="nil"/>
              <w:left w:val="nil"/>
              <w:bottom w:val="nil"/>
              <w:right w:val="nil"/>
            </w:tcBorders>
            <w:shd w:val="clear" w:color="auto" w:fill="auto"/>
            <w:vAlign w:val="center"/>
            <w:hideMark/>
          </w:tcPr>
          <w:p w14:paraId="454B827F"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15,3</w:t>
            </w:r>
          </w:p>
        </w:tc>
        <w:tc>
          <w:tcPr>
            <w:tcW w:w="737" w:type="dxa"/>
            <w:tcBorders>
              <w:top w:val="nil"/>
              <w:left w:val="nil"/>
              <w:bottom w:val="nil"/>
              <w:right w:val="nil"/>
            </w:tcBorders>
            <w:shd w:val="clear" w:color="auto" w:fill="auto"/>
            <w:vAlign w:val="center"/>
            <w:hideMark/>
          </w:tcPr>
          <w:p w14:paraId="7CDA0B30"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10,3</w:t>
            </w:r>
          </w:p>
        </w:tc>
      </w:tr>
      <w:tr w:rsidR="005D05AB" w:rsidRPr="00577417" w14:paraId="05ED7730" w14:textId="77777777" w:rsidTr="00C609FE">
        <w:trPr>
          <w:trHeight w:val="300"/>
        </w:trPr>
        <w:tc>
          <w:tcPr>
            <w:tcW w:w="737" w:type="dxa"/>
            <w:tcBorders>
              <w:top w:val="nil"/>
              <w:left w:val="nil"/>
              <w:bottom w:val="nil"/>
              <w:right w:val="single" w:sz="4" w:space="0" w:color="auto"/>
            </w:tcBorders>
            <w:shd w:val="clear" w:color="auto" w:fill="auto"/>
            <w:vAlign w:val="center"/>
            <w:hideMark/>
          </w:tcPr>
          <w:p w14:paraId="27A56ECE"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2021</w:t>
            </w:r>
          </w:p>
        </w:tc>
        <w:tc>
          <w:tcPr>
            <w:tcW w:w="737" w:type="dxa"/>
            <w:tcBorders>
              <w:top w:val="nil"/>
              <w:left w:val="nil"/>
              <w:bottom w:val="nil"/>
              <w:right w:val="nil"/>
            </w:tcBorders>
            <w:shd w:val="clear" w:color="auto" w:fill="auto"/>
            <w:vAlign w:val="center"/>
            <w:hideMark/>
          </w:tcPr>
          <w:p w14:paraId="1098A9CF"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260,1</w:t>
            </w:r>
          </w:p>
        </w:tc>
        <w:tc>
          <w:tcPr>
            <w:tcW w:w="736" w:type="dxa"/>
            <w:tcBorders>
              <w:top w:val="nil"/>
              <w:left w:val="nil"/>
              <w:bottom w:val="nil"/>
              <w:right w:val="nil"/>
            </w:tcBorders>
            <w:shd w:val="clear" w:color="auto" w:fill="auto"/>
            <w:vAlign w:val="center"/>
            <w:hideMark/>
          </w:tcPr>
          <w:p w14:paraId="4BB71CED"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121,2</w:t>
            </w:r>
          </w:p>
        </w:tc>
        <w:tc>
          <w:tcPr>
            <w:tcW w:w="736" w:type="dxa"/>
            <w:tcBorders>
              <w:top w:val="nil"/>
              <w:left w:val="nil"/>
              <w:bottom w:val="nil"/>
              <w:right w:val="single" w:sz="4" w:space="0" w:color="auto"/>
            </w:tcBorders>
            <w:shd w:val="clear" w:color="auto" w:fill="auto"/>
            <w:vAlign w:val="center"/>
            <w:hideMark/>
          </w:tcPr>
          <w:p w14:paraId="4ADD88D0"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138,9</w:t>
            </w:r>
          </w:p>
        </w:tc>
        <w:tc>
          <w:tcPr>
            <w:tcW w:w="737" w:type="dxa"/>
            <w:tcBorders>
              <w:top w:val="nil"/>
              <w:left w:val="nil"/>
              <w:bottom w:val="nil"/>
              <w:right w:val="nil"/>
            </w:tcBorders>
            <w:shd w:val="clear" w:color="auto" w:fill="auto"/>
            <w:vAlign w:val="center"/>
            <w:hideMark/>
          </w:tcPr>
          <w:p w14:paraId="2FD66FCD"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228,4</w:t>
            </w:r>
          </w:p>
        </w:tc>
        <w:tc>
          <w:tcPr>
            <w:tcW w:w="736" w:type="dxa"/>
            <w:tcBorders>
              <w:top w:val="nil"/>
              <w:left w:val="nil"/>
              <w:bottom w:val="nil"/>
              <w:right w:val="nil"/>
            </w:tcBorders>
            <w:shd w:val="clear" w:color="auto" w:fill="auto"/>
            <w:vAlign w:val="center"/>
            <w:hideMark/>
          </w:tcPr>
          <w:p w14:paraId="508BD5F3"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101,9</w:t>
            </w:r>
          </w:p>
        </w:tc>
        <w:tc>
          <w:tcPr>
            <w:tcW w:w="736" w:type="dxa"/>
            <w:tcBorders>
              <w:top w:val="nil"/>
              <w:left w:val="nil"/>
              <w:bottom w:val="nil"/>
              <w:right w:val="nil"/>
            </w:tcBorders>
            <w:shd w:val="clear" w:color="auto" w:fill="auto"/>
            <w:vAlign w:val="center"/>
            <w:hideMark/>
          </w:tcPr>
          <w:p w14:paraId="1F9BBA40"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126,4</w:t>
            </w:r>
          </w:p>
        </w:tc>
        <w:tc>
          <w:tcPr>
            <w:tcW w:w="754" w:type="dxa"/>
            <w:tcBorders>
              <w:top w:val="nil"/>
              <w:left w:val="single" w:sz="4" w:space="0" w:color="auto"/>
              <w:bottom w:val="nil"/>
              <w:right w:val="nil"/>
            </w:tcBorders>
            <w:shd w:val="clear" w:color="auto" w:fill="auto"/>
            <w:vAlign w:val="center"/>
            <w:hideMark/>
          </w:tcPr>
          <w:p w14:paraId="3444DD1A"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7,1</w:t>
            </w:r>
          </w:p>
        </w:tc>
        <w:tc>
          <w:tcPr>
            <w:tcW w:w="737" w:type="dxa"/>
            <w:tcBorders>
              <w:top w:val="nil"/>
              <w:left w:val="nil"/>
              <w:bottom w:val="nil"/>
              <w:right w:val="nil"/>
            </w:tcBorders>
            <w:shd w:val="clear" w:color="auto" w:fill="auto"/>
            <w:vAlign w:val="center"/>
            <w:hideMark/>
          </w:tcPr>
          <w:p w14:paraId="50E2FC98"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4,9</w:t>
            </w:r>
          </w:p>
        </w:tc>
        <w:tc>
          <w:tcPr>
            <w:tcW w:w="737" w:type="dxa"/>
            <w:tcBorders>
              <w:top w:val="nil"/>
              <w:left w:val="nil"/>
              <w:bottom w:val="nil"/>
              <w:right w:val="single" w:sz="4" w:space="0" w:color="auto"/>
            </w:tcBorders>
            <w:shd w:val="clear" w:color="auto" w:fill="auto"/>
            <w:vAlign w:val="center"/>
            <w:hideMark/>
          </w:tcPr>
          <w:p w14:paraId="2F013E5E"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2,2</w:t>
            </w:r>
          </w:p>
        </w:tc>
        <w:tc>
          <w:tcPr>
            <w:tcW w:w="737" w:type="dxa"/>
            <w:tcBorders>
              <w:top w:val="nil"/>
              <w:left w:val="nil"/>
              <w:bottom w:val="nil"/>
              <w:right w:val="nil"/>
            </w:tcBorders>
            <w:shd w:val="clear" w:color="auto" w:fill="auto"/>
            <w:vAlign w:val="center"/>
            <w:hideMark/>
          </w:tcPr>
          <w:p w14:paraId="5DC26C3F"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24,6</w:t>
            </w:r>
          </w:p>
        </w:tc>
        <w:tc>
          <w:tcPr>
            <w:tcW w:w="737" w:type="dxa"/>
            <w:tcBorders>
              <w:top w:val="nil"/>
              <w:left w:val="nil"/>
              <w:bottom w:val="nil"/>
              <w:right w:val="nil"/>
            </w:tcBorders>
            <w:shd w:val="clear" w:color="auto" w:fill="auto"/>
            <w:vAlign w:val="center"/>
            <w:hideMark/>
          </w:tcPr>
          <w:p w14:paraId="06BF8D66"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14,4</w:t>
            </w:r>
          </w:p>
        </w:tc>
        <w:tc>
          <w:tcPr>
            <w:tcW w:w="737" w:type="dxa"/>
            <w:tcBorders>
              <w:top w:val="nil"/>
              <w:left w:val="nil"/>
              <w:bottom w:val="nil"/>
              <w:right w:val="nil"/>
            </w:tcBorders>
            <w:shd w:val="clear" w:color="auto" w:fill="auto"/>
            <w:vAlign w:val="center"/>
            <w:hideMark/>
          </w:tcPr>
          <w:p w14:paraId="7DA033BB"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10,2</w:t>
            </w:r>
          </w:p>
        </w:tc>
      </w:tr>
      <w:tr w:rsidR="005D05AB" w:rsidRPr="00577417" w14:paraId="7730725C" w14:textId="77777777" w:rsidTr="00C609FE">
        <w:trPr>
          <w:trHeight w:val="300"/>
        </w:trPr>
        <w:tc>
          <w:tcPr>
            <w:tcW w:w="737" w:type="dxa"/>
            <w:tcBorders>
              <w:top w:val="nil"/>
              <w:left w:val="nil"/>
              <w:bottom w:val="nil"/>
              <w:right w:val="single" w:sz="4" w:space="0" w:color="auto"/>
            </w:tcBorders>
            <w:shd w:val="clear" w:color="auto" w:fill="auto"/>
            <w:vAlign w:val="center"/>
          </w:tcPr>
          <w:p w14:paraId="02020F6F" w14:textId="22E698BC"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2022</w:t>
            </w:r>
            <w:r>
              <w:rPr>
                <w:rFonts w:cs="Arial"/>
                <w:color w:val="000000"/>
                <w:sz w:val="16"/>
                <w:szCs w:val="16"/>
              </w:rPr>
              <w:t>*</w:t>
            </w:r>
          </w:p>
        </w:tc>
        <w:tc>
          <w:tcPr>
            <w:tcW w:w="737" w:type="dxa"/>
            <w:tcBorders>
              <w:top w:val="nil"/>
              <w:left w:val="nil"/>
              <w:bottom w:val="nil"/>
              <w:right w:val="nil"/>
            </w:tcBorders>
            <w:shd w:val="clear" w:color="auto" w:fill="auto"/>
            <w:vAlign w:val="center"/>
          </w:tcPr>
          <w:p w14:paraId="2416C222"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249,5</w:t>
            </w:r>
          </w:p>
        </w:tc>
        <w:tc>
          <w:tcPr>
            <w:tcW w:w="736" w:type="dxa"/>
            <w:tcBorders>
              <w:top w:val="nil"/>
              <w:left w:val="nil"/>
              <w:bottom w:val="nil"/>
              <w:right w:val="nil"/>
            </w:tcBorders>
            <w:shd w:val="clear" w:color="auto" w:fill="auto"/>
            <w:vAlign w:val="center"/>
          </w:tcPr>
          <w:p w14:paraId="18225DA9"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113,4</w:t>
            </w:r>
          </w:p>
        </w:tc>
        <w:tc>
          <w:tcPr>
            <w:tcW w:w="736" w:type="dxa"/>
            <w:tcBorders>
              <w:top w:val="nil"/>
              <w:left w:val="nil"/>
              <w:bottom w:val="nil"/>
              <w:right w:val="single" w:sz="4" w:space="0" w:color="auto"/>
            </w:tcBorders>
            <w:shd w:val="clear" w:color="auto" w:fill="auto"/>
            <w:vAlign w:val="center"/>
          </w:tcPr>
          <w:p w14:paraId="796FD590"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136,1</w:t>
            </w:r>
          </w:p>
        </w:tc>
        <w:tc>
          <w:tcPr>
            <w:tcW w:w="737" w:type="dxa"/>
            <w:tcBorders>
              <w:top w:val="nil"/>
              <w:left w:val="nil"/>
              <w:bottom w:val="nil"/>
              <w:right w:val="nil"/>
            </w:tcBorders>
            <w:shd w:val="clear" w:color="auto" w:fill="auto"/>
            <w:vAlign w:val="center"/>
          </w:tcPr>
          <w:p w14:paraId="5260E5DB"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217,0</w:t>
            </w:r>
          </w:p>
        </w:tc>
        <w:tc>
          <w:tcPr>
            <w:tcW w:w="736" w:type="dxa"/>
            <w:tcBorders>
              <w:top w:val="nil"/>
              <w:left w:val="nil"/>
              <w:bottom w:val="nil"/>
              <w:right w:val="nil"/>
            </w:tcBorders>
            <w:shd w:val="clear" w:color="auto" w:fill="auto"/>
            <w:vAlign w:val="center"/>
          </w:tcPr>
          <w:p w14:paraId="6A5ED5CD"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93,7</w:t>
            </w:r>
          </w:p>
        </w:tc>
        <w:tc>
          <w:tcPr>
            <w:tcW w:w="736" w:type="dxa"/>
            <w:tcBorders>
              <w:top w:val="nil"/>
              <w:left w:val="nil"/>
              <w:bottom w:val="nil"/>
              <w:right w:val="nil"/>
            </w:tcBorders>
            <w:shd w:val="clear" w:color="auto" w:fill="auto"/>
            <w:vAlign w:val="center"/>
          </w:tcPr>
          <w:p w14:paraId="533D121B"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123,2</w:t>
            </w:r>
          </w:p>
        </w:tc>
        <w:tc>
          <w:tcPr>
            <w:tcW w:w="754" w:type="dxa"/>
            <w:tcBorders>
              <w:top w:val="nil"/>
              <w:left w:val="single" w:sz="4" w:space="0" w:color="auto"/>
              <w:bottom w:val="nil"/>
              <w:right w:val="nil"/>
            </w:tcBorders>
            <w:shd w:val="clear" w:color="auto" w:fill="auto"/>
            <w:vAlign w:val="center"/>
          </w:tcPr>
          <w:p w14:paraId="68EC8094"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6,9</w:t>
            </w:r>
          </w:p>
        </w:tc>
        <w:tc>
          <w:tcPr>
            <w:tcW w:w="737" w:type="dxa"/>
            <w:tcBorders>
              <w:top w:val="nil"/>
              <w:left w:val="nil"/>
              <w:bottom w:val="nil"/>
              <w:right w:val="nil"/>
            </w:tcBorders>
            <w:shd w:val="clear" w:color="auto" w:fill="auto"/>
            <w:vAlign w:val="center"/>
          </w:tcPr>
          <w:p w14:paraId="540DA7BF"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4,6</w:t>
            </w:r>
          </w:p>
        </w:tc>
        <w:tc>
          <w:tcPr>
            <w:tcW w:w="737" w:type="dxa"/>
            <w:tcBorders>
              <w:top w:val="nil"/>
              <w:left w:val="nil"/>
              <w:bottom w:val="nil"/>
              <w:right w:val="single" w:sz="4" w:space="0" w:color="auto"/>
            </w:tcBorders>
            <w:shd w:val="clear" w:color="auto" w:fill="auto"/>
            <w:vAlign w:val="center"/>
          </w:tcPr>
          <w:p w14:paraId="2AE93F80"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2,3</w:t>
            </w:r>
          </w:p>
        </w:tc>
        <w:tc>
          <w:tcPr>
            <w:tcW w:w="737" w:type="dxa"/>
            <w:tcBorders>
              <w:top w:val="nil"/>
              <w:left w:val="nil"/>
              <w:bottom w:val="nil"/>
              <w:right w:val="nil"/>
            </w:tcBorders>
            <w:shd w:val="clear" w:color="auto" w:fill="auto"/>
            <w:vAlign w:val="center"/>
          </w:tcPr>
          <w:p w14:paraId="5135E7AB"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25,6</w:t>
            </w:r>
          </w:p>
        </w:tc>
        <w:tc>
          <w:tcPr>
            <w:tcW w:w="737" w:type="dxa"/>
            <w:tcBorders>
              <w:top w:val="nil"/>
              <w:left w:val="nil"/>
              <w:bottom w:val="nil"/>
              <w:right w:val="nil"/>
            </w:tcBorders>
            <w:shd w:val="clear" w:color="auto" w:fill="auto"/>
            <w:vAlign w:val="center"/>
          </w:tcPr>
          <w:p w14:paraId="1C05609E"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15,0</w:t>
            </w:r>
          </w:p>
        </w:tc>
        <w:tc>
          <w:tcPr>
            <w:tcW w:w="737" w:type="dxa"/>
            <w:tcBorders>
              <w:top w:val="nil"/>
              <w:left w:val="nil"/>
              <w:bottom w:val="nil"/>
              <w:right w:val="nil"/>
            </w:tcBorders>
            <w:shd w:val="clear" w:color="auto" w:fill="auto"/>
            <w:vAlign w:val="center"/>
          </w:tcPr>
          <w:p w14:paraId="15584A8B" w14:textId="77777777" w:rsidR="005D05AB" w:rsidRPr="00577417" w:rsidRDefault="005D05AB" w:rsidP="00C609FE">
            <w:pPr>
              <w:spacing w:after="0" w:line="240" w:lineRule="auto"/>
              <w:jc w:val="center"/>
              <w:rPr>
                <w:rFonts w:cs="Arial"/>
                <w:color w:val="000000"/>
                <w:sz w:val="16"/>
                <w:szCs w:val="16"/>
              </w:rPr>
            </w:pPr>
            <w:r w:rsidRPr="00577417">
              <w:rPr>
                <w:rFonts w:cs="Arial"/>
                <w:color w:val="000000"/>
                <w:sz w:val="16"/>
                <w:szCs w:val="16"/>
              </w:rPr>
              <w:t>10,6</w:t>
            </w:r>
          </w:p>
        </w:tc>
      </w:tr>
      <w:tr w:rsidR="005D05AB" w:rsidRPr="005D05AB" w14:paraId="55823051" w14:textId="77777777" w:rsidTr="00175043">
        <w:trPr>
          <w:trHeight w:val="300"/>
        </w:trPr>
        <w:tc>
          <w:tcPr>
            <w:tcW w:w="737" w:type="dxa"/>
            <w:tcBorders>
              <w:top w:val="nil"/>
              <w:left w:val="nil"/>
              <w:bottom w:val="nil"/>
              <w:right w:val="single" w:sz="4" w:space="0" w:color="auto"/>
            </w:tcBorders>
            <w:shd w:val="clear" w:color="auto" w:fill="auto"/>
            <w:vAlign w:val="center"/>
          </w:tcPr>
          <w:p w14:paraId="5EBB3EB6" w14:textId="6B90A45E" w:rsidR="005D05AB" w:rsidRPr="005D05AB" w:rsidRDefault="005D05AB" w:rsidP="00175043">
            <w:pPr>
              <w:spacing w:after="0" w:line="240" w:lineRule="auto"/>
              <w:jc w:val="center"/>
              <w:rPr>
                <w:rFonts w:cs="Arial"/>
                <w:color w:val="000000"/>
                <w:sz w:val="16"/>
                <w:szCs w:val="16"/>
              </w:rPr>
            </w:pPr>
            <w:r w:rsidRPr="005D05AB">
              <w:rPr>
                <w:sz w:val="16"/>
              </w:rPr>
              <w:t>2023</w:t>
            </w:r>
          </w:p>
        </w:tc>
        <w:tc>
          <w:tcPr>
            <w:tcW w:w="737" w:type="dxa"/>
            <w:tcBorders>
              <w:top w:val="nil"/>
              <w:left w:val="nil"/>
              <w:bottom w:val="nil"/>
              <w:right w:val="nil"/>
            </w:tcBorders>
            <w:shd w:val="clear" w:color="auto" w:fill="auto"/>
            <w:vAlign w:val="center"/>
          </w:tcPr>
          <w:p w14:paraId="5061A761" w14:textId="26FEAB2D" w:rsidR="005D05AB" w:rsidRPr="005D05AB" w:rsidRDefault="005D05AB" w:rsidP="00175043">
            <w:pPr>
              <w:spacing w:after="0" w:line="240" w:lineRule="auto"/>
              <w:jc w:val="center"/>
              <w:rPr>
                <w:rFonts w:cs="Arial"/>
                <w:color w:val="000000"/>
                <w:sz w:val="16"/>
                <w:szCs w:val="16"/>
              </w:rPr>
            </w:pPr>
            <w:r w:rsidRPr="005D05AB">
              <w:rPr>
                <w:sz w:val="16"/>
              </w:rPr>
              <w:t>218,0</w:t>
            </w:r>
          </w:p>
        </w:tc>
        <w:tc>
          <w:tcPr>
            <w:tcW w:w="736" w:type="dxa"/>
            <w:tcBorders>
              <w:top w:val="nil"/>
              <w:left w:val="nil"/>
              <w:bottom w:val="nil"/>
              <w:right w:val="nil"/>
            </w:tcBorders>
            <w:shd w:val="clear" w:color="auto" w:fill="auto"/>
            <w:vAlign w:val="center"/>
          </w:tcPr>
          <w:p w14:paraId="4D5F1738" w14:textId="12F9AF19" w:rsidR="005D05AB" w:rsidRPr="005D05AB" w:rsidRDefault="005D05AB" w:rsidP="00175043">
            <w:pPr>
              <w:spacing w:after="0" w:line="240" w:lineRule="auto"/>
              <w:jc w:val="center"/>
              <w:rPr>
                <w:rFonts w:cs="Arial"/>
                <w:color w:val="000000"/>
                <w:sz w:val="16"/>
                <w:szCs w:val="16"/>
              </w:rPr>
            </w:pPr>
            <w:r w:rsidRPr="005D05AB">
              <w:rPr>
                <w:sz w:val="16"/>
              </w:rPr>
              <w:t>99,0</w:t>
            </w:r>
          </w:p>
        </w:tc>
        <w:tc>
          <w:tcPr>
            <w:tcW w:w="736" w:type="dxa"/>
            <w:tcBorders>
              <w:top w:val="nil"/>
              <w:left w:val="nil"/>
              <w:bottom w:val="nil"/>
              <w:right w:val="single" w:sz="4" w:space="0" w:color="auto"/>
            </w:tcBorders>
            <w:shd w:val="clear" w:color="auto" w:fill="auto"/>
            <w:vAlign w:val="center"/>
          </w:tcPr>
          <w:p w14:paraId="540A9729" w14:textId="0FBF0C14" w:rsidR="005D05AB" w:rsidRPr="005D05AB" w:rsidRDefault="005D05AB" w:rsidP="00175043">
            <w:pPr>
              <w:spacing w:after="0" w:line="240" w:lineRule="auto"/>
              <w:jc w:val="center"/>
              <w:rPr>
                <w:rFonts w:cs="Arial"/>
                <w:color w:val="000000"/>
                <w:sz w:val="16"/>
                <w:szCs w:val="16"/>
              </w:rPr>
            </w:pPr>
            <w:r w:rsidRPr="005D05AB">
              <w:rPr>
                <w:sz w:val="16"/>
              </w:rPr>
              <w:t>119,0</w:t>
            </w:r>
          </w:p>
        </w:tc>
        <w:tc>
          <w:tcPr>
            <w:tcW w:w="737" w:type="dxa"/>
            <w:tcBorders>
              <w:top w:val="nil"/>
              <w:left w:val="nil"/>
              <w:bottom w:val="nil"/>
              <w:right w:val="nil"/>
            </w:tcBorders>
            <w:shd w:val="clear" w:color="auto" w:fill="auto"/>
            <w:vAlign w:val="center"/>
          </w:tcPr>
          <w:p w14:paraId="3555D53D" w14:textId="2F3F255F" w:rsidR="005D05AB" w:rsidRPr="005D05AB" w:rsidRDefault="005D05AB" w:rsidP="00175043">
            <w:pPr>
              <w:spacing w:after="0" w:line="240" w:lineRule="auto"/>
              <w:jc w:val="center"/>
              <w:rPr>
                <w:rFonts w:cs="Arial"/>
                <w:color w:val="000000"/>
                <w:sz w:val="16"/>
                <w:szCs w:val="16"/>
              </w:rPr>
            </w:pPr>
            <w:r w:rsidRPr="005D05AB">
              <w:rPr>
                <w:sz w:val="16"/>
              </w:rPr>
              <w:t>185,9</w:t>
            </w:r>
          </w:p>
        </w:tc>
        <w:tc>
          <w:tcPr>
            <w:tcW w:w="736" w:type="dxa"/>
            <w:tcBorders>
              <w:top w:val="nil"/>
              <w:left w:val="nil"/>
              <w:bottom w:val="nil"/>
              <w:right w:val="nil"/>
            </w:tcBorders>
            <w:shd w:val="clear" w:color="auto" w:fill="auto"/>
            <w:vAlign w:val="center"/>
          </w:tcPr>
          <w:p w14:paraId="38E25ABB" w14:textId="248979A4" w:rsidR="005D05AB" w:rsidRPr="005D05AB" w:rsidRDefault="005D05AB" w:rsidP="00175043">
            <w:pPr>
              <w:spacing w:after="0" w:line="240" w:lineRule="auto"/>
              <w:jc w:val="center"/>
              <w:rPr>
                <w:rFonts w:cs="Arial"/>
                <w:color w:val="000000"/>
                <w:sz w:val="16"/>
                <w:szCs w:val="16"/>
              </w:rPr>
            </w:pPr>
            <w:r w:rsidRPr="005D05AB">
              <w:rPr>
                <w:sz w:val="16"/>
              </w:rPr>
              <w:t>79,9</w:t>
            </w:r>
          </w:p>
        </w:tc>
        <w:tc>
          <w:tcPr>
            <w:tcW w:w="736" w:type="dxa"/>
            <w:tcBorders>
              <w:top w:val="nil"/>
              <w:left w:val="nil"/>
              <w:bottom w:val="nil"/>
              <w:right w:val="nil"/>
            </w:tcBorders>
            <w:shd w:val="clear" w:color="auto" w:fill="auto"/>
            <w:vAlign w:val="center"/>
          </w:tcPr>
          <w:p w14:paraId="5EBF7C0B" w14:textId="490C5109" w:rsidR="005D05AB" w:rsidRPr="005D05AB" w:rsidRDefault="005D05AB" w:rsidP="00175043">
            <w:pPr>
              <w:spacing w:after="0" w:line="240" w:lineRule="auto"/>
              <w:jc w:val="center"/>
              <w:rPr>
                <w:rFonts w:cs="Arial"/>
                <w:color w:val="000000"/>
                <w:sz w:val="16"/>
                <w:szCs w:val="16"/>
              </w:rPr>
            </w:pPr>
            <w:r w:rsidRPr="005D05AB">
              <w:rPr>
                <w:sz w:val="16"/>
              </w:rPr>
              <w:t>106,0</w:t>
            </w:r>
          </w:p>
        </w:tc>
        <w:tc>
          <w:tcPr>
            <w:tcW w:w="754" w:type="dxa"/>
            <w:tcBorders>
              <w:top w:val="nil"/>
              <w:left w:val="single" w:sz="4" w:space="0" w:color="auto"/>
              <w:bottom w:val="nil"/>
              <w:right w:val="nil"/>
            </w:tcBorders>
            <w:shd w:val="clear" w:color="auto" w:fill="auto"/>
            <w:vAlign w:val="center"/>
          </w:tcPr>
          <w:p w14:paraId="7306901A" w14:textId="788D928B" w:rsidR="005D05AB" w:rsidRPr="005D05AB" w:rsidRDefault="005D05AB" w:rsidP="00175043">
            <w:pPr>
              <w:spacing w:after="0" w:line="240" w:lineRule="auto"/>
              <w:jc w:val="center"/>
              <w:rPr>
                <w:rFonts w:cs="Arial"/>
                <w:color w:val="000000"/>
                <w:sz w:val="16"/>
                <w:szCs w:val="16"/>
              </w:rPr>
            </w:pPr>
            <w:r w:rsidRPr="005D05AB">
              <w:rPr>
                <w:sz w:val="16"/>
              </w:rPr>
              <w:t>6,7</w:t>
            </w:r>
          </w:p>
        </w:tc>
        <w:tc>
          <w:tcPr>
            <w:tcW w:w="737" w:type="dxa"/>
            <w:tcBorders>
              <w:top w:val="nil"/>
              <w:left w:val="nil"/>
              <w:bottom w:val="nil"/>
              <w:right w:val="nil"/>
            </w:tcBorders>
            <w:shd w:val="clear" w:color="auto" w:fill="auto"/>
            <w:vAlign w:val="center"/>
          </w:tcPr>
          <w:p w14:paraId="5DD33B0A" w14:textId="6A3BDB40" w:rsidR="005D05AB" w:rsidRPr="005D05AB" w:rsidRDefault="005D05AB" w:rsidP="00175043">
            <w:pPr>
              <w:spacing w:after="0" w:line="240" w:lineRule="auto"/>
              <w:jc w:val="center"/>
              <w:rPr>
                <w:rFonts w:cs="Arial"/>
                <w:color w:val="000000"/>
                <w:sz w:val="16"/>
                <w:szCs w:val="16"/>
              </w:rPr>
            </w:pPr>
            <w:r w:rsidRPr="005D05AB">
              <w:rPr>
                <w:sz w:val="16"/>
              </w:rPr>
              <w:t>4,4</w:t>
            </w:r>
          </w:p>
        </w:tc>
        <w:tc>
          <w:tcPr>
            <w:tcW w:w="737" w:type="dxa"/>
            <w:tcBorders>
              <w:top w:val="nil"/>
              <w:left w:val="nil"/>
              <w:bottom w:val="nil"/>
              <w:right w:val="single" w:sz="4" w:space="0" w:color="auto"/>
            </w:tcBorders>
            <w:shd w:val="clear" w:color="auto" w:fill="auto"/>
            <w:vAlign w:val="center"/>
          </w:tcPr>
          <w:p w14:paraId="0B8CE9BE" w14:textId="155710BA" w:rsidR="005D05AB" w:rsidRPr="005D05AB" w:rsidRDefault="005D05AB" w:rsidP="00175043">
            <w:pPr>
              <w:spacing w:after="0" w:line="240" w:lineRule="auto"/>
              <w:jc w:val="center"/>
              <w:rPr>
                <w:rFonts w:cs="Arial"/>
                <w:color w:val="000000"/>
                <w:sz w:val="16"/>
                <w:szCs w:val="16"/>
              </w:rPr>
            </w:pPr>
            <w:r w:rsidRPr="005D05AB">
              <w:rPr>
                <w:sz w:val="16"/>
              </w:rPr>
              <w:t>2,3</w:t>
            </w:r>
          </w:p>
        </w:tc>
        <w:tc>
          <w:tcPr>
            <w:tcW w:w="737" w:type="dxa"/>
            <w:tcBorders>
              <w:top w:val="nil"/>
              <w:left w:val="nil"/>
              <w:bottom w:val="nil"/>
              <w:right w:val="nil"/>
            </w:tcBorders>
            <w:shd w:val="clear" w:color="auto" w:fill="auto"/>
            <w:vAlign w:val="center"/>
          </w:tcPr>
          <w:p w14:paraId="37EFE236" w14:textId="48296751" w:rsidR="005D05AB" w:rsidRPr="005D05AB" w:rsidRDefault="005D05AB" w:rsidP="00175043">
            <w:pPr>
              <w:spacing w:after="0" w:line="240" w:lineRule="auto"/>
              <w:jc w:val="center"/>
              <w:rPr>
                <w:rFonts w:cs="Arial"/>
                <w:color w:val="000000"/>
                <w:sz w:val="16"/>
                <w:szCs w:val="16"/>
              </w:rPr>
            </w:pPr>
            <w:r w:rsidRPr="005D05AB">
              <w:rPr>
                <w:sz w:val="16"/>
              </w:rPr>
              <w:t>25,4</w:t>
            </w:r>
          </w:p>
        </w:tc>
        <w:tc>
          <w:tcPr>
            <w:tcW w:w="737" w:type="dxa"/>
            <w:tcBorders>
              <w:top w:val="nil"/>
              <w:left w:val="nil"/>
              <w:bottom w:val="nil"/>
              <w:right w:val="nil"/>
            </w:tcBorders>
            <w:shd w:val="clear" w:color="auto" w:fill="auto"/>
            <w:vAlign w:val="center"/>
          </w:tcPr>
          <w:p w14:paraId="08C5F056" w14:textId="776D6DA8" w:rsidR="005D05AB" w:rsidRPr="005D05AB" w:rsidRDefault="005D05AB" w:rsidP="00175043">
            <w:pPr>
              <w:spacing w:after="0" w:line="240" w:lineRule="auto"/>
              <w:jc w:val="center"/>
              <w:rPr>
                <w:rFonts w:cs="Arial"/>
                <w:color w:val="000000"/>
                <w:sz w:val="16"/>
                <w:szCs w:val="16"/>
              </w:rPr>
            </w:pPr>
            <w:r w:rsidRPr="005D05AB">
              <w:rPr>
                <w:sz w:val="16"/>
              </w:rPr>
              <w:t>14,6</w:t>
            </w:r>
          </w:p>
        </w:tc>
        <w:tc>
          <w:tcPr>
            <w:tcW w:w="737" w:type="dxa"/>
            <w:tcBorders>
              <w:top w:val="nil"/>
              <w:left w:val="nil"/>
              <w:bottom w:val="nil"/>
              <w:right w:val="nil"/>
            </w:tcBorders>
            <w:shd w:val="clear" w:color="auto" w:fill="auto"/>
            <w:vAlign w:val="center"/>
          </w:tcPr>
          <w:p w14:paraId="2CA1C7FE" w14:textId="3C14C110" w:rsidR="005D05AB" w:rsidRPr="005D05AB" w:rsidRDefault="005D05AB" w:rsidP="00175043">
            <w:pPr>
              <w:spacing w:after="0" w:line="240" w:lineRule="auto"/>
              <w:jc w:val="center"/>
              <w:rPr>
                <w:rFonts w:cs="Arial"/>
                <w:color w:val="000000"/>
                <w:sz w:val="16"/>
                <w:szCs w:val="16"/>
              </w:rPr>
            </w:pPr>
            <w:r w:rsidRPr="005D05AB">
              <w:rPr>
                <w:sz w:val="16"/>
              </w:rPr>
              <w:t>10,7</w:t>
            </w:r>
          </w:p>
        </w:tc>
      </w:tr>
    </w:tbl>
    <w:p w14:paraId="27B18D1F" w14:textId="3E68E344" w:rsidR="004E6857" w:rsidRDefault="004E6857" w:rsidP="004E6857">
      <w:pPr>
        <w:spacing w:before="120" w:after="120" w:line="240" w:lineRule="auto"/>
        <w:jc w:val="both"/>
        <w:rPr>
          <w:rFonts w:cs="Arial"/>
          <w:color w:val="000000"/>
          <w:sz w:val="16"/>
          <w:szCs w:val="16"/>
        </w:rPr>
      </w:pPr>
      <w:r>
        <w:rPr>
          <w:rFonts w:cs="Arial"/>
          <w:color w:val="000000"/>
          <w:sz w:val="16"/>
          <w:szCs w:val="16"/>
        </w:rPr>
        <w:t>* Údaje za rok 2022 (celkem a pro nemoc) nejsou srovnatelné s údaji za ostatní roky.</w:t>
      </w:r>
    </w:p>
    <w:p w14:paraId="25DE504C" w14:textId="0458AD7C" w:rsidR="005D05AB" w:rsidRPr="00577417" w:rsidRDefault="005D05AB" w:rsidP="00C609FE">
      <w:pPr>
        <w:spacing w:before="120" w:after="120"/>
        <w:rPr>
          <w:rFonts w:cs="Arial"/>
          <w:color w:val="000000"/>
          <w:szCs w:val="16"/>
        </w:rPr>
      </w:pPr>
      <w:r w:rsidRPr="00577417">
        <w:rPr>
          <w:sz w:val="16"/>
        </w:rPr>
        <w:t>Zdroj: ČSÚ</w:t>
      </w:r>
    </w:p>
    <w:p w14:paraId="2AA14E5B" w14:textId="77777777" w:rsidR="00F52F02" w:rsidRPr="00C42FD6" w:rsidRDefault="00F52F02" w:rsidP="00F52F02">
      <w:pPr>
        <w:pStyle w:val="Nadpis3"/>
      </w:pPr>
      <w:bookmarkStart w:id="30" w:name="_Toc136412153"/>
      <w:bookmarkStart w:id="31" w:name="_Toc167965228"/>
      <w:r w:rsidRPr="00E9405E">
        <w:t>4.3 Ukončené případy dočasné pracovní neschopnosti</w:t>
      </w:r>
      <w:bookmarkEnd w:id="30"/>
      <w:bookmarkEnd w:id="31"/>
    </w:p>
    <w:p w14:paraId="0947CA22" w14:textId="77777777" w:rsidR="00F52F02" w:rsidRPr="00251BF8" w:rsidRDefault="00F52F02" w:rsidP="00F52F02">
      <w:pPr>
        <w:spacing w:after="120"/>
        <w:jc w:val="both"/>
      </w:pPr>
      <w:r w:rsidRPr="00251BF8">
        <w:t xml:space="preserve">Zatímco doposud se analýza týkala </w:t>
      </w:r>
      <w:r w:rsidRPr="00251BF8">
        <w:rPr>
          <w:b/>
        </w:rPr>
        <w:t>nově hlášených případů</w:t>
      </w:r>
      <w:r w:rsidRPr="00251BF8">
        <w:t xml:space="preserve"> dočasné pracovní neschopnosti (kapitola 4.2), které ČSÚ zpracovává z evidence ČSSZ, jiný pohled nabízí data o </w:t>
      </w:r>
      <w:r w:rsidRPr="00251BF8">
        <w:rPr>
          <w:b/>
        </w:rPr>
        <w:t>ukončených případech pracovní neschopnosti</w:t>
      </w:r>
      <w:r w:rsidRPr="00251BF8">
        <w:t xml:space="preserve"> přímo publikovaná ČSSZ. Rozdíly v počtech nově hlášených a ukončených případů dočasné pracovní neschopnosti jsou dány odlišnou metodikou sběru dat. Trendy vývoje těchto ukazatelů jsou však konzistentní.</w:t>
      </w:r>
    </w:p>
    <w:p w14:paraId="2222425C" w14:textId="77777777" w:rsidR="00F52F02" w:rsidRPr="00EE02F9" w:rsidRDefault="00F52F02" w:rsidP="00F52F02">
      <w:pPr>
        <w:spacing w:before="120" w:after="120"/>
        <w:jc w:val="both"/>
      </w:pPr>
      <w:r w:rsidRPr="00251BF8">
        <w:t xml:space="preserve">Na rozdíl od statistik nově hlášených případů, ČSSZ publikuje údaje z hlediska </w:t>
      </w:r>
      <w:r w:rsidRPr="00251BF8">
        <w:rPr>
          <w:b/>
        </w:rPr>
        <w:t>případů ukončených ve sledovaném roce</w:t>
      </w:r>
      <w:r w:rsidRPr="00251BF8">
        <w:t>. Případy vzniklé na konci roku přesahující do roku dalšího jsou evidovány až ve zpracování dat roku následujícího. Pro dokreslení pohledu na statistiku nemocnosti byla vybraná data z tohoto</w:t>
      </w:r>
      <w:r w:rsidRPr="00EE02F9">
        <w:t xml:space="preserve"> zdroje využita v této kapitole. Data o ukončených případech jsou k dispozici v třídění z pohledu pojištěnce, nikoliv zaměstnavatele, jak tomu bylo u nově hlášených případů. ČSSZ třídí data např. podle věku dočasně práce </w:t>
      </w:r>
      <w:r w:rsidRPr="00E9405E">
        <w:t xml:space="preserve">neschopných, </w:t>
      </w:r>
      <w:r w:rsidRPr="00D264DA">
        <w:t>krajů místní příslušnosti lékaře</w:t>
      </w:r>
      <w:r w:rsidRPr="00E9405E">
        <w:t xml:space="preserve"> či skupin diagnóz.</w:t>
      </w:r>
    </w:p>
    <w:p w14:paraId="17588C41" w14:textId="77777777" w:rsidR="00F52F02" w:rsidRPr="00EE02F9" w:rsidRDefault="00F52F02" w:rsidP="00F52F02">
      <w:pPr>
        <w:pStyle w:val="Box1"/>
        <w:spacing w:before="120" w:after="120"/>
        <w:ind w:left="0"/>
        <w:contextualSpacing w:val="0"/>
        <w:jc w:val="both"/>
        <w:rPr>
          <w:i/>
        </w:rPr>
      </w:pPr>
      <w:r w:rsidRPr="00EE02F9">
        <w:rPr>
          <w:b/>
          <w:i/>
        </w:rPr>
        <w:t xml:space="preserve">Ukončené případy pracovní neschopnosti </w:t>
      </w:r>
      <w:r w:rsidRPr="00EE02F9">
        <w:rPr>
          <w:i/>
        </w:rPr>
        <w:t xml:space="preserve">– zahrnují veškerá onemocnění a úrazy, které zapříčinily alespoň jednodenní pracovní neschopnost u </w:t>
      </w:r>
      <w:proofErr w:type="spellStart"/>
      <w:r w:rsidRPr="00EE02F9">
        <w:rPr>
          <w:i/>
        </w:rPr>
        <w:t>nemocensky</w:t>
      </w:r>
      <w:proofErr w:type="spellEnd"/>
      <w:r w:rsidRPr="00EE02F9">
        <w:rPr>
          <w:i/>
        </w:rPr>
        <w:t xml:space="preserve"> pojištěných os</w:t>
      </w:r>
      <w:r>
        <w:rPr>
          <w:i/>
        </w:rPr>
        <w:t>ob ukončenou v daném roce</w:t>
      </w:r>
      <w:r w:rsidRPr="00EE02F9">
        <w:rPr>
          <w:i/>
        </w:rPr>
        <w:t>. Nezahrnuje tedy onemocnění a úrazy, u nichž pracovní neschopnost přesahovala do dalšího roku/období, ani ty případy, kdy nebylo vystaveno „Rozhodnutí o dočasné pracovní neschopnosti“.</w:t>
      </w:r>
    </w:p>
    <w:p w14:paraId="1477019B" w14:textId="45F4B56C" w:rsidR="00425FEB" w:rsidRDefault="00F52F02" w:rsidP="00425FEB">
      <w:pPr>
        <w:spacing w:before="120" w:after="120"/>
        <w:jc w:val="both"/>
      </w:pPr>
      <w:r w:rsidRPr="00251BF8">
        <w:t>ČSSZ za rok 202</w:t>
      </w:r>
      <w:r w:rsidR="00DD5A0D" w:rsidRPr="00251BF8">
        <w:t>3</w:t>
      </w:r>
      <w:r w:rsidRPr="00251BF8">
        <w:t xml:space="preserve"> evidovala </w:t>
      </w:r>
      <w:r w:rsidR="00425FEB" w:rsidRPr="00251BF8">
        <w:t>2 529</w:t>
      </w:r>
      <w:r w:rsidRPr="00251BF8">
        <w:t xml:space="preserve"> tis. ukončených případů dočasné pracovní neschopnosti, což je</w:t>
      </w:r>
      <w:r w:rsidR="00425FEB" w:rsidRPr="00251BF8">
        <w:t xml:space="preserve"> o 3</w:t>
      </w:r>
      <w:r w:rsidRPr="00251BF8">
        <w:t>8 % více než v roce 2019 (tedy</w:t>
      </w:r>
      <w:r w:rsidRPr="00EE02F9">
        <w:t xml:space="preserve"> před vypuknutím pandemie).</w:t>
      </w:r>
      <w:r w:rsidR="00425FEB">
        <w:t xml:space="preserve"> </w:t>
      </w:r>
      <w:r w:rsidR="00425FEB" w:rsidRPr="00D264DA">
        <w:t xml:space="preserve">Největší nárůst </w:t>
      </w:r>
      <w:r w:rsidR="00385A76" w:rsidRPr="00D264DA">
        <w:t xml:space="preserve">od roku 2019 </w:t>
      </w:r>
      <w:r w:rsidR="00425FEB" w:rsidRPr="00D264DA">
        <w:t>zaznamenala Praha (61</w:t>
      </w:r>
      <w:r w:rsidR="00D264DA" w:rsidRPr="00D264DA">
        <w:t> %</w:t>
      </w:r>
      <w:r w:rsidR="00425FEB" w:rsidRPr="00D264DA">
        <w:t>) a Jihomoravský kraj (51 %).</w:t>
      </w:r>
      <w:r w:rsidR="00425FEB" w:rsidRPr="00752C73">
        <w:t xml:space="preserve"> </w:t>
      </w:r>
    </w:p>
    <w:p w14:paraId="146E44A3" w14:textId="0090544B" w:rsidR="0097475C" w:rsidRDefault="0097475C" w:rsidP="0097475C">
      <w:pPr>
        <w:spacing w:before="120" w:after="120"/>
        <w:jc w:val="both"/>
      </w:pPr>
      <w:r w:rsidRPr="00752C73">
        <w:lastRenderedPageBreak/>
        <w:t xml:space="preserve">Celková </w:t>
      </w:r>
      <w:r w:rsidRPr="00752C73">
        <w:rPr>
          <w:b/>
        </w:rPr>
        <w:t>prostonaná doba</w:t>
      </w:r>
      <w:r w:rsidRPr="00752C73">
        <w:t xml:space="preserve"> v </w:t>
      </w:r>
      <w:r w:rsidRPr="00251BF8">
        <w:t>roce 2023 činila 78 377 tis. dnů, což je o 3 318 tis. dnů více než v roce 2019. Jeden případ dočasné pracovní neschopnosti trval průměrně 31 d</w:t>
      </w:r>
      <w:r w:rsidRPr="00752C73">
        <w:t>n</w:t>
      </w:r>
      <w:r>
        <w:t>ů</w:t>
      </w:r>
      <w:r w:rsidRPr="00752C73">
        <w:t xml:space="preserve">. </w:t>
      </w:r>
      <w:r w:rsidRPr="00D264DA">
        <w:t>V průměru nejdelší pracovní neschopnost si vyžádaly nemoci a úrazy v Moravskoslezském a Zlínském kraji, a sice 39 resp. 37 dnů na jednu pracovní neschopnost.</w:t>
      </w:r>
      <w:r w:rsidR="00B61BF6">
        <w:t xml:space="preserve"> Naopak </w:t>
      </w:r>
      <w:r w:rsidR="00D264DA">
        <w:t>nejkratší doba trvání se s velkým odstupem od ostatních krajů drží v Praze (24 dnů)</w:t>
      </w:r>
      <w:r w:rsidR="00D05A05">
        <w:t xml:space="preserve"> </w:t>
      </w:r>
      <w:r w:rsidR="00D264DA">
        <w:t>a ve Středočeském kraji (28 dnů).</w:t>
      </w:r>
      <w:r w:rsidR="003546CF">
        <w:t xml:space="preserve"> </w:t>
      </w:r>
    </w:p>
    <w:p w14:paraId="1BEE3B52" w14:textId="655480DD" w:rsidR="0097475C" w:rsidRPr="00752C73" w:rsidRDefault="0097475C" w:rsidP="00425FEB">
      <w:pPr>
        <w:spacing w:before="120" w:after="120"/>
        <w:jc w:val="both"/>
      </w:pPr>
      <w:r w:rsidRPr="00251BF8">
        <w:t xml:space="preserve">Doba, po kterou průměrná pracovní neschopnost trvala, rostla </w:t>
      </w:r>
      <w:r w:rsidRPr="00251BF8">
        <w:rPr>
          <w:b/>
        </w:rPr>
        <w:t>s věkem</w:t>
      </w:r>
      <w:r w:rsidRPr="00251BF8">
        <w:t xml:space="preserve"> (viz tab. 3.2), a to od 14,2 dne ve věkové skupině osob mladších 20 let až po 51 dnů ve věkové skupině 60letých a starších. To je způsobeno zejména vyšším zastoupením krátkodobých případů pracovní neschopnosti pro nemoci dýchací soustavy v mladším věku, a naopak nárůstem dlouhodobých případů pracovní neschopnosti pro nádorová onemocnění a nemoci oběhové soustavy se zvyšujícím se věkem. Zatímco v roce 2019 trvala průměrná neschopenka žen 43</w:t>
      </w:r>
      <w:r w:rsidR="002C474B" w:rsidRPr="00251BF8">
        <w:t xml:space="preserve"> dnů</w:t>
      </w:r>
      <w:r w:rsidRPr="00251BF8">
        <w:t xml:space="preserve"> a mužů 39 dnů, o 4 roky později se </w:t>
      </w:r>
      <w:r w:rsidR="00D264DA">
        <w:t>poměr obrátil a rozdíl snížil</w:t>
      </w:r>
      <w:r w:rsidRPr="00251BF8">
        <w:t>. Ženy strávily v pracovní neschopnosti v průměru o </w:t>
      </w:r>
      <w:r w:rsidR="002C474B" w:rsidRPr="00251BF8">
        <w:t>0,</w:t>
      </w:r>
      <w:r w:rsidR="00C470D1" w:rsidRPr="00251BF8">
        <w:t>5</w:t>
      </w:r>
      <w:r w:rsidRPr="00251BF8">
        <w:t> </w:t>
      </w:r>
      <w:r w:rsidR="00385A76">
        <w:t>dne</w:t>
      </w:r>
      <w:r w:rsidR="00385A76" w:rsidRPr="00251BF8">
        <w:t xml:space="preserve"> </w:t>
      </w:r>
      <w:r w:rsidR="00DD5A0D" w:rsidRPr="00251BF8">
        <w:t>méně</w:t>
      </w:r>
      <w:r w:rsidRPr="00251BF8">
        <w:t xml:space="preserve"> v přepočtu na 1 případ než muži. Průměrná doba trvání ukončeného případu pracovní neschopnosti žen činila 30,8 dn</w:t>
      </w:r>
      <w:r w:rsidR="00D05A05">
        <w:t>e</w:t>
      </w:r>
      <w:r w:rsidRPr="00251BF8">
        <w:t xml:space="preserve">, u mužů to bylo 31,3 dne. Bez ohledu na pohlaví došlo </w:t>
      </w:r>
      <w:r w:rsidR="00DD5A0D" w:rsidRPr="00251BF8">
        <w:t xml:space="preserve">oproti roku 2019 </w:t>
      </w:r>
      <w:r w:rsidRPr="00251BF8">
        <w:t>ke zkrácení průměrného trvání o 10 dní. Průměrná délka trvání ukončeného případu pracovní neschopnosti pro 60leté a starší muže klesla o 16,5 dne. U žen v tomto věku o 12 dnů.</w:t>
      </w:r>
    </w:p>
    <w:p w14:paraId="38ED513C" w14:textId="2059E222" w:rsidR="00F52F02" w:rsidRPr="00F52F02" w:rsidRDefault="00F52F02" w:rsidP="00F52F02">
      <w:pPr>
        <w:spacing w:after="0" w:line="240" w:lineRule="auto"/>
        <w:jc w:val="both"/>
        <w:rPr>
          <w:rFonts w:cs="Arial"/>
          <w:b/>
          <w:bCs/>
          <w:color w:val="000000"/>
          <w:szCs w:val="20"/>
        </w:rPr>
      </w:pPr>
      <w:r w:rsidRPr="00F52F02">
        <w:rPr>
          <w:rFonts w:cs="Arial"/>
          <w:b/>
          <w:bCs/>
          <w:color w:val="000000"/>
          <w:szCs w:val="20"/>
        </w:rPr>
        <w:t>Tab. 3.1: Ukončené případy dočasné pracovní neschopnosti podle krajů ČR, 2019, 202</w:t>
      </w:r>
      <w:r w:rsidR="00D264DA">
        <w:rPr>
          <w:rFonts w:cs="Arial"/>
          <w:b/>
          <w:bCs/>
          <w:color w:val="000000"/>
          <w:szCs w:val="20"/>
        </w:rPr>
        <w:t>1</w:t>
      </w:r>
      <w:r w:rsidRPr="00F52F02">
        <w:rPr>
          <w:rFonts w:cs="Arial"/>
          <w:b/>
          <w:bCs/>
          <w:color w:val="000000"/>
          <w:szCs w:val="20"/>
        </w:rPr>
        <w:t>, 2023</w:t>
      </w:r>
    </w:p>
    <w:tbl>
      <w:tblPr>
        <w:tblW w:w="9633" w:type="dxa"/>
        <w:tblCellMar>
          <w:left w:w="70" w:type="dxa"/>
          <w:right w:w="70" w:type="dxa"/>
        </w:tblCellMar>
        <w:tblLook w:val="04A0" w:firstRow="1" w:lastRow="0" w:firstColumn="1" w:lastColumn="0" w:noHBand="0" w:noVBand="1"/>
      </w:tblPr>
      <w:tblGrid>
        <w:gridCol w:w="1980"/>
        <w:gridCol w:w="850"/>
        <w:gridCol w:w="850"/>
        <w:gridCol w:w="851"/>
        <w:gridCol w:w="850"/>
        <w:gridCol w:w="850"/>
        <w:gridCol w:w="851"/>
        <w:gridCol w:w="850"/>
        <w:gridCol w:w="850"/>
        <w:gridCol w:w="851"/>
      </w:tblGrid>
      <w:tr w:rsidR="00425FEB" w:rsidRPr="00EE02F9" w14:paraId="73CB40C0" w14:textId="77777777" w:rsidTr="0097475C">
        <w:trPr>
          <w:trHeight w:val="615"/>
        </w:trPr>
        <w:tc>
          <w:tcPr>
            <w:tcW w:w="1980" w:type="dxa"/>
            <w:vMerge w:val="restart"/>
            <w:tcBorders>
              <w:top w:val="single" w:sz="4" w:space="0" w:color="auto"/>
              <w:left w:val="nil"/>
              <w:bottom w:val="single" w:sz="4" w:space="0" w:color="000000"/>
              <w:right w:val="single" w:sz="4" w:space="0" w:color="auto"/>
            </w:tcBorders>
            <w:shd w:val="clear" w:color="000000" w:fill="F2DCDB"/>
            <w:vAlign w:val="center"/>
            <w:hideMark/>
          </w:tcPr>
          <w:p w14:paraId="7F7EE03B" w14:textId="77777777" w:rsidR="00425FEB" w:rsidRPr="00EE02F9" w:rsidRDefault="00425FEB" w:rsidP="0097475C">
            <w:pPr>
              <w:spacing w:after="0" w:line="240" w:lineRule="auto"/>
              <w:jc w:val="center"/>
              <w:rPr>
                <w:rFonts w:cs="Arial"/>
                <w:color w:val="000000"/>
                <w:sz w:val="16"/>
                <w:szCs w:val="16"/>
              </w:rPr>
            </w:pPr>
            <w:r w:rsidRPr="00EE02F9">
              <w:rPr>
                <w:rFonts w:cs="Arial"/>
                <w:color w:val="000000"/>
                <w:sz w:val="16"/>
                <w:szCs w:val="16"/>
              </w:rPr>
              <w:t>Kraj ČR</w:t>
            </w:r>
          </w:p>
        </w:tc>
        <w:tc>
          <w:tcPr>
            <w:tcW w:w="2551" w:type="dxa"/>
            <w:gridSpan w:val="3"/>
            <w:tcBorders>
              <w:top w:val="single" w:sz="4" w:space="0" w:color="auto"/>
              <w:left w:val="nil"/>
              <w:bottom w:val="single" w:sz="4" w:space="0" w:color="auto"/>
              <w:right w:val="single" w:sz="4" w:space="0" w:color="000000"/>
            </w:tcBorders>
            <w:shd w:val="clear" w:color="000000" w:fill="F2DCDB"/>
            <w:vAlign w:val="center"/>
            <w:hideMark/>
          </w:tcPr>
          <w:p w14:paraId="416D2714" w14:textId="77777777" w:rsidR="00425FEB" w:rsidRPr="00EE02F9" w:rsidRDefault="00425FEB" w:rsidP="0097475C">
            <w:pPr>
              <w:spacing w:after="0" w:line="240" w:lineRule="auto"/>
              <w:jc w:val="center"/>
              <w:rPr>
                <w:rFonts w:cs="Arial"/>
                <w:color w:val="000000"/>
                <w:sz w:val="16"/>
                <w:szCs w:val="16"/>
              </w:rPr>
            </w:pPr>
            <w:r w:rsidRPr="00EE02F9">
              <w:rPr>
                <w:rFonts w:cs="Arial"/>
                <w:color w:val="000000"/>
                <w:sz w:val="16"/>
                <w:szCs w:val="16"/>
              </w:rPr>
              <w:t>Počet ukončených případů DPN (tis.)</w:t>
            </w:r>
          </w:p>
        </w:tc>
        <w:tc>
          <w:tcPr>
            <w:tcW w:w="2551" w:type="dxa"/>
            <w:gridSpan w:val="3"/>
            <w:tcBorders>
              <w:top w:val="single" w:sz="4" w:space="0" w:color="auto"/>
              <w:left w:val="nil"/>
              <w:bottom w:val="single" w:sz="4" w:space="0" w:color="auto"/>
              <w:right w:val="single" w:sz="4" w:space="0" w:color="000000"/>
            </w:tcBorders>
            <w:shd w:val="clear" w:color="000000" w:fill="F2DCDB"/>
            <w:vAlign w:val="center"/>
            <w:hideMark/>
          </w:tcPr>
          <w:p w14:paraId="1380F69F" w14:textId="77777777" w:rsidR="00425FEB" w:rsidRPr="00EE02F9" w:rsidRDefault="00425FEB" w:rsidP="0097475C">
            <w:pPr>
              <w:spacing w:after="0" w:line="240" w:lineRule="auto"/>
              <w:jc w:val="center"/>
              <w:rPr>
                <w:rFonts w:cs="Arial"/>
                <w:color w:val="000000"/>
                <w:sz w:val="16"/>
                <w:szCs w:val="16"/>
              </w:rPr>
            </w:pPr>
            <w:r w:rsidRPr="00EE02F9">
              <w:rPr>
                <w:rFonts w:cs="Arial"/>
                <w:color w:val="000000"/>
                <w:sz w:val="16"/>
                <w:szCs w:val="16"/>
              </w:rPr>
              <w:t>Počet prostonaných dnů (tis.)</w:t>
            </w:r>
          </w:p>
        </w:tc>
        <w:tc>
          <w:tcPr>
            <w:tcW w:w="2551" w:type="dxa"/>
            <w:gridSpan w:val="3"/>
            <w:tcBorders>
              <w:top w:val="single" w:sz="4" w:space="0" w:color="auto"/>
              <w:left w:val="nil"/>
              <w:bottom w:val="single" w:sz="4" w:space="0" w:color="auto"/>
              <w:right w:val="nil"/>
            </w:tcBorders>
            <w:shd w:val="clear" w:color="000000" w:fill="F2DCDB"/>
            <w:vAlign w:val="center"/>
            <w:hideMark/>
          </w:tcPr>
          <w:p w14:paraId="5581E8C2" w14:textId="60A6342E" w:rsidR="00425FEB" w:rsidRPr="00EE02F9" w:rsidRDefault="00425FEB" w:rsidP="0097475C">
            <w:pPr>
              <w:spacing w:after="0" w:line="240" w:lineRule="auto"/>
              <w:jc w:val="center"/>
              <w:rPr>
                <w:rFonts w:cs="Arial"/>
                <w:color w:val="000000"/>
                <w:sz w:val="16"/>
                <w:szCs w:val="16"/>
              </w:rPr>
            </w:pPr>
            <w:r w:rsidRPr="00EE02F9">
              <w:rPr>
                <w:rFonts w:cs="Arial"/>
                <w:color w:val="000000"/>
                <w:sz w:val="16"/>
                <w:szCs w:val="16"/>
              </w:rPr>
              <w:t xml:space="preserve">Průměrná délka trvání </w:t>
            </w:r>
            <w:r w:rsidR="0097475C">
              <w:rPr>
                <w:rFonts w:cs="Arial"/>
                <w:color w:val="000000"/>
                <w:sz w:val="16"/>
                <w:szCs w:val="16"/>
              </w:rPr>
              <w:t xml:space="preserve">1 </w:t>
            </w:r>
            <w:r w:rsidRPr="00EE02F9">
              <w:rPr>
                <w:rFonts w:cs="Arial"/>
                <w:color w:val="000000"/>
                <w:sz w:val="16"/>
                <w:szCs w:val="16"/>
              </w:rPr>
              <w:t>případu DPN ve dnech</w:t>
            </w:r>
          </w:p>
        </w:tc>
      </w:tr>
      <w:tr w:rsidR="00D264DA" w:rsidRPr="00EE02F9" w14:paraId="6E56D701" w14:textId="77777777" w:rsidTr="00425FEB">
        <w:trPr>
          <w:trHeight w:val="390"/>
        </w:trPr>
        <w:tc>
          <w:tcPr>
            <w:tcW w:w="1980" w:type="dxa"/>
            <w:vMerge/>
            <w:tcBorders>
              <w:top w:val="single" w:sz="4" w:space="0" w:color="auto"/>
              <w:left w:val="nil"/>
              <w:bottom w:val="single" w:sz="4" w:space="0" w:color="000000"/>
              <w:right w:val="single" w:sz="4" w:space="0" w:color="auto"/>
            </w:tcBorders>
            <w:vAlign w:val="center"/>
            <w:hideMark/>
          </w:tcPr>
          <w:p w14:paraId="578003A1" w14:textId="77777777" w:rsidR="00D264DA" w:rsidRPr="00EE02F9" w:rsidRDefault="00D264DA" w:rsidP="00D264DA">
            <w:pPr>
              <w:spacing w:after="0" w:line="240" w:lineRule="auto"/>
              <w:rPr>
                <w:rFonts w:cs="Arial"/>
                <w:color w:val="000000"/>
                <w:sz w:val="16"/>
                <w:szCs w:val="16"/>
              </w:rPr>
            </w:pPr>
          </w:p>
        </w:tc>
        <w:tc>
          <w:tcPr>
            <w:tcW w:w="850" w:type="dxa"/>
            <w:tcBorders>
              <w:top w:val="nil"/>
              <w:left w:val="nil"/>
              <w:bottom w:val="single" w:sz="4" w:space="0" w:color="auto"/>
              <w:right w:val="single" w:sz="4" w:space="0" w:color="auto"/>
            </w:tcBorders>
            <w:shd w:val="clear" w:color="000000" w:fill="F2DCDB"/>
            <w:vAlign w:val="center"/>
            <w:hideMark/>
          </w:tcPr>
          <w:p w14:paraId="65181752" w14:textId="77777777" w:rsidR="00D264DA" w:rsidRPr="00EE02F9" w:rsidRDefault="00D264DA" w:rsidP="00D264DA">
            <w:pPr>
              <w:spacing w:after="0" w:line="240" w:lineRule="auto"/>
              <w:jc w:val="center"/>
              <w:rPr>
                <w:rFonts w:cs="Arial"/>
                <w:color w:val="000000"/>
                <w:sz w:val="16"/>
                <w:szCs w:val="16"/>
              </w:rPr>
            </w:pPr>
            <w:r w:rsidRPr="00EE02F9">
              <w:rPr>
                <w:rFonts w:cs="Arial"/>
                <w:color w:val="000000"/>
                <w:sz w:val="16"/>
                <w:szCs w:val="16"/>
              </w:rPr>
              <w:t>2019</w:t>
            </w:r>
          </w:p>
        </w:tc>
        <w:tc>
          <w:tcPr>
            <w:tcW w:w="850" w:type="dxa"/>
            <w:tcBorders>
              <w:top w:val="nil"/>
              <w:left w:val="nil"/>
              <w:bottom w:val="single" w:sz="4" w:space="0" w:color="auto"/>
              <w:right w:val="single" w:sz="4" w:space="0" w:color="auto"/>
            </w:tcBorders>
            <w:shd w:val="clear" w:color="000000" w:fill="F2DCDB"/>
            <w:vAlign w:val="center"/>
            <w:hideMark/>
          </w:tcPr>
          <w:p w14:paraId="68438AD7" w14:textId="67314B89" w:rsidR="00D264DA" w:rsidRPr="00EE02F9" w:rsidRDefault="00D264DA" w:rsidP="00D264DA">
            <w:pPr>
              <w:spacing w:after="0" w:line="240" w:lineRule="auto"/>
              <w:jc w:val="center"/>
              <w:rPr>
                <w:rFonts w:cs="Arial"/>
                <w:color w:val="000000"/>
                <w:sz w:val="16"/>
                <w:szCs w:val="16"/>
              </w:rPr>
            </w:pPr>
            <w:r>
              <w:rPr>
                <w:rFonts w:cs="Arial"/>
                <w:color w:val="000000"/>
                <w:sz w:val="16"/>
                <w:szCs w:val="16"/>
              </w:rPr>
              <w:t>2021</w:t>
            </w:r>
          </w:p>
        </w:tc>
        <w:tc>
          <w:tcPr>
            <w:tcW w:w="851" w:type="dxa"/>
            <w:tcBorders>
              <w:top w:val="nil"/>
              <w:left w:val="nil"/>
              <w:bottom w:val="single" w:sz="4" w:space="0" w:color="auto"/>
              <w:right w:val="single" w:sz="4" w:space="0" w:color="auto"/>
            </w:tcBorders>
            <w:shd w:val="clear" w:color="000000" w:fill="F2DCDB"/>
            <w:vAlign w:val="center"/>
          </w:tcPr>
          <w:p w14:paraId="02324316" w14:textId="398BCCDE" w:rsidR="00D264DA" w:rsidRPr="00EE02F9" w:rsidRDefault="00D264DA" w:rsidP="00D264DA">
            <w:pPr>
              <w:spacing w:after="0" w:line="240" w:lineRule="auto"/>
              <w:jc w:val="center"/>
              <w:rPr>
                <w:rFonts w:cs="Arial"/>
                <w:color w:val="000000"/>
                <w:sz w:val="16"/>
                <w:szCs w:val="16"/>
              </w:rPr>
            </w:pPr>
            <w:r>
              <w:rPr>
                <w:rFonts w:cs="Arial"/>
                <w:color w:val="000000"/>
                <w:sz w:val="16"/>
                <w:szCs w:val="16"/>
              </w:rPr>
              <w:t>2023</w:t>
            </w:r>
          </w:p>
        </w:tc>
        <w:tc>
          <w:tcPr>
            <w:tcW w:w="850" w:type="dxa"/>
            <w:tcBorders>
              <w:top w:val="nil"/>
              <w:left w:val="nil"/>
              <w:bottom w:val="single" w:sz="4" w:space="0" w:color="auto"/>
              <w:right w:val="single" w:sz="4" w:space="0" w:color="auto"/>
            </w:tcBorders>
            <w:shd w:val="clear" w:color="000000" w:fill="F2DCDB"/>
            <w:vAlign w:val="center"/>
            <w:hideMark/>
          </w:tcPr>
          <w:p w14:paraId="5D444276" w14:textId="77777777" w:rsidR="00D264DA" w:rsidRPr="00EE02F9" w:rsidRDefault="00D264DA" w:rsidP="00D264DA">
            <w:pPr>
              <w:spacing w:after="0" w:line="240" w:lineRule="auto"/>
              <w:jc w:val="center"/>
              <w:rPr>
                <w:rFonts w:cs="Arial"/>
                <w:color w:val="000000"/>
                <w:sz w:val="16"/>
                <w:szCs w:val="16"/>
              </w:rPr>
            </w:pPr>
            <w:r w:rsidRPr="00EE02F9">
              <w:rPr>
                <w:rFonts w:cs="Arial"/>
                <w:color w:val="000000"/>
                <w:sz w:val="16"/>
                <w:szCs w:val="16"/>
              </w:rPr>
              <w:t>2019</w:t>
            </w:r>
          </w:p>
        </w:tc>
        <w:tc>
          <w:tcPr>
            <w:tcW w:w="850" w:type="dxa"/>
            <w:tcBorders>
              <w:top w:val="nil"/>
              <w:left w:val="nil"/>
              <w:bottom w:val="single" w:sz="4" w:space="0" w:color="auto"/>
              <w:right w:val="single" w:sz="4" w:space="0" w:color="auto"/>
            </w:tcBorders>
            <w:shd w:val="clear" w:color="000000" w:fill="F2DCDB"/>
            <w:vAlign w:val="center"/>
            <w:hideMark/>
          </w:tcPr>
          <w:p w14:paraId="1EB68DCD" w14:textId="5E18B105" w:rsidR="00D264DA" w:rsidRPr="00EE02F9" w:rsidRDefault="00D264DA" w:rsidP="00D264DA">
            <w:pPr>
              <w:spacing w:after="0" w:line="240" w:lineRule="auto"/>
              <w:jc w:val="center"/>
              <w:rPr>
                <w:rFonts w:cs="Arial"/>
                <w:color w:val="000000"/>
                <w:sz w:val="16"/>
                <w:szCs w:val="16"/>
              </w:rPr>
            </w:pPr>
            <w:r>
              <w:rPr>
                <w:rFonts w:cs="Arial"/>
                <w:color w:val="000000"/>
                <w:sz w:val="16"/>
                <w:szCs w:val="16"/>
              </w:rPr>
              <w:t>2021</w:t>
            </w:r>
          </w:p>
        </w:tc>
        <w:tc>
          <w:tcPr>
            <w:tcW w:w="851" w:type="dxa"/>
            <w:tcBorders>
              <w:top w:val="nil"/>
              <w:left w:val="nil"/>
              <w:bottom w:val="single" w:sz="4" w:space="0" w:color="auto"/>
              <w:right w:val="single" w:sz="4" w:space="0" w:color="auto"/>
            </w:tcBorders>
            <w:shd w:val="clear" w:color="000000" w:fill="F2DCDB"/>
            <w:vAlign w:val="center"/>
          </w:tcPr>
          <w:p w14:paraId="5C6AAF49" w14:textId="6519C4FF" w:rsidR="00D264DA" w:rsidRPr="00EE02F9" w:rsidRDefault="00D264DA" w:rsidP="00D264DA">
            <w:pPr>
              <w:spacing w:after="0" w:line="240" w:lineRule="auto"/>
              <w:jc w:val="center"/>
              <w:rPr>
                <w:rFonts w:cs="Arial"/>
                <w:color w:val="000000"/>
                <w:sz w:val="16"/>
                <w:szCs w:val="16"/>
              </w:rPr>
            </w:pPr>
            <w:r>
              <w:rPr>
                <w:rFonts w:cs="Arial"/>
                <w:color w:val="000000"/>
                <w:sz w:val="16"/>
                <w:szCs w:val="16"/>
              </w:rPr>
              <w:t>2023</w:t>
            </w:r>
          </w:p>
        </w:tc>
        <w:tc>
          <w:tcPr>
            <w:tcW w:w="850" w:type="dxa"/>
            <w:tcBorders>
              <w:top w:val="nil"/>
              <w:left w:val="nil"/>
              <w:bottom w:val="single" w:sz="4" w:space="0" w:color="auto"/>
              <w:right w:val="single" w:sz="4" w:space="0" w:color="auto"/>
            </w:tcBorders>
            <w:shd w:val="clear" w:color="000000" w:fill="F2DCDB"/>
            <w:vAlign w:val="center"/>
            <w:hideMark/>
          </w:tcPr>
          <w:p w14:paraId="03D37E1B" w14:textId="77777777" w:rsidR="00D264DA" w:rsidRPr="00EE02F9" w:rsidRDefault="00D264DA" w:rsidP="00D264DA">
            <w:pPr>
              <w:spacing w:after="0" w:line="240" w:lineRule="auto"/>
              <w:jc w:val="center"/>
              <w:rPr>
                <w:rFonts w:cs="Arial"/>
                <w:color w:val="000000"/>
                <w:sz w:val="16"/>
                <w:szCs w:val="16"/>
              </w:rPr>
            </w:pPr>
            <w:r w:rsidRPr="00EE02F9">
              <w:rPr>
                <w:rFonts w:cs="Arial"/>
                <w:color w:val="000000"/>
                <w:sz w:val="16"/>
                <w:szCs w:val="16"/>
              </w:rPr>
              <w:t>2019</w:t>
            </w:r>
          </w:p>
        </w:tc>
        <w:tc>
          <w:tcPr>
            <w:tcW w:w="850" w:type="dxa"/>
            <w:tcBorders>
              <w:top w:val="nil"/>
              <w:left w:val="nil"/>
              <w:bottom w:val="single" w:sz="4" w:space="0" w:color="auto"/>
              <w:right w:val="nil"/>
            </w:tcBorders>
            <w:shd w:val="clear" w:color="000000" w:fill="F2DCDB"/>
            <w:vAlign w:val="center"/>
            <w:hideMark/>
          </w:tcPr>
          <w:p w14:paraId="63998B94" w14:textId="2142D48C" w:rsidR="00D264DA" w:rsidRPr="00EE02F9" w:rsidRDefault="00D264DA" w:rsidP="00D264DA">
            <w:pPr>
              <w:spacing w:after="0" w:line="240" w:lineRule="auto"/>
              <w:jc w:val="center"/>
              <w:rPr>
                <w:rFonts w:cs="Arial"/>
                <w:color w:val="000000"/>
                <w:sz w:val="16"/>
                <w:szCs w:val="16"/>
              </w:rPr>
            </w:pPr>
            <w:r>
              <w:rPr>
                <w:rFonts w:cs="Arial"/>
                <w:color w:val="000000"/>
                <w:sz w:val="16"/>
                <w:szCs w:val="16"/>
              </w:rPr>
              <w:t>2021</w:t>
            </w:r>
          </w:p>
        </w:tc>
        <w:tc>
          <w:tcPr>
            <w:tcW w:w="851" w:type="dxa"/>
            <w:tcBorders>
              <w:top w:val="nil"/>
              <w:left w:val="single" w:sz="4" w:space="0" w:color="auto"/>
              <w:bottom w:val="single" w:sz="4" w:space="0" w:color="auto"/>
              <w:right w:val="nil"/>
            </w:tcBorders>
            <w:shd w:val="clear" w:color="000000" w:fill="F2DCDB"/>
            <w:vAlign w:val="center"/>
          </w:tcPr>
          <w:p w14:paraId="148C8855" w14:textId="3F94CC70" w:rsidR="00D264DA" w:rsidRPr="00EE02F9" w:rsidRDefault="00D264DA" w:rsidP="00D264DA">
            <w:pPr>
              <w:spacing w:after="0" w:line="240" w:lineRule="auto"/>
              <w:jc w:val="center"/>
              <w:rPr>
                <w:rFonts w:cs="Arial"/>
                <w:color w:val="000000"/>
                <w:sz w:val="16"/>
                <w:szCs w:val="16"/>
              </w:rPr>
            </w:pPr>
            <w:r>
              <w:rPr>
                <w:rFonts w:cs="Arial"/>
                <w:color w:val="000000"/>
                <w:sz w:val="16"/>
                <w:szCs w:val="16"/>
              </w:rPr>
              <w:t>2023</w:t>
            </w:r>
          </w:p>
        </w:tc>
      </w:tr>
      <w:tr w:rsidR="00D264DA" w:rsidRPr="00EE02F9" w14:paraId="2042F1DF" w14:textId="77777777" w:rsidTr="00425FEB">
        <w:trPr>
          <w:trHeight w:val="300"/>
        </w:trPr>
        <w:tc>
          <w:tcPr>
            <w:tcW w:w="1980" w:type="dxa"/>
            <w:tcBorders>
              <w:top w:val="single" w:sz="4" w:space="0" w:color="000000"/>
              <w:bottom w:val="nil"/>
              <w:right w:val="single" w:sz="4" w:space="0" w:color="auto"/>
            </w:tcBorders>
            <w:shd w:val="clear" w:color="auto" w:fill="auto"/>
            <w:noWrap/>
            <w:vAlign w:val="center"/>
            <w:hideMark/>
          </w:tcPr>
          <w:p w14:paraId="14832F10" w14:textId="77777777" w:rsidR="00D264DA" w:rsidRPr="00EE02F9" w:rsidRDefault="00D264DA" w:rsidP="00D264DA">
            <w:pPr>
              <w:spacing w:after="0" w:line="240" w:lineRule="auto"/>
              <w:rPr>
                <w:rFonts w:cs="Arial"/>
                <w:b/>
                <w:bCs/>
                <w:color w:val="000000"/>
                <w:sz w:val="16"/>
                <w:szCs w:val="16"/>
              </w:rPr>
            </w:pPr>
            <w:r w:rsidRPr="00EE02F9">
              <w:rPr>
                <w:rFonts w:cs="Arial"/>
                <w:b/>
                <w:bCs/>
                <w:color w:val="000000"/>
                <w:sz w:val="16"/>
                <w:szCs w:val="16"/>
              </w:rPr>
              <w:t>ČR celkem</w:t>
            </w:r>
          </w:p>
        </w:tc>
        <w:tc>
          <w:tcPr>
            <w:tcW w:w="850" w:type="dxa"/>
            <w:tcBorders>
              <w:top w:val="nil"/>
              <w:left w:val="single" w:sz="4" w:space="0" w:color="auto"/>
              <w:bottom w:val="nil"/>
              <w:right w:val="single" w:sz="4" w:space="0" w:color="auto"/>
            </w:tcBorders>
            <w:shd w:val="clear" w:color="auto" w:fill="auto"/>
            <w:noWrap/>
            <w:vAlign w:val="center"/>
            <w:hideMark/>
          </w:tcPr>
          <w:p w14:paraId="07B1294B" w14:textId="77777777" w:rsidR="00D264DA" w:rsidRPr="00EE02F9" w:rsidRDefault="00D264DA" w:rsidP="00D264DA">
            <w:pPr>
              <w:spacing w:after="0" w:line="240" w:lineRule="auto"/>
              <w:jc w:val="right"/>
              <w:rPr>
                <w:rFonts w:cs="Arial"/>
                <w:b/>
                <w:bCs/>
                <w:color w:val="000000"/>
                <w:sz w:val="16"/>
                <w:szCs w:val="16"/>
              </w:rPr>
            </w:pPr>
            <w:r w:rsidRPr="00EE02F9">
              <w:rPr>
                <w:rFonts w:cs="Arial"/>
                <w:b/>
                <w:bCs/>
                <w:color w:val="000000"/>
                <w:sz w:val="16"/>
                <w:szCs w:val="16"/>
              </w:rPr>
              <w:t>1 832,4</w:t>
            </w:r>
          </w:p>
        </w:tc>
        <w:tc>
          <w:tcPr>
            <w:tcW w:w="850" w:type="dxa"/>
            <w:tcBorders>
              <w:top w:val="nil"/>
              <w:left w:val="nil"/>
              <w:bottom w:val="nil"/>
              <w:right w:val="nil"/>
            </w:tcBorders>
            <w:shd w:val="clear" w:color="auto" w:fill="auto"/>
            <w:noWrap/>
            <w:vAlign w:val="center"/>
            <w:hideMark/>
          </w:tcPr>
          <w:p w14:paraId="3289E9BB" w14:textId="4C835266" w:rsidR="00D264DA" w:rsidRPr="00EE02F9" w:rsidRDefault="00D264DA" w:rsidP="00D264DA">
            <w:pPr>
              <w:spacing w:after="0" w:line="240" w:lineRule="auto"/>
              <w:jc w:val="right"/>
              <w:rPr>
                <w:rFonts w:cs="Arial"/>
                <w:b/>
                <w:bCs/>
                <w:color w:val="000000"/>
                <w:sz w:val="16"/>
                <w:szCs w:val="16"/>
              </w:rPr>
            </w:pPr>
            <w:r>
              <w:rPr>
                <w:rFonts w:cs="Arial"/>
                <w:b/>
                <w:bCs/>
                <w:color w:val="000000"/>
                <w:sz w:val="16"/>
                <w:szCs w:val="16"/>
              </w:rPr>
              <w:t>2 718,0</w:t>
            </w:r>
          </w:p>
        </w:tc>
        <w:tc>
          <w:tcPr>
            <w:tcW w:w="851" w:type="dxa"/>
            <w:tcBorders>
              <w:top w:val="nil"/>
              <w:left w:val="single" w:sz="4" w:space="0" w:color="auto"/>
              <w:bottom w:val="nil"/>
              <w:right w:val="single" w:sz="4" w:space="0" w:color="auto"/>
            </w:tcBorders>
            <w:shd w:val="clear" w:color="auto" w:fill="auto"/>
            <w:noWrap/>
            <w:vAlign w:val="center"/>
          </w:tcPr>
          <w:p w14:paraId="6FD86959" w14:textId="433F33E5" w:rsidR="00D264DA" w:rsidRPr="00EE02F9" w:rsidRDefault="00D264DA" w:rsidP="00D264DA">
            <w:pPr>
              <w:spacing w:after="0" w:line="240" w:lineRule="auto"/>
              <w:jc w:val="right"/>
              <w:rPr>
                <w:rFonts w:cs="Arial"/>
                <w:b/>
                <w:bCs/>
                <w:color w:val="000000"/>
                <w:sz w:val="16"/>
                <w:szCs w:val="16"/>
              </w:rPr>
            </w:pPr>
            <w:r>
              <w:rPr>
                <w:rFonts w:cs="Arial"/>
                <w:b/>
                <w:bCs/>
                <w:color w:val="000000"/>
                <w:sz w:val="16"/>
                <w:szCs w:val="16"/>
              </w:rPr>
              <w:t>2 528,6</w:t>
            </w:r>
          </w:p>
        </w:tc>
        <w:tc>
          <w:tcPr>
            <w:tcW w:w="850" w:type="dxa"/>
            <w:tcBorders>
              <w:top w:val="nil"/>
              <w:left w:val="nil"/>
              <w:bottom w:val="nil"/>
              <w:right w:val="single" w:sz="4" w:space="0" w:color="auto"/>
            </w:tcBorders>
            <w:shd w:val="clear" w:color="auto" w:fill="auto"/>
            <w:noWrap/>
            <w:vAlign w:val="center"/>
            <w:hideMark/>
          </w:tcPr>
          <w:p w14:paraId="5C4E60EF" w14:textId="77777777" w:rsidR="00D264DA" w:rsidRPr="00EE02F9" w:rsidRDefault="00D264DA" w:rsidP="00D264DA">
            <w:pPr>
              <w:spacing w:after="0" w:line="240" w:lineRule="auto"/>
              <w:jc w:val="right"/>
              <w:rPr>
                <w:rFonts w:cs="Arial"/>
                <w:b/>
                <w:bCs/>
                <w:color w:val="000000"/>
                <w:sz w:val="16"/>
                <w:szCs w:val="16"/>
              </w:rPr>
            </w:pPr>
            <w:r w:rsidRPr="00EE02F9">
              <w:rPr>
                <w:rFonts w:cs="Arial"/>
                <w:b/>
                <w:bCs/>
                <w:color w:val="000000"/>
                <w:sz w:val="16"/>
                <w:szCs w:val="16"/>
              </w:rPr>
              <w:t>75 058,7</w:t>
            </w:r>
          </w:p>
        </w:tc>
        <w:tc>
          <w:tcPr>
            <w:tcW w:w="850" w:type="dxa"/>
            <w:tcBorders>
              <w:top w:val="nil"/>
              <w:left w:val="nil"/>
              <w:bottom w:val="nil"/>
              <w:right w:val="single" w:sz="4" w:space="0" w:color="auto"/>
            </w:tcBorders>
            <w:shd w:val="clear" w:color="auto" w:fill="auto"/>
            <w:noWrap/>
            <w:vAlign w:val="center"/>
            <w:hideMark/>
          </w:tcPr>
          <w:p w14:paraId="45E9965A" w14:textId="21BF4B78" w:rsidR="00D264DA" w:rsidRPr="00EE02F9" w:rsidRDefault="00D264DA" w:rsidP="00D264DA">
            <w:pPr>
              <w:spacing w:after="0" w:line="240" w:lineRule="auto"/>
              <w:jc w:val="right"/>
              <w:rPr>
                <w:rFonts w:cs="Arial"/>
                <w:b/>
                <w:bCs/>
                <w:color w:val="000000"/>
                <w:sz w:val="16"/>
                <w:szCs w:val="16"/>
              </w:rPr>
            </w:pPr>
            <w:r>
              <w:rPr>
                <w:rFonts w:cs="Arial"/>
                <w:b/>
                <w:bCs/>
                <w:color w:val="000000"/>
                <w:sz w:val="16"/>
                <w:szCs w:val="16"/>
              </w:rPr>
              <w:t>93 699,2</w:t>
            </w:r>
          </w:p>
        </w:tc>
        <w:tc>
          <w:tcPr>
            <w:tcW w:w="851" w:type="dxa"/>
            <w:tcBorders>
              <w:top w:val="nil"/>
              <w:left w:val="nil"/>
              <w:bottom w:val="nil"/>
              <w:right w:val="single" w:sz="4" w:space="0" w:color="auto"/>
            </w:tcBorders>
            <w:shd w:val="clear" w:color="auto" w:fill="auto"/>
            <w:noWrap/>
            <w:vAlign w:val="center"/>
          </w:tcPr>
          <w:p w14:paraId="2D39D942" w14:textId="28A75556" w:rsidR="00D264DA" w:rsidRPr="00EE02F9" w:rsidRDefault="00D264DA" w:rsidP="00D264DA">
            <w:pPr>
              <w:spacing w:after="0" w:line="240" w:lineRule="auto"/>
              <w:jc w:val="right"/>
              <w:rPr>
                <w:rFonts w:cs="Arial"/>
                <w:b/>
                <w:bCs/>
                <w:color w:val="000000"/>
                <w:sz w:val="16"/>
                <w:szCs w:val="16"/>
              </w:rPr>
            </w:pPr>
            <w:r>
              <w:rPr>
                <w:rFonts w:cs="Arial"/>
                <w:b/>
                <w:bCs/>
                <w:color w:val="000000"/>
                <w:sz w:val="16"/>
                <w:szCs w:val="16"/>
              </w:rPr>
              <w:t>78 376,9</w:t>
            </w:r>
          </w:p>
        </w:tc>
        <w:tc>
          <w:tcPr>
            <w:tcW w:w="850" w:type="dxa"/>
            <w:tcBorders>
              <w:top w:val="nil"/>
              <w:left w:val="nil"/>
              <w:bottom w:val="nil"/>
              <w:right w:val="single" w:sz="4" w:space="0" w:color="auto"/>
            </w:tcBorders>
            <w:shd w:val="clear" w:color="auto" w:fill="auto"/>
            <w:noWrap/>
            <w:vAlign w:val="center"/>
            <w:hideMark/>
          </w:tcPr>
          <w:p w14:paraId="1F50754C" w14:textId="77777777" w:rsidR="00D264DA" w:rsidRPr="00EE02F9" w:rsidRDefault="00D264DA" w:rsidP="00D264DA">
            <w:pPr>
              <w:spacing w:after="0" w:line="240" w:lineRule="auto"/>
              <w:jc w:val="right"/>
              <w:rPr>
                <w:rFonts w:cs="Arial"/>
                <w:b/>
                <w:bCs/>
                <w:color w:val="000000"/>
                <w:sz w:val="16"/>
                <w:szCs w:val="16"/>
              </w:rPr>
            </w:pPr>
            <w:r w:rsidRPr="00EE02F9">
              <w:rPr>
                <w:rFonts w:cs="Arial"/>
                <w:b/>
                <w:bCs/>
                <w:color w:val="000000"/>
                <w:sz w:val="16"/>
                <w:szCs w:val="16"/>
              </w:rPr>
              <w:t>41,0</w:t>
            </w:r>
          </w:p>
        </w:tc>
        <w:tc>
          <w:tcPr>
            <w:tcW w:w="850" w:type="dxa"/>
            <w:tcBorders>
              <w:top w:val="nil"/>
              <w:left w:val="nil"/>
              <w:bottom w:val="nil"/>
              <w:right w:val="nil"/>
            </w:tcBorders>
            <w:shd w:val="clear" w:color="auto" w:fill="auto"/>
            <w:noWrap/>
            <w:vAlign w:val="center"/>
            <w:hideMark/>
          </w:tcPr>
          <w:p w14:paraId="6CB0A08D" w14:textId="1890631D" w:rsidR="00D264DA" w:rsidRPr="00EE02F9" w:rsidRDefault="00D264DA" w:rsidP="00D264DA">
            <w:pPr>
              <w:spacing w:after="0" w:line="240" w:lineRule="auto"/>
              <w:jc w:val="right"/>
              <w:rPr>
                <w:rFonts w:cs="Arial"/>
                <w:b/>
                <w:bCs/>
                <w:color w:val="000000"/>
                <w:sz w:val="16"/>
                <w:szCs w:val="16"/>
              </w:rPr>
            </w:pPr>
            <w:r>
              <w:rPr>
                <w:rFonts w:cs="Arial"/>
                <w:b/>
                <w:bCs/>
                <w:color w:val="000000"/>
                <w:sz w:val="16"/>
                <w:szCs w:val="16"/>
              </w:rPr>
              <w:t>34,5</w:t>
            </w:r>
          </w:p>
        </w:tc>
        <w:tc>
          <w:tcPr>
            <w:tcW w:w="851" w:type="dxa"/>
            <w:tcBorders>
              <w:top w:val="nil"/>
              <w:left w:val="single" w:sz="4" w:space="0" w:color="auto"/>
              <w:bottom w:val="nil"/>
              <w:right w:val="nil"/>
            </w:tcBorders>
            <w:shd w:val="clear" w:color="auto" w:fill="auto"/>
            <w:noWrap/>
            <w:vAlign w:val="center"/>
          </w:tcPr>
          <w:p w14:paraId="4F0C270D" w14:textId="4A73C7E4" w:rsidR="00D264DA" w:rsidRPr="00EE02F9" w:rsidRDefault="00D264DA" w:rsidP="00D264DA">
            <w:pPr>
              <w:spacing w:after="0" w:line="240" w:lineRule="auto"/>
              <w:jc w:val="right"/>
              <w:rPr>
                <w:rFonts w:cs="Arial"/>
                <w:b/>
                <w:bCs/>
                <w:color w:val="000000"/>
                <w:sz w:val="16"/>
                <w:szCs w:val="16"/>
              </w:rPr>
            </w:pPr>
            <w:r>
              <w:rPr>
                <w:rFonts w:cs="Arial"/>
                <w:b/>
                <w:bCs/>
                <w:color w:val="000000"/>
                <w:sz w:val="16"/>
                <w:szCs w:val="16"/>
              </w:rPr>
              <w:t>31,0</w:t>
            </w:r>
          </w:p>
        </w:tc>
      </w:tr>
      <w:tr w:rsidR="00D264DA" w:rsidRPr="00EE02F9" w14:paraId="626DE6DE" w14:textId="77777777" w:rsidTr="00425FEB">
        <w:trPr>
          <w:trHeight w:val="300"/>
        </w:trPr>
        <w:tc>
          <w:tcPr>
            <w:tcW w:w="1980" w:type="dxa"/>
            <w:tcBorders>
              <w:top w:val="nil"/>
              <w:bottom w:val="nil"/>
              <w:right w:val="single" w:sz="4" w:space="0" w:color="auto"/>
            </w:tcBorders>
            <w:shd w:val="clear" w:color="auto" w:fill="auto"/>
            <w:noWrap/>
            <w:vAlign w:val="center"/>
            <w:hideMark/>
          </w:tcPr>
          <w:p w14:paraId="4345AAD0" w14:textId="77777777" w:rsidR="00D264DA" w:rsidRPr="00EE02F9" w:rsidRDefault="00D264DA" w:rsidP="00D264DA">
            <w:pPr>
              <w:spacing w:after="0" w:line="240" w:lineRule="auto"/>
              <w:ind w:firstLineChars="100" w:firstLine="160"/>
              <w:rPr>
                <w:rFonts w:cs="Arial"/>
                <w:color w:val="000000"/>
                <w:sz w:val="16"/>
                <w:szCs w:val="16"/>
              </w:rPr>
            </w:pPr>
            <w:r w:rsidRPr="00EE02F9">
              <w:rPr>
                <w:rFonts w:cs="Arial"/>
                <w:color w:val="000000"/>
                <w:sz w:val="16"/>
                <w:szCs w:val="16"/>
              </w:rPr>
              <w:t>Hl. m. Praha</w:t>
            </w:r>
          </w:p>
        </w:tc>
        <w:tc>
          <w:tcPr>
            <w:tcW w:w="850" w:type="dxa"/>
            <w:tcBorders>
              <w:top w:val="nil"/>
              <w:left w:val="nil"/>
              <w:bottom w:val="nil"/>
              <w:right w:val="single" w:sz="4" w:space="0" w:color="auto"/>
            </w:tcBorders>
            <w:shd w:val="clear" w:color="auto" w:fill="auto"/>
            <w:noWrap/>
            <w:vAlign w:val="center"/>
            <w:hideMark/>
          </w:tcPr>
          <w:p w14:paraId="62B6CD3E"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198,1</w:t>
            </w:r>
          </w:p>
        </w:tc>
        <w:tc>
          <w:tcPr>
            <w:tcW w:w="850" w:type="dxa"/>
            <w:tcBorders>
              <w:top w:val="nil"/>
              <w:left w:val="nil"/>
              <w:bottom w:val="nil"/>
              <w:right w:val="nil"/>
            </w:tcBorders>
            <w:shd w:val="clear" w:color="auto" w:fill="auto"/>
            <w:noWrap/>
            <w:vAlign w:val="center"/>
            <w:hideMark/>
          </w:tcPr>
          <w:p w14:paraId="19ECC201" w14:textId="58B6A0BB" w:rsidR="00D264DA" w:rsidRPr="00EE02F9" w:rsidRDefault="00D264DA" w:rsidP="00D264DA">
            <w:pPr>
              <w:spacing w:after="0" w:line="240" w:lineRule="auto"/>
              <w:jc w:val="right"/>
              <w:rPr>
                <w:rFonts w:cs="Arial"/>
                <w:color w:val="000000"/>
                <w:sz w:val="16"/>
                <w:szCs w:val="16"/>
              </w:rPr>
            </w:pPr>
            <w:r>
              <w:rPr>
                <w:rFonts w:cs="Arial"/>
                <w:color w:val="000000"/>
                <w:sz w:val="16"/>
                <w:szCs w:val="16"/>
              </w:rPr>
              <w:t>294,8</w:t>
            </w:r>
          </w:p>
        </w:tc>
        <w:tc>
          <w:tcPr>
            <w:tcW w:w="851" w:type="dxa"/>
            <w:tcBorders>
              <w:top w:val="nil"/>
              <w:left w:val="single" w:sz="4" w:space="0" w:color="auto"/>
              <w:bottom w:val="nil"/>
              <w:right w:val="single" w:sz="4" w:space="0" w:color="auto"/>
            </w:tcBorders>
            <w:shd w:val="clear" w:color="auto" w:fill="auto"/>
            <w:noWrap/>
            <w:vAlign w:val="center"/>
          </w:tcPr>
          <w:p w14:paraId="2ADB6B38" w14:textId="6AB6AA76" w:rsidR="00D264DA" w:rsidRPr="00EE02F9" w:rsidRDefault="00D264DA" w:rsidP="00D264DA">
            <w:pPr>
              <w:spacing w:after="0" w:line="240" w:lineRule="auto"/>
              <w:jc w:val="right"/>
              <w:rPr>
                <w:rFonts w:cs="Arial"/>
                <w:color w:val="000000"/>
                <w:sz w:val="16"/>
                <w:szCs w:val="16"/>
              </w:rPr>
            </w:pPr>
            <w:r>
              <w:rPr>
                <w:rFonts w:cs="Arial"/>
                <w:color w:val="000000"/>
                <w:sz w:val="16"/>
                <w:szCs w:val="16"/>
              </w:rPr>
              <w:t>318,5</w:t>
            </w:r>
          </w:p>
        </w:tc>
        <w:tc>
          <w:tcPr>
            <w:tcW w:w="850" w:type="dxa"/>
            <w:tcBorders>
              <w:top w:val="nil"/>
              <w:left w:val="nil"/>
              <w:bottom w:val="nil"/>
              <w:right w:val="single" w:sz="4" w:space="0" w:color="auto"/>
            </w:tcBorders>
            <w:shd w:val="clear" w:color="auto" w:fill="auto"/>
            <w:noWrap/>
            <w:vAlign w:val="center"/>
            <w:hideMark/>
          </w:tcPr>
          <w:p w14:paraId="3EAD086E"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6 161,0</w:t>
            </w:r>
          </w:p>
        </w:tc>
        <w:tc>
          <w:tcPr>
            <w:tcW w:w="850" w:type="dxa"/>
            <w:tcBorders>
              <w:top w:val="nil"/>
              <w:left w:val="nil"/>
              <w:bottom w:val="nil"/>
              <w:right w:val="single" w:sz="4" w:space="0" w:color="auto"/>
            </w:tcBorders>
            <w:shd w:val="clear" w:color="auto" w:fill="auto"/>
            <w:noWrap/>
            <w:vAlign w:val="center"/>
            <w:hideMark/>
          </w:tcPr>
          <w:p w14:paraId="0F292993" w14:textId="33F360DD" w:rsidR="00D264DA" w:rsidRPr="00EE02F9" w:rsidRDefault="00D264DA" w:rsidP="00D264DA">
            <w:pPr>
              <w:spacing w:after="0" w:line="240" w:lineRule="auto"/>
              <w:jc w:val="right"/>
              <w:rPr>
                <w:rFonts w:cs="Arial"/>
                <w:color w:val="000000"/>
                <w:sz w:val="16"/>
                <w:szCs w:val="16"/>
              </w:rPr>
            </w:pPr>
            <w:r>
              <w:rPr>
                <w:rFonts w:cs="Arial"/>
                <w:color w:val="000000"/>
                <w:sz w:val="16"/>
                <w:szCs w:val="16"/>
              </w:rPr>
              <w:t>8 637,3</w:t>
            </w:r>
          </w:p>
        </w:tc>
        <w:tc>
          <w:tcPr>
            <w:tcW w:w="851" w:type="dxa"/>
            <w:tcBorders>
              <w:top w:val="nil"/>
              <w:left w:val="nil"/>
              <w:bottom w:val="nil"/>
              <w:right w:val="single" w:sz="4" w:space="0" w:color="auto"/>
            </w:tcBorders>
            <w:shd w:val="clear" w:color="auto" w:fill="auto"/>
            <w:noWrap/>
            <w:vAlign w:val="center"/>
          </w:tcPr>
          <w:p w14:paraId="392C9610" w14:textId="368190E5" w:rsidR="00D264DA" w:rsidRPr="00EE02F9" w:rsidRDefault="00D264DA" w:rsidP="00D264DA">
            <w:pPr>
              <w:spacing w:after="0" w:line="240" w:lineRule="auto"/>
              <w:jc w:val="right"/>
              <w:rPr>
                <w:rFonts w:cs="Arial"/>
                <w:color w:val="000000"/>
                <w:sz w:val="16"/>
                <w:szCs w:val="16"/>
              </w:rPr>
            </w:pPr>
            <w:r>
              <w:rPr>
                <w:rFonts w:cs="Arial"/>
                <w:color w:val="000000"/>
                <w:sz w:val="16"/>
                <w:szCs w:val="16"/>
              </w:rPr>
              <w:t>7 572,9</w:t>
            </w:r>
          </w:p>
        </w:tc>
        <w:tc>
          <w:tcPr>
            <w:tcW w:w="850" w:type="dxa"/>
            <w:tcBorders>
              <w:top w:val="nil"/>
              <w:left w:val="nil"/>
              <w:bottom w:val="nil"/>
              <w:right w:val="single" w:sz="4" w:space="0" w:color="auto"/>
            </w:tcBorders>
            <w:shd w:val="clear" w:color="auto" w:fill="auto"/>
            <w:noWrap/>
            <w:vAlign w:val="center"/>
            <w:hideMark/>
          </w:tcPr>
          <w:p w14:paraId="7E85BD59"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31,1</w:t>
            </w:r>
          </w:p>
        </w:tc>
        <w:tc>
          <w:tcPr>
            <w:tcW w:w="850" w:type="dxa"/>
            <w:tcBorders>
              <w:top w:val="nil"/>
              <w:left w:val="nil"/>
              <w:bottom w:val="nil"/>
              <w:right w:val="nil"/>
            </w:tcBorders>
            <w:shd w:val="clear" w:color="auto" w:fill="auto"/>
            <w:noWrap/>
            <w:vAlign w:val="center"/>
            <w:hideMark/>
          </w:tcPr>
          <w:p w14:paraId="6BBE01DB" w14:textId="36DD42E0" w:rsidR="00D264DA" w:rsidRPr="00EE02F9" w:rsidRDefault="00D264DA" w:rsidP="00D264DA">
            <w:pPr>
              <w:spacing w:after="0" w:line="240" w:lineRule="auto"/>
              <w:jc w:val="right"/>
              <w:rPr>
                <w:rFonts w:cs="Arial"/>
                <w:color w:val="000000"/>
                <w:sz w:val="16"/>
                <w:szCs w:val="16"/>
              </w:rPr>
            </w:pPr>
            <w:r>
              <w:rPr>
                <w:rFonts w:cs="Arial"/>
                <w:color w:val="000000"/>
                <w:sz w:val="16"/>
                <w:szCs w:val="16"/>
              </w:rPr>
              <w:t>29,3</w:t>
            </w:r>
          </w:p>
        </w:tc>
        <w:tc>
          <w:tcPr>
            <w:tcW w:w="851" w:type="dxa"/>
            <w:tcBorders>
              <w:top w:val="nil"/>
              <w:left w:val="single" w:sz="4" w:space="0" w:color="auto"/>
              <w:bottom w:val="nil"/>
              <w:right w:val="nil"/>
            </w:tcBorders>
            <w:shd w:val="clear" w:color="auto" w:fill="auto"/>
            <w:noWrap/>
            <w:vAlign w:val="center"/>
          </w:tcPr>
          <w:p w14:paraId="735A1894" w14:textId="56C8628C" w:rsidR="00D264DA" w:rsidRPr="00EE02F9" w:rsidRDefault="00D264DA" w:rsidP="00D264DA">
            <w:pPr>
              <w:spacing w:after="0" w:line="240" w:lineRule="auto"/>
              <w:jc w:val="right"/>
              <w:rPr>
                <w:rFonts w:cs="Arial"/>
                <w:color w:val="000000"/>
                <w:sz w:val="16"/>
                <w:szCs w:val="16"/>
              </w:rPr>
            </w:pPr>
            <w:r>
              <w:rPr>
                <w:rFonts w:cs="Arial"/>
                <w:color w:val="000000"/>
                <w:sz w:val="16"/>
                <w:szCs w:val="16"/>
              </w:rPr>
              <w:t>23,8</w:t>
            </w:r>
          </w:p>
        </w:tc>
      </w:tr>
      <w:tr w:rsidR="00D264DA" w:rsidRPr="00EE02F9" w14:paraId="3135D877" w14:textId="77777777" w:rsidTr="00425FEB">
        <w:trPr>
          <w:trHeight w:val="300"/>
        </w:trPr>
        <w:tc>
          <w:tcPr>
            <w:tcW w:w="1980" w:type="dxa"/>
            <w:tcBorders>
              <w:top w:val="nil"/>
              <w:bottom w:val="nil"/>
              <w:right w:val="single" w:sz="4" w:space="0" w:color="auto"/>
            </w:tcBorders>
            <w:shd w:val="clear" w:color="auto" w:fill="auto"/>
            <w:noWrap/>
            <w:vAlign w:val="center"/>
            <w:hideMark/>
          </w:tcPr>
          <w:p w14:paraId="2D3EAB4A" w14:textId="77777777" w:rsidR="00D264DA" w:rsidRPr="00EE02F9" w:rsidRDefault="00D264DA" w:rsidP="00D264DA">
            <w:pPr>
              <w:spacing w:after="0" w:line="240" w:lineRule="auto"/>
              <w:ind w:firstLineChars="100" w:firstLine="160"/>
              <w:rPr>
                <w:rFonts w:cs="Arial"/>
                <w:color w:val="000000"/>
                <w:sz w:val="16"/>
                <w:szCs w:val="16"/>
              </w:rPr>
            </w:pPr>
            <w:r w:rsidRPr="00EE02F9">
              <w:rPr>
                <w:rFonts w:cs="Arial"/>
                <w:color w:val="000000"/>
                <w:sz w:val="16"/>
                <w:szCs w:val="16"/>
              </w:rPr>
              <w:t>Středočeský kraj</w:t>
            </w:r>
          </w:p>
        </w:tc>
        <w:tc>
          <w:tcPr>
            <w:tcW w:w="850" w:type="dxa"/>
            <w:tcBorders>
              <w:top w:val="nil"/>
              <w:left w:val="nil"/>
              <w:bottom w:val="nil"/>
              <w:right w:val="single" w:sz="4" w:space="0" w:color="auto"/>
            </w:tcBorders>
            <w:shd w:val="clear" w:color="auto" w:fill="auto"/>
            <w:noWrap/>
            <w:vAlign w:val="center"/>
            <w:hideMark/>
          </w:tcPr>
          <w:p w14:paraId="583E0B26"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219,5</w:t>
            </w:r>
          </w:p>
        </w:tc>
        <w:tc>
          <w:tcPr>
            <w:tcW w:w="850" w:type="dxa"/>
            <w:tcBorders>
              <w:top w:val="nil"/>
              <w:left w:val="nil"/>
              <w:bottom w:val="nil"/>
              <w:right w:val="nil"/>
            </w:tcBorders>
            <w:shd w:val="clear" w:color="auto" w:fill="auto"/>
            <w:noWrap/>
            <w:vAlign w:val="center"/>
            <w:hideMark/>
          </w:tcPr>
          <w:p w14:paraId="5F3EA5C4" w14:textId="6564C351" w:rsidR="00D264DA" w:rsidRPr="00EE02F9" w:rsidRDefault="00D264DA" w:rsidP="00D264DA">
            <w:pPr>
              <w:spacing w:after="0" w:line="240" w:lineRule="auto"/>
              <w:jc w:val="right"/>
              <w:rPr>
                <w:rFonts w:cs="Arial"/>
                <w:color w:val="000000"/>
                <w:sz w:val="16"/>
                <w:szCs w:val="16"/>
              </w:rPr>
            </w:pPr>
            <w:r>
              <w:rPr>
                <w:rFonts w:cs="Arial"/>
                <w:color w:val="000000"/>
                <w:sz w:val="16"/>
                <w:szCs w:val="16"/>
              </w:rPr>
              <w:t>304,4</w:t>
            </w:r>
          </w:p>
        </w:tc>
        <w:tc>
          <w:tcPr>
            <w:tcW w:w="851" w:type="dxa"/>
            <w:tcBorders>
              <w:top w:val="nil"/>
              <w:left w:val="single" w:sz="4" w:space="0" w:color="auto"/>
              <w:bottom w:val="nil"/>
              <w:right w:val="single" w:sz="4" w:space="0" w:color="auto"/>
            </w:tcBorders>
            <w:shd w:val="clear" w:color="auto" w:fill="auto"/>
            <w:noWrap/>
            <w:vAlign w:val="center"/>
          </w:tcPr>
          <w:p w14:paraId="016A3ECD" w14:textId="7CB65BA3" w:rsidR="00D264DA" w:rsidRPr="00EE02F9" w:rsidRDefault="00D264DA" w:rsidP="00D264DA">
            <w:pPr>
              <w:spacing w:after="0" w:line="240" w:lineRule="auto"/>
              <w:jc w:val="right"/>
              <w:rPr>
                <w:rFonts w:cs="Arial"/>
                <w:color w:val="000000"/>
                <w:sz w:val="16"/>
                <w:szCs w:val="16"/>
              </w:rPr>
            </w:pPr>
            <w:r>
              <w:rPr>
                <w:rFonts w:cs="Arial"/>
                <w:color w:val="000000"/>
                <w:sz w:val="16"/>
                <w:szCs w:val="16"/>
              </w:rPr>
              <w:t>289,5</w:t>
            </w:r>
          </w:p>
        </w:tc>
        <w:tc>
          <w:tcPr>
            <w:tcW w:w="850" w:type="dxa"/>
            <w:tcBorders>
              <w:top w:val="nil"/>
              <w:left w:val="nil"/>
              <w:bottom w:val="nil"/>
              <w:right w:val="single" w:sz="4" w:space="0" w:color="auto"/>
            </w:tcBorders>
            <w:shd w:val="clear" w:color="auto" w:fill="auto"/>
            <w:noWrap/>
            <w:vAlign w:val="center"/>
            <w:hideMark/>
          </w:tcPr>
          <w:p w14:paraId="63F7F5D8"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8 152,9</w:t>
            </w:r>
          </w:p>
        </w:tc>
        <w:tc>
          <w:tcPr>
            <w:tcW w:w="850" w:type="dxa"/>
            <w:tcBorders>
              <w:top w:val="nil"/>
              <w:left w:val="nil"/>
              <w:bottom w:val="nil"/>
              <w:right w:val="single" w:sz="4" w:space="0" w:color="auto"/>
            </w:tcBorders>
            <w:shd w:val="clear" w:color="auto" w:fill="auto"/>
            <w:noWrap/>
            <w:vAlign w:val="center"/>
            <w:hideMark/>
          </w:tcPr>
          <w:p w14:paraId="3A9F423A" w14:textId="652959B1" w:rsidR="00D264DA" w:rsidRPr="00EE02F9" w:rsidRDefault="00D264DA" w:rsidP="00D264DA">
            <w:pPr>
              <w:spacing w:after="0" w:line="240" w:lineRule="auto"/>
              <w:jc w:val="right"/>
              <w:rPr>
                <w:rFonts w:cs="Arial"/>
                <w:color w:val="000000"/>
                <w:sz w:val="16"/>
                <w:szCs w:val="16"/>
              </w:rPr>
            </w:pPr>
            <w:r>
              <w:rPr>
                <w:rFonts w:cs="Arial"/>
                <w:color w:val="000000"/>
                <w:sz w:val="16"/>
                <w:szCs w:val="16"/>
              </w:rPr>
              <w:t>9 633,1</w:t>
            </w:r>
          </w:p>
        </w:tc>
        <w:tc>
          <w:tcPr>
            <w:tcW w:w="851" w:type="dxa"/>
            <w:tcBorders>
              <w:top w:val="nil"/>
              <w:left w:val="nil"/>
              <w:bottom w:val="nil"/>
              <w:right w:val="single" w:sz="4" w:space="0" w:color="auto"/>
            </w:tcBorders>
            <w:shd w:val="clear" w:color="auto" w:fill="auto"/>
            <w:noWrap/>
            <w:vAlign w:val="center"/>
          </w:tcPr>
          <w:p w14:paraId="0ABC7973" w14:textId="23A07410" w:rsidR="00D264DA" w:rsidRPr="00EE02F9" w:rsidRDefault="00D264DA" w:rsidP="00D264DA">
            <w:pPr>
              <w:spacing w:after="0" w:line="240" w:lineRule="auto"/>
              <w:jc w:val="right"/>
              <w:rPr>
                <w:rFonts w:cs="Arial"/>
                <w:color w:val="000000"/>
                <w:sz w:val="16"/>
                <w:szCs w:val="16"/>
              </w:rPr>
            </w:pPr>
            <w:r>
              <w:rPr>
                <w:rFonts w:cs="Arial"/>
                <w:color w:val="000000"/>
                <w:sz w:val="16"/>
                <w:szCs w:val="16"/>
              </w:rPr>
              <w:t>8 017,4</w:t>
            </w:r>
          </w:p>
        </w:tc>
        <w:tc>
          <w:tcPr>
            <w:tcW w:w="850" w:type="dxa"/>
            <w:tcBorders>
              <w:top w:val="nil"/>
              <w:left w:val="nil"/>
              <w:bottom w:val="nil"/>
              <w:right w:val="single" w:sz="4" w:space="0" w:color="auto"/>
            </w:tcBorders>
            <w:shd w:val="clear" w:color="auto" w:fill="auto"/>
            <w:noWrap/>
            <w:vAlign w:val="center"/>
            <w:hideMark/>
          </w:tcPr>
          <w:p w14:paraId="7B8BE41A"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37,2</w:t>
            </w:r>
          </w:p>
        </w:tc>
        <w:tc>
          <w:tcPr>
            <w:tcW w:w="850" w:type="dxa"/>
            <w:tcBorders>
              <w:top w:val="nil"/>
              <w:left w:val="nil"/>
              <w:bottom w:val="nil"/>
              <w:right w:val="nil"/>
            </w:tcBorders>
            <w:shd w:val="clear" w:color="auto" w:fill="auto"/>
            <w:noWrap/>
            <w:vAlign w:val="center"/>
            <w:hideMark/>
          </w:tcPr>
          <w:p w14:paraId="40BAA38B" w14:textId="09B14762" w:rsidR="00D264DA" w:rsidRPr="00EE02F9" w:rsidRDefault="00D264DA" w:rsidP="00D264DA">
            <w:pPr>
              <w:spacing w:after="0" w:line="240" w:lineRule="auto"/>
              <w:jc w:val="right"/>
              <w:rPr>
                <w:rFonts w:cs="Arial"/>
                <w:color w:val="000000"/>
                <w:sz w:val="16"/>
                <w:szCs w:val="16"/>
              </w:rPr>
            </w:pPr>
            <w:r>
              <w:rPr>
                <w:rFonts w:cs="Arial"/>
                <w:color w:val="000000"/>
                <w:sz w:val="16"/>
                <w:szCs w:val="16"/>
              </w:rPr>
              <w:t>31,6</w:t>
            </w:r>
          </w:p>
        </w:tc>
        <w:tc>
          <w:tcPr>
            <w:tcW w:w="851" w:type="dxa"/>
            <w:tcBorders>
              <w:top w:val="nil"/>
              <w:left w:val="single" w:sz="4" w:space="0" w:color="auto"/>
              <w:bottom w:val="nil"/>
              <w:right w:val="nil"/>
            </w:tcBorders>
            <w:shd w:val="clear" w:color="auto" w:fill="auto"/>
            <w:noWrap/>
            <w:vAlign w:val="center"/>
          </w:tcPr>
          <w:p w14:paraId="5320ED20" w14:textId="60798433" w:rsidR="00D264DA" w:rsidRPr="00EE02F9" w:rsidRDefault="00D264DA" w:rsidP="00D264DA">
            <w:pPr>
              <w:spacing w:after="0" w:line="240" w:lineRule="auto"/>
              <w:jc w:val="right"/>
              <w:rPr>
                <w:rFonts w:cs="Arial"/>
                <w:color w:val="000000"/>
                <w:sz w:val="16"/>
                <w:szCs w:val="16"/>
              </w:rPr>
            </w:pPr>
            <w:r>
              <w:rPr>
                <w:rFonts w:cs="Arial"/>
                <w:color w:val="000000"/>
                <w:sz w:val="16"/>
                <w:szCs w:val="16"/>
              </w:rPr>
              <w:t>27,7</w:t>
            </w:r>
          </w:p>
        </w:tc>
      </w:tr>
      <w:tr w:rsidR="00D264DA" w:rsidRPr="00EE02F9" w14:paraId="79FF30F0" w14:textId="77777777" w:rsidTr="00425FEB">
        <w:trPr>
          <w:trHeight w:val="300"/>
        </w:trPr>
        <w:tc>
          <w:tcPr>
            <w:tcW w:w="1980" w:type="dxa"/>
            <w:tcBorders>
              <w:top w:val="nil"/>
              <w:bottom w:val="nil"/>
              <w:right w:val="single" w:sz="4" w:space="0" w:color="auto"/>
            </w:tcBorders>
            <w:shd w:val="clear" w:color="auto" w:fill="auto"/>
            <w:noWrap/>
            <w:vAlign w:val="center"/>
            <w:hideMark/>
          </w:tcPr>
          <w:p w14:paraId="79BE2006" w14:textId="77777777" w:rsidR="00D264DA" w:rsidRPr="00EE02F9" w:rsidRDefault="00D264DA" w:rsidP="00D264DA">
            <w:pPr>
              <w:spacing w:after="0" w:line="240" w:lineRule="auto"/>
              <w:ind w:firstLineChars="100" w:firstLine="160"/>
              <w:rPr>
                <w:rFonts w:cs="Arial"/>
                <w:color w:val="000000"/>
                <w:sz w:val="16"/>
                <w:szCs w:val="16"/>
              </w:rPr>
            </w:pPr>
            <w:r w:rsidRPr="00EE02F9">
              <w:rPr>
                <w:rFonts w:cs="Arial"/>
                <w:color w:val="000000"/>
                <w:sz w:val="16"/>
                <w:szCs w:val="16"/>
              </w:rPr>
              <w:t>Jihočeský kraj</w:t>
            </w:r>
          </w:p>
        </w:tc>
        <w:tc>
          <w:tcPr>
            <w:tcW w:w="850" w:type="dxa"/>
            <w:tcBorders>
              <w:top w:val="nil"/>
              <w:left w:val="nil"/>
              <w:bottom w:val="nil"/>
              <w:right w:val="single" w:sz="4" w:space="0" w:color="auto"/>
            </w:tcBorders>
            <w:shd w:val="clear" w:color="auto" w:fill="auto"/>
            <w:noWrap/>
            <w:vAlign w:val="center"/>
            <w:hideMark/>
          </w:tcPr>
          <w:p w14:paraId="0DDF7B5F"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117,3</w:t>
            </w:r>
          </w:p>
        </w:tc>
        <w:tc>
          <w:tcPr>
            <w:tcW w:w="850" w:type="dxa"/>
            <w:tcBorders>
              <w:top w:val="nil"/>
              <w:left w:val="nil"/>
              <w:bottom w:val="nil"/>
              <w:right w:val="nil"/>
            </w:tcBorders>
            <w:shd w:val="clear" w:color="auto" w:fill="auto"/>
            <w:noWrap/>
            <w:vAlign w:val="center"/>
            <w:hideMark/>
          </w:tcPr>
          <w:p w14:paraId="518CA249" w14:textId="27373615" w:rsidR="00D264DA" w:rsidRPr="00EE02F9" w:rsidRDefault="00D264DA" w:rsidP="00D264DA">
            <w:pPr>
              <w:spacing w:after="0" w:line="240" w:lineRule="auto"/>
              <w:jc w:val="right"/>
              <w:rPr>
                <w:rFonts w:cs="Arial"/>
                <w:color w:val="000000"/>
                <w:sz w:val="16"/>
                <w:szCs w:val="16"/>
              </w:rPr>
            </w:pPr>
            <w:r>
              <w:rPr>
                <w:rFonts w:cs="Arial"/>
                <w:color w:val="000000"/>
                <w:sz w:val="16"/>
                <w:szCs w:val="16"/>
              </w:rPr>
              <w:t>170,3</w:t>
            </w:r>
          </w:p>
        </w:tc>
        <w:tc>
          <w:tcPr>
            <w:tcW w:w="851" w:type="dxa"/>
            <w:tcBorders>
              <w:top w:val="nil"/>
              <w:left w:val="single" w:sz="4" w:space="0" w:color="auto"/>
              <w:bottom w:val="nil"/>
              <w:right w:val="single" w:sz="4" w:space="0" w:color="auto"/>
            </w:tcBorders>
            <w:shd w:val="clear" w:color="auto" w:fill="auto"/>
            <w:noWrap/>
            <w:vAlign w:val="center"/>
          </w:tcPr>
          <w:p w14:paraId="1B3A9BE5" w14:textId="7AE67632" w:rsidR="00D264DA" w:rsidRPr="00EE02F9" w:rsidRDefault="00D264DA" w:rsidP="00D264DA">
            <w:pPr>
              <w:spacing w:after="0" w:line="240" w:lineRule="auto"/>
              <w:jc w:val="right"/>
              <w:rPr>
                <w:rFonts w:cs="Arial"/>
                <w:color w:val="000000"/>
                <w:sz w:val="16"/>
                <w:szCs w:val="16"/>
              </w:rPr>
            </w:pPr>
            <w:r>
              <w:rPr>
                <w:rFonts w:cs="Arial"/>
                <w:color w:val="000000"/>
                <w:sz w:val="16"/>
                <w:szCs w:val="16"/>
              </w:rPr>
              <w:t>156,5</w:t>
            </w:r>
          </w:p>
        </w:tc>
        <w:tc>
          <w:tcPr>
            <w:tcW w:w="850" w:type="dxa"/>
            <w:tcBorders>
              <w:top w:val="nil"/>
              <w:left w:val="nil"/>
              <w:bottom w:val="nil"/>
              <w:right w:val="single" w:sz="4" w:space="0" w:color="auto"/>
            </w:tcBorders>
            <w:shd w:val="clear" w:color="auto" w:fill="auto"/>
            <w:noWrap/>
            <w:vAlign w:val="center"/>
            <w:hideMark/>
          </w:tcPr>
          <w:p w14:paraId="327B5DB5"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5 060,8</w:t>
            </w:r>
          </w:p>
        </w:tc>
        <w:tc>
          <w:tcPr>
            <w:tcW w:w="850" w:type="dxa"/>
            <w:tcBorders>
              <w:top w:val="nil"/>
              <w:left w:val="nil"/>
              <w:bottom w:val="nil"/>
              <w:right w:val="single" w:sz="4" w:space="0" w:color="auto"/>
            </w:tcBorders>
            <w:shd w:val="clear" w:color="auto" w:fill="auto"/>
            <w:noWrap/>
            <w:vAlign w:val="center"/>
            <w:hideMark/>
          </w:tcPr>
          <w:p w14:paraId="41C6C777" w14:textId="2F7ACD55" w:rsidR="00D264DA" w:rsidRPr="00EE02F9" w:rsidRDefault="00D264DA" w:rsidP="00D264DA">
            <w:pPr>
              <w:spacing w:after="0" w:line="240" w:lineRule="auto"/>
              <w:jc w:val="right"/>
              <w:rPr>
                <w:rFonts w:cs="Arial"/>
                <w:color w:val="000000"/>
                <w:sz w:val="16"/>
                <w:szCs w:val="16"/>
              </w:rPr>
            </w:pPr>
            <w:r>
              <w:rPr>
                <w:rFonts w:cs="Arial"/>
                <w:color w:val="000000"/>
                <w:sz w:val="16"/>
                <w:szCs w:val="16"/>
              </w:rPr>
              <w:t>6 069,7</w:t>
            </w:r>
          </w:p>
        </w:tc>
        <w:tc>
          <w:tcPr>
            <w:tcW w:w="851" w:type="dxa"/>
            <w:tcBorders>
              <w:top w:val="nil"/>
              <w:left w:val="nil"/>
              <w:bottom w:val="nil"/>
              <w:right w:val="single" w:sz="4" w:space="0" w:color="auto"/>
            </w:tcBorders>
            <w:shd w:val="clear" w:color="auto" w:fill="auto"/>
            <w:noWrap/>
            <w:vAlign w:val="center"/>
          </w:tcPr>
          <w:p w14:paraId="01DEEA7D" w14:textId="5D915F9B" w:rsidR="00D264DA" w:rsidRPr="00EE02F9" w:rsidRDefault="00D264DA" w:rsidP="00D264DA">
            <w:pPr>
              <w:spacing w:after="0" w:line="240" w:lineRule="auto"/>
              <w:jc w:val="right"/>
              <w:rPr>
                <w:rFonts w:cs="Arial"/>
                <w:color w:val="000000"/>
                <w:sz w:val="16"/>
                <w:szCs w:val="16"/>
              </w:rPr>
            </w:pPr>
            <w:r>
              <w:rPr>
                <w:rFonts w:cs="Arial"/>
                <w:color w:val="000000"/>
                <w:sz w:val="16"/>
                <w:szCs w:val="16"/>
              </w:rPr>
              <w:t>5 007,0</w:t>
            </w:r>
          </w:p>
        </w:tc>
        <w:tc>
          <w:tcPr>
            <w:tcW w:w="850" w:type="dxa"/>
            <w:tcBorders>
              <w:top w:val="nil"/>
              <w:left w:val="nil"/>
              <w:bottom w:val="nil"/>
              <w:right w:val="single" w:sz="4" w:space="0" w:color="auto"/>
            </w:tcBorders>
            <w:shd w:val="clear" w:color="auto" w:fill="auto"/>
            <w:noWrap/>
            <w:vAlign w:val="center"/>
            <w:hideMark/>
          </w:tcPr>
          <w:p w14:paraId="5FD6711C"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43,2</w:t>
            </w:r>
          </w:p>
        </w:tc>
        <w:tc>
          <w:tcPr>
            <w:tcW w:w="850" w:type="dxa"/>
            <w:tcBorders>
              <w:top w:val="nil"/>
              <w:left w:val="nil"/>
              <w:bottom w:val="nil"/>
              <w:right w:val="nil"/>
            </w:tcBorders>
            <w:shd w:val="clear" w:color="auto" w:fill="auto"/>
            <w:noWrap/>
            <w:vAlign w:val="center"/>
            <w:hideMark/>
          </w:tcPr>
          <w:p w14:paraId="40BE25C0" w14:textId="78DDE321" w:rsidR="00D264DA" w:rsidRPr="00EE02F9" w:rsidRDefault="00D264DA" w:rsidP="00D264DA">
            <w:pPr>
              <w:spacing w:after="0" w:line="240" w:lineRule="auto"/>
              <w:jc w:val="right"/>
              <w:rPr>
                <w:rFonts w:cs="Arial"/>
                <w:color w:val="000000"/>
                <w:sz w:val="16"/>
                <w:szCs w:val="16"/>
              </w:rPr>
            </w:pPr>
            <w:r>
              <w:rPr>
                <w:rFonts w:cs="Arial"/>
                <w:color w:val="000000"/>
                <w:sz w:val="16"/>
                <w:szCs w:val="16"/>
              </w:rPr>
              <w:t>35,6</w:t>
            </w:r>
          </w:p>
        </w:tc>
        <w:tc>
          <w:tcPr>
            <w:tcW w:w="851" w:type="dxa"/>
            <w:tcBorders>
              <w:top w:val="nil"/>
              <w:left w:val="single" w:sz="4" w:space="0" w:color="auto"/>
              <w:bottom w:val="nil"/>
              <w:right w:val="nil"/>
            </w:tcBorders>
            <w:shd w:val="clear" w:color="auto" w:fill="auto"/>
            <w:noWrap/>
            <w:vAlign w:val="center"/>
          </w:tcPr>
          <w:p w14:paraId="59BB1AC7" w14:textId="30D19595" w:rsidR="00D264DA" w:rsidRPr="00EE02F9" w:rsidRDefault="00D264DA" w:rsidP="00D264DA">
            <w:pPr>
              <w:spacing w:after="0" w:line="240" w:lineRule="auto"/>
              <w:jc w:val="right"/>
              <w:rPr>
                <w:rFonts w:cs="Arial"/>
                <w:color w:val="000000"/>
                <w:sz w:val="16"/>
                <w:szCs w:val="16"/>
              </w:rPr>
            </w:pPr>
            <w:r>
              <w:rPr>
                <w:rFonts w:cs="Arial"/>
                <w:color w:val="000000"/>
                <w:sz w:val="16"/>
                <w:szCs w:val="16"/>
              </w:rPr>
              <w:t>32,0</w:t>
            </w:r>
          </w:p>
        </w:tc>
      </w:tr>
      <w:tr w:rsidR="00D264DA" w:rsidRPr="00EE02F9" w14:paraId="3DB84544" w14:textId="77777777" w:rsidTr="00425FEB">
        <w:trPr>
          <w:trHeight w:val="300"/>
        </w:trPr>
        <w:tc>
          <w:tcPr>
            <w:tcW w:w="1980" w:type="dxa"/>
            <w:tcBorders>
              <w:top w:val="nil"/>
              <w:bottom w:val="nil"/>
              <w:right w:val="single" w:sz="4" w:space="0" w:color="auto"/>
            </w:tcBorders>
            <w:shd w:val="clear" w:color="auto" w:fill="auto"/>
            <w:noWrap/>
            <w:vAlign w:val="center"/>
            <w:hideMark/>
          </w:tcPr>
          <w:p w14:paraId="4E054F90" w14:textId="77777777" w:rsidR="00D264DA" w:rsidRPr="00EE02F9" w:rsidRDefault="00D264DA" w:rsidP="00D264DA">
            <w:pPr>
              <w:spacing w:after="0" w:line="240" w:lineRule="auto"/>
              <w:ind w:firstLineChars="100" w:firstLine="160"/>
              <w:rPr>
                <w:rFonts w:cs="Arial"/>
                <w:color w:val="000000"/>
                <w:sz w:val="16"/>
                <w:szCs w:val="16"/>
              </w:rPr>
            </w:pPr>
            <w:r w:rsidRPr="00EE02F9">
              <w:rPr>
                <w:rFonts w:cs="Arial"/>
                <w:color w:val="000000"/>
                <w:sz w:val="16"/>
                <w:szCs w:val="16"/>
              </w:rPr>
              <w:t>Plzeňský kraj</w:t>
            </w:r>
          </w:p>
        </w:tc>
        <w:tc>
          <w:tcPr>
            <w:tcW w:w="850" w:type="dxa"/>
            <w:tcBorders>
              <w:top w:val="nil"/>
              <w:left w:val="nil"/>
              <w:bottom w:val="nil"/>
              <w:right w:val="single" w:sz="4" w:space="0" w:color="auto"/>
            </w:tcBorders>
            <w:shd w:val="clear" w:color="auto" w:fill="auto"/>
            <w:noWrap/>
            <w:vAlign w:val="center"/>
            <w:hideMark/>
          </w:tcPr>
          <w:p w14:paraId="3CCA2233"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120,2</w:t>
            </w:r>
          </w:p>
        </w:tc>
        <w:tc>
          <w:tcPr>
            <w:tcW w:w="850" w:type="dxa"/>
            <w:tcBorders>
              <w:top w:val="nil"/>
              <w:left w:val="nil"/>
              <w:bottom w:val="nil"/>
              <w:right w:val="nil"/>
            </w:tcBorders>
            <w:shd w:val="clear" w:color="auto" w:fill="auto"/>
            <w:noWrap/>
            <w:vAlign w:val="center"/>
            <w:hideMark/>
          </w:tcPr>
          <w:p w14:paraId="318EE508" w14:textId="23DAFA7B" w:rsidR="00D264DA" w:rsidRPr="00EE02F9" w:rsidRDefault="00D264DA" w:rsidP="00D264DA">
            <w:pPr>
              <w:spacing w:after="0" w:line="240" w:lineRule="auto"/>
              <w:jc w:val="right"/>
              <w:rPr>
                <w:rFonts w:cs="Arial"/>
                <w:color w:val="000000"/>
                <w:sz w:val="16"/>
                <w:szCs w:val="16"/>
              </w:rPr>
            </w:pPr>
            <w:r>
              <w:rPr>
                <w:rFonts w:cs="Arial"/>
                <w:color w:val="000000"/>
                <w:sz w:val="16"/>
                <w:szCs w:val="16"/>
              </w:rPr>
              <w:t>170,3</w:t>
            </w:r>
          </w:p>
        </w:tc>
        <w:tc>
          <w:tcPr>
            <w:tcW w:w="851" w:type="dxa"/>
            <w:tcBorders>
              <w:top w:val="nil"/>
              <w:left w:val="single" w:sz="4" w:space="0" w:color="auto"/>
              <w:bottom w:val="nil"/>
              <w:right w:val="single" w:sz="4" w:space="0" w:color="auto"/>
            </w:tcBorders>
            <w:shd w:val="clear" w:color="auto" w:fill="auto"/>
            <w:noWrap/>
            <w:vAlign w:val="center"/>
          </w:tcPr>
          <w:p w14:paraId="51F529F7" w14:textId="76515146" w:rsidR="00D264DA" w:rsidRPr="00EE02F9" w:rsidRDefault="00D264DA" w:rsidP="00D264DA">
            <w:pPr>
              <w:spacing w:after="0" w:line="240" w:lineRule="auto"/>
              <w:jc w:val="right"/>
              <w:rPr>
                <w:rFonts w:cs="Arial"/>
                <w:color w:val="000000"/>
                <w:sz w:val="16"/>
                <w:szCs w:val="16"/>
              </w:rPr>
            </w:pPr>
            <w:r>
              <w:rPr>
                <w:rFonts w:cs="Arial"/>
                <w:color w:val="000000"/>
                <w:sz w:val="16"/>
                <w:szCs w:val="16"/>
              </w:rPr>
              <w:t>157,9</w:t>
            </w:r>
          </w:p>
        </w:tc>
        <w:tc>
          <w:tcPr>
            <w:tcW w:w="850" w:type="dxa"/>
            <w:tcBorders>
              <w:top w:val="nil"/>
              <w:left w:val="nil"/>
              <w:bottom w:val="nil"/>
              <w:right w:val="single" w:sz="4" w:space="0" w:color="auto"/>
            </w:tcBorders>
            <w:shd w:val="clear" w:color="auto" w:fill="auto"/>
            <w:noWrap/>
            <w:vAlign w:val="center"/>
            <w:hideMark/>
          </w:tcPr>
          <w:p w14:paraId="4557BC33"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4 645,1</w:t>
            </w:r>
          </w:p>
        </w:tc>
        <w:tc>
          <w:tcPr>
            <w:tcW w:w="850" w:type="dxa"/>
            <w:tcBorders>
              <w:top w:val="nil"/>
              <w:left w:val="nil"/>
              <w:bottom w:val="nil"/>
              <w:right w:val="single" w:sz="4" w:space="0" w:color="auto"/>
            </w:tcBorders>
            <w:shd w:val="clear" w:color="auto" w:fill="auto"/>
            <w:noWrap/>
            <w:vAlign w:val="center"/>
            <w:hideMark/>
          </w:tcPr>
          <w:p w14:paraId="51DBD7B4" w14:textId="2217678E" w:rsidR="00D264DA" w:rsidRPr="00EE02F9" w:rsidRDefault="00D264DA" w:rsidP="00D264DA">
            <w:pPr>
              <w:spacing w:after="0" w:line="240" w:lineRule="auto"/>
              <w:jc w:val="right"/>
              <w:rPr>
                <w:rFonts w:cs="Arial"/>
                <w:color w:val="000000"/>
                <w:sz w:val="16"/>
                <w:szCs w:val="16"/>
              </w:rPr>
            </w:pPr>
            <w:r>
              <w:rPr>
                <w:rFonts w:cs="Arial"/>
                <w:color w:val="000000"/>
                <w:sz w:val="16"/>
                <w:szCs w:val="16"/>
              </w:rPr>
              <w:t>5 713,5</w:t>
            </w:r>
          </w:p>
        </w:tc>
        <w:tc>
          <w:tcPr>
            <w:tcW w:w="851" w:type="dxa"/>
            <w:tcBorders>
              <w:top w:val="nil"/>
              <w:left w:val="nil"/>
              <w:bottom w:val="nil"/>
              <w:right w:val="single" w:sz="4" w:space="0" w:color="auto"/>
            </w:tcBorders>
            <w:shd w:val="clear" w:color="auto" w:fill="auto"/>
            <w:noWrap/>
            <w:vAlign w:val="center"/>
          </w:tcPr>
          <w:p w14:paraId="79EEF2CC" w14:textId="2D0D9653" w:rsidR="00D264DA" w:rsidRPr="00EE02F9" w:rsidRDefault="00D264DA" w:rsidP="00D264DA">
            <w:pPr>
              <w:spacing w:after="0" w:line="240" w:lineRule="auto"/>
              <w:jc w:val="right"/>
              <w:rPr>
                <w:rFonts w:cs="Arial"/>
                <w:color w:val="000000"/>
                <w:sz w:val="16"/>
                <w:szCs w:val="16"/>
              </w:rPr>
            </w:pPr>
            <w:r>
              <w:rPr>
                <w:rFonts w:cs="Arial"/>
                <w:color w:val="000000"/>
                <w:sz w:val="16"/>
                <w:szCs w:val="16"/>
              </w:rPr>
              <w:t>4 672,2</w:t>
            </w:r>
          </w:p>
        </w:tc>
        <w:tc>
          <w:tcPr>
            <w:tcW w:w="850" w:type="dxa"/>
            <w:tcBorders>
              <w:top w:val="nil"/>
              <w:left w:val="nil"/>
              <w:bottom w:val="nil"/>
              <w:right w:val="single" w:sz="4" w:space="0" w:color="auto"/>
            </w:tcBorders>
            <w:shd w:val="clear" w:color="auto" w:fill="auto"/>
            <w:noWrap/>
            <w:vAlign w:val="center"/>
            <w:hideMark/>
          </w:tcPr>
          <w:p w14:paraId="5EE57737"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38,6</w:t>
            </w:r>
          </w:p>
        </w:tc>
        <w:tc>
          <w:tcPr>
            <w:tcW w:w="850" w:type="dxa"/>
            <w:tcBorders>
              <w:top w:val="nil"/>
              <w:left w:val="nil"/>
              <w:bottom w:val="nil"/>
              <w:right w:val="nil"/>
            </w:tcBorders>
            <w:shd w:val="clear" w:color="auto" w:fill="auto"/>
            <w:noWrap/>
            <w:vAlign w:val="center"/>
            <w:hideMark/>
          </w:tcPr>
          <w:p w14:paraId="241B639B" w14:textId="2AE975DD" w:rsidR="00D264DA" w:rsidRPr="00EE02F9" w:rsidRDefault="00D264DA" w:rsidP="00D264DA">
            <w:pPr>
              <w:spacing w:after="0" w:line="240" w:lineRule="auto"/>
              <w:jc w:val="right"/>
              <w:rPr>
                <w:rFonts w:cs="Arial"/>
                <w:color w:val="000000"/>
                <w:sz w:val="16"/>
                <w:szCs w:val="16"/>
              </w:rPr>
            </w:pPr>
            <w:r>
              <w:rPr>
                <w:rFonts w:cs="Arial"/>
                <w:color w:val="000000"/>
                <w:sz w:val="16"/>
                <w:szCs w:val="16"/>
              </w:rPr>
              <w:t>33,5</w:t>
            </w:r>
          </w:p>
        </w:tc>
        <w:tc>
          <w:tcPr>
            <w:tcW w:w="851" w:type="dxa"/>
            <w:tcBorders>
              <w:top w:val="nil"/>
              <w:left w:val="single" w:sz="4" w:space="0" w:color="auto"/>
              <w:bottom w:val="nil"/>
              <w:right w:val="nil"/>
            </w:tcBorders>
            <w:shd w:val="clear" w:color="auto" w:fill="auto"/>
            <w:noWrap/>
            <w:vAlign w:val="center"/>
          </w:tcPr>
          <w:p w14:paraId="49C8F6FE" w14:textId="73645509" w:rsidR="00D264DA" w:rsidRPr="00EE02F9" w:rsidRDefault="00D264DA" w:rsidP="00D264DA">
            <w:pPr>
              <w:spacing w:after="0" w:line="240" w:lineRule="auto"/>
              <w:jc w:val="right"/>
              <w:rPr>
                <w:rFonts w:cs="Arial"/>
                <w:color w:val="000000"/>
                <w:sz w:val="16"/>
                <w:szCs w:val="16"/>
              </w:rPr>
            </w:pPr>
            <w:r>
              <w:rPr>
                <w:rFonts w:cs="Arial"/>
                <w:color w:val="000000"/>
                <w:sz w:val="16"/>
                <w:szCs w:val="16"/>
              </w:rPr>
              <w:t>29,6</w:t>
            </w:r>
          </w:p>
        </w:tc>
      </w:tr>
      <w:tr w:rsidR="00D264DA" w:rsidRPr="00EE02F9" w14:paraId="03DCDBDC" w14:textId="77777777" w:rsidTr="00425FEB">
        <w:trPr>
          <w:trHeight w:val="300"/>
        </w:trPr>
        <w:tc>
          <w:tcPr>
            <w:tcW w:w="1980" w:type="dxa"/>
            <w:tcBorders>
              <w:top w:val="nil"/>
              <w:bottom w:val="nil"/>
              <w:right w:val="single" w:sz="4" w:space="0" w:color="auto"/>
            </w:tcBorders>
            <w:shd w:val="clear" w:color="auto" w:fill="auto"/>
            <w:noWrap/>
            <w:vAlign w:val="center"/>
            <w:hideMark/>
          </w:tcPr>
          <w:p w14:paraId="6146171F" w14:textId="77777777" w:rsidR="00D264DA" w:rsidRPr="00EE02F9" w:rsidRDefault="00D264DA" w:rsidP="00D264DA">
            <w:pPr>
              <w:spacing w:after="0" w:line="240" w:lineRule="auto"/>
              <w:ind w:firstLineChars="100" w:firstLine="160"/>
              <w:rPr>
                <w:rFonts w:cs="Arial"/>
                <w:color w:val="000000"/>
                <w:sz w:val="16"/>
                <w:szCs w:val="16"/>
              </w:rPr>
            </w:pPr>
            <w:r w:rsidRPr="00EE02F9">
              <w:rPr>
                <w:rFonts w:cs="Arial"/>
                <w:color w:val="000000"/>
                <w:sz w:val="16"/>
                <w:szCs w:val="16"/>
              </w:rPr>
              <w:t>Karlovarský kraj</w:t>
            </w:r>
          </w:p>
        </w:tc>
        <w:tc>
          <w:tcPr>
            <w:tcW w:w="850" w:type="dxa"/>
            <w:tcBorders>
              <w:top w:val="nil"/>
              <w:left w:val="nil"/>
              <w:bottom w:val="nil"/>
              <w:right w:val="single" w:sz="4" w:space="0" w:color="auto"/>
            </w:tcBorders>
            <w:shd w:val="clear" w:color="auto" w:fill="auto"/>
            <w:noWrap/>
            <w:vAlign w:val="center"/>
            <w:hideMark/>
          </w:tcPr>
          <w:p w14:paraId="58F1DCCC"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49,4</w:t>
            </w:r>
          </w:p>
        </w:tc>
        <w:tc>
          <w:tcPr>
            <w:tcW w:w="850" w:type="dxa"/>
            <w:tcBorders>
              <w:top w:val="nil"/>
              <w:left w:val="nil"/>
              <w:bottom w:val="nil"/>
              <w:right w:val="nil"/>
            </w:tcBorders>
            <w:shd w:val="clear" w:color="auto" w:fill="auto"/>
            <w:noWrap/>
            <w:vAlign w:val="center"/>
            <w:hideMark/>
          </w:tcPr>
          <w:p w14:paraId="51B06476" w14:textId="6C50562B" w:rsidR="00D264DA" w:rsidRPr="00EE02F9" w:rsidRDefault="00D264DA" w:rsidP="00D264DA">
            <w:pPr>
              <w:spacing w:after="0" w:line="240" w:lineRule="auto"/>
              <w:jc w:val="right"/>
              <w:rPr>
                <w:rFonts w:cs="Arial"/>
                <w:color w:val="000000"/>
                <w:sz w:val="16"/>
                <w:szCs w:val="16"/>
              </w:rPr>
            </w:pPr>
            <w:r>
              <w:rPr>
                <w:rFonts w:cs="Arial"/>
                <w:color w:val="000000"/>
                <w:sz w:val="16"/>
                <w:szCs w:val="16"/>
              </w:rPr>
              <w:t>65,2</w:t>
            </w:r>
          </w:p>
        </w:tc>
        <w:tc>
          <w:tcPr>
            <w:tcW w:w="851" w:type="dxa"/>
            <w:tcBorders>
              <w:top w:val="nil"/>
              <w:left w:val="single" w:sz="4" w:space="0" w:color="auto"/>
              <w:bottom w:val="nil"/>
              <w:right w:val="single" w:sz="4" w:space="0" w:color="auto"/>
            </w:tcBorders>
            <w:shd w:val="clear" w:color="auto" w:fill="auto"/>
            <w:noWrap/>
            <w:vAlign w:val="center"/>
          </w:tcPr>
          <w:p w14:paraId="770AE159" w14:textId="28A7E70A" w:rsidR="00D264DA" w:rsidRPr="00EE02F9" w:rsidRDefault="00D264DA" w:rsidP="00D264DA">
            <w:pPr>
              <w:spacing w:after="0" w:line="240" w:lineRule="auto"/>
              <w:jc w:val="right"/>
              <w:rPr>
                <w:rFonts w:cs="Arial"/>
                <w:color w:val="000000"/>
                <w:sz w:val="16"/>
                <w:szCs w:val="16"/>
              </w:rPr>
            </w:pPr>
            <w:r>
              <w:rPr>
                <w:rFonts w:cs="Arial"/>
                <w:color w:val="000000"/>
                <w:sz w:val="16"/>
                <w:szCs w:val="16"/>
              </w:rPr>
              <w:t>62,0</w:t>
            </w:r>
          </w:p>
        </w:tc>
        <w:tc>
          <w:tcPr>
            <w:tcW w:w="850" w:type="dxa"/>
            <w:tcBorders>
              <w:top w:val="nil"/>
              <w:left w:val="nil"/>
              <w:bottom w:val="nil"/>
              <w:right w:val="single" w:sz="4" w:space="0" w:color="auto"/>
            </w:tcBorders>
            <w:shd w:val="clear" w:color="auto" w:fill="auto"/>
            <w:noWrap/>
            <w:vAlign w:val="center"/>
            <w:hideMark/>
          </w:tcPr>
          <w:p w14:paraId="77741568"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1 891,6</w:t>
            </w:r>
          </w:p>
        </w:tc>
        <w:tc>
          <w:tcPr>
            <w:tcW w:w="850" w:type="dxa"/>
            <w:tcBorders>
              <w:top w:val="nil"/>
              <w:left w:val="nil"/>
              <w:bottom w:val="nil"/>
              <w:right w:val="single" w:sz="4" w:space="0" w:color="auto"/>
            </w:tcBorders>
            <w:shd w:val="clear" w:color="auto" w:fill="auto"/>
            <w:noWrap/>
            <w:vAlign w:val="center"/>
            <w:hideMark/>
          </w:tcPr>
          <w:p w14:paraId="3B661D35" w14:textId="67DA710C" w:rsidR="00D264DA" w:rsidRPr="00EE02F9" w:rsidRDefault="00D264DA" w:rsidP="00D264DA">
            <w:pPr>
              <w:spacing w:after="0" w:line="240" w:lineRule="auto"/>
              <w:jc w:val="right"/>
              <w:rPr>
                <w:rFonts w:cs="Arial"/>
                <w:color w:val="000000"/>
                <w:sz w:val="16"/>
                <w:szCs w:val="16"/>
              </w:rPr>
            </w:pPr>
            <w:r>
              <w:rPr>
                <w:rFonts w:cs="Arial"/>
                <w:color w:val="000000"/>
                <w:sz w:val="16"/>
                <w:szCs w:val="16"/>
              </w:rPr>
              <w:t>2 258,1</w:t>
            </w:r>
          </w:p>
        </w:tc>
        <w:tc>
          <w:tcPr>
            <w:tcW w:w="851" w:type="dxa"/>
            <w:tcBorders>
              <w:top w:val="nil"/>
              <w:left w:val="nil"/>
              <w:bottom w:val="nil"/>
              <w:right w:val="single" w:sz="4" w:space="0" w:color="auto"/>
            </w:tcBorders>
            <w:shd w:val="clear" w:color="auto" w:fill="auto"/>
            <w:noWrap/>
            <w:vAlign w:val="center"/>
          </w:tcPr>
          <w:p w14:paraId="577B5FC8" w14:textId="7D4CBFE5" w:rsidR="00D264DA" w:rsidRPr="00EE02F9" w:rsidRDefault="00D264DA" w:rsidP="00D264DA">
            <w:pPr>
              <w:spacing w:after="0" w:line="240" w:lineRule="auto"/>
              <w:jc w:val="right"/>
              <w:rPr>
                <w:rFonts w:cs="Arial"/>
                <w:color w:val="000000"/>
                <w:sz w:val="16"/>
                <w:szCs w:val="16"/>
              </w:rPr>
            </w:pPr>
            <w:r>
              <w:rPr>
                <w:rFonts w:cs="Arial"/>
                <w:color w:val="000000"/>
                <w:sz w:val="16"/>
                <w:szCs w:val="16"/>
              </w:rPr>
              <w:t>1 904,9</w:t>
            </w:r>
          </w:p>
        </w:tc>
        <w:tc>
          <w:tcPr>
            <w:tcW w:w="850" w:type="dxa"/>
            <w:tcBorders>
              <w:top w:val="nil"/>
              <w:left w:val="nil"/>
              <w:bottom w:val="nil"/>
              <w:right w:val="single" w:sz="4" w:space="0" w:color="auto"/>
            </w:tcBorders>
            <w:shd w:val="clear" w:color="auto" w:fill="auto"/>
            <w:noWrap/>
            <w:vAlign w:val="center"/>
            <w:hideMark/>
          </w:tcPr>
          <w:p w14:paraId="33165A38"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38,3</w:t>
            </w:r>
          </w:p>
        </w:tc>
        <w:tc>
          <w:tcPr>
            <w:tcW w:w="850" w:type="dxa"/>
            <w:tcBorders>
              <w:top w:val="nil"/>
              <w:left w:val="nil"/>
              <w:bottom w:val="nil"/>
              <w:right w:val="nil"/>
            </w:tcBorders>
            <w:shd w:val="clear" w:color="auto" w:fill="auto"/>
            <w:noWrap/>
            <w:vAlign w:val="center"/>
            <w:hideMark/>
          </w:tcPr>
          <w:p w14:paraId="7B8FD2A8" w14:textId="24459DAE" w:rsidR="00D264DA" w:rsidRPr="00EE02F9" w:rsidRDefault="00D264DA" w:rsidP="00D264DA">
            <w:pPr>
              <w:spacing w:after="0" w:line="240" w:lineRule="auto"/>
              <w:jc w:val="right"/>
              <w:rPr>
                <w:rFonts w:cs="Arial"/>
                <w:color w:val="000000"/>
                <w:sz w:val="16"/>
                <w:szCs w:val="16"/>
              </w:rPr>
            </w:pPr>
            <w:r>
              <w:rPr>
                <w:rFonts w:cs="Arial"/>
                <w:color w:val="000000"/>
                <w:sz w:val="16"/>
                <w:szCs w:val="16"/>
              </w:rPr>
              <w:t>34,6</w:t>
            </w:r>
          </w:p>
        </w:tc>
        <w:tc>
          <w:tcPr>
            <w:tcW w:w="851" w:type="dxa"/>
            <w:tcBorders>
              <w:top w:val="nil"/>
              <w:left w:val="single" w:sz="4" w:space="0" w:color="auto"/>
              <w:bottom w:val="nil"/>
              <w:right w:val="nil"/>
            </w:tcBorders>
            <w:shd w:val="clear" w:color="auto" w:fill="auto"/>
            <w:noWrap/>
            <w:vAlign w:val="center"/>
          </w:tcPr>
          <w:p w14:paraId="57917FB3" w14:textId="6B1F274A" w:rsidR="00D264DA" w:rsidRPr="00EE02F9" w:rsidRDefault="00D264DA" w:rsidP="00D264DA">
            <w:pPr>
              <w:spacing w:after="0" w:line="240" w:lineRule="auto"/>
              <w:jc w:val="right"/>
              <w:rPr>
                <w:rFonts w:cs="Arial"/>
                <w:color w:val="000000"/>
                <w:sz w:val="16"/>
                <w:szCs w:val="16"/>
              </w:rPr>
            </w:pPr>
            <w:r>
              <w:rPr>
                <w:rFonts w:cs="Arial"/>
                <w:color w:val="000000"/>
                <w:sz w:val="16"/>
                <w:szCs w:val="16"/>
              </w:rPr>
              <w:t>30,7</w:t>
            </w:r>
          </w:p>
        </w:tc>
      </w:tr>
      <w:tr w:rsidR="00D264DA" w:rsidRPr="00EE02F9" w14:paraId="35B3F7F2" w14:textId="77777777" w:rsidTr="00425FEB">
        <w:trPr>
          <w:trHeight w:val="300"/>
        </w:trPr>
        <w:tc>
          <w:tcPr>
            <w:tcW w:w="1980" w:type="dxa"/>
            <w:tcBorders>
              <w:top w:val="nil"/>
              <w:bottom w:val="nil"/>
              <w:right w:val="single" w:sz="4" w:space="0" w:color="auto"/>
            </w:tcBorders>
            <w:shd w:val="clear" w:color="auto" w:fill="auto"/>
            <w:noWrap/>
            <w:vAlign w:val="center"/>
            <w:hideMark/>
          </w:tcPr>
          <w:p w14:paraId="4AEB34A1" w14:textId="77777777" w:rsidR="00D264DA" w:rsidRPr="00EE02F9" w:rsidRDefault="00D264DA" w:rsidP="00D264DA">
            <w:pPr>
              <w:spacing w:after="0" w:line="240" w:lineRule="auto"/>
              <w:ind w:firstLineChars="100" w:firstLine="160"/>
              <w:rPr>
                <w:rFonts w:cs="Arial"/>
                <w:color w:val="000000"/>
                <w:sz w:val="16"/>
                <w:szCs w:val="16"/>
              </w:rPr>
            </w:pPr>
            <w:r w:rsidRPr="00EE02F9">
              <w:rPr>
                <w:rFonts w:cs="Arial"/>
                <w:color w:val="000000"/>
                <w:sz w:val="16"/>
                <w:szCs w:val="16"/>
              </w:rPr>
              <w:t>Ústecký kraj</w:t>
            </w:r>
          </w:p>
        </w:tc>
        <w:tc>
          <w:tcPr>
            <w:tcW w:w="850" w:type="dxa"/>
            <w:tcBorders>
              <w:top w:val="nil"/>
              <w:left w:val="nil"/>
              <w:bottom w:val="nil"/>
              <w:right w:val="single" w:sz="4" w:space="0" w:color="auto"/>
            </w:tcBorders>
            <w:shd w:val="clear" w:color="auto" w:fill="auto"/>
            <w:noWrap/>
            <w:vAlign w:val="center"/>
            <w:hideMark/>
          </w:tcPr>
          <w:p w14:paraId="3C4ED6AF"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146,6</w:t>
            </w:r>
          </w:p>
        </w:tc>
        <w:tc>
          <w:tcPr>
            <w:tcW w:w="850" w:type="dxa"/>
            <w:tcBorders>
              <w:top w:val="nil"/>
              <w:left w:val="nil"/>
              <w:bottom w:val="nil"/>
              <w:right w:val="nil"/>
            </w:tcBorders>
            <w:shd w:val="clear" w:color="auto" w:fill="auto"/>
            <w:noWrap/>
            <w:vAlign w:val="center"/>
            <w:hideMark/>
          </w:tcPr>
          <w:p w14:paraId="378EDB61" w14:textId="54C2AF5E" w:rsidR="00D264DA" w:rsidRPr="00EE02F9" w:rsidRDefault="00D264DA" w:rsidP="00D264DA">
            <w:pPr>
              <w:spacing w:after="0" w:line="240" w:lineRule="auto"/>
              <w:jc w:val="right"/>
              <w:rPr>
                <w:rFonts w:cs="Arial"/>
                <w:color w:val="000000"/>
                <w:sz w:val="16"/>
                <w:szCs w:val="16"/>
              </w:rPr>
            </w:pPr>
            <w:r>
              <w:rPr>
                <w:rFonts w:cs="Arial"/>
                <w:color w:val="000000"/>
                <w:sz w:val="16"/>
                <w:szCs w:val="16"/>
              </w:rPr>
              <w:t>211,4</w:t>
            </w:r>
          </w:p>
        </w:tc>
        <w:tc>
          <w:tcPr>
            <w:tcW w:w="851" w:type="dxa"/>
            <w:tcBorders>
              <w:top w:val="nil"/>
              <w:left w:val="single" w:sz="4" w:space="0" w:color="auto"/>
              <w:bottom w:val="nil"/>
              <w:right w:val="single" w:sz="4" w:space="0" w:color="auto"/>
            </w:tcBorders>
            <w:shd w:val="clear" w:color="auto" w:fill="auto"/>
            <w:noWrap/>
            <w:vAlign w:val="center"/>
          </w:tcPr>
          <w:p w14:paraId="7E82EFFA" w14:textId="4C5720CE" w:rsidR="00D264DA" w:rsidRPr="00EE02F9" w:rsidRDefault="00D264DA" w:rsidP="00D264DA">
            <w:pPr>
              <w:spacing w:after="0" w:line="240" w:lineRule="auto"/>
              <w:jc w:val="right"/>
              <w:rPr>
                <w:rFonts w:cs="Arial"/>
                <w:color w:val="000000"/>
                <w:sz w:val="16"/>
                <w:szCs w:val="16"/>
              </w:rPr>
            </w:pPr>
            <w:r>
              <w:rPr>
                <w:rFonts w:cs="Arial"/>
                <w:color w:val="000000"/>
                <w:sz w:val="16"/>
                <w:szCs w:val="16"/>
              </w:rPr>
              <w:t>186,1</w:t>
            </w:r>
          </w:p>
        </w:tc>
        <w:tc>
          <w:tcPr>
            <w:tcW w:w="850" w:type="dxa"/>
            <w:tcBorders>
              <w:top w:val="nil"/>
              <w:left w:val="nil"/>
              <w:bottom w:val="nil"/>
              <w:right w:val="single" w:sz="4" w:space="0" w:color="auto"/>
            </w:tcBorders>
            <w:shd w:val="clear" w:color="auto" w:fill="auto"/>
            <w:noWrap/>
            <w:vAlign w:val="center"/>
            <w:hideMark/>
          </w:tcPr>
          <w:p w14:paraId="003D3E90"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5 862,2</w:t>
            </w:r>
          </w:p>
        </w:tc>
        <w:tc>
          <w:tcPr>
            <w:tcW w:w="850" w:type="dxa"/>
            <w:tcBorders>
              <w:top w:val="nil"/>
              <w:left w:val="nil"/>
              <w:bottom w:val="nil"/>
              <w:right w:val="single" w:sz="4" w:space="0" w:color="auto"/>
            </w:tcBorders>
            <w:shd w:val="clear" w:color="auto" w:fill="auto"/>
            <w:noWrap/>
            <w:vAlign w:val="center"/>
            <w:hideMark/>
          </w:tcPr>
          <w:p w14:paraId="4895CDCA" w14:textId="40D139F3" w:rsidR="00D264DA" w:rsidRPr="00EE02F9" w:rsidRDefault="00D264DA" w:rsidP="00D264DA">
            <w:pPr>
              <w:spacing w:after="0" w:line="240" w:lineRule="auto"/>
              <w:jc w:val="right"/>
              <w:rPr>
                <w:rFonts w:cs="Arial"/>
                <w:color w:val="000000"/>
                <w:sz w:val="16"/>
                <w:szCs w:val="16"/>
              </w:rPr>
            </w:pPr>
            <w:r>
              <w:rPr>
                <w:rFonts w:cs="Arial"/>
                <w:color w:val="000000"/>
                <w:sz w:val="16"/>
                <w:szCs w:val="16"/>
              </w:rPr>
              <w:t>7 058,8</w:t>
            </w:r>
          </w:p>
        </w:tc>
        <w:tc>
          <w:tcPr>
            <w:tcW w:w="851" w:type="dxa"/>
            <w:tcBorders>
              <w:top w:val="nil"/>
              <w:left w:val="nil"/>
              <w:bottom w:val="nil"/>
              <w:right w:val="single" w:sz="4" w:space="0" w:color="auto"/>
            </w:tcBorders>
            <w:shd w:val="clear" w:color="auto" w:fill="auto"/>
            <w:noWrap/>
            <w:vAlign w:val="center"/>
          </w:tcPr>
          <w:p w14:paraId="3604900F" w14:textId="046ABAEB" w:rsidR="00D264DA" w:rsidRPr="00EE02F9" w:rsidRDefault="00D264DA" w:rsidP="00D264DA">
            <w:pPr>
              <w:spacing w:after="0" w:line="240" w:lineRule="auto"/>
              <w:jc w:val="right"/>
              <w:rPr>
                <w:rFonts w:cs="Arial"/>
                <w:color w:val="000000"/>
                <w:sz w:val="16"/>
                <w:szCs w:val="16"/>
              </w:rPr>
            </w:pPr>
            <w:r>
              <w:rPr>
                <w:rFonts w:cs="Arial"/>
                <w:color w:val="000000"/>
                <w:sz w:val="16"/>
                <w:szCs w:val="16"/>
              </w:rPr>
              <w:t>5 743,2</w:t>
            </w:r>
          </w:p>
        </w:tc>
        <w:tc>
          <w:tcPr>
            <w:tcW w:w="850" w:type="dxa"/>
            <w:tcBorders>
              <w:top w:val="nil"/>
              <w:left w:val="nil"/>
              <w:bottom w:val="nil"/>
              <w:right w:val="single" w:sz="4" w:space="0" w:color="auto"/>
            </w:tcBorders>
            <w:shd w:val="clear" w:color="auto" w:fill="auto"/>
            <w:noWrap/>
            <w:vAlign w:val="center"/>
            <w:hideMark/>
          </w:tcPr>
          <w:p w14:paraId="681750DC"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40,0</w:t>
            </w:r>
          </w:p>
        </w:tc>
        <w:tc>
          <w:tcPr>
            <w:tcW w:w="850" w:type="dxa"/>
            <w:tcBorders>
              <w:top w:val="nil"/>
              <w:left w:val="nil"/>
              <w:bottom w:val="nil"/>
              <w:right w:val="nil"/>
            </w:tcBorders>
            <w:shd w:val="clear" w:color="auto" w:fill="auto"/>
            <w:noWrap/>
            <w:vAlign w:val="center"/>
            <w:hideMark/>
          </w:tcPr>
          <w:p w14:paraId="6185F7B7" w14:textId="3EBC0762" w:rsidR="00D264DA" w:rsidRPr="00EE02F9" w:rsidRDefault="00D264DA" w:rsidP="00D264DA">
            <w:pPr>
              <w:spacing w:after="0" w:line="240" w:lineRule="auto"/>
              <w:jc w:val="right"/>
              <w:rPr>
                <w:rFonts w:cs="Arial"/>
                <w:color w:val="000000"/>
                <w:sz w:val="16"/>
                <w:szCs w:val="16"/>
              </w:rPr>
            </w:pPr>
            <w:r>
              <w:rPr>
                <w:rFonts w:cs="Arial"/>
                <w:color w:val="000000"/>
                <w:sz w:val="16"/>
                <w:szCs w:val="16"/>
              </w:rPr>
              <w:t>33,4</w:t>
            </w:r>
          </w:p>
        </w:tc>
        <w:tc>
          <w:tcPr>
            <w:tcW w:w="851" w:type="dxa"/>
            <w:tcBorders>
              <w:top w:val="nil"/>
              <w:left w:val="single" w:sz="4" w:space="0" w:color="auto"/>
              <w:bottom w:val="nil"/>
              <w:right w:val="nil"/>
            </w:tcBorders>
            <w:shd w:val="clear" w:color="auto" w:fill="auto"/>
            <w:noWrap/>
            <w:vAlign w:val="center"/>
          </w:tcPr>
          <w:p w14:paraId="6B7D019E" w14:textId="253326D0" w:rsidR="00D264DA" w:rsidRPr="00EE02F9" w:rsidRDefault="00D264DA" w:rsidP="00D264DA">
            <w:pPr>
              <w:spacing w:after="0" w:line="240" w:lineRule="auto"/>
              <w:jc w:val="right"/>
              <w:rPr>
                <w:rFonts w:cs="Arial"/>
                <w:color w:val="000000"/>
                <w:sz w:val="16"/>
                <w:szCs w:val="16"/>
              </w:rPr>
            </w:pPr>
            <w:r>
              <w:rPr>
                <w:rFonts w:cs="Arial"/>
                <w:color w:val="000000"/>
                <w:sz w:val="16"/>
                <w:szCs w:val="16"/>
              </w:rPr>
              <w:t>30,9</w:t>
            </w:r>
          </w:p>
        </w:tc>
      </w:tr>
      <w:tr w:rsidR="00D264DA" w:rsidRPr="00EE02F9" w14:paraId="149883A0" w14:textId="77777777" w:rsidTr="00425FEB">
        <w:trPr>
          <w:trHeight w:val="300"/>
        </w:trPr>
        <w:tc>
          <w:tcPr>
            <w:tcW w:w="1980" w:type="dxa"/>
            <w:tcBorders>
              <w:top w:val="nil"/>
              <w:bottom w:val="nil"/>
              <w:right w:val="single" w:sz="4" w:space="0" w:color="auto"/>
            </w:tcBorders>
            <w:shd w:val="clear" w:color="auto" w:fill="auto"/>
            <w:noWrap/>
            <w:vAlign w:val="center"/>
            <w:hideMark/>
          </w:tcPr>
          <w:p w14:paraId="543BC7F8" w14:textId="77777777" w:rsidR="00D264DA" w:rsidRPr="00EE02F9" w:rsidRDefault="00D264DA" w:rsidP="00D264DA">
            <w:pPr>
              <w:spacing w:after="0" w:line="240" w:lineRule="auto"/>
              <w:ind w:firstLineChars="100" w:firstLine="160"/>
              <w:rPr>
                <w:rFonts w:cs="Arial"/>
                <w:color w:val="000000"/>
                <w:sz w:val="16"/>
                <w:szCs w:val="16"/>
              </w:rPr>
            </w:pPr>
            <w:r w:rsidRPr="00EE02F9">
              <w:rPr>
                <w:rFonts w:cs="Arial"/>
                <w:color w:val="000000"/>
                <w:sz w:val="16"/>
                <w:szCs w:val="16"/>
              </w:rPr>
              <w:t>Liberecký kraj</w:t>
            </w:r>
          </w:p>
        </w:tc>
        <w:tc>
          <w:tcPr>
            <w:tcW w:w="850" w:type="dxa"/>
            <w:tcBorders>
              <w:top w:val="nil"/>
              <w:left w:val="nil"/>
              <w:bottom w:val="nil"/>
              <w:right w:val="single" w:sz="4" w:space="0" w:color="auto"/>
            </w:tcBorders>
            <w:shd w:val="clear" w:color="auto" w:fill="auto"/>
            <w:noWrap/>
            <w:vAlign w:val="center"/>
            <w:hideMark/>
          </w:tcPr>
          <w:p w14:paraId="147352C2"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89,8</w:t>
            </w:r>
          </w:p>
        </w:tc>
        <w:tc>
          <w:tcPr>
            <w:tcW w:w="850" w:type="dxa"/>
            <w:tcBorders>
              <w:top w:val="nil"/>
              <w:left w:val="nil"/>
              <w:bottom w:val="nil"/>
              <w:right w:val="nil"/>
            </w:tcBorders>
            <w:shd w:val="clear" w:color="auto" w:fill="auto"/>
            <w:noWrap/>
            <w:vAlign w:val="center"/>
            <w:hideMark/>
          </w:tcPr>
          <w:p w14:paraId="273A91E7" w14:textId="508067AC" w:rsidR="00D264DA" w:rsidRPr="00EE02F9" w:rsidRDefault="00D264DA" w:rsidP="00D264DA">
            <w:pPr>
              <w:spacing w:after="0" w:line="240" w:lineRule="auto"/>
              <w:jc w:val="right"/>
              <w:rPr>
                <w:rFonts w:cs="Arial"/>
                <w:color w:val="000000"/>
                <w:sz w:val="16"/>
                <w:szCs w:val="16"/>
              </w:rPr>
            </w:pPr>
            <w:r>
              <w:rPr>
                <w:rFonts w:cs="Arial"/>
                <w:color w:val="000000"/>
                <w:sz w:val="16"/>
                <w:szCs w:val="16"/>
              </w:rPr>
              <w:t>131,3</w:t>
            </w:r>
          </w:p>
        </w:tc>
        <w:tc>
          <w:tcPr>
            <w:tcW w:w="851" w:type="dxa"/>
            <w:tcBorders>
              <w:top w:val="nil"/>
              <w:left w:val="single" w:sz="4" w:space="0" w:color="auto"/>
              <w:bottom w:val="nil"/>
              <w:right w:val="single" w:sz="4" w:space="0" w:color="auto"/>
            </w:tcBorders>
            <w:shd w:val="clear" w:color="auto" w:fill="auto"/>
            <w:noWrap/>
            <w:vAlign w:val="center"/>
          </w:tcPr>
          <w:p w14:paraId="0CFC11F4" w14:textId="45926530" w:rsidR="00D264DA" w:rsidRPr="00EE02F9" w:rsidRDefault="00D264DA" w:rsidP="00D264DA">
            <w:pPr>
              <w:spacing w:after="0" w:line="240" w:lineRule="auto"/>
              <w:jc w:val="right"/>
              <w:rPr>
                <w:rFonts w:cs="Arial"/>
                <w:color w:val="000000"/>
                <w:sz w:val="16"/>
                <w:szCs w:val="16"/>
              </w:rPr>
            </w:pPr>
            <w:r>
              <w:rPr>
                <w:rFonts w:cs="Arial"/>
                <w:color w:val="000000"/>
                <w:sz w:val="16"/>
                <w:szCs w:val="16"/>
              </w:rPr>
              <w:t>120,5</w:t>
            </w:r>
          </w:p>
        </w:tc>
        <w:tc>
          <w:tcPr>
            <w:tcW w:w="850" w:type="dxa"/>
            <w:tcBorders>
              <w:top w:val="nil"/>
              <w:left w:val="nil"/>
              <w:bottom w:val="nil"/>
              <w:right w:val="single" w:sz="4" w:space="0" w:color="auto"/>
            </w:tcBorders>
            <w:shd w:val="clear" w:color="auto" w:fill="auto"/>
            <w:noWrap/>
            <w:vAlign w:val="center"/>
            <w:hideMark/>
          </w:tcPr>
          <w:p w14:paraId="3D49789C"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3 438,9</w:t>
            </w:r>
          </w:p>
        </w:tc>
        <w:tc>
          <w:tcPr>
            <w:tcW w:w="850" w:type="dxa"/>
            <w:tcBorders>
              <w:top w:val="nil"/>
              <w:left w:val="nil"/>
              <w:bottom w:val="nil"/>
              <w:right w:val="single" w:sz="4" w:space="0" w:color="auto"/>
            </w:tcBorders>
            <w:shd w:val="clear" w:color="auto" w:fill="auto"/>
            <w:noWrap/>
            <w:vAlign w:val="center"/>
            <w:hideMark/>
          </w:tcPr>
          <w:p w14:paraId="46A4D0A3" w14:textId="2F277D09" w:rsidR="00D264DA" w:rsidRPr="00EE02F9" w:rsidRDefault="00D264DA" w:rsidP="00D264DA">
            <w:pPr>
              <w:spacing w:after="0" w:line="240" w:lineRule="auto"/>
              <w:jc w:val="right"/>
              <w:rPr>
                <w:rFonts w:cs="Arial"/>
                <w:color w:val="000000"/>
                <w:sz w:val="16"/>
                <w:szCs w:val="16"/>
              </w:rPr>
            </w:pPr>
            <w:r>
              <w:rPr>
                <w:rFonts w:cs="Arial"/>
                <w:color w:val="000000"/>
                <w:sz w:val="16"/>
                <w:szCs w:val="16"/>
              </w:rPr>
              <w:t>4 298,9</w:t>
            </w:r>
          </w:p>
        </w:tc>
        <w:tc>
          <w:tcPr>
            <w:tcW w:w="851" w:type="dxa"/>
            <w:tcBorders>
              <w:top w:val="nil"/>
              <w:left w:val="nil"/>
              <w:bottom w:val="nil"/>
              <w:right w:val="single" w:sz="4" w:space="0" w:color="auto"/>
            </w:tcBorders>
            <w:shd w:val="clear" w:color="auto" w:fill="auto"/>
            <w:noWrap/>
            <w:vAlign w:val="center"/>
          </w:tcPr>
          <w:p w14:paraId="3BE4E07F" w14:textId="0D916D44" w:rsidR="00D264DA" w:rsidRPr="00EE02F9" w:rsidRDefault="00D264DA" w:rsidP="00D264DA">
            <w:pPr>
              <w:spacing w:after="0" w:line="240" w:lineRule="auto"/>
              <w:jc w:val="right"/>
              <w:rPr>
                <w:rFonts w:cs="Arial"/>
                <w:color w:val="000000"/>
                <w:sz w:val="16"/>
                <w:szCs w:val="16"/>
              </w:rPr>
            </w:pPr>
            <w:r>
              <w:rPr>
                <w:rFonts w:cs="Arial"/>
                <w:color w:val="000000"/>
                <w:sz w:val="16"/>
                <w:szCs w:val="16"/>
              </w:rPr>
              <w:t>3 432,7</w:t>
            </w:r>
          </w:p>
        </w:tc>
        <w:tc>
          <w:tcPr>
            <w:tcW w:w="850" w:type="dxa"/>
            <w:tcBorders>
              <w:top w:val="nil"/>
              <w:left w:val="nil"/>
              <w:bottom w:val="nil"/>
              <w:right w:val="single" w:sz="4" w:space="0" w:color="auto"/>
            </w:tcBorders>
            <w:shd w:val="clear" w:color="auto" w:fill="auto"/>
            <w:noWrap/>
            <w:vAlign w:val="center"/>
            <w:hideMark/>
          </w:tcPr>
          <w:p w14:paraId="56853576"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38,3</w:t>
            </w:r>
          </w:p>
        </w:tc>
        <w:tc>
          <w:tcPr>
            <w:tcW w:w="850" w:type="dxa"/>
            <w:tcBorders>
              <w:top w:val="nil"/>
              <w:left w:val="nil"/>
              <w:bottom w:val="nil"/>
              <w:right w:val="nil"/>
            </w:tcBorders>
            <w:shd w:val="clear" w:color="auto" w:fill="auto"/>
            <w:noWrap/>
            <w:vAlign w:val="center"/>
            <w:hideMark/>
          </w:tcPr>
          <w:p w14:paraId="4F60DB17" w14:textId="549797DD" w:rsidR="00D264DA" w:rsidRPr="00EE02F9" w:rsidRDefault="00D264DA" w:rsidP="00D264DA">
            <w:pPr>
              <w:spacing w:after="0" w:line="240" w:lineRule="auto"/>
              <w:jc w:val="right"/>
              <w:rPr>
                <w:rFonts w:cs="Arial"/>
                <w:color w:val="000000"/>
                <w:sz w:val="16"/>
                <w:szCs w:val="16"/>
              </w:rPr>
            </w:pPr>
            <w:r>
              <w:rPr>
                <w:rFonts w:cs="Arial"/>
                <w:color w:val="000000"/>
                <w:sz w:val="16"/>
                <w:szCs w:val="16"/>
              </w:rPr>
              <w:t>32,7</w:t>
            </w:r>
          </w:p>
        </w:tc>
        <w:tc>
          <w:tcPr>
            <w:tcW w:w="851" w:type="dxa"/>
            <w:tcBorders>
              <w:top w:val="nil"/>
              <w:left w:val="single" w:sz="4" w:space="0" w:color="auto"/>
              <w:bottom w:val="nil"/>
              <w:right w:val="nil"/>
            </w:tcBorders>
            <w:shd w:val="clear" w:color="auto" w:fill="auto"/>
            <w:noWrap/>
            <w:vAlign w:val="center"/>
          </w:tcPr>
          <w:p w14:paraId="51C1D86C" w14:textId="3664C6D1" w:rsidR="00D264DA" w:rsidRPr="00EE02F9" w:rsidRDefault="00D264DA" w:rsidP="00D264DA">
            <w:pPr>
              <w:spacing w:after="0" w:line="240" w:lineRule="auto"/>
              <w:jc w:val="right"/>
              <w:rPr>
                <w:rFonts w:cs="Arial"/>
                <w:color w:val="000000"/>
                <w:sz w:val="16"/>
                <w:szCs w:val="16"/>
              </w:rPr>
            </w:pPr>
            <w:r>
              <w:rPr>
                <w:rFonts w:cs="Arial"/>
                <w:color w:val="000000"/>
                <w:sz w:val="16"/>
                <w:szCs w:val="16"/>
              </w:rPr>
              <w:t>28,5</w:t>
            </w:r>
          </w:p>
        </w:tc>
      </w:tr>
      <w:tr w:rsidR="00D264DA" w:rsidRPr="00EE02F9" w14:paraId="69AC00E2" w14:textId="77777777" w:rsidTr="00425FEB">
        <w:trPr>
          <w:trHeight w:val="300"/>
        </w:trPr>
        <w:tc>
          <w:tcPr>
            <w:tcW w:w="1980" w:type="dxa"/>
            <w:tcBorders>
              <w:top w:val="nil"/>
              <w:bottom w:val="nil"/>
              <w:right w:val="single" w:sz="4" w:space="0" w:color="auto"/>
            </w:tcBorders>
            <w:shd w:val="clear" w:color="auto" w:fill="auto"/>
            <w:noWrap/>
            <w:vAlign w:val="center"/>
            <w:hideMark/>
          </w:tcPr>
          <w:p w14:paraId="39FE432E" w14:textId="77777777" w:rsidR="00D264DA" w:rsidRPr="00EE02F9" w:rsidRDefault="00D264DA" w:rsidP="00D264DA">
            <w:pPr>
              <w:spacing w:after="0" w:line="240" w:lineRule="auto"/>
              <w:ind w:firstLineChars="100" w:firstLine="160"/>
              <w:rPr>
                <w:rFonts w:cs="Arial"/>
                <w:color w:val="000000"/>
                <w:sz w:val="16"/>
                <w:szCs w:val="16"/>
              </w:rPr>
            </w:pPr>
            <w:r w:rsidRPr="00EE02F9">
              <w:rPr>
                <w:rFonts w:cs="Arial"/>
                <w:color w:val="000000"/>
                <w:sz w:val="16"/>
                <w:szCs w:val="16"/>
              </w:rPr>
              <w:t>Královéhradecký kraj</w:t>
            </w:r>
          </w:p>
        </w:tc>
        <w:tc>
          <w:tcPr>
            <w:tcW w:w="850" w:type="dxa"/>
            <w:tcBorders>
              <w:top w:val="nil"/>
              <w:left w:val="nil"/>
              <w:bottom w:val="nil"/>
              <w:right w:val="single" w:sz="4" w:space="0" w:color="auto"/>
            </w:tcBorders>
            <w:shd w:val="clear" w:color="auto" w:fill="auto"/>
            <w:noWrap/>
            <w:vAlign w:val="center"/>
            <w:hideMark/>
          </w:tcPr>
          <w:p w14:paraId="6A63FC12"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100,2</w:t>
            </w:r>
          </w:p>
        </w:tc>
        <w:tc>
          <w:tcPr>
            <w:tcW w:w="850" w:type="dxa"/>
            <w:tcBorders>
              <w:top w:val="nil"/>
              <w:left w:val="nil"/>
              <w:bottom w:val="nil"/>
              <w:right w:val="nil"/>
            </w:tcBorders>
            <w:shd w:val="clear" w:color="auto" w:fill="auto"/>
            <w:noWrap/>
            <w:vAlign w:val="center"/>
            <w:hideMark/>
          </w:tcPr>
          <w:p w14:paraId="18CA3FDE" w14:textId="0CE5AA87" w:rsidR="00D264DA" w:rsidRPr="00EE02F9" w:rsidRDefault="00D264DA" w:rsidP="00D264DA">
            <w:pPr>
              <w:spacing w:after="0" w:line="240" w:lineRule="auto"/>
              <w:jc w:val="right"/>
              <w:rPr>
                <w:rFonts w:cs="Arial"/>
                <w:color w:val="000000"/>
                <w:sz w:val="16"/>
                <w:szCs w:val="16"/>
              </w:rPr>
            </w:pPr>
            <w:r>
              <w:rPr>
                <w:rFonts w:cs="Arial"/>
                <w:color w:val="000000"/>
                <w:sz w:val="16"/>
                <w:szCs w:val="16"/>
              </w:rPr>
              <w:t>158,9</w:t>
            </w:r>
          </w:p>
        </w:tc>
        <w:tc>
          <w:tcPr>
            <w:tcW w:w="851" w:type="dxa"/>
            <w:tcBorders>
              <w:top w:val="nil"/>
              <w:left w:val="single" w:sz="4" w:space="0" w:color="auto"/>
              <w:bottom w:val="nil"/>
              <w:right w:val="single" w:sz="4" w:space="0" w:color="auto"/>
            </w:tcBorders>
            <w:shd w:val="clear" w:color="auto" w:fill="auto"/>
            <w:noWrap/>
            <w:vAlign w:val="center"/>
          </w:tcPr>
          <w:p w14:paraId="2200EEC2" w14:textId="1C40C0ED" w:rsidR="00D264DA" w:rsidRPr="00EE02F9" w:rsidRDefault="00D264DA" w:rsidP="00D264DA">
            <w:pPr>
              <w:spacing w:after="0" w:line="240" w:lineRule="auto"/>
              <w:jc w:val="right"/>
              <w:rPr>
                <w:rFonts w:cs="Arial"/>
                <w:color w:val="000000"/>
                <w:sz w:val="16"/>
                <w:szCs w:val="16"/>
              </w:rPr>
            </w:pPr>
            <w:r>
              <w:rPr>
                <w:rFonts w:cs="Arial"/>
                <w:color w:val="000000"/>
                <w:sz w:val="16"/>
                <w:szCs w:val="16"/>
              </w:rPr>
              <w:t>143,5</w:t>
            </w:r>
          </w:p>
        </w:tc>
        <w:tc>
          <w:tcPr>
            <w:tcW w:w="850" w:type="dxa"/>
            <w:tcBorders>
              <w:top w:val="nil"/>
              <w:left w:val="nil"/>
              <w:bottom w:val="nil"/>
              <w:right w:val="single" w:sz="4" w:space="0" w:color="auto"/>
            </w:tcBorders>
            <w:shd w:val="clear" w:color="auto" w:fill="auto"/>
            <w:noWrap/>
            <w:vAlign w:val="center"/>
            <w:hideMark/>
          </w:tcPr>
          <w:p w14:paraId="18D44A6B"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3 924,4</w:t>
            </w:r>
          </w:p>
        </w:tc>
        <w:tc>
          <w:tcPr>
            <w:tcW w:w="850" w:type="dxa"/>
            <w:tcBorders>
              <w:top w:val="nil"/>
              <w:left w:val="nil"/>
              <w:bottom w:val="nil"/>
              <w:right w:val="single" w:sz="4" w:space="0" w:color="auto"/>
            </w:tcBorders>
            <w:shd w:val="clear" w:color="auto" w:fill="auto"/>
            <w:noWrap/>
            <w:vAlign w:val="center"/>
            <w:hideMark/>
          </w:tcPr>
          <w:p w14:paraId="2337985B" w14:textId="7A803691" w:rsidR="00D264DA" w:rsidRPr="00EE02F9" w:rsidRDefault="00D264DA" w:rsidP="00D264DA">
            <w:pPr>
              <w:spacing w:after="0" w:line="240" w:lineRule="auto"/>
              <w:jc w:val="right"/>
              <w:rPr>
                <w:rFonts w:cs="Arial"/>
                <w:color w:val="000000"/>
                <w:sz w:val="16"/>
                <w:szCs w:val="16"/>
              </w:rPr>
            </w:pPr>
            <w:r>
              <w:rPr>
                <w:rFonts w:cs="Arial"/>
                <w:color w:val="000000"/>
                <w:sz w:val="16"/>
                <w:szCs w:val="16"/>
              </w:rPr>
              <w:t>5 234,9</w:t>
            </w:r>
          </w:p>
        </w:tc>
        <w:tc>
          <w:tcPr>
            <w:tcW w:w="851" w:type="dxa"/>
            <w:tcBorders>
              <w:top w:val="nil"/>
              <w:left w:val="nil"/>
              <w:bottom w:val="nil"/>
              <w:right w:val="single" w:sz="4" w:space="0" w:color="auto"/>
            </w:tcBorders>
            <w:shd w:val="clear" w:color="auto" w:fill="auto"/>
            <w:noWrap/>
            <w:vAlign w:val="center"/>
          </w:tcPr>
          <w:p w14:paraId="26DC985A" w14:textId="1F197D68" w:rsidR="00D264DA" w:rsidRPr="00EE02F9" w:rsidRDefault="00D264DA" w:rsidP="00D264DA">
            <w:pPr>
              <w:spacing w:after="0" w:line="240" w:lineRule="auto"/>
              <w:jc w:val="right"/>
              <w:rPr>
                <w:rFonts w:cs="Arial"/>
                <w:color w:val="000000"/>
                <w:sz w:val="16"/>
                <w:szCs w:val="16"/>
              </w:rPr>
            </w:pPr>
            <w:r>
              <w:rPr>
                <w:rFonts w:cs="Arial"/>
                <w:color w:val="000000"/>
                <w:sz w:val="16"/>
                <w:szCs w:val="16"/>
              </w:rPr>
              <w:t>4 377,1</w:t>
            </w:r>
          </w:p>
        </w:tc>
        <w:tc>
          <w:tcPr>
            <w:tcW w:w="850" w:type="dxa"/>
            <w:tcBorders>
              <w:top w:val="nil"/>
              <w:left w:val="nil"/>
              <w:bottom w:val="nil"/>
              <w:right w:val="single" w:sz="4" w:space="0" w:color="auto"/>
            </w:tcBorders>
            <w:shd w:val="clear" w:color="auto" w:fill="auto"/>
            <w:noWrap/>
            <w:vAlign w:val="center"/>
            <w:hideMark/>
          </w:tcPr>
          <w:p w14:paraId="77CD7E7F"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39,2</w:t>
            </w:r>
          </w:p>
        </w:tc>
        <w:tc>
          <w:tcPr>
            <w:tcW w:w="850" w:type="dxa"/>
            <w:tcBorders>
              <w:top w:val="nil"/>
              <w:left w:val="nil"/>
              <w:bottom w:val="nil"/>
              <w:right w:val="nil"/>
            </w:tcBorders>
            <w:shd w:val="clear" w:color="auto" w:fill="auto"/>
            <w:noWrap/>
            <w:vAlign w:val="center"/>
            <w:hideMark/>
          </w:tcPr>
          <w:p w14:paraId="217ACB1F" w14:textId="4B6E8BCC" w:rsidR="00D264DA" w:rsidRPr="00EE02F9" w:rsidRDefault="00D264DA" w:rsidP="00D264DA">
            <w:pPr>
              <w:spacing w:after="0" w:line="240" w:lineRule="auto"/>
              <w:jc w:val="right"/>
              <w:rPr>
                <w:rFonts w:cs="Arial"/>
                <w:color w:val="000000"/>
                <w:sz w:val="16"/>
                <w:szCs w:val="16"/>
              </w:rPr>
            </w:pPr>
            <w:r>
              <w:rPr>
                <w:rFonts w:cs="Arial"/>
                <w:color w:val="000000"/>
                <w:sz w:val="16"/>
                <w:szCs w:val="16"/>
              </w:rPr>
              <w:t>32,9</w:t>
            </w:r>
          </w:p>
        </w:tc>
        <w:tc>
          <w:tcPr>
            <w:tcW w:w="851" w:type="dxa"/>
            <w:tcBorders>
              <w:top w:val="nil"/>
              <w:left w:val="single" w:sz="4" w:space="0" w:color="auto"/>
              <w:bottom w:val="nil"/>
              <w:right w:val="nil"/>
            </w:tcBorders>
            <w:shd w:val="clear" w:color="auto" w:fill="auto"/>
            <w:noWrap/>
            <w:vAlign w:val="center"/>
          </w:tcPr>
          <w:p w14:paraId="7ECF16D6" w14:textId="532BFDD1" w:rsidR="00D264DA" w:rsidRPr="00EE02F9" w:rsidRDefault="00D264DA" w:rsidP="00D264DA">
            <w:pPr>
              <w:spacing w:after="0" w:line="240" w:lineRule="auto"/>
              <w:jc w:val="right"/>
              <w:rPr>
                <w:rFonts w:cs="Arial"/>
                <w:color w:val="000000"/>
                <w:sz w:val="16"/>
                <w:szCs w:val="16"/>
              </w:rPr>
            </w:pPr>
            <w:r>
              <w:rPr>
                <w:rFonts w:cs="Arial"/>
                <w:color w:val="000000"/>
                <w:sz w:val="16"/>
                <w:szCs w:val="16"/>
              </w:rPr>
              <w:t>30,5</w:t>
            </w:r>
          </w:p>
        </w:tc>
      </w:tr>
      <w:tr w:rsidR="00D264DA" w:rsidRPr="00EE02F9" w14:paraId="303C9092" w14:textId="77777777" w:rsidTr="00425FEB">
        <w:trPr>
          <w:trHeight w:val="300"/>
        </w:trPr>
        <w:tc>
          <w:tcPr>
            <w:tcW w:w="1980" w:type="dxa"/>
            <w:tcBorders>
              <w:top w:val="nil"/>
              <w:bottom w:val="nil"/>
              <w:right w:val="single" w:sz="4" w:space="0" w:color="auto"/>
            </w:tcBorders>
            <w:shd w:val="clear" w:color="auto" w:fill="auto"/>
            <w:noWrap/>
            <w:vAlign w:val="center"/>
            <w:hideMark/>
          </w:tcPr>
          <w:p w14:paraId="06AAC2BC" w14:textId="77777777" w:rsidR="00D264DA" w:rsidRPr="00EE02F9" w:rsidRDefault="00D264DA" w:rsidP="00D264DA">
            <w:pPr>
              <w:spacing w:after="0" w:line="240" w:lineRule="auto"/>
              <w:ind w:firstLineChars="100" w:firstLine="160"/>
              <w:rPr>
                <w:rFonts w:cs="Arial"/>
                <w:color w:val="000000"/>
                <w:sz w:val="16"/>
                <w:szCs w:val="16"/>
              </w:rPr>
            </w:pPr>
            <w:r w:rsidRPr="00EE02F9">
              <w:rPr>
                <w:rFonts w:cs="Arial"/>
                <w:color w:val="000000"/>
                <w:sz w:val="16"/>
                <w:szCs w:val="16"/>
              </w:rPr>
              <w:t>Pardubický kraj</w:t>
            </w:r>
          </w:p>
        </w:tc>
        <w:tc>
          <w:tcPr>
            <w:tcW w:w="850" w:type="dxa"/>
            <w:tcBorders>
              <w:top w:val="nil"/>
              <w:left w:val="nil"/>
              <w:bottom w:val="nil"/>
              <w:right w:val="single" w:sz="4" w:space="0" w:color="auto"/>
            </w:tcBorders>
            <w:shd w:val="clear" w:color="auto" w:fill="auto"/>
            <w:noWrap/>
            <w:vAlign w:val="center"/>
            <w:hideMark/>
          </w:tcPr>
          <w:p w14:paraId="5FFD5799"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94,1</w:t>
            </w:r>
          </w:p>
        </w:tc>
        <w:tc>
          <w:tcPr>
            <w:tcW w:w="850" w:type="dxa"/>
            <w:tcBorders>
              <w:top w:val="nil"/>
              <w:left w:val="nil"/>
              <w:bottom w:val="nil"/>
              <w:right w:val="nil"/>
            </w:tcBorders>
            <w:shd w:val="clear" w:color="auto" w:fill="auto"/>
            <w:noWrap/>
            <w:vAlign w:val="center"/>
            <w:hideMark/>
          </w:tcPr>
          <w:p w14:paraId="1516765B" w14:textId="5E81CD03" w:rsidR="00D264DA" w:rsidRPr="00EE02F9" w:rsidRDefault="00D264DA" w:rsidP="00D264DA">
            <w:pPr>
              <w:spacing w:after="0" w:line="240" w:lineRule="auto"/>
              <w:jc w:val="right"/>
              <w:rPr>
                <w:rFonts w:cs="Arial"/>
                <w:color w:val="000000"/>
                <w:sz w:val="16"/>
                <w:szCs w:val="16"/>
              </w:rPr>
            </w:pPr>
            <w:r>
              <w:rPr>
                <w:rFonts w:cs="Arial"/>
                <w:color w:val="000000"/>
                <w:sz w:val="16"/>
                <w:szCs w:val="16"/>
              </w:rPr>
              <w:t>147,7</w:t>
            </w:r>
          </w:p>
        </w:tc>
        <w:tc>
          <w:tcPr>
            <w:tcW w:w="851" w:type="dxa"/>
            <w:tcBorders>
              <w:top w:val="nil"/>
              <w:left w:val="single" w:sz="4" w:space="0" w:color="auto"/>
              <w:bottom w:val="nil"/>
              <w:right w:val="single" w:sz="4" w:space="0" w:color="auto"/>
            </w:tcBorders>
            <w:shd w:val="clear" w:color="auto" w:fill="auto"/>
            <w:noWrap/>
            <w:vAlign w:val="center"/>
          </w:tcPr>
          <w:p w14:paraId="19C73882" w14:textId="7B35F971" w:rsidR="00D264DA" w:rsidRPr="00EE02F9" w:rsidRDefault="00D264DA" w:rsidP="00D264DA">
            <w:pPr>
              <w:spacing w:after="0" w:line="240" w:lineRule="auto"/>
              <w:jc w:val="right"/>
              <w:rPr>
                <w:rFonts w:cs="Arial"/>
                <w:color w:val="000000"/>
                <w:sz w:val="16"/>
                <w:szCs w:val="16"/>
              </w:rPr>
            </w:pPr>
            <w:r>
              <w:rPr>
                <w:rFonts w:cs="Arial"/>
                <w:color w:val="000000"/>
                <w:sz w:val="16"/>
                <w:szCs w:val="16"/>
              </w:rPr>
              <w:t>127,1</w:t>
            </w:r>
          </w:p>
        </w:tc>
        <w:tc>
          <w:tcPr>
            <w:tcW w:w="850" w:type="dxa"/>
            <w:tcBorders>
              <w:top w:val="nil"/>
              <w:left w:val="nil"/>
              <w:bottom w:val="nil"/>
              <w:right w:val="single" w:sz="4" w:space="0" w:color="auto"/>
            </w:tcBorders>
            <w:shd w:val="clear" w:color="auto" w:fill="auto"/>
            <w:noWrap/>
            <w:vAlign w:val="center"/>
            <w:hideMark/>
          </w:tcPr>
          <w:p w14:paraId="0ACF9697"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3 797,2</w:t>
            </w:r>
          </w:p>
        </w:tc>
        <w:tc>
          <w:tcPr>
            <w:tcW w:w="850" w:type="dxa"/>
            <w:tcBorders>
              <w:top w:val="nil"/>
              <w:left w:val="nil"/>
              <w:bottom w:val="nil"/>
              <w:right w:val="single" w:sz="4" w:space="0" w:color="auto"/>
            </w:tcBorders>
            <w:shd w:val="clear" w:color="auto" w:fill="auto"/>
            <w:noWrap/>
            <w:vAlign w:val="center"/>
            <w:hideMark/>
          </w:tcPr>
          <w:p w14:paraId="58D0DDA5" w14:textId="3C7DDDAE" w:rsidR="00D264DA" w:rsidRPr="00EE02F9" w:rsidRDefault="00D264DA" w:rsidP="00D264DA">
            <w:pPr>
              <w:spacing w:after="0" w:line="240" w:lineRule="auto"/>
              <w:jc w:val="right"/>
              <w:rPr>
                <w:rFonts w:cs="Arial"/>
                <w:color w:val="000000"/>
                <w:sz w:val="16"/>
                <w:szCs w:val="16"/>
              </w:rPr>
            </w:pPr>
            <w:r>
              <w:rPr>
                <w:rFonts w:cs="Arial"/>
                <w:color w:val="000000"/>
                <w:sz w:val="16"/>
                <w:szCs w:val="16"/>
              </w:rPr>
              <w:t>4 774,0</w:t>
            </w:r>
          </w:p>
        </w:tc>
        <w:tc>
          <w:tcPr>
            <w:tcW w:w="851" w:type="dxa"/>
            <w:tcBorders>
              <w:top w:val="nil"/>
              <w:left w:val="nil"/>
              <w:bottom w:val="nil"/>
              <w:right w:val="single" w:sz="4" w:space="0" w:color="auto"/>
            </w:tcBorders>
            <w:shd w:val="clear" w:color="auto" w:fill="auto"/>
            <w:noWrap/>
            <w:vAlign w:val="center"/>
          </w:tcPr>
          <w:p w14:paraId="5FD3E505" w14:textId="2FECBEFF" w:rsidR="00D264DA" w:rsidRPr="00EE02F9" w:rsidRDefault="00D264DA" w:rsidP="00D264DA">
            <w:pPr>
              <w:spacing w:after="0" w:line="240" w:lineRule="auto"/>
              <w:jc w:val="right"/>
              <w:rPr>
                <w:rFonts w:cs="Arial"/>
                <w:color w:val="000000"/>
                <w:sz w:val="16"/>
                <w:szCs w:val="16"/>
              </w:rPr>
            </w:pPr>
            <w:r>
              <w:rPr>
                <w:rFonts w:cs="Arial"/>
                <w:color w:val="000000"/>
                <w:sz w:val="16"/>
                <w:szCs w:val="16"/>
              </w:rPr>
              <w:t>4 030,9</w:t>
            </w:r>
          </w:p>
        </w:tc>
        <w:tc>
          <w:tcPr>
            <w:tcW w:w="850" w:type="dxa"/>
            <w:tcBorders>
              <w:top w:val="nil"/>
              <w:left w:val="nil"/>
              <w:bottom w:val="nil"/>
              <w:right w:val="single" w:sz="4" w:space="0" w:color="auto"/>
            </w:tcBorders>
            <w:shd w:val="clear" w:color="auto" w:fill="auto"/>
            <w:noWrap/>
            <w:vAlign w:val="center"/>
            <w:hideMark/>
          </w:tcPr>
          <w:p w14:paraId="5F05E81A"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40,3</w:t>
            </w:r>
          </w:p>
        </w:tc>
        <w:tc>
          <w:tcPr>
            <w:tcW w:w="850" w:type="dxa"/>
            <w:tcBorders>
              <w:top w:val="nil"/>
              <w:left w:val="nil"/>
              <w:bottom w:val="nil"/>
              <w:right w:val="nil"/>
            </w:tcBorders>
            <w:shd w:val="clear" w:color="auto" w:fill="auto"/>
            <w:noWrap/>
            <w:vAlign w:val="center"/>
            <w:hideMark/>
          </w:tcPr>
          <w:p w14:paraId="00A60DE2" w14:textId="78852F76" w:rsidR="00D264DA" w:rsidRPr="00EE02F9" w:rsidRDefault="00D264DA" w:rsidP="00D264DA">
            <w:pPr>
              <w:spacing w:after="0" w:line="240" w:lineRule="auto"/>
              <w:jc w:val="right"/>
              <w:rPr>
                <w:rFonts w:cs="Arial"/>
                <w:color w:val="000000"/>
                <w:sz w:val="16"/>
                <w:szCs w:val="16"/>
              </w:rPr>
            </w:pPr>
            <w:r>
              <w:rPr>
                <w:rFonts w:cs="Arial"/>
                <w:color w:val="000000"/>
                <w:sz w:val="16"/>
                <w:szCs w:val="16"/>
              </w:rPr>
              <w:t>32,3</w:t>
            </w:r>
          </w:p>
        </w:tc>
        <w:tc>
          <w:tcPr>
            <w:tcW w:w="851" w:type="dxa"/>
            <w:tcBorders>
              <w:top w:val="nil"/>
              <w:left w:val="single" w:sz="4" w:space="0" w:color="auto"/>
              <w:bottom w:val="nil"/>
              <w:right w:val="nil"/>
            </w:tcBorders>
            <w:shd w:val="clear" w:color="auto" w:fill="auto"/>
            <w:noWrap/>
            <w:vAlign w:val="center"/>
          </w:tcPr>
          <w:p w14:paraId="7D6F41CF" w14:textId="59B5161D" w:rsidR="00D264DA" w:rsidRPr="00EE02F9" w:rsidRDefault="00D264DA" w:rsidP="00D264DA">
            <w:pPr>
              <w:spacing w:after="0" w:line="240" w:lineRule="auto"/>
              <w:jc w:val="right"/>
              <w:rPr>
                <w:rFonts w:cs="Arial"/>
                <w:color w:val="000000"/>
                <w:sz w:val="16"/>
                <w:szCs w:val="16"/>
              </w:rPr>
            </w:pPr>
            <w:r>
              <w:rPr>
                <w:rFonts w:cs="Arial"/>
                <w:color w:val="000000"/>
                <w:sz w:val="16"/>
                <w:szCs w:val="16"/>
              </w:rPr>
              <w:t>31,7</w:t>
            </w:r>
          </w:p>
        </w:tc>
      </w:tr>
      <w:tr w:rsidR="00D264DA" w:rsidRPr="00EE02F9" w14:paraId="3694B201" w14:textId="77777777" w:rsidTr="00425FEB">
        <w:trPr>
          <w:trHeight w:val="300"/>
        </w:trPr>
        <w:tc>
          <w:tcPr>
            <w:tcW w:w="1980" w:type="dxa"/>
            <w:tcBorders>
              <w:top w:val="nil"/>
              <w:bottom w:val="nil"/>
              <w:right w:val="single" w:sz="4" w:space="0" w:color="auto"/>
            </w:tcBorders>
            <w:shd w:val="clear" w:color="auto" w:fill="auto"/>
            <w:noWrap/>
            <w:vAlign w:val="center"/>
            <w:hideMark/>
          </w:tcPr>
          <w:p w14:paraId="1E83057C" w14:textId="77777777" w:rsidR="00D264DA" w:rsidRPr="00EE02F9" w:rsidRDefault="00D264DA" w:rsidP="00D264DA">
            <w:pPr>
              <w:spacing w:after="0" w:line="240" w:lineRule="auto"/>
              <w:ind w:firstLineChars="100" w:firstLine="160"/>
              <w:rPr>
                <w:rFonts w:cs="Arial"/>
                <w:color w:val="000000"/>
                <w:sz w:val="16"/>
                <w:szCs w:val="16"/>
              </w:rPr>
            </w:pPr>
            <w:r w:rsidRPr="00EE02F9">
              <w:rPr>
                <w:rFonts w:cs="Arial"/>
                <w:color w:val="000000"/>
                <w:sz w:val="16"/>
                <w:szCs w:val="16"/>
              </w:rPr>
              <w:t>Kraj Vysočina</w:t>
            </w:r>
          </w:p>
        </w:tc>
        <w:tc>
          <w:tcPr>
            <w:tcW w:w="850" w:type="dxa"/>
            <w:tcBorders>
              <w:top w:val="nil"/>
              <w:left w:val="nil"/>
              <w:bottom w:val="nil"/>
              <w:right w:val="single" w:sz="4" w:space="0" w:color="auto"/>
            </w:tcBorders>
            <w:shd w:val="clear" w:color="auto" w:fill="auto"/>
            <w:noWrap/>
            <w:vAlign w:val="center"/>
            <w:hideMark/>
          </w:tcPr>
          <w:p w14:paraId="237634B9"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92,4</w:t>
            </w:r>
          </w:p>
        </w:tc>
        <w:tc>
          <w:tcPr>
            <w:tcW w:w="850" w:type="dxa"/>
            <w:tcBorders>
              <w:top w:val="nil"/>
              <w:left w:val="nil"/>
              <w:bottom w:val="nil"/>
              <w:right w:val="nil"/>
            </w:tcBorders>
            <w:shd w:val="clear" w:color="auto" w:fill="auto"/>
            <w:noWrap/>
            <w:vAlign w:val="center"/>
            <w:hideMark/>
          </w:tcPr>
          <w:p w14:paraId="08D16C69" w14:textId="6689CADC" w:rsidR="00D264DA" w:rsidRPr="00EE02F9" w:rsidRDefault="00D264DA" w:rsidP="00D264DA">
            <w:pPr>
              <w:spacing w:after="0" w:line="240" w:lineRule="auto"/>
              <w:jc w:val="right"/>
              <w:rPr>
                <w:rFonts w:cs="Arial"/>
                <w:color w:val="000000"/>
                <w:sz w:val="16"/>
                <w:szCs w:val="16"/>
              </w:rPr>
            </w:pPr>
            <w:r>
              <w:rPr>
                <w:rFonts w:cs="Arial"/>
                <w:color w:val="000000"/>
                <w:sz w:val="16"/>
                <w:szCs w:val="16"/>
              </w:rPr>
              <w:t>127,2</w:t>
            </w:r>
          </w:p>
        </w:tc>
        <w:tc>
          <w:tcPr>
            <w:tcW w:w="851" w:type="dxa"/>
            <w:tcBorders>
              <w:top w:val="nil"/>
              <w:left w:val="single" w:sz="4" w:space="0" w:color="auto"/>
              <w:bottom w:val="nil"/>
              <w:right w:val="single" w:sz="4" w:space="0" w:color="auto"/>
            </w:tcBorders>
            <w:shd w:val="clear" w:color="auto" w:fill="auto"/>
            <w:noWrap/>
            <w:vAlign w:val="center"/>
          </w:tcPr>
          <w:p w14:paraId="6538AB65" w14:textId="60AF70D7" w:rsidR="00D264DA" w:rsidRPr="00EE02F9" w:rsidRDefault="00D264DA" w:rsidP="00D264DA">
            <w:pPr>
              <w:spacing w:after="0" w:line="240" w:lineRule="auto"/>
              <w:jc w:val="right"/>
              <w:rPr>
                <w:rFonts w:cs="Arial"/>
                <w:color w:val="000000"/>
                <w:sz w:val="16"/>
                <w:szCs w:val="16"/>
              </w:rPr>
            </w:pPr>
            <w:r>
              <w:rPr>
                <w:rFonts w:cs="Arial"/>
                <w:color w:val="000000"/>
                <w:sz w:val="16"/>
                <w:szCs w:val="16"/>
              </w:rPr>
              <w:t>121,3</w:t>
            </w:r>
          </w:p>
        </w:tc>
        <w:tc>
          <w:tcPr>
            <w:tcW w:w="850" w:type="dxa"/>
            <w:tcBorders>
              <w:top w:val="nil"/>
              <w:left w:val="nil"/>
              <w:bottom w:val="nil"/>
              <w:right w:val="single" w:sz="4" w:space="0" w:color="auto"/>
            </w:tcBorders>
            <w:shd w:val="clear" w:color="auto" w:fill="auto"/>
            <w:noWrap/>
            <w:vAlign w:val="center"/>
            <w:hideMark/>
          </w:tcPr>
          <w:p w14:paraId="4A1424D2"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4 095,4</w:t>
            </w:r>
          </w:p>
        </w:tc>
        <w:tc>
          <w:tcPr>
            <w:tcW w:w="850" w:type="dxa"/>
            <w:tcBorders>
              <w:top w:val="nil"/>
              <w:left w:val="nil"/>
              <w:bottom w:val="nil"/>
              <w:right w:val="single" w:sz="4" w:space="0" w:color="auto"/>
            </w:tcBorders>
            <w:shd w:val="clear" w:color="auto" w:fill="auto"/>
            <w:noWrap/>
            <w:vAlign w:val="center"/>
            <w:hideMark/>
          </w:tcPr>
          <w:p w14:paraId="01D5720C" w14:textId="0AFDDDB0" w:rsidR="00D264DA" w:rsidRPr="00EE02F9" w:rsidRDefault="00D264DA" w:rsidP="00D264DA">
            <w:pPr>
              <w:spacing w:after="0" w:line="240" w:lineRule="auto"/>
              <w:jc w:val="right"/>
              <w:rPr>
                <w:rFonts w:cs="Arial"/>
                <w:color w:val="000000"/>
                <w:sz w:val="16"/>
                <w:szCs w:val="16"/>
              </w:rPr>
            </w:pPr>
            <w:r>
              <w:rPr>
                <w:rFonts w:cs="Arial"/>
                <w:color w:val="000000"/>
                <w:sz w:val="16"/>
                <w:szCs w:val="16"/>
              </w:rPr>
              <w:t>4 682,8</w:t>
            </w:r>
          </w:p>
        </w:tc>
        <w:tc>
          <w:tcPr>
            <w:tcW w:w="851" w:type="dxa"/>
            <w:tcBorders>
              <w:top w:val="nil"/>
              <w:left w:val="nil"/>
              <w:bottom w:val="nil"/>
              <w:right w:val="single" w:sz="4" w:space="0" w:color="auto"/>
            </w:tcBorders>
            <w:shd w:val="clear" w:color="auto" w:fill="auto"/>
            <w:noWrap/>
            <w:vAlign w:val="center"/>
          </w:tcPr>
          <w:p w14:paraId="7484DD18" w14:textId="286809AA" w:rsidR="00D264DA" w:rsidRPr="00EE02F9" w:rsidRDefault="00D264DA" w:rsidP="00D264DA">
            <w:pPr>
              <w:spacing w:after="0" w:line="240" w:lineRule="auto"/>
              <w:jc w:val="right"/>
              <w:rPr>
                <w:rFonts w:cs="Arial"/>
                <w:color w:val="000000"/>
                <w:sz w:val="16"/>
                <w:szCs w:val="16"/>
              </w:rPr>
            </w:pPr>
            <w:r>
              <w:rPr>
                <w:rFonts w:cs="Arial"/>
                <w:color w:val="000000"/>
                <w:sz w:val="16"/>
                <w:szCs w:val="16"/>
              </w:rPr>
              <w:t>3 946,5</w:t>
            </w:r>
          </w:p>
        </w:tc>
        <w:tc>
          <w:tcPr>
            <w:tcW w:w="850" w:type="dxa"/>
            <w:tcBorders>
              <w:top w:val="nil"/>
              <w:left w:val="nil"/>
              <w:bottom w:val="nil"/>
              <w:right w:val="single" w:sz="4" w:space="0" w:color="auto"/>
            </w:tcBorders>
            <w:shd w:val="clear" w:color="auto" w:fill="auto"/>
            <w:noWrap/>
            <w:vAlign w:val="center"/>
            <w:hideMark/>
          </w:tcPr>
          <w:p w14:paraId="2822DE67"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44,3</w:t>
            </w:r>
          </w:p>
        </w:tc>
        <w:tc>
          <w:tcPr>
            <w:tcW w:w="850" w:type="dxa"/>
            <w:tcBorders>
              <w:top w:val="nil"/>
              <w:left w:val="nil"/>
              <w:bottom w:val="nil"/>
              <w:right w:val="nil"/>
            </w:tcBorders>
            <w:shd w:val="clear" w:color="auto" w:fill="auto"/>
            <w:noWrap/>
            <w:vAlign w:val="center"/>
            <w:hideMark/>
          </w:tcPr>
          <w:p w14:paraId="5CBAE990" w14:textId="083A80E0" w:rsidR="00D264DA" w:rsidRPr="00EE02F9" w:rsidRDefault="00D264DA" w:rsidP="00D264DA">
            <w:pPr>
              <w:spacing w:after="0" w:line="240" w:lineRule="auto"/>
              <w:jc w:val="right"/>
              <w:rPr>
                <w:rFonts w:cs="Arial"/>
                <w:color w:val="000000"/>
                <w:sz w:val="16"/>
                <w:szCs w:val="16"/>
              </w:rPr>
            </w:pPr>
            <w:r>
              <w:rPr>
                <w:rFonts w:cs="Arial"/>
                <w:color w:val="000000"/>
                <w:sz w:val="16"/>
                <w:szCs w:val="16"/>
              </w:rPr>
              <w:t>36,8</w:t>
            </w:r>
          </w:p>
        </w:tc>
        <w:tc>
          <w:tcPr>
            <w:tcW w:w="851" w:type="dxa"/>
            <w:tcBorders>
              <w:top w:val="nil"/>
              <w:left w:val="single" w:sz="4" w:space="0" w:color="auto"/>
              <w:bottom w:val="nil"/>
              <w:right w:val="nil"/>
            </w:tcBorders>
            <w:shd w:val="clear" w:color="auto" w:fill="auto"/>
            <w:noWrap/>
            <w:vAlign w:val="center"/>
          </w:tcPr>
          <w:p w14:paraId="099F127B" w14:textId="131E328D" w:rsidR="00D264DA" w:rsidRPr="00EE02F9" w:rsidRDefault="00D264DA" w:rsidP="00D264DA">
            <w:pPr>
              <w:spacing w:after="0" w:line="240" w:lineRule="auto"/>
              <w:jc w:val="right"/>
              <w:rPr>
                <w:rFonts w:cs="Arial"/>
                <w:color w:val="000000"/>
                <w:sz w:val="16"/>
                <w:szCs w:val="16"/>
              </w:rPr>
            </w:pPr>
            <w:r>
              <w:rPr>
                <w:rFonts w:cs="Arial"/>
                <w:color w:val="000000"/>
                <w:sz w:val="16"/>
                <w:szCs w:val="16"/>
              </w:rPr>
              <w:t>32,5</w:t>
            </w:r>
          </w:p>
        </w:tc>
      </w:tr>
      <w:tr w:rsidR="00D264DA" w:rsidRPr="00EE02F9" w14:paraId="1BC5133E" w14:textId="77777777" w:rsidTr="00425FEB">
        <w:trPr>
          <w:trHeight w:val="300"/>
        </w:trPr>
        <w:tc>
          <w:tcPr>
            <w:tcW w:w="1980" w:type="dxa"/>
            <w:tcBorders>
              <w:top w:val="nil"/>
              <w:bottom w:val="nil"/>
              <w:right w:val="single" w:sz="4" w:space="0" w:color="auto"/>
            </w:tcBorders>
            <w:shd w:val="clear" w:color="auto" w:fill="auto"/>
            <w:noWrap/>
            <w:vAlign w:val="center"/>
            <w:hideMark/>
          </w:tcPr>
          <w:p w14:paraId="017DA87C" w14:textId="77777777" w:rsidR="00D264DA" w:rsidRPr="00EE02F9" w:rsidRDefault="00D264DA" w:rsidP="00D264DA">
            <w:pPr>
              <w:spacing w:after="0" w:line="240" w:lineRule="auto"/>
              <w:ind w:firstLineChars="100" w:firstLine="160"/>
              <w:rPr>
                <w:rFonts w:cs="Arial"/>
                <w:color w:val="000000"/>
                <w:sz w:val="16"/>
                <w:szCs w:val="16"/>
              </w:rPr>
            </w:pPr>
            <w:r w:rsidRPr="00EE02F9">
              <w:rPr>
                <w:rFonts w:cs="Arial"/>
                <w:color w:val="000000"/>
                <w:sz w:val="16"/>
                <w:szCs w:val="16"/>
              </w:rPr>
              <w:t>Jihomoravský kraj</w:t>
            </w:r>
          </w:p>
        </w:tc>
        <w:tc>
          <w:tcPr>
            <w:tcW w:w="850" w:type="dxa"/>
            <w:tcBorders>
              <w:top w:val="nil"/>
              <w:left w:val="nil"/>
              <w:bottom w:val="nil"/>
              <w:right w:val="single" w:sz="4" w:space="0" w:color="auto"/>
            </w:tcBorders>
            <w:shd w:val="clear" w:color="auto" w:fill="auto"/>
            <w:noWrap/>
            <w:vAlign w:val="center"/>
            <w:hideMark/>
          </w:tcPr>
          <w:p w14:paraId="4CB54189"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189,7</w:t>
            </w:r>
          </w:p>
        </w:tc>
        <w:tc>
          <w:tcPr>
            <w:tcW w:w="850" w:type="dxa"/>
            <w:tcBorders>
              <w:top w:val="nil"/>
              <w:left w:val="nil"/>
              <w:bottom w:val="nil"/>
              <w:right w:val="nil"/>
            </w:tcBorders>
            <w:shd w:val="clear" w:color="auto" w:fill="auto"/>
            <w:noWrap/>
            <w:vAlign w:val="center"/>
            <w:hideMark/>
          </w:tcPr>
          <w:p w14:paraId="60A01037" w14:textId="3D260EFB" w:rsidR="00D264DA" w:rsidRPr="00EE02F9" w:rsidRDefault="00D264DA" w:rsidP="00D264DA">
            <w:pPr>
              <w:spacing w:after="0" w:line="240" w:lineRule="auto"/>
              <w:jc w:val="right"/>
              <w:rPr>
                <w:rFonts w:cs="Arial"/>
                <w:color w:val="000000"/>
                <w:sz w:val="16"/>
                <w:szCs w:val="16"/>
              </w:rPr>
            </w:pPr>
            <w:r>
              <w:rPr>
                <w:rFonts w:cs="Arial"/>
                <w:color w:val="000000"/>
                <w:sz w:val="16"/>
                <w:szCs w:val="16"/>
              </w:rPr>
              <w:t>295,3</w:t>
            </w:r>
          </w:p>
        </w:tc>
        <w:tc>
          <w:tcPr>
            <w:tcW w:w="851" w:type="dxa"/>
            <w:tcBorders>
              <w:top w:val="nil"/>
              <w:left w:val="single" w:sz="4" w:space="0" w:color="auto"/>
              <w:bottom w:val="nil"/>
              <w:right w:val="single" w:sz="4" w:space="0" w:color="auto"/>
            </w:tcBorders>
            <w:shd w:val="clear" w:color="auto" w:fill="auto"/>
            <w:noWrap/>
            <w:vAlign w:val="center"/>
          </w:tcPr>
          <w:p w14:paraId="779B056A" w14:textId="4588CDA2" w:rsidR="00D264DA" w:rsidRPr="00EE02F9" w:rsidRDefault="00D264DA" w:rsidP="00D264DA">
            <w:pPr>
              <w:spacing w:after="0" w:line="240" w:lineRule="auto"/>
              <w:jc w:val="right"/>
              <w:rPr>
                <w:rFonts w:cs="Arial"/>
                <w:color w:val="000000"/>
                <w:sz w:val="16"/>
                <w:szCs w:val="16"/>
              </w:rPr>
            </w:pPr>
            <w:r>
              <w:rPr>
                <w:rFonts w:cs="Arial"/>
                <w:color w:val="000000"/>
                <w:sz w:val="16"/>
                <w:szCs w:val="16"/>
              </w:rPr>
              <w:t>287,2</w:t>
            </w:r>
          </w:p>
        </w:tc>
        <w:tc>
          <w:tcPr>
            <w:tcW w:w="850" w:type="dxa"/>
            <w:tcBorders>
              <w:top w:val="nil"/>
              <w:left w:val="nil"/>
              <w:bottom w:val="nil"/>
              <w:right w:val="single" w:sz="4" w:space="0" w:color="auto"/>
            </w:tcBorders>
            <w:shd w:val="clear" w:color="auto" w:fill="auto"/>
            <w:noWrap/>
            <w:vAlign w:val="center"/>
            <w:hideMark/>
          </w:tcPr>
          <w:p w14:paraId="112BA1E1"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8 165,9</w:t>
            </w:r>
          </w:p>
        </w:tc>
        <w:tc>
          <w:tcPr>
            <w:tcW w:w="850" w:type="dxa"/>
            <w:tcBorders>
              <w:top w:val="nil"/>
              <w:left w:val="nil"/>
              <w:bottom w:val="nil"/>
              <w:right w:val="single" w:sz="4" w:space="0" w:color="auto"/>
            </w:tcBorders>
            <w:shd w:val="clear" w:color="auto" w:fill="auto"/>
            <w:noWrap/>
            <w:vAlign w:val="center"/>
            <w:hideMark/>
          </w:tcPr>
          <w:p w14:paraId="51EDFDA5" w14:textId="339F5712" w:rsidR="00D264DA" w:rsidRPr="00EE02F9" w:rsidRDefault="00D264DA" w:rsidP="00D264DA">
            <w:pPr>
              <w:spacing w:after="0" w:line="240" w:lineRule="auto"/>
              <w:jc w:val="right"/>
              <w:rPr>
                <w:rFonts w:cs="Arial"/>
                <w:color w:val="000000"/>
                <w:sz w:val="16"/>
                <w:szCs w:val="16"/>
              </w:rPr>
            </w:pPr>
            <w:r>
              <w:rPr>
                <w:rFonts w:cs="Arial"/>
                <w:color w:val="000000"/>
                <w:sz w:val="16"/>
                <w:szCs w:val="16"/>
              </w:rPr>
              <w:t>10 611,7</w:t>
            </w:r>
          </w:p>
        </w:tc>
        <w:tc>
          <w:tcPr>
            <w:tcW w:w="851" w:type="dxa"/>
            <w:tcBorders>
              <w:top w:val="nil"/>
              <w:left w:val="nil"/>
              <w:bottom w:val="nil"/>
              <w:right w:val="single" w:sz="4" w:space="0" w:color="auto"/>
            </w:tcBorders>
            <w:shd w:val="clear" w:color="auto" w:fill="auto"/>
            <w:noWrap/>
            <w:vAlign w:val="center"/>
          </w:tcPr>
          <w:p w14:paraId="322872AB" w14:textId="3A478E1C" w:rsidR="00D264DA" w:rsidRPr="00EE02F9" w:rsidRDefault="00D264DA" w:rsidP="00D264DA">
            <w:pPr>
              <w:spacing w:after="0" w:line="240" w:lineRule="auto"/>
              <w:jc w:val="right"/>
              <w:rPr>
                <w:rFonts w:cs="Arial"/>
                <w:color w:val="000000"/>
                <w:sz w:val="16"/>
                <w:szCs w:val="16"/>
              </w:rPr>
            </w:pPr>
            <w:r>
              <w:rPr>
                <w:rFonts w:cs="Arial"/>
                <w:color w:val="000000"/>
                <w:sz w:val="16"/>
                <w:szCs w:val="16"/>
              </w:rPr>
              <w:t>8 954,6</w:t>
            </w:r>
          </w:p>
        </w:tc>
        <w:tc>
          <w:tcPr>
            <w:tcW w:w="850" w:type="dxa"/>
            <w:tcBorders>
              <w:top w:val="nil"/>
              <w:left w:val="nil"/>
              <w:bottom w:val="nil"/>
              <w:right w:val="single" w:sz="4" w:space="0" w:color="auto"/>
            </w:tcBorders>
            <w:shd w:val="clear" w:color="auto" w:fill="auto"/>
            <w:noWrap/>
            <w:vAlign w:val="center"/>
            <w:hideMark/>
          </w:tcPr>
          <w:p w14:paraId="54C3C7C9"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43,1</w:t>
            </w:r>
          </w:p>
        </w:tc>
        <w:tc>
          <w:tcPr>
            <w:tcW w:w="850" w:type="dxa"/>
            <w:tcBorders>
              <w:top w:val="nil"/>
              <w:left w:val="nil"/>
              <w:bottom w:val="nil"/>
              <w:right w:val="nil"/>
            </w:tcBorders>
            <w:shd w:val="clear" w:color="auto" w:fill="auto"/>
            <w:noWrap/>
            <w:vAlign w:val="center"/>
            <w:hideMark/>
          </w:tcPr>
          <w:p w14:paraId="75D456AA" w14:textId="01573BCB" w:rsidR="00D264DA" w:rsidRPr="00EE02F9" w:rsidRDefault="00D264DA" w:rsidP="00D264DA">
            <w:pPr>
              <w:spacing w:after="0" w:line="240" w:lineRule="auto"/>
              <w:jc w:val="right"/>
              <w:rPr>
                <w:rFonts w:cs="Arial"/>
                <w:color w:val="000000"/>
                <w:sz w:val="16"/>
                <w:szCs w:val="16"/>
              </w:rPr>
            </w:pPr>
            <w:r>
              <w:rPr>
                <w:rFonts w:cs="Arial"/>
                <w:color w:val="000000"/>
                <w:sz w:val="16"/>
                <w:szCs w:val="16"/>
              </w:rPr>
              <w:t>35,9</w:t>
            </w:r>
          </w:p>
        </w:tc>
        <w:tc>
          <w:tcPr>
            <w:tcW w:w="851" w:type="dxa"/>
            <w:tcBorders>
              <w:top w:val="nil"/>
              <w:left w:val="single" w:sz="4" w:space="0" w:color="auto"/>
              <w:bottom w:val="nil"/>
              <w:right w:val="nil"/>
            </w:tcBorders>
            <w:shd w:val="clear" w:color="auto" w:fill="auto"/>
            <w:noWrap/>
            <w:vAlign w:val="center"/>
          </w:tcPr>
          <w:p w14:paraId="6E0DA021" w14:textId="088600CD" w:rsidR="00D264DA" w:rsidRPr="00EE02F9" w:rsidRDefault="00D264DA" w:rsidP="00D264DA">
            <w:pPr>
              <w:spacing w:after="0" w:line="240" w:lineRule="auto"/>
              <w:jc w:val="right"/>
              <w:rPr>
                <w:rFonts w:cs="Arial"/>
                <w:color w:val="000000"/>
                <w:sz w:val="16"/>
                <w:szCs w:val="16"/>
              </w:rPr>
            </w:pPr>
            <w:r>
              <w:rPr>
                <w:rFonts w:cs="Arial"/>
                <w:color w:val="000000"/>
                <w:sz w:val="16"/>
                <w:szCs w:val="16"/>
              </w:rPr>
              <w:t>31,2</w:t>
            </w:r>
          </w:p>
        </w:tc>
      </w:tr>
      <w:tr w:rsidR="00D264DA" w:rsidRPr="00EE02F9" w14:paraId="703FDF8C" w14:textId="77777777" w:rsidTr="00425FEB">
        <w:trPr>
          <w:trHeight w:val="300"/>
        </w:trPr>
        <w:tc>
          <w:tcPr>
            <w:tcW w:w="1980" w:type="dxa"/>
            <w:tcBorders>
              <w:top w:val="nil"/>
              <w:bottom w:val="nil"/>
              <w:right w:val="single" w:sz="4" w:space="0" w:color="auto"/>
            </w:tcBorders>
            <w:shd w:val="clear" w:color="auto" w:fill="auto"/>
            <w:noWrap/>
            <w:vAlign w:val="center"/>
            <w:hideMark/>
          </w:tcPr>
          <w:p w14:paraId="727FF1BC" w14:textId="77777777" w:rsidR="00D264DA" w:rsidRPr="00EE02F9" w:rsidRDefault="00D264DA" w:rsidP="00D264DA">
            <w:pPr>
              <w:spacing w:after="0" w:line="240" w:lineRule="auto"/>
              <w:ind w:firstLineChars="100" w:firstLine="160"/>
              <w:rPr>
                <w:rFonts w:cs="Arial"/>
                <w:color w:val="000000"/>
                <w:sz w:val="16"/>
                <w:szCs w:val="16"/>
              </w:rPr>
            </w:pPr>
            <w:r w:rsidRPr="00EE02F9">
              <w:rPr>
                <w:rFonts w:cs="Arial"/>
                <w:color w:val="000000"/>
                <w:sz w:val="16"/>
                <w:szCs w:val="16"/>
              </w:rPr>
              <w:t>Olomoucký kraj</w:t>
            </w:r>
          </w:p>
        </w:tc>
        <w:tc>
          <w:tcPr>
            <w:tcW w:w="850" w:type="dxa"/>
            <w:tcBorders>
              <w:top w:val="nil"/>
              <w:left w:val="nil"/>
              <w:bottom w:val="nil"/>
              <w:right w:val="single" w:sz="4" w:space="0" w:color="auto"/>
            </w:tcBorders>
            <w:shd w:val="clear" w:color="auto" w:fill="auto"/>
            <w:noWrap/>
            <w:vAlign w:val="center"/>
            <w:hideMark/>
          </w:tcPr>
          <w:p w14:paraId="3169ACB0"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107,9</w:t>
            </w:r>
          </w:p>
        </w:tc>
        <w:tc>
          <w:tcPr>
            <w:tcW w:w="850" w:type="dxa"/>
            <w:tcBorders>
              <w:top w:val="nil"/>
              <w:left w:val="nil"/>
              <w:bottom w:val="nil"/>
              <w:right w:val="nil"/>
            </w:tcBorders>
            <w:shd w:val="clear" w:color="auto" w:fill="auto"/>
            <w:noWrap/>
            <w:vAlign w:val="center"/>
            <w:hideMark/>
          </w:tcPr>
          <w:p w14:paraId="3E12AB49" w14:textId="09073C8D" w:rsidR="00D264DA" w:rsidRPr="00EE02F9" w:rsidRDefault="00D264DA" w:rsidP="00D264DA">
            <w:pPr>
              <w:spacing w:after="0" w:line="240" w:lineRule="auto"/>
              <w:jc w:val="right"/>
              <w:rPr>
                <w:rFonts w:cs="Arial"/>
                <w:color w:val="000000"/>
                <w:sz w:val="16"/>
                <w:szCs w:val="16"/>
              </w:rPr>
            </w:pPr>
            <w:r>
              <w:rPr>
                <w:rFonts w:cs="Arial"/>
                <w:color w:val="000000"/>
                <w:sz w:val="16"/>
                <w:szCs w:val="16"/>
              </w:rPr>
              <w:t>176,4</w:t>
            </w:r>
          </w:p>
        </w:tc>
        <w:tc>
          <w:tcPr>
            <w:tcW w:w="851" w:type="dxa"/>
            <w:tcBorders>
              <w:top w:val="nil"/>
              <w:left w:val="single" w:sz="4" w:space="0" w:color="auto"/>
              <w:bottom w:val="nil"/>
              <w:right w:val="single" w:sz="4" w:space="0" w:color="auto"/>
            </w:tcBorders>
            <w:shd w:val="clear" w:color="auto" w:fill="auto"/>
            <w:noWrap/>
            <w:vAlign w:val="center"/>
          </w:tcPr>
          <w:p w14:paraId="6D41F711" w14:textId="2C459E6A" w:rsidR="00D264DA" w:rsidRPr="00EE02F9" w:rsidRDefault="00D264DA" w:rsidP="00D264DA">
            <w:pPr>
              <w:spacing w:after="0" w:line="240" w:lineRule="auto"/>
              <w:jc w:val="right"/>
              <w:rPr>
                <w:rFonts w:cs="Arial"/>
                <w:color w:val="000000"/>
                <w:sz w:val="16"/>
                <w:szCs w:val="16"/>
              </w:rPr>
            </w:pPr>
            <w:r>
              <w:rPr>
                <w:rFonts w:cs="Arial"/>
                <w:color w:val="000000"/>
                <w:sz w:val="16"/>
                <w:szCs w:val="16"/>
              </w:rPr>
              <w:t>159,1</w:t>
            </w:r>
          </w:p>
        </w:tc>
        <w:tc>
          <w:tcPr>
            <w:tcW w:w="850" w:type="dxa"/>
            <w:tcBorders>
              <w:top w:val="nil"/>
              <w:left w:val="nil"/>
              <w:bottom w:val="nil"/>
              <w:right w:val="single" w:sz="4" w:space="0" w:color="auto"/>
            </w:tcBorders>
            <w:shd w:val="clear" w:color="auto" w:fill="auto"/>
            <w:noWrap/>
            <w:vAlign w:val="center"/>
            <w:hideMark/>
          </w:tcPr>
          <w:p w14:paraId="16B0486E"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4 656,8</w:t>
            </w:r>
          </w:p>
        </w:tc>
        <w:tc>
          <w:tcPr>
            <w:tcW w:w="850" w:type="dxa"/>
            <w:tcBorders>
              <w:top w:val="nil"/>
              <w:left w:val="nil"/>
              <w:bottom w:val="nil"/>
              <w:right w:val="single" w:sz="4" w:space="0" w:color="auto"/>
            </w:tcBorders>
            <w:shd w:val="clear" w:color="auto" w:fill="auto"/>
            <w:noWrap/>
            <w:vAlign w:val="center"/>
            <w:hideMark/>
          </w:tcPr>
          <w:p w14:paraId="03D7642E" w14:textId="52E265C8" w:rsidR="00D264DA" w:rsidRPr="00EE02F9" w:rsidRDefault="00D264DA" w:rsidP="00D264DA">
            <w:pPr>
              <w:spacing w:after="0" w:line="240" w:lineRule="auto"/>
              <w:jc w:val="right"/>
              <w:rPr>
                <w:rFonts w:cs="Arial"/>
                <w:color w:val="000000"/>
                <w:sz w:val="16"/>
                <w:szCs w:val="16"/>
              </w:rPr>
            </w:pPr>
            <w:r>
              <w:rPr>
                <w:rFonts w:cs="Arial"/>
                <w:color w:val="000000"/>
                <w:sz w:val="16"/>
                <w:szCs w:val="16"/>
              </w:rPr>
              <w:t>6 276,3</w:t>
            </w:r>
          </w:p>
        </w:tc>
        <w:tc>
          <w:tcPr>
            <w:tcW w:w="851" w:type="dxa"/>
            <w:tcBorders>
              <w:top w:val="nil"/>
              <w:left w:val="nil"/>
              <w:bottom w:val="nil"/>
              <w:right w:val="single" w:sz="4" w:space="0" w:color="auto"/>
            </w:tcBorders>
            <w:shd w:val="clear" w:color="auto" w:fill="auto"/>
            <w:noWrap/>
            <w:vAlign w:val="center"/>
          </w:tcPr>
          <w:p w14:paraId="792ADF5F" w14:textId="6623895C" w:rsidR="00D264DA" w:rsidRPr="00EE02F9" w:rsidRDefault="00D264DA" w:rsidP="00D264DA">
            <w:pPr>
              <w:spacing w:after="0" w:line="240" w:lineRule="auto"/>
              <w:jc w:val="right"/>
              <w:rPr>
                <w:rFonts w:cs="Arial"/>
                <w:color w:val="000000"/>
                <w:sz w:val="16"/>
                <w:szCs w:val="16"/>
              </w:rPr>
            </w:pPr>
            <w:r>
              <w:rPr>
                <w:rFonts w:cs="Arial"/>
                <w:color w:val="000000"/>
                <w:sz w:val="16"/>
                <w:szCs w:val="16"/>
              </w:rPr>
              <w:t>5 350,9</w:t>
            </w:r>
          </w:p>
        </w:tc>
        <w:tc>
          <w:tcPr>
            <w:tcW w:w="850" w:type="dxa"/>
            <w:tcBorders>
              <w:top w:val="nil"/>
              <w:left w:val="nil"/>
              <w:bottom w:val="nil"/>
              <w:right w:val="single" w:sz="4" w:space="0" w:color="auto"/>
            </w:tcBorders>
            <w:shd w:val="clear" w:color="auto" w:fill="auto"/>
            <w:noWrap/>
            <w:vAlign w:val="center"/>
            <w:hideMark/>
          </w:tcPr>
          <w:p w14:paraId="7CC83538"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43,2</w:t>
            </w:r>
          </w:p>
        </w:tc>
        <w:tc>
          <w:tcPr>
            <w:tcW w:w="850" w:type="dxa"/>
            <w:tcBorders>
              <w:top w:val="nil"/>
              <w:left w:val="nil"/>
              <w:bottom w:val="nil"/>
              <w:right w:val="nil"/>
            </w:tcBorders>
            <w:shd w:val="clear" w:color="auto" w:fill="auto"/>
            <w:noWrap/>
            <w:vAlign w:val="center"/>
            <w:hideMark/>
          </w:tcPr>
          <w:p w14:paraId="27AEB356" w14:textId="566674E9" w:rsidR="00D264DA" w:rsidRPr="00EE02F9" w:rsidRDefault="00D264DA" w:rsidP="00D264DA">
            <w:pPr>
              <w:spacing w:after="0" w:line="240" w:lineRule="auto"/>
              <w:jc w:val="right"/>
              <w:rPr>
                <w:rFonts w:cs="Arial"/>
                <w:color w:val="000000"/>
                <w:sz w:val="16"/>
                <w:szCs w:val="16"/>
              </w:rPr>
            </w:pPr>
            <w:r>
              <w:rPr>
                <w:rFonts w:cs="Arial"/>
                <w:color w:val="000000"/>
                <w:sz w:val="16"/>
                <w:szCs w:val="16"/>
              </w:rPr>
              <w:t>35,6</w:t>
            </w:r>
          </w:p>
        </w:tc>
        <w:tc>
          <w:tcPr>
            <w:tcW w:w="851" w:type="dxa"/>
            <w:tcBorders>
              <w:top w:val="nil"/>
              <w:left w:val="single" w:sz="4" w:space="0" w:color="auto"/>
              <w:bottom w:val="nil"/>
              <w:right w:val="nil"/>
            </w:tcBorders>
            <w:shd w:val="clear" w:color="auto" w:fill="auto"/>
            <w:noWrap/>
            <w:vAlign w:val="center"/>
          </w:tcPr>
          <w:p w14:paraId="7422A5CF" w14:textId="17D96715" w:rsidR="00D264DA" w:rsidRPr="00EE02F9" w:rsidRDefault="00D264DA" w:rsidP="00D264DA">
            <w:pPr>
              <w:spacing w:after="0" w:line="240" w:lineRule="auto"/>
              <w:jc w:val="right"/>
              <w:rPr>
                <w:rFonts w:cs="Arial"/>
                <w:color w:val="000000"/>
                <w:sz w:val="16"/>
                <w:szCs w:val="16"/>
              </w:rPr>
            </w:pPr>
            <w:r>
              <w:rPr>
                <w:rFonts w:cs="Arial"/>
                <w:color w:val="000000"/>
                <w:sz w:val="16"/>
                <w:szCs w:val="16"/>
              </w:rPr>
              <w:t>33,6</w:t>
            </w:r>
          </w:p>
        </w:tc>
      </w:tr>
      <w:tr w:rsidR="00D264DA" w:rsidRPr="00EE02F9" w14:paraId="248301F6" w14:textId="77777777" w:rsidTr="00425FEB">
        <w:trPr>
          <w:trHeight w:val="300"/>
        </w:trPr>
        <w:tc>
          <w:tcPr>
            <w:tcW w:w="1980" w:type="dxa"/>
            <w:tcBorders>
              <w:top w:val="nil"/>
              <w:bottom w:val="nil"/>
              <w:right w:val="single" w:sz="4" w:space="0" w:color="auto"/>
            </w:tcBorders>
            <w:shd w:val="clear" w:color="auto" w:fill="auto"/>
            <w:noWrap/>
            <w:vAlign w:val="center"/>
            <w:hideMark/>
          </w:tcPr>
          <w:p w14:paraId="5D6FE6AF" w14:textId="77777777" w:rsidR="00D264DA" w:rsidRPr="00EE02F9" w:rsidRDefault="00D264DA" w:rsidP="00D264DA">
            <w:pPr>
              <w:spacing w:after="0" w:line="240" w:lineRule="auto"/>
              <w:ind w:firstLineChars="100" w:firstLine="160"/>
              <w:rPr>
                <w:rFonts w:cs="Arial"/>
                <w:color w:val="000000"/>
                <w:sz w:val="16"/>
                <w:szCs w:val="16"/>
              </w:rPr>
            </w:pPr>
            <w:r w:rsidRPr="00EE02F9">
              <w:rPr>
                <w:rFonts w:cs="Arial"/>
                <w:color w:val="000000"/>
                <w:sz w:val="16"/>
                <w:szCs w:val="16"/>
              </w:rPr>
              <w:t>Zlínský kraj</w:t>
            </w:r>
          </w:p>
        </w:tc>
        <w:tc>
          <w:tcPr>
            <w:tcW w:w="850" w:type="dxa"/>
            <w:tcBorders>
              <w:top w:val="nil"/>
              <w:left w:val="nil"/>
              <w:bottom w:val="nil"/>
              <w:right w:val="single" w:sz="4" w:space="0" w:color="auto"/>
            </w:tcBorders>
            <w:shd w:val="clear" w:color="auto" w:fill="auto"/>
            <w:noWrap/>
            <w:vAlign w:val="center"/>
            <w:hideMark/>
          </w:tcPr>
          <w:p w14:paraId="28F1A5E9"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101,0</w:t>
            </w:r>
          </w:p>
        </w:tc>
        <w:tc>
          <w:tcPr>
            <w:tcW w:w="850" w:type="dxa"/>
            <w:tcBorders>
              <w:top w:val="nil"/>
              <w:left w:val="nil"/>
              <w:bottom w:val="nil"/>
              <w:right w:val="nil"/>
            </w:tcBorders>
            <w:shd w:val="clear" w:color="auto" w:fill="auto"/>
            <w:noWrap/>
            <w:vAlign w:val="center"/>
            <w:hideMark/>
          </w:tcPr>
          <w:p w14:paraId="5976A96B" w14:textId="2E9BBC6C" w:rsidR="00D264DA" w:rsidRPr="00EE02F9" w:rsidRDefault="00D264DA" w:rsidP="00D264DA">
            <w:pPr>
              <w:spacing w:after="0" w:line="240" w:lineRule="auto"/>
              <w:jc w:val="right"/>
              <w:rPr>
                <w:rFonts w:cs="Arial"/>
                <w:color w:val="000000"/>
                <w:sz w:val="16"/>
                <w:szCs w:val="16"/>
              </w:rPr>
            </w:pPr>
            <w:r>
              <w:rPr>
                <w:rFonts w:cs="Arial"/>
                <w:color w:val="000000"/>
                <w:sz w:val="16"/>
                <w:szCs w:val="16"/>
              </w:rPr>
              <w:t>150,2</w:t>
            </w:r>
          </w:p>
        </w:tc>
        <w:tc>
          <w:tcPr>
            <w:tcW w:w="851" w:type="dxa"/>
            <w:tcBorders>
              <w:top w:val="nil"/>
              <w:left w:val="single" w:sz="4" w:space="0" w:color="auto"/>
              <w:bottom w:val="nil"/>
              <w:right w:val="single" w:sz="4" w:space="0" w:color="auto"/>
            </w:tcBorders>
            <w:shd w:val="clear" w:color="auto" w:fill="auto"/>
            <w:noWrap/>
            <w:vAlign w:val="center"/>
          </w:tcPr>
          <w:p w14:paraId="384E5C8A" w14:textId="05DB04D4" w:rsidR="00D264DA" w:rsidRPr="00EE02F9" w:rsidRDefault="00D264DA" w:rsidP="00D264DA">
            <w:pPr>
              <w:spacing w:after="0" w:line="240" w:lineRule="auto"/>
              <w:jc w:val="right"/>
              <w:rPr>
                <w:rFonts w:cs="Arial"/>
                <w:color w:val="000000"/>
                <w:sz w:val="16"/>
                <w:szCs w:val="16"/>
              </w:rPr>
            </w:pPr>
            <w:r>
              <w:rPr>
                <w:rFonts w:cs="Arial"/>
                <w:color w:val="000000"/>
                <w:sz w:val="16"/>
                <w:szCs w:val="16"/>
              </w:rPr>
              <w:t>131,7</w:t>
            </w:r>
          </w:p>
        </w:tc>
        <w:tc>
          <w:tcPr>
            <w:tcW w:w="850" w:type="dxa"/>
            <w:tcBorders>
              <w:top w:val="nil"/>
              <w:left w:val="nil"/>
              <w:bottom w:val="nil"/>
              <w:right w:val="single" w:sz="4" w:space="0" w:color="auto"/>
            </w:tcBorders>
            <w:shd w:val="clear" w:color="auto" w:fill="auto"/>
            <w:noWrap/>
            <w:vAlign w:val="center"/>
            <w:hideMark/>
          </w:tcPr>
          <w:p w14:paraId="3140FED6"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4 964,4</w:t>
            </w:r>
          </w:p>
        </w:tc>
        <w:tc>
          <w:tcPr>
            <w:tcW w:w="850" w:type="dxa"/>
            <w:tcBorders>
              <w:top w:val="nil"/>
              <w:left w:val="nil"/>
              <w:bottom w:val="nil"/>
              <w:right w:val="single" w:sz="4" w:space="0" w:color="auto"/>
            </w:tcBorders>
            <w:shd w:val="clear" w:color="auto" w:fill="auto"/>
            <w:noWrap/>
            <w:vAlign w:val="center"/>
            <w:hideMark/>
          </w:tcPr>
          <w:p w14:paraId="257D3661" w14:textId="677D2FB3" w:rsidR="00D264DA" w:rsidRPr="00EE02F9" w:rsidRDefault="00D264DA" w:rsidP="00D264DA">
            <w:pPr>
              <w:spacing w:after="0" w:line="240" w:lineRule="auto"/>
              <w:jc w:val="right"/>
              <w:rPr>
                <w:rFonts w:cs="Arial"/>
                <w:color w:val="000000"/>
                <w:sz w:val="16"/>
                <w:szCs w:val="16"/>
              </w:rPr>
            </w:pPr>
            <w:r>
              <w:rPr>
                <w:rFonts w:cs="Arial"/>
                <w:color w:val="000000"/>
                <w:sz w:val="16"/>
                <w:szCs w:val="16"/>
              </w:rPr>
              <w:t>6 044,3</w:t>
            </w:r>
          </w:p>
        </w:tc>
        <w:tc>
          <w:tcPr>
            <w:tcW w:w="851" w:type="dxa"/>
            <w:tcBorders>
              <w:top w:val="nil"/>
              <w:left w:val="nil"/>
              <w:bottom w:val="nil"/>
              <w:right w:val="single" w:sz="4" w:space="0" w:color="auto"/>
            </w:tcBorders>
            <w:shd w:val="clear" w:color="auto" w:fill="auto"/>
            <w:noWrap/>
            <w:vAlign w:val="center"/>
          </w:tcPr>
          <w:p w14:paraId="4F9BEA86" w14:textId="7C59694E" w:rsidR="00D264DA" w:rsidRPr="00EE02F9" w:rsidRDefault="00D264DA" w:rsidP="00D264DA">
            <w:pPr>
              <w:spacing w:after="0" w:line="240" w:lineRule="auto"/>
              <w:jc w:val="right"/>
              <w:rPr>
                <w:rFonts w:cs="Arial"/>
                <w:color w:val="000000"/>
                <w:sz w:val="16"/>
                <w:szCs w:val="16"/>
              </w:rPr>
            </w:pPr>
            <w:r>
              <w:rPr>
                <w:rFonts w:cs="Arial"/>
                <w:color w:val="000000"/>
                <w:sz w:val="16"/>
                <w:szCs w:val="16"/>
              </w:rPr>
              <w:t>4 899,7</w:t>
            </w:r>
          </w:p>
        </w:tc>
        <w:tc>
          <w:tcPr>
            <w:tcW w:w="850" w:type="dxa"/>
            <w:tcBorders>
              <w:top w:val="nil"/>
              <w:left w:val="nil"/>
              <w:bottom w:val="nil"/>
              <w:right w:val="single" w:sz="4" w:space="0" w:color="auto"/>
            </w:tcBorders>
            <w:shd w:val="clear" w:color="auto" w:fill="auto"/>
            <w:noWrap/>
            <w:vAlign w:val="center"/>
            <w:hideMark/>
          </w:tcPr>
          <w:p w14:paraId="2B80F4DE"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49,1</w:t>
            </w:r>
          </w:p>
        </w:tc>
        <w:tc>
          <w:tcPr>
            <w:tcW w:w="850" w:type="dxa"/>
            <w:tcBorders>
              <w:top w:val="nil"/>
              <w:left w:val="nil"/>
              <w:bottom w:val="nil"/>
              <w:right w:val="nil"/>
            </w:tcBorders>
            <w:shd w:val="clear" w:color="auto" w:fill="auto"/>
            <w:noWrap/>
            <w:vAlign w:val="center"/>
            <w:hideMark/>
          </w:tcPr>
          <w:p w14:paraId="0D3EA87E" w14:textId="187A20B0" w:rsidR="00D264DA" w:rsidRPr="00EE02F9" w:rsidRDefault="00D264DA" w:rsidP="00D264DA">
            <w:pPr>
              <w:spacing w:after="0" w:line="240" w:lineRule="auto"/>
              <w:jc w:val="right"/>
              <w:rPr>
                <w:rFonts w:cs="Arial"/>
                <w:color w:val="000000"/>
                <w:sz w:val="16"/>
                <w:szCs w:val="16"/>
              </w:rPr>
            </w:pPr>
            <w:r>
              <w:rPr>
                <w:rFonts w:cs="Arial"/>
                <w:color w:val="000000"/>
                <w:sz w:val="16"/>
                <w:szCs w:val="16"/>
              </w:rPr>
              <w:t>40,2</w:t>
            </w:r>
          </w:p>
        </w:tc>
        <w:tc>
          <w:tcPr>
            <w:tcW w:w="851" w:type="dxa"/>
            <w:tcBorders>
              <w:top w:val="nil"/>
              <w:left w:val="single" w:sz="4" w:space="0" w:color="auto"/>
              <w:bottom w:val="nil"/>
              <w:right w:val="nil"/>
            </w:tcBorders>
            <w:shd w:val="clear" w:color="auto" w:fill="auto"/>
            <w:noWrap/>
            <w:vAlign w:val="center"/>
          </w:tcPr>
          <w:p w14:paraId="37D293F5" w14:textId="0A54435C" w:rsidR="00D264DA" w:rsidRPr="00EE02F9" w:rsidRDefault="00D264DA" w:rsidP="00D264DA">
            <w:pPr>
              <w:spacing w:after="0" w:line="240" w:lineRule="auto"/>
              <w:jc w:val="right"/>
              <w:rPr>
                <w:rFonts w:cs="Arial"/>
                <w:color w:val="000000"/>
                <w:sz w:val="16"/>
                <w:szCs w:val="16"/>
              </w:rPr>
            </w:pPr>
            <w:r>
              <w:rPr>
                <w:rFonts w:cs="Arial"/>
                <w:color w:val="000000"/>
                <w:sz w:val="16"/>
                <w:szCs w:val="16"/>
              </w:rPr>
              <w:t>37,2</w:t>
            </w:r>
          </w:p>
        </w:tc>
      </w:tr>
      <w:tr w:rsidR="00D264DA" w:rsidRPr="00EE02F9" w14:paraId="4A09B89A" w14:textId="77777777" w:rsidTr="00425FEB">
        <w:trPr>
          <w:trHeight w:val="300"/>
        </w:trPr>
        <w:tc>
          <w:tcPr>
            <w:tcW w:w="1980" w:type="dxa"/>
            <w:tcBorders>
              <w:top w:val="nil"/>
              <w:bottom w:val="nil"/>
              <w:right w:val="single" w:sz="4" w:space="0" w:color="auto"/>
            </w:tcBorders>
            <w:shd w:val="clear" w:color="auto" w:fill="auto"/>
            <w:noWrap/>
            <w:vAlign w:val="center"/>
            <w:hideMark/>
          </w:tcPr>
          <w:p w14:paraId="50EEF9AE" w14:textId="77777777" w:rsidR="00D264DA" w:rsidRPr="00EE02F9" w:rsidRDefault="00D264DA" w:rsidP="00D264DA">
            <w:pPr>
              <w:spacing w:after="0" w:line="240" w:lineRule="auto"/>
              <w:ind w:firstLineChars="100" w:firstLine="160"/>
              <w:rPr>
                <w:rFonts w:cs="Arial"/>
                <w:color w:val="000000"/>
                <w:sz w:val="16"/>
                <w:szCs w:val="16"/>
              </w:rPr>
            </w:pPr>
            <w:r w:rsidRPr="00EE02F9">
              <w:rPr>
                <w:rFonts w:cs="Arial"/>
                <w:color w:val="000000"/>
                <w:sz w:val="16"/>
                <w:szCs w:val="16"/>
              </w:rPr>
              <w:t>Moravskoslezský kraj</w:t>
            </w:r>
          </w:p>
        </w:tc>
        <w:tc>
          <w:tcPr>
            <w:tcW w:w="850" w:type="dxa"/>
            <w:tcBorders>
              <w:top w:val="nil"/>
              <w:left w:val="nil"/>
              <w:bottom w:val="nil"/>
              <w:right w:val="single" w:sz="4" w:space="0" w:color="auto"/>
            </w:tcBorders>
            <w:shd w:val="clear" w:color="auto" w:fill="auto"/>
            <w:noWrap/>
            <w:vAlign w:val="center"/>
            <w:hideMark/>
          </w:tcPr>
          <w:p w14:paraId="7AED74B4"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206,2</w:t>
            </w:r>
          </w:p>
        </w:tc>
        <w:tc>
          <w:tcPr>
            <w:tcW w:w="850" w:type="dxa"/>
            <w:tcBorders>
              <w:top w:val="nil"/>
              <w:left w:val="nil"/>
              <w:bottom w:val="nil"/>
              <w:right w:val="nil"/>
            </w:tcBorders>
            <w:shd w:val="clear" w:color="auto" w:fill="auto"/>
            <w:noWrap/>
            <w:vAlign w:val="center"/>
            <w:hideMark/>
          </w:tcPr>
          <w:p w14:paraId="02A31E32" w14:textId="1AB103D1" w:rsidR="00D264DA" w:rsidRPr="00EE02F9" w:rsidRDefault="00D264DA" w:rsidP="00D264DA">
            <w:pPr>
              <w:spacing w:after="0" w:line="240" w:lineRule="auto"/>
              <w:jc w:val="right"/>
              <w:rPr>
                <w:rFonts w:cs="Arial"/>
                <w:color w:val="000000"/>
                <w:sz w:val="16"/>
                <w:szCs w:val="16"/>
              </w:rPr>
            </w:pPr>
            <w:r>
              <w:rPr>
                <w:rFonts w:cs="Arial"/>
                <w:color w:val="000000"/>
                <w:sz w:val="16"/>
                <w:szCs w:val="16"/>
              </w:rPr>
              <w:t>314,5</w:t>
            </w:r>
          </w:p>
        </w:tc>
        <w:tc>
          <w:tcPr>
            <w:tcW w:w="851" w:type="dxa"/>
            <w:tcBorders>
              <w:top w:val="nil"/>
              <w:left w:val="single" w:sz="4" w:space="0" w:color="auto"/>
              <w:bottom w:val="nil"/>
              <w:right w:val="single" w:sz="4" w:space="0" w:color="auto"/>
            </w:tcBorders>
            <w:shd w:val="clear" w:color="auto" w:fill="auto"/>
            <w:noWrap/>
            <w:vAlign w:val="center"/>
          </w:tcPr>
          <w:p w14:paraId="46CA20EE" w14:textId="3E54F4F5" w:rsidR="00D264DA" w:rsidRPr="00EE02F9" w:rsidRDefault="00D264DA" w:rsidP="00D264DA">
            <w:pPr>
              <w:spacing w:after="0" w:line="240" w:lineRule="auto"/>
              <w:jc w:val="right"/>
              <w:rPr>
                <w:rFonts w:cs="Arial"/>
                <w:color w:val="000000"/>
                <w:sz w:val="16"/>
                <w:szCs w:val="16"/>
              </w:rPr>
            </w:pPr>
            <w:r>
              <w:rPr>
                <w:rFonts w:cs="Arial"/>
                <w:color w:val="000000"/>
                <w:sz w:val="16"/>
                <w:szCs w:val="16"/>
              </w:rPr>
              <w:t>267,7</w:t>
            </w:r>
          </w:p>
        </w:tc>
        <w:tc>
          <w:tcPr>
            <w:tcW w:w="850" w:type="dxa"/>
            <w:tcBorders>
              <w:top w:val="nil"/>
              <w:left w:val="nil"/>
              <w:bottom w:val="nil"/>
              <w:right w:val="single" w:sz="4" w:space="0" w:color="auto"/>
            </w:tcBorders>
            <w:shd w:val="clear" w:color="auto" w:fill="auto"/>
            <w:noWrap/>
            <w:vAlign w:val="center"/>
            <w:hideMark/>
          </w:tcPr>
          <w:p w14:paraId="535E3037"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10 242,1</w:t>
            </w:r>
          </w:p>
        </w:tc>
        <w:tc>
          <w:tcPr>
            <w:tcW w:w="850" w:type="dxa"/>
            <w:tcBorders>
              <w:top w:val="nil"/>
              <w:left w:val="nil"/>
              <w:bottom w:val="nil"/>
              <w:right w:val="single" w:sz="4" w:space="0" w:color="auto"/>
            </w:tcBorders>
            <w:shd w:val="clear" w:color="auto" w:fill="auto"/>
            <w:noWrap/>
            <w:vAlign w:val="center"/>
            <w:hideMark/>
          </w:tcPr>
          <w:p w14:paraId="5F6C9215" w14:textId="1BDCE526" w:rsidR="00D264DA" w:rsidRPr="00EE02F9" w:rsidRDefault="00D264DA" w:rsidP="00D264DA">
            <w:pPr>
              <w:spacing w:after="0" w:line="240" w:lineRule="auto"/>
              <w:jc w:val="right"/>
              <w:rPr>
                <w:rFonts w:cs="Arial"/>
                <w:color w:val="000000"/>
                <w:sz w:val="16"/>
                <w:szCs w:val="16"/>
              </w:rPr>
            </w:pPr>
            <w:r>
              <w:rPr>
                <w:rFonts w:cs="Arial"/>
                <w:color w:val="000000"/>
                <w:sz w:val="16"/>
                <w:szCs w:val="16"/>
              </w:rPr>
              <w:t>12 405,9</w:t>
            </w:r>
          </w:p>
        </w:tc>
        <w:tc>
          <w:tcPr>
            <w:tcW w:w="851" w:type="dxa"/>
            <w:tcBorders>
              <w:top w:val="nil"/>
              <w:left w:val="nil"/>
              <w:bottom w:val="nil"/>
              <w:right w:val="single" w:sz="4" w:space="0" w:color="auto"/>
            </w:tcBorders>
            <w:shd w:val="clear" w:color="auto" w:fill="auto"/>
            <w:noWrap/>
            <w:vAlign w:val="center"/>
          </w:tcPr>
          <w:p w14:paraId="632D233E" w14:textId="0D29E234" w:rsidR="00D264DA" w:rsidRPr="00EE02F9" w:rsidRDefault="00D264DA" w:rsidP="00D264DA">
            <w:pPr>
              <w:spacing w:after="0" w:line="240" w:lineRule="auto"/>
              <w:jc w:val="right"/>
              <w:rPr>
                <w:rFonts w:cs="Arial"/>
                <w:color w:val="000000"/>
                <w:sz w:val="16"/>
                <w:szCs w:val="16"/>
              </w:rPr>
            </w:pPr>
            <w:r>
              <w:rPr>
                <w:rFonts w:cs="Arial"/>
                <w:color w:val="000000"/>
                <w:sz w:val="16"/>
                <w:szCs w:val="16"/>
              </w:rPr>
              <w:t>10 467,1</w:t>
            </w:r>
          </w:p>
        </w:tc>
        <w:tc>
          <w:tcPr>
            <w:tcW w:w="850" w:type="dxa"/>
            <w:tcBorders>
              <w:top w:val="nil"/>
              <w:left w:val="nil"/>
              <w:bottom w:val="nil"/>
              <w:right w:val="single" w:sz="4" w:space="0" w:color="auto"/>
            </w:tcBorders>
            <w:shd w:val="clear" w:color="auto" w:fill="auto"/>
            <w:noWrap/>
            <w:vAlign w:val="center"/>
            <w:hideMark/>
          </w:tcPr>
          <w:p w14:paraId="55ADE5C7" w14:textId="77777777" w:rsidR="00D264DA" w:rsidRPr="00EE02F9" w:rsidRDefault="00D264DA" w:rsidP="00D264DA">
            <w:pPr>
              <w:spacing w:after="0" w:line="240" w:lineRule="auto"/>
              <w:jc w:val="right"/>
              <w:rPr>
                <w:rFonts w:cs="Arial"/>
                <w:color w:val="000000"/>
                <w:sz w:val="16"/>
                <w:szCs w:val="16"/>
              </w:rPr>
            </w:pPr>
            <w:r w:rsidRPr="00EE02F9">
              <w:rPr>
                <w:rFonts w:cs="Arial"/>
                <w:color w:val="000000"/>
                <w:sz w:val="16"/>
                <w:szCs w:val="16"/>
              </w:rPr>
              <w:t>49,7</w:t>
            </w:r>
          </w:p>
        </w:tc>
        <w:tc>
          <w:tcPr>
            <w:tcW w:w="850" w:type="dxa"/>
            <w:tcBorders>
              <w:top w:val="nil"/>
              <w:left w:val="nil"/>
              <w:bottom w:val="nil"/>
              <w:right w:val="nil"/>
            </w:tcBorders>
            <w:shd w:val="clear" w:color="auto" w:fill="auto"/>
            <w:noWrap/>
            <w:vAlign w:val="center"/>
            <w:hideMark/>
          </w:tcPr>
          <w:p w14:paraId="0B54DE7C" w14:textId="09DF95F0" w:rsidR="00D264DA" w:rsidRPr="00EE02F9" w:rsidRDefault="00D264DA" w:rsidP="00D264DA">
            <w:pPr>
              <w:spacing w:after="0" w:line="240" w:lineRule="auto"/>
              <w:jc w:val="right"/>
              <w:rPr>
                <w:rFonts w:cs="Arial"/>
                <w:color w:val="000000"/>
                <w:sz w:val="16"/>
                <w:szCs w:val="16"/>
              </w:rPr>
            </w:pPr>
            <w:r>
              <w:rPr>
                <w:rFonts w:cs="Arial"/>
                <w:color w:val="000000"/>
                <w:sz w:val="16"/>
                <w:szCs w:val="16"/>
              </w:rPr>
              <w:t>39,5</w:t>
            </w:r>
          </w:p>
        </w:tc>
        <w:tc>
          <w:tcPr>
            <w:tcW w:w="851" w:type="dxa"/>
            <w:tcBorders>
              <w:top w:val="nil"/>
              <w:left w:val="single" w:sz="4" w:space="0" w:color="auto"/>
              <w:bottom w:val="nil"/>
              <w:right w:val="nil"/>
            </w:tcBorders>
            <w:shd w:val="clear" w:color="auto" w:fill="auto"/>
            <w:noWrap/>
            <w:vAlign w:val="center"/>
          </w:tcPr>
          <w:p w14:paraId="51E7F0B2" w14:textId="5DA8D2C6" w:rsidR="00D264DA" w:rsidRPr="00EE02F9" w:rsidRDefault="00D264DA" w:rsidP="00D264DA">
            <w:pPr>
              <w:spacing w:after="0" w:line="240" w:lineRule="auto"/>
              <w:jc w:val="right"/>
              <w:rPr>
                <w:rFonts w:cs="Arial"/>
                <w:color w:val="000000"/>
                <w:sz w:val="16"/>
                <w:szCs w:val="16"/>
              </w:rPr>
            </w:pPr>
            <w:r>
              <w:rPr>
                <w:rFonts w:cs="Arial"/>
                <w:color w:val="000000"/>
                <w:sz w:val="16"/>
                <w:szCs w:val="16"/>
              </w:rPr>
              <w:t>39,1</w:t>
            </w:r>
          </w:p>
        </w:tc>
      </w:tr>
    </w:tbl>
    <w:p w14:paraId="6224AA19" w14:textId="77777777" w:rsidR="00425FEB" w:rsidRPr="00EE02F9" w:rsidRDefault="00425FEB" w:rsidP="00425FEB">
      <w:pPr>
        <w:spacing w:before="120"/>
        <w:rPr>
          <w:sz w:val="16"/>
        </w:rPr>
      </w:pPr>
      <w:r w:rsidRPr="00EE02F9">
        <w:rPr>
          <w:sz w:val="16"/>
        </w:rPr>
        <w:t>Zdroj: ČSSZ</w:t>
      </w:r>
    </w:p>
    <w:p w14:paraId="10A0704B" w14:textId="607DF852" w:rsidR="00425FEB" w:rsidRPr="00251BF8" w:rsidRDefault="00425FEB" w:rsidP="00425FEB">
      <w:pPr>
        <w:spacing w:before="120" w:after="120"/>
        <w:jc w:val="both"/>
      </w:pPr>
      <w:r w:rsidRPr="00251BF8">
        <w:t xml:space="preserve">Pracovní neschopnost plyne z různých příčin a statistiky ČSSZ nabízí přehled ukončených případů </w:t>
      </w:r>
      <w:r w:rsidRPr="00251BF8">
        <w:rPr>
          <w:b/>
        </w:rPr>
        <w:t>podle diagnóz</w:t>
      </w:r>
      <w:r w:rsidRPr="00251BF8">
        <w:t xml:space="preserve">. </w:t>
      </w:r>
      <w:r w:rsidR="0097475C" w:rsidRPr="00251BF8">
        <w:t>Více než dvě pětiny</w:t>
      </w:r>
      <w:r w:rsidRPr="00251BF8">
        <w:t xml:space="preserve"> (4</w:t>
      </w:r>
      <w:r w:rsidR="0097475C" w:rsidRPr="00251BF8">
        <w:t>2</w:t>
      </w:r>
      <w:r w:rsidRPr="00251BF8">
        <w:t xml:space="preserve"> %) případů pracovní neschopnosti byl</w:t>
      </w:r>
      <w:r w:rsidR="00DD5A0D" w:rsidRPr="00251BF8">
        <w:t>y</w:t>
      </w:r>
      <w:r w:rsidRPr="00251BF8">
        <w:t xml:space="preserve"> spojen</w:t>
      </w:r>
      <w:r w:rsidR="00DD5A0D" w:rsidRPr="00251BF8">
        <w:t>y</w:t>
      </w:r>
      <w:r w:rsidRPr="00251BF8">
        <w:t xml:space="preserve"> s diagnózou </w:t>
      </w:r>
      <w:r w:rsidRPr="00251BF8">
        <w:rPr>
          <w:b/>
        </w:rPr>
        <w:t>nemoci dýchací soustavy</w:t>
      </w:r>
      <w:r w:rsidRPr="00251BF8">
        <w:t xml:space="preserve">. Z této skupiny nemocí jsou neschopenky vystavovány především kvůli akutním infekcím dýchacích cest či chřipkám. Na druhou stranu, onemocnění dýchací soustavy tvořila pouze </w:t>
      </w:r>
      <w:r w:rsidR="00DE38A7" w:rsidRPr="00251BF8">
        <w:t>šestinu</w:t>
      </w:r>
      <w:r w:rsidRPr="00251BF8">
        <w:t xml:space="preserve"> (</w:t>
      </w:r>
      <w:r w:rsidR="00DE38A7" w:rsidRPr="00251BF8">
        <w:t>12,6</w:t>
      </w:r>
      <w:r w:rsidRPr="00251BF8">
        <w:t xml:space="preserve"> mil. dnů) z celkového počtu </w:t>
      </w:r>
      <w:r w:rsidR="00DE38A7" w:rsidRPr="00251BF8">
        <w:t>78,4</w:t>
      </w:r>
      <w:r w:rsidRPr="00251BF8">
        <w:t xml:space="preserve"> milionů prostonaných dnů. To znamená v průměru nejkratší dobu pracovní neschopnosti ze všech skupin diagnóz, a sice 12 dnů na 1 případ.</w:t>
      </w:r>
    </w:p>
    <w:p w14:paraId="7600A4EA" w14:textId="612D3568" w:rsidR="00425FEB" w:rsidRPr="00251BF8" w:rsidRDefault="00425FEB" w:rsidP="00425FEB">
      <w:pPr>
        <w:spacing w:before="120" w:after="120"/>
        <w:jc w:val="both"/>
      </w:pPr>
      <w:r w:rsidRPr="00251BF8">
        <w:rPr>
          <w:b/>
        </w:rPr>
        <w:t xml:space="preserve">Nemoci pohybové soustavy </w:t>
      </w:r>
      <w:r w:rsidRPr="00251BF8">
        <w:t>způsobily 15 % pracovních neschopností.</w:t>
      </w:r>
      <w:r w:rsidRPr="00251BF8">
        <w:rPr>
          <w:b/>
        </w:rPr>
        <w:t xml:space="preserve"> </w:t>
      </w:r>
      <w:r w:rsidRPr="00251BF8">
        <w:t xml:space="preserve">Tyto nemoci se vyznačují poměrně dlouhou délkou trvání, v průměru </w:t>
      </w:r>
      <w:r w:rsidR="00DE38A7" w:rsidRPr="00251BF8">
        <w:t xml:space="preserve">zhruba </w:t>
      </w:r>
      <w:r w:rsidRPr="00251BF8">
        <w:t>2 kalendářní měsíce (6</w:t>
      </w:r>
      <w:r w:rsidR="00DE38A7" w:rsidRPr="00251BF8">
        <w:t>2</w:t>
      </w:r>
      <w:r w:rsidRPr="00251BF8">
        <w:t xml:space="preserve"> dnů) na 1 případ. Počet prostonaných dnů této kategorie činil </w:t>
      </w:r>
      <w:r w:rsidR="00DE38A7" w:rsidRPr="00251BF8">
        <w:t>2</w:t>
      </w:r>
      <w:r w:rsidRPr="00251BF8">
        <w:t>3</w:t>
      </w:r>
      <w:r w:rsidR="00DE38A7" w:rsidRPr="00251BF8">
        <w:t>,5</w:t>
      </w:r>
      <w:r w:rsidRPr="00251BF8">
        <w:t xml:space="preserve"> mil. a tvoří dlouhodobě nejvyšší podíl ze všech skupin diagnóz. Připadá na ně téměř třetina (30 %) všech prostonaných dnů. Z nemocí pohybové soustavy je pracovní neschopnost nejčastěji způsobena nemocemi páteře.</w:t>
      </w:r>
    </w:p>
    <w:p w14:paraId="302FE863" w14:textId="4C9345A6" w:rsidR="00DE38A7" w:rsidRPr="00251BF8" w:rsidRDefault="00DE38A7" w:rsidP="00DE38A7">
      <w:pPr>
        <w:spacing w:before="120" w:after="120"/>
        <w:jc w:val="both"/>
      </w:pPr>
      <w:r w:rsidRPr="00251BF8">
        <w:lastRenderedPageBreak/>
        <w:t xml:space="preserve">Kategorie </w:t>
      </w:r>
      <w:r w:rsidRPr="00251BF8">
        <w:rPr>
          <w:b/>
        </w:rPr>
        <w:t xml:space="preserve">ostatní nemoci </w:t>
      </w:r>
      <w:r w:rsidRPr="00251BF8">
        <w:t xml:space="preserve">(kam spadají i karantény) v roce 2023 zaujímala 17 % všech pracovních neschopností. Oproti minulým letům došlo k významnému poklesu. V roce 2022 tvořily ostatní nemoci 41 % všech ukončených případů pracovní neschopnosti. Vysvětlením je ustoupení nákazy, ale i skutečnost, že od 20. dubna 2023 bylo ukončeno plošné nařizování izolací pro onemocnění covid-19. V období let 2015 až 2019, tedy před epidemií </w:t>
      </w:r>
      <w:proofErr w:type="spellStart"/>
      <w:r w:rsidRPr="00251BF8">
        <w:t>covidu</w:t>
      </w:r>
      <w:proofErr w:type="spellEnd"/>
      <w:r w:rsidRPr="00251BF8">
        <w:t>, se zastoupení ostatních nemocí jako příčiny pracovní neschopnosti pohybovalo mezi 8 a 10 %.</w:t>
      </w:r>
    </w:p>
    <w:p w14:paraId="38F2DEEE" w14:textId="675C58DA" w:rsidR="00DE38A7" w:rsidRPr="00251BF8" w:rsidRDefault="00DE38A7" w:rsidP="00DE38A7">
      <w:pPr>
        <w:spacing w:before="120" w:after="120"/>
        <w:jc w:val="both"/>
      </w:pPr>
      <w:r w:rsidRPr="00251BF8">
        <w:t xml:space="preserve">Další častou příčinu pracovní neschopnosti představovaly </w:t>
      </w:r>
      <w:r w:rsidRPr="00251BF8">
        <w:rPr>
          <w:b/>
        </w:rPr>
        <w:t>úrazy a otravy</w:t>
      </w:r>
      <w:r w:rsidRPr="00251BF8">
        <w:t>. Na všech neschopenkách se podílely 8 %. Průměrná délka trvání pracovní neschopnosti byla v tomto případě 52 dnů a celkový počet prostonaných dnů činil 10,4 mil.</w:t>
      </w:r>
    </w:p>
    <w:p w14:paraId="1E66B5AE" w14:textId="44C4D56E" w:rsidR="00DE38A7" w:rsidRPr="00B5001B" w:rsidRDefault="00DE38A7" w:rsidP="00425FEB">
      <w:pPr>
        <w:spacing w:before="120" w:after="120"/>
        <w:jc w:val="both"/>
      </w:pPr>
      <w:r w:rsidRPr="00251BF8">
        <w:t xml:space="preserve">Nejdelší </w:t>
      </w:r>
      <w:r w:rsidRPr="00251BF8">
        <w:rPr>
          <w:b/>
        </w:rPr>
        <w:t>průměrná délka</w:t>
      </w:r>
      <w:r w:rsidRPr="00251BF8">
        <w:t xml:space="preserve"> trvání pracovní neschopnosti byla v roce 2023 evidována u zhoubných novotvarů (170 dnů). Neschopenka u této skupiny nemocí trvala v průměru 160 dnů u mužů, zatímco u žen 177 dnů. </w:t>
      </w:r>
      <w:r w:rsidR="00E079AB" w:rsidRPr="00251BF8">
        <w:t>Pomineme-li tuberkulózu s</w:t>
      </w:r>
      <w:r w:rsidR="00CD10AE">
        <w:t xml:space="preserve"> řídkým </w:t>
      </w:r>
      <w:r w:rsidR="00E079AB" w:rsidRPr="00251BF8">
        <w:t>výskytem pracovní neschopnosti v 95 případech, kde činila průměrná délka trvání 163 dnů, tak d</w:t>
      </w:r>
      <w:r w:rsidRPr="00251BF8">
        <w:t xml:space="preserve">alší v pořadí byly nemoci spojené s těhotenstvím, mateřstvím a šestinedělím (92 dnů) související mimo jiné </w:t>
      </w:r>
      <w:r w:rsidR="00D264DA">
        <w:t>s</w:t>
      </w:r>
      <w:r w:rsidRPr="00251BF8">
        <w:t> rizikov</w:t>
      </w:r>
      <w:r w:rsidR="00D264DA">
        <w:t>ějším</w:t>
      </w:r>
      <w:r w:rsidRPr="00251BF8">
        <w:t xml:space="preserve"> průběhem těhotenství či neschopenky kvůli duševní nemoci (81 dnů).</w:t>
      </w:r>
    </w:p>
    <w:p w14:paraId="2055B8FF" w14:textId="15EA31F8" w:rsidR="00425FEB" w:rsidRPr="0097475C" w:rsidRDefault="00425FEB" w:rsidP="0097475C">
      <w:pPr>
        <w:spacing w:before="120" w:after="120"/>
        <w:jc w:val="both"/>
        <w:rPr>
          <w:rFonts w:cs="Arial"/>
          <w:b/>
          <w:color w:val="000000"/>
          <w:szCs w:val="16"/>
        </w:rPr>
      </w:pPr>
      <w:r w:rsidRPr="00425FEB">
        <w:rPr>
          <w:rFonts w:cs="Arial"/>
          <w:b/>
          <w:color w:val="000000"/>
          <w:szCs w:val="16"/>
        </w:rPr>
        <w:t>Tab. 3.2: Ukončené případy dočasné pracovní neschopnosti a průměrná délka jejich trvání podle věkových skupin, 2019, 202</w:t>
      </w:r>
      <w:r w:rsidR="00D264DA">
        <w:rPr>
          <w:rFonts w:cs="Arial"/>
          <w:b/>
          <w:color w:val="000000"/>
          <w:szCs w:val="16"/>
        </w:rPr>
        <w:t>1</w:t>
      </w:r>
      <w:r w:rsidRPr="00425FEB">
        <w:rPr>
          <w:rFonts w:cs="Arial"/>
          <w:b/>
          <w:color w:val="000000"/>
          <w:szCs w:val="16"/>
        </w:rPr>
        <w:t>, 2023</w:t>
      </w:r>
    </w:p>
    <w:tbl>
      <w:tblPr>
        <w:tblW w:w="9723" w:type="dxa"/>
        <w:tblCellMar>
          <w:left w:w="70" w:type="dxa"/>
          <w:right w:w="70" w:type="dxa"/>
        </w:tblCellMar>
        <w:tblLook w:val="04A0" w:firstRow="1" w:lastRow="0" w:firstColumn="1" w:lastColumn="0" w:noHBand="0" w:noVBand="1"/>
      </w:tblPr>
      <w:tblGrid>
        <w:gridCol w:w="1474"/>
        <w:gridCol w:w="1609"/>
        <w:gridCol w:w="1252"/>
        <w:gridCol w:w="1254"/>
        <w:gridCol w:w="1610"/>
        <w:gridCol w:w="1252"/>
        <w:gridCol w:w="1254"/>
        <w:gridCol w:w="18"/>
      </w:tblGrid>
      <w:tr w:rsidR="00425FEB" w:rsidRPr="00B61F35" w14:paraId="5A9CE613" w14:textId="77777777" w:rsidTr="0097475C">
        <w:trPr>
          <w:gridAfter w:val="1"/>
          <w:wAfter w:w="18" w:type="dxa"/>
          <w:trHeight w:val="525"/>
        </w:trPr>
        <w:tc>
          <w:tcPr>
            <w:tcW w:w="1474" w:type="dxa"/>
            <w:vMerge w:val="restart"/>
            <w:tcBorders>
              <w:top w:val="single" w:sz="4" w:space="0" w:color="auto"/>
              <w:left w:val="nil"/>
              <w:bottom w:val="single" w:sz="4" w:space="0" w:color="000000"/>
              <w:right w:val="single" w:sz="4" w:space="0" w:color="auto"/>
            </w:tcBorders>
            <w:shd w:val="clear" w:color="000000" w:fill="F5DADD"/>
            <w:vAlign w:val="center"/>
            <w:hideMark/>
          </w:tcPr>
          <w:p w14:paraId="13A6C50A"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Věková skupina</w:t>
            </w:r>
          </w:p>
        </w:tc>
        <w:tc>
          <w:tcPr>
            <w:tcW w:w="4115" w:type="dxa"/>
            <w:gridSpan w:val="3"/>
            <w:tcBorders>
              <w:top w:val="single" w:sz="4" w:space="0" w:color="auto"/>
              <w:left w:val="nil"/>
              <w:bottom w:val="single" w:sz="4" w:space="0" w:color="auto"/>
              <w:right w:val="single" w:sz="4" w:space="0" w:color="000000"/>
            </w:tcBorders>
            <w:shd w:val="clear" w:color="000000" w:fill="F2DBDB"/>
            <w:vAlign w:val="center"/>
            <w:hideMark/>
          </w:tcPr>
          <w:p w14:paraId="7FE1BF29" w14:textId="568F7064" w:rsidR="00425FEB" w:rsidRPr="00B61F35" w:rsidRDefault="0097475C" w:rsidP="0097475C">
            <w:pPr>
              <w:spacing w:after="0" w:line="240" w:lineRule="auto"/>
              <w:jc w:val="center"/>
              <w:rPr>
                <w:rFonts w:cs="Arial"/>
                <w:color w:val="000000"/>
                <w:sz w:val="16"/>
                <w:szCs w:val="16"/>
              </w:rPr>
            </w:pPr>
            <w:r w:rsidRPr="00EE02F9">
              <w:rPr>
                <w:rFonts w:cs="Arial"/>
                <w:color w:val="000000"/>
                <w:sz w:val="16"/>
                <w:szCs w:val="16"/>
              </w:rPr>
              <w:t xml:space="preserve">Počet ukončených případů DPN </w:t>
            </w:r>
            <w:r w:rsidR="00425FEB">
              <w:rPr>
                <w:rFonts w:cs="Arial"/>
                <w:color w:val="000000"/>
                <w:sz w:val="16"/>
                <w:szCs w:val="16"/>
              </w:rPr>
              <w:t>(tis.)</w:t>
            </w:r>
          </w:p>
        </w:tc>
        <w:tc>
          <w:tcPr>
            <w:tcW w:w="4116" w:type="dxa"/>
            <w:gridSpan w:val="3"/>
            <w:tcBorders>
              <w:top w:val="single" w:sz="4" w:space="0" w:color="auto"/>
              <w:left w:val="nil"/>
              <w:bottom w:val="single" w:sz="4" w:space="0" w:color="auto"/>
              <w:right w:val="nil"/>
            </w:tcBorders>
            <w:shd w:val="clear" w:color="000000" w:fill="F2DBDB"/>
            <w:vAlign w:val="center"/>
            <w:hideMark/>
          </w:tcPr>
          <w:p w14:paraId="126F8062"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Průměrná délka trvání 1 ukončeného případu DPN ve dnech</w:t>
            </w:r>
          </w:p>
        </w:tc>
      </w:tr>
      <w:tr w:rsidR="00425FEB" w:rsidRPr="00B61F35" w14:paraId="22477B61" w14:textId="77777777" w:rsidTr="0097475C">
        <w:trPr>
          <w:gridAfter w:val="1"/>
          <w:wAfter w:w="18" w:type="dxa"/>
          <w:trHeight w:val="300"/>
        </w:trPr>
        <w:tc>
          <w:tcPr>
            <w:tcW w:w="1474" w:type="dxa"/>
            <w:vMerge/>
            <w:tcBorders>
              <w:top w:val="single" w:sz="4" w:space="0" w:color="auto"/>
              <w:left w:val="nil"/>
              <w:bottom w:val="single" w:sz="4" w:space="0" w:color="000000"/>
              <w:right w:val="single" w:sz="4" w:space="0" w:color="auto"/>
            </w:tcBorders>
            <w:vAlign w:val="center"/>
            <w:hideMark/>
          </w:tcPr>
          <w:p w14:paraId="503342C4" w14:textId="77777777" w:rsidR="00425FEB" w:rsidRPr="00B61F35" w:rsidRDefault="00425FEB" w:rsidP="0097475C">
            <w:pPr>
              <w:spacing w:after="0" w:line="240" w:lineRule="auto"/>
              <w:rPr>
                <w:rFonts w:cs="Arial"/>
                <w:color w:val="000000"/>
                <w:sz w:val="16"/>
                <w:szCs w:val="16"/>
              </w:rPr>
            </w:pPr>
          </w:p>
        </w:tc>
        <w:tc>
          <w:tcPr>
            <w:tcW w:w="1609" w:type="dxa"/>
            <w:vMerge w:val="restart"/>
            <w:tcBorders>
              <w:top w:val="nil"/>
              <w:left w:val="single" w:sz="4" w:space="0" w:color="auto"/>
              <w:right w:val="nil"/>
            </w:tcBorders>
            <w:shd w:val="clear" w:color="000000" w:fill="F2DBDB"/>
            <w:vAlign w:val="center"/>
            <w:hideMark/>
          </w:tcPr>
          <w:p w14:paraId="59952734" w14:textId="77777777" w:rsidR="00425FEB" w:rsidRPr="00B61F35" w:rsidRDefault="00425FEB" w:rsidP="0097475C">
            <w:pPr>
              <w:spacing w:after="0" w:line="240" w:lineRule="auto"/>
              <w:jc w:val="center"/>
              <w:rPr>
                <w:rFonts w:cs="Arial"/>
                <w:b/>
                <w:bCs/>
                <w:color w:val="000000"/>
                <w:sz w:val="16"/>
                <w:szCs w:val="16"/>
              </w:rPr>
            </w:pPr>
            <w:r w:rsidRPr="00B61F35">
              <w:rPr>
                <w:rFonts w:cs="Arial"/>
                <w:b/>
                <w:bCs/>
                <w:color w:val="000000"/>
                <w:sz w:val="16"/>
                <w:szCs w:val="16"/>
              </w:rPr>
              <w:t>Celkem</w:t>
            </w:r>
          </w:p>
        </w:tc>
        <w:tc>
          <w:tcPr>
            <w:tcW w:w="2506" w:type="dxa"/>
            <w:gridSpan w:val="2"/>
            <w:tcBorders>
              <w:top w:val="single" w:sz="4" w:space="0" w:color="auto"/>
              <w:left w:val="single" w:sz="4" w:space="0" w:color="auto"/>
              <w:bottom w:val="single" w:sz="4" w:space="0" w:color="auto"/>
              <w:right w:val="single" w:sz="4" w:space="0" w:color="auto"/>
            </w:tcBorders>
            <w:shd w:val="clear" w:color="000000" w:fill="F2DBDB"/>
            <w:vAlign w:val="center"/>
            <w:hideMark/>
          </w:tcPr>
          <w:p w14:paraId="4A0DD31A"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podle pohlaví</w:t>
            </w:r>
          </w:p>
        </w:tc>
        <w:tc>
          <w:tcPr>
            <w:tcW w:w="1610" w:type="dxa"/>
            <w:vMerge w:val="restart"/>
            <w:tcBorders>
              <w:top w:val="nil"/>
              <w:left w:val="single" w:sz="4" w:space="0" w:color="auto"/>
              <w:right w:val="nil"/>
            </w:tcBorders>
            <w:shd w:val="clear" w:color="000000" w:fill="F2DBDB"/>
            <w:vAlign w:val="center"/>
            <w:hideMark/>
          </w:tcPr>
          <w:p w14:paraId="0F6864CA" w14:textId="77777777" w:rsidR="00425FEB" w:rsidRPr="00B61F35" w:rsidRDefault="00425FEB" w:rsidP="0097475C">
            <w:pPr>
              <w:spacing w:after="0" w:line="240" w:lineRule="auto"/>
              <w:jc w:val="center"/>
              <w:rPr>
                <w:rFonts w:cs="Arial"/>
                <w:b/>
                <w:bCs/>
                <w:color w:val="000000"/>
                <w:sz w:val="16"/>
                <w:szCs w:val="16"/>
              </w:rPr>
            </w:pPr>
            <w:r w:rsidRPr="00B61F35">
              <w:rPr>
                <w:rFonts w:cs="Arial"/>
                <w:b/>
                <w:bCs/>
                <w:color w:val="000000"/>
                <w:sz w:val="16"/>
                <w:szCs w:val="16"/>
              </w:rPr>
              <w:t>Celkem</w:t>
            </w:r>
          </w:p>
        </w:tc>
        <w:tc>
          <w:tcPr>
            <w:tcW w:w="2506" w:type="dxa"/>
            <w:gridSpan w:val="2"/>
            <w:tcBorders>
              <w:top w:val="single" w:sz="4" w:space="0" w:color="auto"/>
              <w:left w:val="single" w:sz="4" w:space="0" w:color="auto"/>
              <w:bottom w:val="single" w:sz="4" w:space="0" w:color="auto"/>
            </w:tcBorders>
            <w:shd w:val="clear" w:color="000000" w:fill="F2DBDB"/>
            <w:vAlign w:val="center"/>
            <w:hideMark/>
          </w:tcPr>
          <w:p w14:paraId="32EF52C7"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podle pohlaví</w:t>
            </w:r>
          </w:p>
        </w:tc>
      </w:tr>
      <w:tr w:rsidR="00425FEB" w:rsidRPr="00B61F35" w14:paraId="2F234465" w14:textId="77777777" w:rsidTr="0097475C">
        <w:trPr>
          <w:gridAfter w:val="1"/>
          <w:wAfter w:w="18" w:type="dxa"/>
          <w:trHeight w:val="300"/>
        </w:trPr>
        <w:tc>
          <w:tcPr>
            <w:tcW w:w="1474" w:type="dxa"/>
            <w:vMerge/>
            <w:tcBorders>
              <w:top w:val="single" w:sz="4" w:space="0" w:color="auto"/>
              <w:left w:val="nil"/>
              <w:bottom w:val="single" w:sz="4" w:space="0" w:color="000000"/>
              <w:right w:val="single" w:sz="4" w:space="0" w:color="auto"/>
            </w:tcBorders>
            <w:vAlign w:val="center"/>
            <w:hideMark/>
          </w:tcPr>
          <w:p w14:paraId="2B54FEF9" w14:textId="77777777" w:rsidR="00425FEB" w:rsidRPr="00B61F35" w:rsidRDefault="00425FEB" w:rsidP="0097475C">
            <w:pPr>
              <w:spacing w:after="0" w:line="240" w:lineRule="auto"/>
              <w:rPr>
                <w:rFonts w:cs="Arial"/>
                <w:color w:val="000000"/>
                <w:sz w:val="16"/>
                <w:szCs w:val="16"/>
              </w:rPr>
            </w:pPr>
          </w:p>
        </w:tc>
        <w:tc>
          <w:tcPr>
            <w:tcW w:w="1609" w:type="dxa"/>
            <w:vMerge/>
            <w:tcBorders>
              <w:left w:val="single" w:sz="4" w:space="0" w:color="auto"/>
              <w:bottom w:val="single" w:sz="4" w:space="0" w:color="000000"/>
              <w:right w:val="nil"/>
            </w:tcBorders>
            <w:vAlign w:val="center"/>
            <w:hideMark/>
          </w:tcPr>
          <w:p w14:paraId="76C65BEA" w14:textId="77777777" w:rsidR="00425FEB" w:rsidRPr="00B61F35" w:rsidRDefault="00425FEB" w:rsidP="0097475C">
            <w:pPr>
              <w:spacing w:after="0" w:line="240" w:lineRule="auto"/>
              <w:rPr>
                <w:rFonts w:cs="Arial"/>
                <w:b/>
                <w:bCs/>
                <w:color w:val="000000"/>
                <w:sz w:val="16"/>
                <w:szCs w:val="16"/>
              </w:rPr>
            </w:pPr>
          </w:p>
        </w:tc>
        <w:tc>
          <w:tcPr>
            <w:tcW w:w="1252" w:type="dxa"/>
            <w:tcBorders>
              <w:top w:val="nil"/>
              <w:left w:val="single" w:sz="4" w:space="0" w:color="auto"/>
              <w:bottom w:val="single" w:sz="4" w:space="0" w:color="auto"/>
              <w:right w:val="single" w:sz="4" w:space="0" w:color="auto"/>
            </w:tcBorders>
            <w:shd w:val="clear" w:color="000000" w:fill="F2DBDB"/>
            <w:vAlign w:val="center"/>
            <w:hideMark/>
          </w:tcPr>
          <w:p w14:paraId="32C10876"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muži</w:t>
            </w:r>
          </w:p>
        </w:tc>
        <w:tc>
          <w:tcPr>
            <w:tcW w:w="1254" w:type="dxa"/>
            <w:tcBorders>
              <w:top w:val="nil"/>
              <w:left w:val="nil"/>
              <w:bottom w:val="single" w:sz="4" w:space="0" w:color="auto"/>
              <w:right w:val="single" w:sz="4" w:space="0" w:color="auto"/>
            </w:tcBorders>
            <w:shd w:val="clear" w:color="000000" w:fill="F2DBDB"/>
            <w:vAlign w:val="center"/>
            <w:hideMark/>
          </w:tcPr>
          <w:p w14:paraId="326E5270"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ženy</w:t>
            </w:r>
          </w:p>
        </w:tc>
        <w:tc>
          <w:tcPr>
            <w:tcW w:w="1610" w:type="dxa"/>
            <w:vMerge/>
            <w:tcBorders>
              <w:left w:val="single" w:sz="4" w:space="0" w:color="auto"/>
              <w:bottom w:val="single" w:sz="4" w:space="0" w:color="000000"/>
              <w:right w:val="nil"/>
            </w:tcBorders>
            <w:vAlign w:val="center"/>
            <w:hideMark/>
          </w:tcPr>
          <w:p w14:paraId="4D5D55AC" w14:textId="77777777" w:rsidR="00425FEB" w:rsidRPr="00B61F35" w:rsidRDefault="00425FEB" w:rsidP="0097475C">
            <w:pPr>
              <w:spacing w:after="0" w:line="240" w:lineRule="auto"/>
              <w:rPr>
                <w:rFonts w:cs="Arial"/>
                <w:b/>
                <w:bCs/>
                <w:color w:val="000000"/>
                <w:sz w:val="16"/>
                <w:szCs w:val="16"/>
              </w:rPr>
            </w:pPr>
          </w:p>
        </w:tc>
        <w:tc>
          <w:tcPr>
            <w:tcW w:w="1252" w:type="dxa"/>
            <w:tcBorders>
              <w:top w:val="nil"/>
              <w:left w:val="single" w:sz="4" w:space="0" w:color="auto"/>
              <w:bottom w:val="single" w:sz="4" w:space="0" w:color="auto"/>
              <w:right w:val="single" w:sz="4" w:space="0" w:color="auto"/>
            </w:tcBorders>
            <w:shd w:val="clear" w:color="000000" w:fill="F2DBDB"/>
            <w:vAlign w:val="center"/>
            <w:hideMark/>
          </w:tcPr>
          <w:p w14:paraId="10AC902A"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muži</w:t>
            </w:r>
          </w:p>
        </w:tc>
        <w:tc>
          <w:tcPr>
            <w:tcW w:w="1254" w:type="dxa"/>
            <w:tcBorders>
              <w:top w:val="nil"/>
              <w:left w:val="nil"/>
              <w:bottom w:val="single" w:sz="4" w:space="0" w:color="auto"/>
              <w:right w:val="nil"/>
            </w:tcBorders>
            <w:shd w:val="clear" w:color="000000" w:fill="F2DBDB"/>
            <w:vAlign w:val="center"/>
            <w:hideMark/>
          </w:tcPr>
          <w:p w14:paraId="47234538"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ženy</w:t>
            </w:r>
          </w:p>
        </w:tc>
      </w:tr>
      <w:tr w:rsidR="00425FEB" w:rsidRPr="00B61F35" w14:paraId="748A6264" w14:textId="77777777" w:rsidTr="0097475C">
        <w:trPr>
          <w:trHeight w:val="300"/>
        </w:trPr>
        <w:tc>
          <w:tcPr>
            <w:tcW w:w="1474" w:type="dxa"/>
            <w:vMerge/>
            <w:tcBorders>
              <w:top w:val="single" w:sz="4" w:space="0" w:color="auto"/>
              <w:left w:val="nil"/>
              <w:bottom w:val="single" w:sz="4" w:space="0" w:color="000000"/>
              <w:right w:val="single" w:sz="4" w:space="0" w:color="auto"/>
            </w:tcBorders>
            <w:vAlign w:val="center"/>
            <w:hideMark/>
          </w:tcPr>
          <w:p w14:paraId="7703A25E" w14:textId="77777777" w:rsidR="00425FEB" w:rsidRPr="00B61F35" w:rsidRDefault="00425FEB" w:rsidP="0097475C">
            <w:pPr>
              <w:spacing w:after="0" w:line="240" w:lineRule="auto"/>
              <w:rPr>
                <w:rFonts w:cs="Arial"/>
                <w:color w:val="000000"/>
                <w:sz w:val="16"/>
                <w:szCs w:val="16"/>
              </w:rPr>
            </w:pPr>
          </w:p>
        </w:tc>
        <w:tc>
          <w:tcPr>
            <w:tcW w:w="8249" w:type="dxa"/>
            <w:gridSpan w:val="7"/>
            <w:tcBorders>
              <w:top w:val="single" w:sz="4" w:space="0" w:color="auto"/>
              <w:left w:val="nil"/>
              <w:bottom w:val="single" w:sz="4" w:space="0" w:color="auto"/>
              <w:right w:val="nil"/>
            </w:tcBorders>
            <w:shd w:val="clear" w:color="000000" w:fill="F2DBDB"/>
            <w:vAlign w:val="center"/>
            <w:hideMark/>
          </w:tcPr>
          <w:p w14:paraId="6178DB85" w14:textId="77777777" w:rsidR="00425FEB" w:rsidRPr="00B61F35" w:rsidRDefault="00425FEB" w:rsidP="0097475C">
            <w:pPr>
              <w:spacing w:after="0" w:line="240" w:lineRule="auto"/>
              <w:jc w:val="center"/>
              <w:rPr>
                <w:rFonts w:cs="Arial"/>
                <w:b/>
                <w:bCs/>
                <w:color w:val="000000"/>
                <w:sz w:val="16"/>
                <w:szCs w:val="16"/>
              </w:rPr>
            </w:pPr>
            <w:r w:rsidRPr="00B61F35">
              <w:rPr>
                <w:rFonts w:cs="Arial"/>
                <w:b/>
                <w:bCs/>
                <w:color w:val="000000"/>
                <w:sz w:val="16"/>
                <w:szCs w:val="16"/>
              </w:rPr>
              <w:t>2019</w:t>
            </w:r>
          </w:p>
        </w:tc>
      </w:tr>
      <w:tr w:rsidR="00425FEB" w:rsidRPr="00B61F35" w14:paraId="26523D2A" w14:textId="77777777" w:rsidTr="0097475C">
        <w:trPr>
          <w:gridAfter w:val="1"/>
          <w:wAfter w:w="18" w:type="dxa"/>
          <w:trHeight w:val="300"/>
        </w:trPr>
        <w:tc>
          <w:tcPr>
            <w:tcW w:w="1474" w:type="dxa"/>
            <w:tcBorders>
              <w:top w:val="nil"/>
              <w:left w:val="nil"/>
              <w:bottom w:val="nil"/>
              <w:right w:val="single" w:sz="4" w:space="0" w:color="auto"/>
            </w:tcBorders>
            <w:shd w:val="clear" w:color="auto" w:fill="auto"/>
            <w:vAlign w:val="center"/>
            <w:hideMark/>
          </w:tcPr>
          <w:p w14:paraId="7BED97CD" w14:textId="77777777" w:rsidR="00425FEB" w:rsidRPr="00B61F35" w:rsidRDefault="00425FEB" w:rsidP="0097475C">
            <w:pPr>
              <w:spacing w:after="0" w:line="240" w:lineRule="auto"/>
              <w:rPr>
                <w:rFonts w:cs="Arial"/>
                <w:b/>
                <w:bCs/>
                <w:color w:val="000000"/>
                <w:sz w:val="16"/>
                <w:szCs w:val="16"/>
              </w:rPr>
            </w:pPr>
            <w:r w:rsidRPr="00B61F35">
              <w:rPr>
                <w:rFonts w:cs="Arial"/>
                <w:b/>
                <w:bCs/>
                <w:color w:val="000000"/>
                <w:sz w:val="16"/>
                <w:szCs w:val="16"/>
              </w:rPr>
              <w:t>Celkem</w:t>
            </w:r>
          </w:p>
        </w:tc>
        <w:tc>
          <w:tcPr>
            <w:tcW w:w="1609" w:type="dxa"/>
            <w:tcBorders>
              <w:top w:val="nil"/>
              <w:left w:val="nil"/>
              <w:bottom w:val="nil"/>
              <w:right w:val="nil"/>
            </w:tcBorders>
            <w:shd w:val="clear" w:color="auto" w:fill="auto"/>
            <w:vAlign w:val="center"/>
            <w:hideMark/>
          </w:tcPr>
          <w:p w14:paraId="64E58EE1" w14:textId="77777777" w:rsidR="00425FEB" w:rsidRPr="00B61F35" w:rsidRDefault="00425FEB" w:rsidP="0097475C">
            <w:pPr>
              <w:spacing w:after="0" w:line="240" w:lineRule="auto"/>
              <w:jc w:val="right"/>
              <w:rPr>
                <w:rFonts w:cs="Arial"/>
                <w:b/>
                <w:bCs/>
                <w:color w:val="000000"/>
                <w:sz w:val="16"/>
                <w:szCs w:val="16"/>
              </w:rPr>
            </w:pPr>
            <w:r w:rsidRPr="00B61F35">
              <w:rPr>
                <w:rFonts w:cs="Arial"/>
                <w:b/>
                <w:bCs/>
                <w:color w:val="000000"/>
                <w:sz w:val="16"/>
                <w:szCs w:val="16"/>
              </w:rPr>
              <w:t>1 832,4</w:t>
            </w:r>
          </w:p>
        </w:tc>
        <w:tc>
          <w:tcPr>
            <w:tcW w:w="1252" w:type="dxa"/>
            <w:tcBorders>
              <w:top w:val="nil"/>
              <w:left w:val="nil"/>
              <w:bottom w:val="nil"/>
              <w:right w:val="nil"/>
            </w:tcBorders>
            <w:shd w:val="clear" w:color="auto" w:fill="auto"/>
            <w:vAlign w:val="center"/>
            <w:hideMark/>
          </w:tcPr>
          <w:p w14:paraId="55A72DDF" w14:textId="77777777" w:rsidR="00425FEB" w:rsidRPr="00B61F35" w:rsidRDefault="00425FEB" w:rsidP="0097475C">
            <w:pPr>
              <w:spacing w:after="0" w:line="240" w:lineRule="auto"/>
              <w:jc w:val="right"/>
              <w:rPr>
                <w:rFonts w:cs="Arial"/>
                <w:b/>
                <w:bCs/>
                <w:color w:val="000000"/>
                <w:sz w:val="16"/>
                <w:szCs w:val="16"/>
              </w:rPr>
            </w:pPr>
            <w:r w:rsidRPr="00B61F35">
              <w:rPr>
                <w:rFonts w:cs="Arial"/>
                <w:b/>
                <w:bCs/>
                <w:color w:val="000000"/>
                <w:sz w:val="16"/>
                <w:szCs w:val="16"/>
              </w:rPr>
              <w:t>862,4</w:t>
            </w:r>
          </w:p>
        </w:tc>
        <w:tc>
          <w:tcPr>
            <w:tcW w:w="1254" w:type="dxa"/>
            <w:tcBorders>
              <w:top w:val="nil"/>
              <w:left w:val="nil"/>
              <w:bottom w:val="nil"/>
              <w:right w:val="single" w:sz="4" w:space="0" w:color="auto"/>
            </w:tcBorders>
            <w:shd w:val="clear" w:color="auto" w:fill="auto"/>
            <w:vAlign w:val="center"/>
            <w:hideMark/>
          </w:tcPr>
          <w:p w14:paraId="09979F94" w14:textId="77777777" w:rsidR="00425FEB" w:rsidRPr="00B61F35" w:rsidRDefault="00425FEB" w:rsidP="0097475C">
            <w:pPr>
              <w:spacing w:after="0" w:line="240" w:lineRule="auto"/>
              <w:jc w:val="right"/>
              <w:rPr>
                <w:rFonts w:cs="Arial"/>
                <w:b/>
                <w:bCs/>
                <w:color w:val="000000"/>
                <w:sz w:val="16"/>
                <w:szCs w:val="16"/>
              </w:rPr>
            </w:pPr>
            <w:r w:rsidRPr="00B61F35">
              <w:rPr>
                <w:rFonts w:cs="Arial"/>
                <w:b/>
                <w:bCs/>
                <w:color w:val="000000"/>
                <w:sz w:val="16"/>
                <w:szCs w:val="16"/>
              </w:rPr>
              <w:t>970,1</w:t>
            </w:r>
          </w:p>
        </w:tc>
        <w:tc>
          <w:tcPr>
            <w:tcW w:w="1610" w:type="dxa"/>
            <w:tcBorders>
              <w:top w:val="nil"/>
              <w:left w:val="nil"/>
              <w:bottom w:val="nil"/>
              <w:right w:val="nil"/>
            </w:tcBorders>
            <w:shd w:val="clear" w:color="auto" w:fill="auto"/>
            <w:vAlign w:val="center"/>
            <w:hideMark/>
          </w:tcPr>
          <w:p w14:paraId="18D1A2E5" w14:textId="77777777" w:rsidR="00425FEB" w:rsidRPr="00B61F35" w:rsidRDefault="00425FEB" w:rsidP="0097475C">
            <w:pPr>
              <w:spacing w:after="0" w:line="240" w:lineRule="auto"/>
              <w:jc w:val="center"/>
              <w:rPr>
                <w:rFonts w:cs="Arial"/>
                <w:b/>
                <w:bCs/>
                <w:color w:val="000000"/>
                <w:sz w:val="16"/>
                <w:szCs w:val="16"/>
              </w:rPr>
            </w:pPr>
            <w:r w:rsidRPr="00B61F35">
              <w:rPr>
                <w:rFonts w:cs="Arial"/>
                <w:b/>
                <w:bCs/>
                <w:color w:val="000000"/>
                <w:sz w:val="16"/>
                <w:szCs w:val="16"/>
              </w:rPr>
              <w:t>41,0</w:t>
            </w:r>
          </w:p>
        </w:tc>
        <w:tc>
          <w:tcPr>
            <w:tcW w:w="1252" w:type="dxa"/>
            <w:tcBorders>
              <w:top w:val="nil"/>
              <w:left w:val="nil"/>
              <w:bottom w:val="nil"/>
              <w:right w:val="nil"/>
            </w:tcBorders>
            <w:shd w:val="clear" w:color="auto" w:fill="auto"/>
            <w:vAlign w:val="center"/>
            <w:hideMark/>
          </w:tcPr>
          <w:p w14:paraId="3D62F286" w14:textId="77777777" w:rsidR="00425FEB" w:rsidRPr="00B61F35" w:rsidRDefault="00425FEB" w:rsidP="0097475C">
            <w:pPr>
              <w:spacing w:after="0" w:line="240" w:lineRule="auto"/>
              <w:jc w:val="center"/>
              <w:rPr>
                <w:rFonts w:cs="Arial"/>
                <w:b/>
                <w:bCs/>
                <w:color w:val="000000"/>
                <w:sz w:val="16"/>
                <w:szCs w:val="16"/>
              </w:rPr>
            </w:pPr>
            <w:r w:rsidRPr="00B61F35">
              <w:rPr>
                <w:rFonts w:cs="Arial"/>
                <w:b/>
                <w:bCs/>
                <w:color w:val="000000"/>
                <w:sz w:val="16"/>
                <w:szCs w:val="16"/>
              </w:rPr>
              <w:t>39,1</w:t>
            </w:r>
          </w:p>
        </w:tc>
        <w:tc>
          <w:tcPr>
            <w:tcW w:w="1254" w:type="dxa"/>
            <w:tcBorders>
              <w:top w:val="nil"/>
              <w:left w:val="nil"/>
              <w:bottom w:val="nil"/>
              <w:right w:val="nil"/>
            </w:tcBorders>
            <w:shd w:val="clear" w:color="auto" w:fill="auto"/>
            <w:vAlign w:val="center"/>
            <w:hideMark/>
          </w:tcPr>
          <w:p w14:paraId="17FED586" w14:textId="77777777" w:rsidR="00425FEB" w:rsidRPr="00B61F35" w:rsidRDefault="00425FEB" w:rsidP="0097475C">
            <w:pPr>
              <w:spacing w:after="0" w:line="240" w:lineRule="auto"/>
              <w:jc w:val="center"/>
              <w:rPr>
                <w:rFonts w:cs="Arial"/>
                <w:b/>
                <w:bCs/>
                <w:color w:val="000000"/>
                <w:sz w:val="16"/>
                <w:szCs w:val="16"/>
              </w:rPr>
            </w:pPr>
            <w:r w:rsidRPr="00B61F35">
              <w:rPr>
                <w:rFonts w:cs="Arial"/>
                <w:b/>
                <w:bCs/>
                <w:color w:val="000000"/>
                <w:sz w:val="16"/>
                <w:szCs w:val="16"/>
              </w:rPr>
              <w:t>42,7</w:t>
            </w:r>
          </w:p>
        </w:tc>
      </w:tr>
      <w:tr w:rsidR="00425FEB" w:rsidRPr="00B61F35" w14:paraId="28AD0F09" w14:textId="77777777" w:rsidTr="0097475C">
        <w:trPr>
          <w:gridAfter w:val="1"/>
          <w:wAfter w:w="18" w:type="dxa"/>
          <w:trHeight w:val="300"/>
        </w:trPr>
        <w:tc>
          <w:tcPr>
            <w:tcW w:w="1474" w:type="dxa"/>
            <w:tcBorders>
              <w:top w:val="nil"/>
              <w:left w:val="nil"/>
              <w:bottom w:val="nil"/>
              <w:right w:val="single" w:sz="4" w:space="0" w:color="auto"/>
            </w:tcBorders>
            <w:shd w:val="clear" w:color="auto" w:fill="auto"/>
            <w:vAlign w:val="center"/>
            <w:hideMark/>
          </w:tcPr>
          <w:p w14:paraId="3C0132AC" w14:textId="77777777" w:rsidR="00425FEB" w:rsidRPr="00B61F35" w:rsidRDefault="00425FEB" w:rsidP="0097475C">
            <w:pPr>
              <w:spacing w:after="0" w:line="240" w:lineRule="auto"/>
              <w:ind w:firstLineChars="100" w:firstLine="160"/>
              <w:rPr>
                <w:rFonts w:cs="Arial"/>
                <w:color w:val="000000"/>
                <w:sz w:val="16"/>
                <w:szCs w:val="16"/>
              </w:rPr>
            </w:pPr>
            <w:r w:rsidRPr="00B61F35">
              <w:rPr>
                <w:rFonts w:cs="Arial"/>
                <w:color w:val="000000"/>
                <w:sz w:val="16"/>
                <w:szCs w:val="16"/>
              </w:rPr>
              <w:t>mladší 20 let</w:t>
            </w:r>
          </w:p>
        </w:tc>
        <w:tc>
          <w:tcPr>
            <w:tcW w:w="1609" w:type="dxa"/>
            <w:tcBorders>
              <w:top w:val="nil"/>
              <w:left w:val="nil"/>
              <w:bottom w:val="nil"/>
              <w:right w:val="nil"/>
            </w:tcBorders>
            <w:shd w:val="clear" w:color="auto" w:fill="auto"/>
            <w:vAlign w:val="center"/>
            <w:hideMark/>
          </w:tcPr>
          <w:p w14:paraId="1501D617" w14:textId="77777777" w:rsidR="00425FEB" w:rsidRPr="00B61F35" w:rsidRDefault="00425FEB" w:rsidP="0097475C">
            <w:pPr>
              <w:spacing w:after="0" w:line="240" w:lineRule="auto"/>
              <w:jc w:val="right"/>
              <w:rPr>
                <w:rFonts w:cs="Arial"/>
                <w:color w:val="000000"/>
                <w:sz w:val="16"/>
                <w:szCs w:val="16"/>
              </w:rPr>
            </w:pPr>
            <w:r w:rsidRPr="00B61F35">
              <w:rPr>
                <w:rFonts w:cs="Arial"/>
                <w:color w:val="000000"/>
                <w:sz w:val="16"/>
                <w:szCs w:val="16"/>
              </w:rPr>
              <w:t>25,1</w:t>
            </w:r>
          </w:p>
        </w:tc>
        <w:tc>
          <w:tcPr>
            <w:tcW w:w="1252" w:type="dxa"/>
            <w:tcBorders>
              <w:top w:val="nil"/>
              <w:left w:val="nil"/>
              <w:bottom w:val="nil"/>
              <w:right w:val="nil"/>
            </w:tcBorders>
            <w:shd w:val="clear" w:color="auto" w:fill="auto"/>
            <w:vAlign w:val="center"/>
            <w:hideMark/>
          </w:tcPr>
          <w:p w14:paraId="027EEF86" w14:textId="77777777" w:rsidR="00425FEB" w:rsidRPr="00B61F35" w:rsidRDefault="00425FEB" w:rsidP="0097475C">
            <w:pPr>
              <w:spacing w:after="0" w:line="240" w:lineRule="auto"/>
              <w:jc w:val="right"/>
              <w:rPr>
                <w:rFonts w:cs="Arial"/>
                <w:color w:val="000000"/>
                <w:sz w:val="16"/>
                <w:szCs w:val="16"/>
              </w:rPr>
            </w:pPr>
            <w:r w:rsidRPr="00B61F35">
              <w:rPr>
                <w:rFonts w:cs="Arial"/>
                <w:color w:val="000000"/>
                <w:sz w:val="16"/>
                <w:szCs w:val="16"/>
              </w:rPr>
              <w:t>13,8</w:t>
            </w:r>
          </w:p>
        </w:tc>
        <w:tc>
          <w:tcPr>
            <w:tcW w:w="1254" w:type="dxa"/>
            <w:tcBorders>
              <w:top w:val="nil"/>
              <w:left w:val="nil"/>
              <w:bottom w:val="nil"/>
              <w:right w:val="single" w:sz="4" w:space="0" w:color="auto"/>
            </w:tcBorders>
            <w:shd w:val="clear" w:color="auto" w:fill="auto"/>
            <w:vAlign w:val="center"/>
            <w:hideMark/>
          </w:tcPr>
          <w:p w14:paraId="5AB79FE0" w14:textId="77777777" w:rsidR="00425FEB" w:rsidRPr="00B61F35" w:rsidRDefault="00425FEB" w:rsidP="0097475C">
            <w:pPr>
              <w:spacing w:after="0" w:line="240" w:lineRule="auto"/>
              <w:jc w:val="right"/>
              <w:rPr>
                <w:rFonts w:cs="Arial"/>
                <w:color w:val="000000"/>
                <w:sz w:val="16"/>
                <w:szCs w:val="16"/>
              </w:rPr>
            </w:pPr>
            <w:r w:rsidRPr="00B61F35">
              <w:rPr>
                <w:rFonts w:cs="Arial"/>
                <w:color w:val="000000"/>
                <w:sz w:val="16"/>
                <w:szCs w:val="16"/>
              </w:rPr>
              <w:t>11,3</w:t>
            </w:r>
          </w:p>
        </w:tc>
        <w:tc>
          <w:tcPr>
            <w:tcW w:w="1610" w:type="dxa"/>
            <w:tcBorders>
              <w:top w:val="nil"/>
              <w:left w:val="nil"/>
              <w:bottom w:val="nil"/>
              <w:right w:val="nil"/>
            </w:tcBorders>
            <w:shd w:val="clear" w:color="auto" w:fill="auto"/>
            <w:vAlign w:val="center"/>
            <w:hideMark/>
          </w:tcPr>
          <w:p w14:paraId="517D370F"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17,9</w:t>
            </w:r>
          </w:p>
        </w:tc>
        <w:tc>
          <w:tcPr>
            <w:tcW w:w="1252" w:type="dxa"/>
            <w:tcBorders>
              <w:top w:val="nil"/>
              <w:left w:val="nil"/>
              <w:bottom w:val="nil"/>
              <w:right w:val="nil"/>
            </w:tcBorders>
            <w:shd w:val="clear" w:color="auto" w:fill="auto"/>
            <w:vAlign w:val="center"/>
            <w:hideMark/>
          </w:tcPr>
          <w:p w14:paraId="4BB60D65"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15,7</w:t>
            </w:r>
          </w:p>
        </w:tc>
        <w:tc>
          <w:tcPr>
            <w:tcW w:w="1254" w:type="dxa"/>
            <w:tcBorders>
              <w:top w:val="nil"/>
              <w:left w:val="nil"/>
              <w:bottom w:val="nil"/>
              <w:right w:val="nil"/>
            </w:tcBorders>
            <w:shd w:val="clear" w:color="auto" w:fill="auto"/>
            <w:vAlign w:val="center"/>
            <w:hideMark/>
          </w:tcPr>
          <w:p w14:paraId="222CB874"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20,5</w:t>
            </w:r>
          </w:p>
        </w:tc>
      </w:tr>
      <w:tr w:rsidR="00425FEB" w:rsidRPr="00B61F35" w14:paraId="28518D5D" w14:textId="77777777" w:rsidTr="0097475C">
        <w:trPr>
          <w:gridAfter w:val="1"/>
          <w:wAfter w:w="18" w:type="dxa"/>
          <w:trHeight w:val="300"/>
        </w:trPr>
        <w:tc>
          <w:tcPr>
            <w:tcW w:w="1474" w:type="dxa"/>
            <w:tcBorders>
              <w:top w:val="nil"/>
              <w:left w:val="nil"/>
              <w:bottom w:val="nil"/>
              <w:right w:val="single" w:sz="4" w:space="0" w:color="auto"/>
            </w:tcBorders>
            <w:shd w:val="clear" w:color="auto" w:fill="auto"/>
            <w:vAlign w:val="center"/>
            <w:hideMark/>
          </w:tcPr>
          <w:p w14:paraId="12269E65" w14:textId="77777777" w:rsidR="00425FEB" w:rsidRPr="00B61F35" w:rsidRDefault="00425FEB" w:rsidP="0097475C">
            <w:pPr>
              <w:spacing w:after="0" w:line="240" w:lineRule="auto"/>
              <w:ind w:firstLineChars="100" w:firstLine="160"/>
              <w:rPr>
                <w:rFonts w:cs="Arial"/>
                <w:color w:val="000000"/>
                <w:sz w:val="16"/>
                <w:szCs w:val="16"/>
              </w:rPr>
            </w:pPr>
            <w:r w:rsidRPr="00B61F35">
              <w:rPr>
                <w:rFonts w:cs="Arial"/>
                <w:color w:val="000000"/>
                <w:sz w:val="16"/>
                <w:szCs w:val="16"/>
              </w:rPr>
              <w:t>20–29 let</w:t>
            </w:r>
          </w:p>
        </w:tc>
        <w:tc>
          <w:tcPr>
            <w:tcW w:w="1609" w:type="dxa"/>
            <w:tcBorders>
              <w:top w:val="nil"/>
              <w:left w:val="nil"/>
              <w:bottom w:val="nil"/>
              <w:right w:val="nil"/>
            </w:tcBorders>
            <w:shd w:val="clear" w:color="auto" w:fill="auto"/>
            <w:vAlign w:val="center"/>
            <w:hideMark/>
          </w:tcPr>
          <w:p w14:paraId="6E973F29" w14:textId="77777777" w:rsidR="00425FEB" w:rsidRPr="00B61F35" w:rsidRDefault="00425FEB" w:rsidP="0097475C">
            <w:pPr>
              <w:spacing w:after="0" w:line="240" w:lineRule="auto"/>
              <w:jc w:val="right"/>
              <w:rPr>
                <w:rFonts w:cs="Arial"/>
                <w:color w:val="000000"/>
                <w:sz w:val="16"/>
                <w:szCs w:val="16"/>
              </w:rPr>
            </w:pPr>
            <w:r w:rsidRPr="00B61F35">
              <w:rPr>
                <w:rFonts w:cs="Arial"/>
                <w:color w:val="000000"/>
                <w:sz w:val="16"/>
                <w:szCs w:val="16"/>
              </w:rPr>
              <w:t>398,9</w:t>
            </w:r>
          </w:p>
        </w:tc>
        <w:tc>
          <w:tcPr>
            <w:tcW w:w="1252" w:type="dxa"/>
            <w:tcBorders>
              <w:top w:val="nil"/>
              <w:left w:val="nil"/>
              <w:bottom w:val="nil"/>
              <w:right w:val="nil"/>
            </w:tcBorders>
            <w:shd w:val="clear" w:color="auto" w:fill="auto"/>
            <w:vAlign w:val="center"/>
            <w:hideMark/>
          </w:tcPr>
          <w:p w14:paraId="3B5F0A1F" w14:textId="77777777" w:rsidR="00425FEB" w:rsidRPr="00B61F35" w:rsidRDefault="00425FEB" w:rsidP="0097475C">
            <w:pPr>
              <w:spacing w:after="0" w:line="240" w:lineRule="auto"/>
              <w:jc w:val="right"/>
              <w:rPr>
                <w:rFonts w:cs="Arial"/>
                <w:color w:val="000000"/>
                <w:sz w:val="16"/>
                <w:szCs w:val="16"/>
              </w:rPr>
            </w:pPr>
            <w:r w:rsidRPr="00B61F35">
              <w:rPr>
                <w:rFonts w:cs="Arial"/>
                <w:color w:val="000000"/>
                <w:sz w:val="16"/>
                <w:szCs w:val="16"/>
              </w:rPr>
              <w:t>210,1</w:t>
            </w:r>
          </w:p>
        </w:tc>
        <w:tc>
          <w:tcPr>
            <w:tcW w:w="1254" w:type="dxa"/>
            <w:tcBorders>
              <w:top w:val="nil"/>
              <w:left w:val="nil"/>
              <w:bottom w:val="nil"/>
              <w:right w:val="single" w:sz="4" w:space="0" w:color="auto"/>
            </w:tcBorders>
            <w:shd w:val="clear" w:color="auto" w:fill="auto"/>
            <w:vAlign w:val="center"/>
            <w:hideMark/>
          </w:tcPr>
          <w:p w14:paraId="48141569" w14:textId="77777777" w:rsidR="00425FEB" w:rsidRPr="00B61F35" w:rsidRDefault="00425FEB" w:rsidP="0097475C">
            <w:pPr>
              <w:spacing w:after="0" w:line="240" w:lineRule="auto"/>
              <w:jc w:val="right"/>
              <w:rPr>
                <w:rFonts w:cs="Arial"/>
                <w:color w:val="000000"/>
                <w:sz w:val="16"/>
                <w:szCs w:val="16"/>
              </w:rPr>
            </w:pPr>
            <w:r w:rsidRPr="00B61F35">
              <w:rPr>
                <w:rFonts w:cs="Arial"/>
                <w:color w:val="000000"/>
                <w:sz w:val="16"/>
                <w:szCs w:val="16"/>
              </w:rPr>
              <w:t>188,9</w:t>
            </w:r>
          </w:p>
        </w:tc>
        <w:tc>
          <w:tcPr>
            <w:tcW w:w="1610" w:type="dxa"/>
            <w:tcBorders>
              <w:top w:val="nil"/>
              <w:left w:val="nil"/>
              <w:bottom w:val="nil"/>
              <w:right w:val="nil"/>
            </w:tcBorders>
            <w:shd w:val="clear" w:color="auto" w:fill="auto"/>
            <w:vAlign w:val="center"/>
            <w:hideMark/>
          </w:tcPr>
          <w:p w14:paraId="4586484B"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25,8</w:t>
            </w:r>
          </w:p>
        </w:tc>
        <w:tc>
          <w:tcPr>
            <w:tcW w:w="1252" w:type="dxa"/>
            <w:tcBorders>
              <w:top w:val="nil"/>
              <w:left w:val="nil"/>
              <w:bottom w:val="nil"/>
              <w:right w:val="nil"/>
            </w:tcBorders>
            <w:shd w:val="clear" w:color="auto" w:fill="auto"/>
            <w:vAlign w:val="center"/>
            <w:hideMark/>
          </w:tcPr>
          <w:p w14:paraId="4B903558"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20,9</w:t>
            </w:r>
          </w:p>
        </w:tc>
        <w:tc>
          <w:tcPr>
            <w:tcW w:w="1254" w:type="dxa"/>
            <w:tcBorders>
              <w:top w:val="nil"/>
              <w:left w:val="nil"/>
              <w:bottom w:val="nil"/>
              <w:right w:val="nil"/>
            </w:tcBorders>
            <w:shd w:val="clear" w:color="auto" w:fill="auto"/>
            <w:vAlign w:val="center"/>
            <w:hideMark/>
          </w:tcPr>
          <w:p w14:paraId="765B5179"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31,2</w:t>
            </w:r>
          </w:p>
        </w:tc>
      </w:tr>
      <w:tr w:rsidR="00425FEB" w:rsidRPr="00B61F35" w14:paraId="5F5C5E5A" w14:textId="77777777" w:rsidTr="0097475C">
        <w:trPr>
          <w:gridAfter w:val="1"/>
          <w:wAfter w:w="18" w:type="dxa"/>
          <w:trHeight w:val="300"/>
        </w:trPr>
        <w:tc>
          <w:tcPr>
            <w:tcW w:w="1474" w:type="dxa"/>
            <w:tcBorders>
              <w:top w:val="nil"/>
              <w:left w:val="nil"/>
              <w:bottom w:val="nil"/>
              <w:right w:val="single" w:sz="4" w:space="0" w:color="auto"/>
            </w:tcBorders>
            <w:shd w:val="clear" w:color="auto" w:fill="auto"/>
            <w:vAlign w:val="center"/>
            <w:hideMark/>
          </w:tcPr>
          <w:p w14:paraId="5BA8ECBE" w14:textId="77777777" w:rsidR="00425FEB" w:rsidRPr="00B61F35" w:rsidRDefault="00425FEB" w:rsidP="0097475C">
            <w:pPr>
              <w:spacing w:after="0" w:line="240" w:lineRule="auto"/>
              <w:ind w:firstLineChars="100" w:firstLine="160"/>
              <w:rPr>
                <w:rFonts w:cs="Arial"/>
                <w:color w:val="000000"/>
                <w:sz w:val="16"/>
                <w:szCs w:val="16"/>
              </w:rPr>
            </w:pPr>
            <w:r w:rsidRPr="00B61F35">
              <w:rPr>
                <w:rFonts w:cs="Arial"/>
                <w:color w:val="000000"/>
                <w:sz w:val="16"/>
                <w:szCs w:val="16"/>
              </w:rPr>
              <w:t>30–39 let</w:t>
            </w:r>
          </w:p>
        </w:tc>
        <w:tc>
          <w:tcPr>
            <w:tcW w:w="1609" w:type="dxa"/>
            <w:tcBorders>
              <w:top w:val="nil"/>
              <w:left w:val="nil"/>
              <w:bottom w:val="nil"/>
              <w:right w:val="nil"/>
            </w:tcBorders>
            <w:shd w:val="clear" w:color="auto" w:fill="auto"/>
            <w:vAlign w:val="center"/>
            <w:hideMark/>
          </w:tcPr>
          <w:p w14:paraId="7A8F2B8F" w14:textId="77777777" w:rsidR="00425FEB" w:rsidRPr="00B61F35" w:rsidRDefault="00425FEB" w:rsidP="0097475C">
            <w:pPr>
              <w:spacing w:after="0" w:line="240" w:lineRule="auto"/>
              <w:jc w:val="right"/>
              <w:rPr>
                <w:rFonts w:cs="Arial"/>
                <w:color w:val="000000"/>
                <w:sz w:val="16"/>
                <w:szCs w:val="16"/>
              </w:rPr>
            </w:pPr>
            <w:r w:rsidRPr="00B61F35">
              <w:rPr>
                <w:rFonts w:cs="Arial"/>
                <w:color w:val="000000"/>
                <w:sz w:val="16"/>
                <w:szCs w:val="16"/>
              </w:rPr>
              <w:t>397,5</w:t>
            </w:r>
          </w:p>
        </w:tc>
        <w:tc>
          <w:tcPr>
            <w:tcW w:w="1252" w:type="dxa"/>
            <w:tcBorders>
              <w:top w:val="nil"/>
              <w:left w:val="nil"/>
              <w:bottom w:val="nil"/>
              <w:right w:val="nil"/>
            </w:tcBorders>
            <w:shd w:val="clear" w:color="auto" w:fill="auto"/>
            <w:vAlign w:val="center"/>
            <w:hideMark/>
          </w:tcPr>
          <w:p w14:paraId="6186F46C" w14:textId="77777777" w:rsidR="00425FEB" w:rsidRPr="00B61F35" w:rsidRDefault="00425FEB" w:rsidP="0097475C">
            <w:pPr>
              <w:spacing w:after="0" w:line="240" w:lineRule="auto"/>
              <w:jc w:val="right"/>
              <w:rPr>
                <w:rFonts w:cs="Arial"/>
                <w:color w:val="000000"/>
                <w:sz w:val="16"/>
                <w:szCs w:val="16"/>
              </w:rPr>
            </w:pPr>
            <w:r w:rsidRPr="00B61F35">
              <w:rPr>
                <w:rFonts w:cs="Arial"/>
                <w:color w:val="000000"/>
                <w:sz w:val="16"/>
                <w:szCs w:val="16"/>
              </w:rPr>
              <w:t>200,4</w:t>
            </w:r>
          </w:p>
        </w:tc>
        <w:tc>
          <w:tcPr>
            <w:tcW w:w="1254" w:type="dxa"/>
            <w:tcBorders>
              <w:top w:val="nil"/>
              <w:left w:val="nil"/>
              <w:bottom w:val="nil"/>
              <w:right w:val="single" w:sz="4" w:space="0" w:color="auto"/>
            </w:tcBorders>
            <w:shd w:val="clear" w:color="auto" w:fill="auto"/>
            <w:vAlign w:val="center"/>
            <w:hideMark/>
          </w:tcPr>
          <w:p w14:paraId="115BCD98" w14:textId="77777777" w:rsidR="00425FEB" w:rsidRPr="00B61F35" w:rsidRDefault="00425FEB" w:rsidP="0097475C">
            <w:pPr>
              <w:spacing w:after="0" w:line="240" w:lineRule="auto"/>
              <w:jc w:val="right"/>
              <w:rPr>
                <w:rFonts w:cs="Arial"/>
                <w:color w:val="000000"/>
                <w:sz w:val="16"/>
                <w:szCs w:val="16"/>
              </w:rPr>
            </w:pPr>
            <w:r w:rsidRPr="00B61F35">
              <w:rPr>
                <w:rFonts w:cs="Arial"/>
                <w:color w:val="000000"/>
                <w:sz w:val="16"/>
                <w:szCs w:val="16"/>
              </w:rPr>
              <w:t>197,2</w:t>
            </w:r>
          </w:p>
        </w:tc>
        <w:tc>
          <w:tcPr>
            <w:tcW w:w="1610" w:type="dxa"/>
            <w:tcBorders>
              <w:top w:val="nil"/>
              <w:left w:val="nil"/>
              <w:bottom w:val="nil"/>
              <w:right w:val="nil"/>
            </w:tcBorders>
            <w:shd w:val="clear" w:color="auto" w:fill="auto"/>
            <w:vAlign w:val="center"/>
            <w:hideMark/>
          </w:tcPr>
          <w:p w14:paraId="09EB0B73"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33,7</w:t>
            </w:r>
          </w:p>
        </w:tc>
        <w:tc>
          <w:tcPr>
            <w:tcW w:w="1252" w:type="dxa"/>
            <w:tcBorders>
              <w:top w:val="nil"/>
              <w:left w:val="nil"/>
              <w:bottom w:val="nil"/>
              <w:right w:val="nil"/>
            </w:tcBorders>
            <w:shd w:val="clear" w:color="auto" w:fill="auto"/>
            <w:vAlign w:val="center"/>
            <w:hideMark/>
          </w:tcPr>
          <w:p w14:paraId="1922FC58"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28,7</w:t>
            </w:r>
          </w:p>
        </w:tc>
        <w:tc>
          <w:tcPr>
            <w:tcW w:w="1254" w:type="dxa"/>
            <w:tcBorders>
              <w:top w:val="nil"/>
              <w:left w:val="nil"/>
              <w:bottom w:val="nil"/>
              <w:right w:val="nil"/>
            </w:tcBorders>
            <w:shd w:val="clear" w:color="auto" w:fill="auto"/>
            <w:vAlign w:val="center"/>
            <w:hideMark/>
          </w:tcPr>
          <w:p w14:paraId="6E376CF8"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38,8</w:t>
            </w:r>
          </w:p>
        </w:tc>
      </w:tr>
      <w:tr w:rsidR="00425FEB" w:rsidRPr="00B61F35" w14:paraId="44C22A77" w14:textId="77777777" w:rsidTr="0097475C">
        <w:trPr>
          <w:gridAfter w:val="1"/>
          <w:wAfter w:w="18" w:type="dxa"/>
          <w:trHeight w:val="300"/>
        </w:trPr>
        <w:tc>
          <w:tcPr>
            <w:tcW w:w="1474" w:type="dxa"/>
            <w:tcBorders>
              <w:top w:val="nil"/>
              <w:left w:val="nil"/>
              <w:bottom w:val="nil"/>
              <w:right w:val="single" w:sz="4" w:space="0" w:color="auto"/>
            </w:tcBorders>
            <w:shd w:val="clear" w:color="auto" w:fill="auto"/>
            <w:vAlign w:val="center"/>
            <w:hideMark/>
          </w:tcPr>
          <w:p w14:paraId="759C9110" w14:textId="77777777" w:rsidR="00425FEB" w:rsidRPr="00B61F35" w:rsidRDefault="00425FEB" w:rsidP="0097475C">
            <w:pPr>
              <w:spacing w:after="0" w:line="240" w:lineRule="auto"/>
              <w:ind w:firstLineChars="100" w:firstLine="160"/>
              <w:rPr>
                <w:rFonts w:cs="Arial"/>
                <w:color w:val="000000"/>
                <w:sz w:val="16"/>
                <w:szCs w:val="16"/>
              </w:rPr>
            </w:pPr>
            <w:r w:rsidRPr="00B61F35">
              <w:rPr>
                <w:rFonts w:cs="Arial"/>
                <w:color w:val="000000"/>
                <w:sz w:val="16"/>
                <w:szCs w:val="16"/>
              </w:rPr>
              <w:t>40–49 let</w:t>
            </w:r>
          </w:p>
        </w:tc>
        <w:tc>
          <w:tcPr>
            <w:tcW w:w="1609" w:type="dxa"/>
            <w:tcBorders>
              <w:top w:val="nil"/>
              <w:left w:val="nil"/>
              <w:bottom w:val="nil"/>
              <w:right w:val="nil"/>
            </w:tcBorders>
            <w:shd w:val="clear" w:color="auto" w:fill="auto"/>
            <w:vAlign w:val="center"/>
            <w:hideMark/>
          </w:tcPr>
          <w:p w14:paraId="12760202" w14:textId="77777777" w:rsidR="00425FEB" w:rsidRPr="00B61F35" w:rsidRDefault="00425FEB" w:rsidP="0097475C">
            <w:pPr>
              <w:spacing w:after="0" w:line="240" w:lineRule="auto"/>
              <w:jc w:val="right"/>
              <w:rPr>
                <w:rFonts w:cs="Arial"/>
                <w:color w:val="000000"/>
                <w:sz w:val="16"/>
                <w:szCs w:val="16"/>
              </w:rPr>
            </w:pPr>
            <w:r w:rsidRPr="00B61F35">
              <w:rPr>
                <w:rFonts w:cs="Arial"/>
                <w:color w:val="000000"/>
                <w:sz w:val="16"/>
                <w:szCs w:val="16"/>
              </w:rPr>
              <w:t>469,8</w:t>
            </w:r>
          </w:p>
        </w:tc>
        <w:tc>
          <w:tcPr>
            <w:tcW w:w="1252" w:type="dxa"/>
            <w:tcBorders>
              <w:top w:val="nil"/>
              <w:left w:val="nil"/>
              <w:bottom w:val="nil"/>
              <w:right w:val="nil"/>
            </w:tcBorders>
            <w:shd w:val="clear" w:color="auto" w:fill="auto"/>
            <w:vAlign w:val="center"/>
            <w:hideMark/>
          </w:tcPr>
          <w:p w14:paraId="5437CF7B" w14:textId="77777777" w:rsidR="00425FEB" w:rsidRPr="00B61F35" w:rsidRDefault="00425FEB" w:rsidP="0097475C">
            <w:pPr>
              <w:spacing w:after="0" w:line="240" w:lineRule="auto"/>
              <w:jc w:val="right"/>
              <w:rPr>
                <w:rFonts w:cs="Arial"/>
                <w:color w:val="000000"/>
                <w:sz w:val="16"/>
                <w:szCs w:val="16"/>
              </w:rPr>
            </w:pPr>
            <w:r w:rsidRPr="00B61F35">
              <w:rPr>
                <w:rFonts w:cs="Arial"/>
                <w:color w:val="000000"/>
                <w:sz w:val="16"/>
                <w:szCs w:val="16"/>
              </w:rPr>
              <w:t>195,8</w:t>
            </w:r>
          </w:p>
        </w:tc>
        <w:tc>
          <w:tcPr>
            <w:tcW w:w="1254" w:type="dxa"/>
            <w:tcBorders>
              <w:top w:val="nil"/>
              <w:left w:val="nil"/>
              <w:bottom w:val="nil"/>
              <w:right w:val="single" w:sz="4" w:space="0" w:color="auto"/>
            </w:tcBorders>
            <w:shd w:val="clear" w:color="auto" w:fill="auto"/>
            <w:vAlign w:val="center"/>
            <w:hideMark/>
          </w:tcPr>
          <w:p w14:paraId="7C1F89D5" w14:textId="77777777" w:rsidR="00425FEB" w:rsidRPr="00B61F35" w:rsidRDefault="00425FEB" w:rsidP="0097475C">
            <w:pPr>
              <w:spacing w:after="0" w:line="240" w:lineRule="auto"/>
              <w:jc w:val="right"/>
              <w:rPr>
                <w:rFonts w:cs="Arial"/>
                <w:color w:val="000000"/>
                <w:sz w:val="16"/>
                <w:szCs w:val="16"/>
              </w:rPr>
            </w:pPr>
            <w:r w:rsidRPr="00B61F35">
              <w:rPr>
                <w:rFonts w:cs="Arial"/>
                <w:color w:val="000000"/>
                <w:sz w:val="16"/>
                <w:szCs w:val="16"/>
              </w:rPr>
              <w:t>274,0</w:t>
            </w:r>
          </w:p>
        </w:tc>
        <w:tc>
          <w:tcPr>
            <w:tcW w:w="1610" w:type="dxa"/>
            <w:tcBorders>
              <w:top w:val="nil"/>
              <w:left w:val="nil"/>
              <w:bottom w:val="nil"/>
              <w:right w:val="nil"/>
            </w:tcBorders>
            <w:shd w:val="clear" w:color="auto" w:fill="auto"/>
            <w:vAlign w:val="center"/>
            <w:hideMark/>
          </w:tcPr>
          <w:p w14:paraId="60F79CA6"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42,2</w:t>
            </w:r>
          </w:p>
        </w:tc>
        <w:tc>
          <w:tcPr>
            <w:tcW w:w="1252" w:type="dxa"/>
            <w:tcBorders>
              <w:top w:val="nil"/>
              <w:left w:val="nil"/>
              <w:bottom w:val="nil"/>
              <w:right w:val="nil"/>
            </w:tcBorders>
            <w:shd w:val="clear" w:color="auto" w:fill="auto"/>
            <w:vAlign w:val="center"/>
            <w:hideMark/>
          </w:tcPr>
          <w:p w14:paraId="16417847"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41,7</w:t>
            </w:r>
          </w:p>
        </w:tc>
        <w:tc>
          <w:tcPr>
            <w:tcW w:w="1254" w:type="dxa"/>
            <w:tcBorders>
              <w:top w:val="nil"/>
              <w:left w:val="nil"/>
              <w:bottom w:val="nil"/>
              <w:right w:val="nil"/>
            </w:tcBorders>
            <w:shd w:val="clear" w:color="auto" w:fill="auto"/>
            <w:vAlign w:val="center"/>
            <w:hideMark/>
          </w:tcPr>
          <w:p w14:paraId="68B00BD0"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42,6</w:t>
            </w:r>
          </w:p>
        </w:tc>
      </w:tr>
      <w:tr w:rsidR="00425FEB" w:rsidRPr="00B61F35" w14:paraId="38ED7280" w14:textId="77777777" w:rsidTr="0097475C">
        <w:trPr>
          <w:gridAfter w:val="1"/>
          <w:wAfter w:w="18" w:type="dxa"/>
          <w:trHeight w:val="300"/>
        </w:trPr>
        <w:tc>
          <w:tcPr>
            <w:tcW w:w="1474" w:type="dxa"/>
            <w:tcBorders>
              <w:top w:val="nil"/>
              <w:left w:val="nil"/>
              <w:bottom w:val="nil"/>
              <w:right w:val="single" w:sz="4" w:space="0" w:color="auto"/>
            </w:tcBorders>
            <w:shd w:val="clear" w:color="auto" w:fill="auto"/>
            <w:vAlign w:val="center"/>
            <w:hideMark/>
          </w:tcPr>
          <w:p w14:paraId="67E3F364" w14:textId="77777777" w:rsidR="00425FEB" w:rsidRPr="00B61F35" w:rsidRDefault="00425FEB" w:rsidP="0097475C">
            <w:pPr>
              <w:spacing w:after="0" w:line="240" w:lineRule="auto"/>
              <w:ind w:firstLineChars="100" w:firstLine="160"/>
              <w:rPr>
                <w:rFonts w:cs="Arial"/>
                <w:color w:val="000000"/>
                <w:sz w:val="16"/>
                <w:szCs w:val="16"/>
              </w:rPr>
            </w:pPr>
            <w:r w:rsidRPr="00B61F35">
              <w:rPr>
                <w:rFonts w:cs="Arial"/>
                <w:color w:val="000000"/>
                <w:sz w:val="16"/>
                <w:szCs w:val="16"/>
              </w:rPr>
              <w:t>50–59 let</w:t>
            </w:r>
          </w:p>
        </w:tc>
        <w:tc>
          <w:tcPr>
            <w:tcW w:w="1609" w:type="dxa"/>
            <w:tcBorders>
              <w:top w:val="nil"/>
              <w:left w:val="nil"/>
              <w:bottom w:val="nil"/>
              <w:right w:val="nil"/>
            </w:tcBorders>
            <w:shd w:val="clear" w:color="auto" w:fill="auto"/>
            <w:vAlign w:val="center"/>
            <w:hideMark/>
          </w:tcPr>
          <w:p w14:paraId="2EFD2D34" w14:textId="77777777" w:rsidR="00425FEB" w:rsidRPr="00B61F35" w:rsidRDefault="00425FEB" w:rsidP="0097475C">
            <w:pPr>
              <w:spacing w:after="0" w:line="240" w:lineRule="auto"/>
              <w:jc w:val="right"/>
              <w:rPr>
                <w:rFonts w:cs="Arial"/>
                <w:color w:val="000000"/>
                <w:sz w:val="16"/>
                <w:szCs w:val="16"/>
              </w:rPr>
            </w:pPr>
            <w:r w:rsidRPr="00B61F35">
              <w:rPr>
                <w:rFonts w:cs="Arial"/>
                <w:color w:val="000000"/>
                <w:sz w:val="16"/>
                <w:szCs w:val="16"/>
              </w:rPr>
              <w:t>411,8</w:t>
            </w:r>
          </w:p>
        </w:tc>
        <w:tc>
          <w:tcPr>
            <w:tcW w:w="1252" w:type="dxa"/>
            <w:tcBorders>
              <w:top w:val="nil"/>
              <w:left w:val="nil"/>
              <w:bottom w:val="nil"/>
              <w:right w:val="nil"/>
            </w:tcBorders>
            <w:shd w:val="clear" w:color="auto" w:fill="auto"/>
            <w:vAlign w:val="center"/>
            <w:hideMark/>
          </w:tcPr>
          <w:p w14:paraId="41BBF09E" w14:textId="77777777" w:rsidR="00425FEB" w:rsidRPr="00B61F35" w:rsidRDefault="00425FEB" w:rsidP="0097475C">
            <w:pPr>
              <w:spacing w:after="0" w:line="240" w:lineRule="auto"/>
              <w:jc w:val="right"/>
              <w:rPr>
                <w:rFonts w:cs="Arial"/>
                <w:color w:val="000000"/>
                <w:sz w:val="16"/>
                <w:szCs w:val="16"/>
              </w:rPr>
            </w:pPr>
            <w:r w:rsidRPr="00B61F35">
              <w:rPr>
                <w:rFonts w:cs="Arial"/>
                <w:color w:val="000000"/>
                <w:sz w:val="16"/>
                <w:szCs w:val="16"/>
              </w:rPr>
              <w:t>167,0</w:t>
            </w:r>
          </w:p>
        </w:tc>
        <w:tc>
          <w:tcPr>
            <w:tcW w:w="1254" w:type="dxa"/>
            <w:tcBorders>
              <w:top w:val="nil"/>
              <w:left w:val="nil"/>
              <w:bottom w:val="nil"/>
              <w:right w:val="single" w:sz="4" w:space="0" w:color="auto"/>
            </w:tcBorders>
            <w:shd w:val="clear" w:color="auto" w:fill="auto"/>
            <w:vAlign w:val="center"/>
            <w:hideMark/>
          </w:tcPr>
          <w:p w14:paraId="620AB73C" w14:textId="77777777" w:rsidR="00425FEB" w:rsidRPr="00B61F35" w:rsidRDefault="00425FEB" w:rsidP="0097475C">
            <w:pPr>
              <w:spacing w:after="0" w:line="240" w:lineRule="auto"/>
              <w:jc w:val="right"/>
              <w:rPr>
                <w:rFonts w:cs="Arial"/>
                <w:color w:val="000000"/>
                <w:sz w:val="16"/>
                <w:szCs w:val="16"/>
              </w:rPr>
            </w:pPr>
            <w:r w:rsidRPr="00B61F35">
              <w:rPr>
                <w:rFonts w:cs="Arial"/>
                <w:color w:val="000000"/>
                <w:sz w:val="16"/>
                <w:szCs w:val="16"/>
              </w:rPr>
              <w:t>244,7</w:t>
            </w:r>
          </w:p>
        </w:tc>
        <w:tc>
          <w:tcPr>
            <w:tcW w:w="1610" w:type="dxa"/>
            <w:tcBorders>
              <w:top w:val="nil"/>
              <w:left w:val="nil"/>
              <w:bottom w:val="nil"/>
              <w:right w:val="nil"/>
            </w:tcBorders>
            <w:shd w:val="clear" w:color="auto" w:fill="auto"/>
            <w:vAlign w:val="center"/>
            <w:hideMark/>
          </w:tcPr>
          <w:p w14:paraId="502470D5"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54,5</w:t>
            </w:r>
          </w:p>
        </w:tc>
        <w:tc>
          <w:tcPr>
            <w:tcW w:w="1252" w:type="dxa"/>
            <w:tcBorders>
              <w:top w:val="nil"/>
              <w:left w:val="nil"/>
              <w:bottom w:val="nil"/>
              <w:right w:val="nil"/>
            </w:tcBorders>
            <w:shd w:val="clear" w:color="auto" w:fill="auto"/>
            <w:vAlign w:val="center"/>
            <w:hideMark/>
          </w:tcPr>
          <w:p w14:paraId="210974C5"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56,9</w:t>
            </w:r>
          </w:p>
        </w:tc>
        <w:tc>
          <w:tcPr>
            <w:tcW w:w="1254" w:type="dxa"/>
            <w:tcBorders>
              <w:top w:val="nil"/>
              <w:left w:val="nil"/>
              <w:bottom w:val="nil"/>
              <w:right w:val="nil"/>
            </w:tcBorders>
            <w:shd w:val="clear" w:color="auto" w:fill="auto"/>
            <w:vAlign w:val="center"/>
            <w:hideMark/>
          </w:tcPr>
          <w:p w14:paraId="02D177CC"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52,9</w:t>
            </w:r>
          </w:p>
        </w:tc>
      </w:tr>
      <w:tr w:rsidR="00425FEB" w:rsidRPr="00B61F35" w14:paraId="21FD4A14" w14:textId="77777777" w:rsidTr="0097475C">
        <w:trPr>
          <w:gridAfter w:val="1"/>
          <w:wAfter w:w="18" w:type="dxa"/>
          <w:trHeight w:val="300"/>
        </w:trPr>
        <w:tc>
          <w:tcPr>
            <w:tcW w:w="1474" w:type="dxa"/>
            <w:tcBorders>
              <w:top w:val="nil"/>
              <w:left w:val="nil"/>
              <w:bottom w:val="nil"/>
              <w:right w:val="single" w:sz="4" w:space="0" w:color="auto"/>
            </w:tcBorders>
            <w:shd w:val="clear" w:color="auto" w:fill="auto"/>
            <w:vAlign w:val="center"/>
            <w:hideMark/>
          </w:tcPr>
          <w:p w14:paraId="084E647C" w14:textId="77777777" w:rsidR="00425FEB" w:rsidRPr="00B61F35" w:rsidRDefault="00425FEB" w:rsidP="0097475C">
            <w:pPr>
              <w:spacing w:after="0" w:line="240" w:lineRule="auto"/>
              <w:ind w:firstLineChars="100" w:firstLine="160"/>
              <w:rPr>
                <w:rFonts w:cs="Arial"/>
                <w:color w:val="000000"/>
                <w:sz w:val="16"/>
                <w:szCs w:val="16"/>
              </w:rPr>
            </w:pPr>
            <w:r w:rsidRPr="00B61F35">
              <w:rPr>
                <w:rFonts w:cs="Arial"/>
                <w:color w:val="000000"/>
                <w:sz w:val="16"/>
                <w:szCs w:val="16"/>
              </w:rPr>
              <w:t>60 a více let</w:t>
            </w:r>
          </w:p>
        </w:tc>
        <w:tc>
          <w:tcPr>
            <w:tcW w:w="1609" w:type="dxa"/>
            <w:tcBorders>
              <w:top w:val="nil"/>
              <w:left w:val="nil"/>
              <w:bottom w:val="nil"/>
              <w:right w:val="nil"/>
            </w:tcBorders>
            <w:shd w:val="clear" w:color="auto" w:fill="auto"/>
            <w:vAlign w:val="center"/>
            <w:hideMark/>
          </w:tcPr>
          <w:p w14:paraId="42719435" w14:textId="77777777" w:rsidR="00425FEB" w:rsidRPr="00B61F35" w:rsidRDefault="00425FEB" w:rsidP="0097475C">
            <w:pPr>
              <w:spacing w:after="0" w:line="240" w:lineRule="auto"/>
              <w:jc w:val="right"/>
              <w:rPr>
                <w:rFonts w:cs="Arial"/>
                <w:color w:val="000000"/>
                <w:sz w:val="16"/>
                <w:szCs w:val="16"/>
              </w:rPr>
            </w:pPr>
            <w:r w:rsidRPr="00B61F35">
              <w:rPr>
                <w:rFonts w:cs="Arial"/>
                <w:color w:val="000000"/>
                <w:sz w:val="16"/>
                <w:szCs w:val="16"/>
              </w:rPr>
              <w:t>129,2</w:t>
            </w:r>
          </w:p>
        </w:tc>
        <w:tc>
          <w:tcPr>
            <w:tcW w:w="1252" w:type="dxa"/>
            <w:tcBorders>
              <w:top w:val="nil"/>
              <w:left w:val="nil"/>
              <w:bottom w:val="nil"/>
              <w:right w:val="nil"/>
            </w:tcBorders>
            <w:shd w:val="clear" w:color="auto" w:fill="auto"/>
            <w:vAlign w:val="center"/>
            <w:hideMark/>
          </w:tcPr>
          <w:p w14:paraId="1A4F80B6" w14:textId="77777777" w:rsidR="00425FEB" w:rsidRPr="00B61F35" w:rsidRDefault="00425FEB" w:rsidP="0097475C">
            <w:pPr>
              <w:spacing w:after="0" w:line="240" w:lineRule="auto"/>
              <w:jc w:val="right"/>
              <w:rPr>
                <w:rFonts w:cs="Arial"/>
                <w:color w:val="000000"/>
                <w:sz w:val="16"/>
                <w:szCs w:val="16"/>
              </w:rPr>
            </w:pPr>
            <w:r w:rsidRPr="00B61F35">
              <w:rPr>
                <w:rFonts w:cs="Arial"/>
                <w:color w:val="000000"/>
                <w:sz w:val="16"/>
                <w:szCs w:val="16"/>
              </w:rPr>
              <w:t>75,3</w:t>
            </w:r>
          </w:p>
        </w:tc>
        <w:tc>
          <w:tcPr>
            <w:tcW w:w="1254" w:type="dxa"/>
            <w:tcBorders>
              <w:top w:val="nil"/>
              <w:left w:val="nil"/>
              <w:bottom w:val="nil"/>
              <w:right w:val="single" w:sz="4" w:space="0" w:color="auto"/>
            </w:tcBorders>
            <w:shd w:val="clear" w:color="auto" w:fill="auto"/>
            <w:vAlign w:val="center"/>
            <w:hideMark/>
          </w:tcPr>
          <w:p w14:paraId="77097638" w14:textId="77777777" w:rsidR="00425FEB" w:rsidRPr="00B61F35" w:rsidRDefault="00425FEB" w:rsidP="0097475C">
            <w:pPr>
              <w:spacing w:after="0" w:line="240" w:lineRule="auto"/>
              <w:jc w:val="right"/>
              <w:rPr>
                <w:rFonts w:cs="Arial"/>
                <w:color w:val="000000"/>
                <w:sz w:val="16"/>
                <w:szCs w:val="16"/>
              </w:rPr>
            </w:pPr>
            <w:r w:rsidRPr="00B61F35">
              <w:rPr>
                <w:rFonts w:cs="Arial"/>
                <w:color w:val="000000"/>
                <w:sz w:val="16"/>
                <w:szCs w:val="16"/>
              </w:rPr>
              <w:t>53,9</w:t>
            </w:r>
          </w:p>
        </w:tc>
        <w:tc>
          <w:tcPr>
            <w:tcW w:w="1610" w:type="dxa"/>
            <w:tcBorders>
              <w:top w:val="nil"/>
              <w:left w:val="nil"/>
              <w:bottom w:val="nil"/>
              <w:right w:val="nil"/>
            </w:tcBorders>
            <w:shd w:val="clear" w:color="auto" w:fill="auto"/>
            <w:vAlign w:val="center"/>
            <w:hideMark/>
          </w:tcPr>
          <w:p w14:paraId="410933B6"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66,9</w:t>
            </w:r>
          </w:p>
        </w:tc>
        <w:tc>
          <w:tcPr>
            <w:tcW w:w="1252" w:type="dxa"/>
            <w:tcBorders>
              <w:top w:val="nil"/>
              <w:left w:val="nil"/>
              <w:bottom w:val="nil"/>
              <w:right w:val="nil"/>
            </w:tcBorders>
            <w:shd w:val="clear" w:color="auto" w:fill="auto"/>
            <w:vAlign w:val="center"/>
            <w:hideMark/>
          </w:tcPr>
          <w:p w14:paraId="1911A037"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75,2</w:t>
            </w:r>
          </w:p>
        </w:tc>
        <w:tc>
          <w:tcPr>
            <w:tcW w:w="1254" w:type="dxa"/>
            <w:tcBorders>
              <w:top w:val="nil"/>
              <w:left w:val="nil"/>
              <w:bottom w:val="nil"/>
              <w:right w:val="nil"/>
            </w:tcBorders>
            <w:shd w:val="clear" w:color="auto" w:fill="auto"/>
            <w:vAlign w:val="center"/>
            <w:hideMark/>
          </w:tcPr>
          <w:p w14:paraId="543C2250"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55,5</w:t>
            </w:r>
          </w:p>
        </w:tc>
      </w:tr>
      <w:tr w:rsidR="00425FEB" w:rsidRPr="00B61F35" w14:paraId="44E1EC3E" w14:textId="77777777" w:rsidTr="0097475C">
        <w:trPr>
          <w:trHeight w:val="300"/>
        </w:trPr>
        <w:tc>
          <w:tcPr>
            <w:tcW w:w="1474" w:type="dxa"/>
            <w:tcBorders>
              <w:top w:val="single" w:sz="4" w:space="0" w:color="auto"/>
              <w:left w:val="nil"/>
              <w:bottom w:val="single" w:sz="4" w:space="0" w:color="auto"/>
              <w:right w:val="single" w:sz="4" w:space="0" w:color="auto"/>
            </w:tcBorders>
            <w:shd w:val="clear" w:color="000000" w:fill="F5DADD"/>
            <w:vAlign w:val="center"/>
            <w:hideMark/>
          </w:tcPr>
          <w:p w14:paraId="0D0FB424"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 </w:t>
            </w:r>
          </w:p>
        </w:tc>
        <w:tc>
          <w:tcPr>
            <w:tcW w:w="8249" w:type="dxa"/>
            <w:gridSpan w:val="7"/>
            <w:tcBorders>
              <w:top w:val="single" w:sz="4" w:space="0" w:color="auto"/>
              <w:left w:val="nil"/>
              <w:bottom w:val="single" w:sz="4" w:space="0" w:color="auto"/>
              <w:right w:val="nil"/>
            </w:tcBorders>
            <w:shd w:val="clear" w:color="000000" w:fill="F2DBDB"/>
            <w:vAlign w:val="center"/>
            <w:hideMark/>
          </w:tcPr>
          <w:p w14:paraId="2E7E7882" w14:textId="1C5AC67F" w:rsidR="00425FEB" w:rsidRPr="00B61F35" w:rsidRDefault="00425FEB" w:rsidP="00D264DA">
            <w:pPr>
              <w:spacing w:after="0" w:line="240" w:lineRule="auto"/>
              <w:jc w:val="center"/>
              <w:rPr>
                <w:rFonts w:cs="Arial"/>
                <w:b/>
                <w:bCs/>
                <w:color w:val="000000"/>
                <w:sz w:val="16"/>
                <w:szCs w:val="16"/>
              </w:rPr>
            </w:pPr>
            <w:r w:rsidRPr="00B61F35">
              <w:rPr>
                <w:rFonts w:cs="Arial"/>
                <w:b/>
                <w:bCs/>
                <w:color w:val="000000"/>
                <w:sz w:val="16"/>
                <w:szCs w:val="16"/>
              </w:rPr>
              <w:t>202</w:t>
            </w:r>
            <w:r w:rsidR="00D264DA">
              <w:rPr>
                <w:rFonts w:cs="Arial"/>
                <w:b/>
                <w:bCs/>
                <w:color w:val="000000"/>
                <w:sz w:val="16"/>
                <w:szCs w:val="16"/>
              </w:rPr>
              <w:t>1</w:t>
            </w:r>
          </w:p>
        </w:tc>
      </w:tr>
      <w:tr w:rsidR="00D264DA" w:rsidRPr="00B61F35" w14:paraId="4E125457" w14:textId="77777777" w:rsidTr="0097475C">
        <w:trPr>
          <w:gridAfter w:val="1"/>
          <w:wAfter w:w="18" w:type="dxa"/>
          <w:trHeight w:val="300"/>
        </w:trPr>
        <w:tc>
          <w:tcPr>
            <w:tcW w:w="1474" w:type="dxa"/>
            <w:tcBorders>
              <w:top w:val="nil"/>
              <w:left w:val="nil"/>
              <w:bottom w:val="nil"/>
              <w:right w:val="single" w:sz="4" w:space="0" w:color="auto"/>
            </w:tcBorders>
            <w:shd w:val="clear" w:color="auto" w:fill="auto"/>
            <w:vAlign w:val="center"/>
            <w:hideMark/>
          </w:tcPr>
          <w:p w14:paraId="2A30D846" w14:textId="77777777" w:rsidR="00D264DA" w:rsidRPr="00B61F35" w:rsidRDefault="00D264DA" w:rsidP="00D264DA">
            <w:pPr>
              <w:spacing w:after="0" w:line="240" w:lineRule="auto"/>
              <w:rPr>
                <w:rFonts w:cs="Arial"/>
                <w:b/>
                <w:bCs/>
                <w:color w:val="000000"/>
                <w:sz w:val="16"/>
                <w:szCs w:val="16"/>
              </w:rPr>
            </w:pPr>
            <w:r w:rsidRPr="00B61F35">
              <w:rPr>
                <w:rFonts w:cs="Arial"/>
                <w:b/>
                <w:bCs/>
                <w:color w:val="000000"/>
                <w:sz w:val="16"/>
                <w:szCs w:val="16"/>
              </w:rPr>
              <w:t>Celkem</w:t>
            </w:r>
          </w:p>
        </w:tc>
        <w:tc>
          <w:tcPr>
            <w:tcW w:w="1609" w:type="dxa"/>
            <w:tcBorders>
              <w:top w:val="nil"/>
              <w:left w:val="nil"/>
              <w:bottom w:val="nil"/>
              <w:right w:val="nil"/>
            </w:tcBorders>
            <w:shd w:val="clear" w:color="auto" w:fill="auto"/>
            <w:vAlign w:val="center"/>
            <w:hideMark/>
          </w:tcPr>
          <w:p w14:paraId="2EE5AF6D" w14:textId="17FB30B3" w:rsidR="00D264DA" w:rsidRPr="00B61F35" w:rsidRDefault="00D264DA" w:rsidP="00D264DA">
            <w:pPr>
              <w:spacing w:after="0" w:line="240" w:lineRule="auto"/>
              <w:jc w:val="right"/>
              <w:rPr>
                <w:rFonts w:cs="Arial"/>
                <w:b/>
                <w:bCs/>
                <w:color w:val="000000"/>
                <w:sz w:val="16"/>
                <w:szCs w:val="16"/>
              </w:rPr>
            </w:pPr>
            <w:r>
              <w:rPr>
                <w:rFonts w:cs="Arial"/>
                <w:b/>
                <w:bCs/>
                <w:color w:val="000000"/>
                <w:sz w:val="16"/>
                <w:szCs w:val="16"/>
              </w:rPr>
              <w:t>2 718,0</w:t>
            </w:r>
          </w:p>
        </w:tc>
        <w:tc>
          <w:tcPr>
            <w:tcW w:w="1252" w:type="dxa"/>
            <w:tcBorders>
              <w:top w:val="nil"/>
              <w:left w:val="nil"/>
              <w:bottom w:val="nil"/>
              <w:right w:val="nil"/>
            </w:tcBorders>
            <w:shd w:val="clear" w:color="auto" w:fill="auto"/>
            <w:vAlign w:val="center"/>
            <w:hideMark/>
          </w:tcPr>
          <w:p w14:paraId="3C87B2B4" w14:textId="700DC1BE" w:rsidR="00D264DA" w:rsidRPr="00B61F35" w:rsidRDefault="00D264DA" w:rsidP="00D264DA">
            <w:pPr>
              <w:spacing w:after="0" w:line="240" w:lineRule="auto"/>
              <w:jc w:val="right"/>
              <w:rPr>
                <w:rFonts w:cs="Arial"/>
                <w:b/>
                <w:bCs/>
                <w:color w:val="000000"/>
                <w:sz w:val="16"/>
                <w:szCs w:val="16"/>
              </w:rPr>
            </w:pPr>
            <w:r>
              <w:rPr>
                <w:rFonts w:cs="Arial"/>
                <w:b/>
                <w:bCs/>
                <w:color w:val="000000"/>
                <w:sz w:val="16"/>
                <w:szCs w:val="16"/>
              </w:rPr>
              <w:t>1 320,2</w:t>
            </w:r>
          </w:p>
        </w:tc>
        <w:tc>
          <w:tcPr>
            <w:tcW w:w="1254" w:type="dxa"/>
            <w:tcBorders>
              <w:top w:val="nil"/>
              <w:left w:val="nil"/>
              <w:bottom w:val="nil"/>
              <w:right w:val="single" w:sz="4" w:space="0" w:color="auto"/>
            </w:tcBorders>
            <w:shd w:val="clear" w:color="auto" w:fill="auto"/>
            <w:vAlign w:val="center"/>
            <w:hideMark/>
          </w:tcPr>
          <w:p w14:paraId="3CDF6F85" w14:textId="42ED1AD0" w:rsidR="00D264DA" w:rsidRPr="00B61F35" w:rsidRDefault="00D264DA" w:rsidP="00D264DA">
            <w:pPr>
              <w:spacing w:after="0" w:line="240" w:lineRule="auto"/>
              <w:jc w:val="right"/>
              <w:rPr>
                <w:rFonts w:cs="Arial"/>
                <w:b/>
                <w:bCs/>
                <w:color w:val="000000"/>
                <w:sz w:val="16"/>
                <w:szCs w:val="16"/>
              </w:rPr>
            </w:pPr>
            <w:r>
              <w:rPr>
                <w:rFonts w:cs="Arial"/>
                <w:b/>
                <w:bCs/>
                <w:color w:val="000000"/>
                <w:sz w:val="16"/>
                <w:szCs w:val="16"/>
              </w:rPr>
              <w:t>1 397,8</w:t>
            </w:r>
          </w:p>
        </w:tc>
        <w:tc>
          <w:tcPr>
            <w:tcW w:w="1610" w:type="dxa"/>
            <w:tcBorders>
              <w:top w:val="nil"/>
              <w:left w:val="nil"/>
              <w:bottom w:val="nil"/>
              <w:right w:val="nil"/>
            </w:tcBorders>
            <w:shd w:val="clear" w:color="auto" w:fill="auto"/>
            <w:vAlign w:val="center"/>
            <w:hideMark/>
          </w:tcPr>
          <w:p w14:paraId="62C609C5" w14:textId="02F1080C" w:rsidR="00D264DA" w:rsidRPr="00B61F35" w:rsidRDefault="00D264DA" w:rsidP="00D264DA">
            <w:pPr>
              <w:spacing w:after="0" w:line="240" w:lineRule="auto"/>
              <w:jc w:val="center"/>
              <w:rPr>
                <w:rFonts w:cs="Arial"/>
                <w:b/>
                <w:bCs/>
                <w:color w:val="000000"/>
                <w:sz w:val="16"/>
                <w:szCs w:val="16"/>
              </w:rPr>
            </w:pPr>
            <w:r>
              <w:rPr>
                <w:rFonts w:cs="Arial"/>
                <w:b/>
                <w:bCs/>
                <w:color w:val="000000"/>
                <w:sz w:val="16"/>
                <w:szCs w:val="16"/>
              </w:rPr>
              <w:t>34,5</w:t>
            </w:r>
          </w:p>
        </w:tc>
        <w:tc>
          <w:tcPr>
            <w:tcW w:w="1252" w:type="dxa"/>
            <w:tcBorders>
              <w:top w:val="nil"/>
              <w:left w:val="nil"/>
              <w:bottom w:val="nil"/>
              <w:right w:val="nil"/>
            </w:tcBorders>
            <w:shd w:val="clear" w:color="auto" w:fill="auto"/>
            <w:vAlign w:val="center"/>
            <w:hideMark/>
          </w:tcPr>
          <w:p w14:paraId="6271BD34" w14:textId="5263980B" w:rsidR="00D264DA" w:rsidRPr="00B61F35" w:rsidRDefault="00D264DA" w:rsidP="00D264DA">
            <w:pPr>
              <w:spacing w:after="0" w:line="240" w:lineRule="auto"/>
              <w:jc w:val="center"/>
              <w:rPr>
                <w:rFonts w:cs="Arial"/>
                <w:b/>
                <w:bCs/>
                <w:color w:val="000000"/>
                <w:sz w:val="16"/>
                <w:szCs w:val="16"/>
              </w:rPr>
            </w:pPr>
            <w:r>
              <w:rPr>
                <w:rFonts w:cs="Arial"/>
                <w:b/>
                <w:bCs/>
                <w:color w:val="000000"/>
                <w:sz w:val="16"/>
                <w:szCs w:val="16"/>
              </w:rPr>
              <w:t>32,7</w:t>
            </w:r>
          </w:p>
        </w:tc>
        <w:tc>
          <w:tcPr>
            <w:tcW w:w="1254" w:type="dxa"/>
            <w:tcBorders>
              <w:top w:val="nil"/>
              <w:left w:val="nil"/>
              <w:bottom w:val="nil"/>
              <w:right w:val="nil"/>
            </w:tcBorders>
            <w:shd w:val="clear" w:color="auto" w:fill="auto"/>
            <w:vAlign w:val="center"/>
            <w:hideMark/>
          </w:tcPr>
          <w:p w14:paraId="407470A6" w14:textId="35BB1E28" w:rsidR="00D264DA" w:rsidRPr="00B61F35" w:rsidRDefault="00D264DA" w:rsidP="00D264DA">
            <w:pPr>
              <w:spacing w:after="0" w:line="240" w:lineRule="auto"/>
              <w:jc w:val="center"/>
              <w:rPr>
                <w:rFonts w:cs="Arial"/>
                <w:b/>
                <w:bCs/>
                <w:color w:val="000000"/>
                <w:sz w:val="16"/>
                <w:szCs w:val="16"/>
              </w:rPr>
            </w:pPr>
            <w:r>
              <w:rPr>
                <w:rFonts w:cs="Arial"/>
                <w:b/>
                <w:bCs/>
                <w:color w:val="000000"/>
                <w:sz w:val="16"/>
                <w:szCs w:val="16"/>
              </w:rPr>
              <w:t>36,2</w:t>
            </w:r>
          </w:p>
        </w:tc>
      </w:tr>
      <w:tr w:rsidR="00D264DA" w:rsidRPr="00B61F35" w14:paraId="4172869A" w14:textId="77777777" w:rsidTr="0097475C">
        <w:trPr>
          <w:gridAfter w:val="1"/>
          <w:wAfter w:w="18" w:type="dxa"/>
          <w:trHeight w:val="300"/>
        </w:trPr>
        <w:tc>
          <w:tcPr>
            <w:tcW w:w="1474" w:type="dxa"/>
            <w:tcBorders>
              <w:top w:val="nil"/>
              <w:left w:val="nil"/>
              <w:bottom w:val="nil"/>
              <w:right w:val="single" w:sz="4" w:space="0" w:color="auto"/>
            </w:tcBorders>
            <w:shd w:val="clear" w:color="auto" w:fill="auto"/>
            <w:vAlign w:val="center"/>
            <w:hideMark/>
          </w:tcPr>
          <w:p w14:paraId="303A64C0" w14:textId="77777777" w:rsidR="00D264DA" w:rsidRPr="00B61F35" w:rsidRDefault="00D264DA" w:rsidP="00D264DA">
            <w:pPr>
              <w:spacing w:after="0" w:line="240" w:lineRule="auto"/>
              <w:ind w:firstLineChars="100" w:firstLine="160"/>
              <w:rPr>
                <w:rFonts w:cs="Arial"/>
                <w:color w:val="000000"/>
                <w:sz w:val="16"/>
                <w:szCs w:val="16"/>
              </w:rPr>
            </w:pPr>
            <w:r w:rsidRPr="00B61F35">
              <w:rPr>
                <w:rFonts w:cs="Arial"/>
                <w:color w:val="000000"/>
                <w:sz w:val="16"/>
                <w:szCs w:val="16"/>
              </w:rPr>
              <w:t>mladší 20 let</w:t>
            </w:r>
          </w:p>
        </w:tc>
        <w:tc>
          <w:tcPr>
            <w:tcW w:w="1609" w:type="dxa"/>
            <w:tcBorders>
              <w:top w:val="nil"/>
              <w:left w:val="nil"/>
              <w:bottom w:val="nil"/>
              <w:right w:val="nil"/>
            </w:tcBorders>
            <w:shd w:val="clear" w:color="auto" w:fill="auto"/>
            <w:vAlign w:val="center"/>
            <w:hideMark/>
          </w:tcPr>
          <w:p w14:paraId="4B37D6BE" w14:textId="72C6A32F" w:rsidR="00D264DA" w:rsidRPr="00B61F35" w:rsidRDefault="00D264DA" w:rsidP="00D264DA">
            <w:pPr>
              <w:spacing w:after="0" w:line="240" w:lineRule="auto"/>
              <w:jc w:val="right"/>
              <w:rPr>
                <w:rFonts w:cs="Arial"/>
                <w:color w:val="000000"/>
                <w:sz w:val="16"/>
                <w:szCs w:val="16"/>
              </w:rPr>
            </w:pPr>
            <w:r>
              <w:rPr>
                <w:rFonts w:cs="Arial"/>
                <w:color w:val="000000"/>
                <w:sz w:val="16"/>
                <w:szCs w:val="16"/>
              </w:rPr>
              <w:t>29,3</w:t>
            </w:r>
          </w:p>
        </w:tc>
        <w:tc>
          <w:tcPr>
            <w:tcW w:w="1252" w:type="dxa"/>
            <w:tcBorders>
              <w:top w:val="nil"/>
              <w:left w:val="nil"/>
              <w:bottom w:val="nil"/>
              <w:right w:val="nil"/>
            </w:tcBorders>
            <w:shd w:val="clear" w:color="auto" w:fill="auto"/>
            <w:vAlign w:val="center"/>
            <w:hideMark/>
          </w:tcPr>
          <w:p w14:paraId="38360B52" w14:textId="4923D402" w:rsidR="00D264DA" w:rsidRPr="00B61F35" w:rsidRDefault="00D264DA" w:rsidP="00D264DA">
            <w:pPr>
              <w:spacing w:after="0" w:line="240" w:lineRule="auto"/>
              <w:jc w:val="right"/>
              <w:rPr>
                <w:rFonts w:cs="Arial"/>
                <w:color w:val="000000"/>
                <w:sz w:val="16"/>
                <w:szCs w:val="16"/>
              </w:rPr>
            </w:pPr>
            <w:r>
              <w:rPr>
                <w:rFonts w:cs="Arial"/>
                <w:color w:val="000000"/>
                <w:sz w:val="16"/>
                <w:szCs w:val="16"/>
              </w:rPr>
              <w:t>16,9</w:t>
            </w:r>
          </w:p>
        </w:tc>
        <w:tc>
          <w:tcPr>
            <w:tcW w:w="1254" w:type="dxa"/>
            <w:tcBorders>
              <w:top w:val="nil"/>
              <w:left w:val="nil"/>
              <w:bottom w:val="nil"/>
              <w:right w:val="single" w:sz="4" w:space="0" w:color="auto"/>
            </w:tcBorders>
            <w:shd w:val="clear" w:color="auto" w:fill="auto"/>
            <w:vAlign w:val="center"/>
            <w:hideMark/>
          </w:tcPr>
          <w:p w14:paraId="0C5D0988" w14:textId="71DC0FB2" w:rsidR="00D264DA" w:rsidRPr="00B61F35" w:rsidRDefault="00D264DA" w:rsidP="00D264DA">
            <w:pPr>
              <w:spacing w:after="0" w:line="240" w:lineRule="auto"/>
              <w:jc w:val="right"/>
              <w:rPr>
                <w:rFonts w:cs="Arial"/>
                <w:color w:val="000000"/>
                <w:sz w:val="16"/>
                <w:szCs w:val="16"/>
              </w:rPr>
            </w:pPr>
            <w:r>
              <w:rPr>
                <w:rFonts w:cs="Arial"/>
                <w:color w:val="000000"/>
                <w:sz w:val="16"/>
                <w:szCs w:val="16"/>
              </w:rPr>
              <w:t>12,4</w:t>
            </w:r>
          </w:p>
        </w:tc>
        <w:tc>
          <w:tcPr>
            <w:tcW w:w="1610" w:type="dxa"/>
            <w:tcBorders>
              <w:top w:val="nil"/>
              <w:left w:val="nil"/>
              <w:bottom w:val="nil"/>
              <w:right w:val="nil"/>
            </w:tcBorders>
            <w:shd w:val="clear" w:color="auto" w:fill="auto"/>
            <w:vAlign w:val="center"/>
            <w:hideMark/>
          </w:tcPr>
          <w:p w14:paraId="6843577B" w14:textId="6748786E" w:rsidR="00D264DA" w:rsidRPr="00B61F35" w:rsidRDefault="00D264DA" w:rsidP="00D264DA">
            <w:pPr>
              <w:spacing w:after="0" w:line="240" w:lineRule="auto"/>
              <w:jc w:val="center"/>
              <w:rPr>
                <w:rFonts w:cs="Arial"/>
                <w:color w:val="000000"/>
                <w:sz w:val="16"/>
                <w:szCs w:val="16"/>
              </w:rPr>
            </w:pPr>
            <w:r>
              <w:rPr>
                <w:rFonts w:cs="Arial"/>
                <w:color w:val="000000"/>
                <w:sz w:val="16"/>
                <w:szCs w:val="16"/>
              </w:rPr>
              <w:t>16,4</w:t>
            </w:r>
          </w:p>
        </w:tc>
        <w:tc>
          <w:tcPr>
            <w:tcW w:w="1252" w:type="dxa"/>
            <w:tcBorders>
              <w:top w:val="nil"/>
              <w:left w:val="nil"/>
              <w:bottom w:val="nil"/>
              <w:right w:val="nil"/>
            </w:tcBorders>
            <w:shd w:val="clear" w:color="auto" w:fill="auto"/>
            <w:vAlign w:val="center"/>
            <w:hideMark/>
          </w:tcPr>
          <w:p w14:paraId="7A8008E9" w14:textId="75678429" w:rsidR="00D264DA" w:rsidRPr="00B61F35" w:rsidRDefault="00D264DA" w:rsidP="00D264DA">
            <w:pPr>
              <w:spacing w:after="0" w:line="240" w:lineRule="auto"/>
              <w:jc w:val="center"/>
              <w:rPr>
                <w:rFonts w:cs="Arial"/>
                <w:color w:val="000000"/>
                <w:sz w:val="16"/>
                <w:szCs w:val="16"/>
              </w:rPr>
            </w:pPr>
            <w:r>
              <w:rPr>
                <w:rFonts w:cs="Arial"/>
                <w:color w:val="000000"/>
                <w:sz w:val="16"/>
                <w:szCs w:val="16"/>
              </w:rPr>
              <w:t>15,1</w:t>
            </w:r>
          </w:p>
        </w:tc>
        <w:tc>
          <w:tcPr>
            <w:tcW w:w="1254" w:type="dxa"/>
            <w:tcBorders>
              <w:top w:val="nil"/>
              <w:left w:val="nil"/>
              <w:bottom w:val="nil"/>
              <w:right w:val="nil"/>
            </w:tcBorders>
            <w:shd w:val="clear" w:color="auto" w:fill="auto"/>
            <w:vAlign w:val="center"/>
            <w:hideMark/>
          </w:tcPr>
          <w:p w14:paraId="1CE2BCD2" w14:textId="5D5D9B5A" w:rsidR="00D264DA" w:rsidRPr="00B61F35" w:rsidRDefault="00D264DA" w:rsidP="00D264DA">
            <w:pPr>
              <w:spacing w:after="0" w:line="240" w:lineRule="auto"/>
              <w:jc w:val="center"/>
              <w:rPr>
                <w:rFonts w:cs="Arial"/>
                <w:color w:val="000000"/>
                <w:sz w:val="16"/>
                <w:szCs w:val="16"/>
              </w:rPr>
            </w:pPr>
            <w:r>
              <w:rPr>
                <w:rFonts w:cs="Arial"/>
                <w:color w:val="000000"/>
                <w:sz w:val="16"/>
                <w:szCs w:val="16"/>
              </w:rPr>
              <w:t>18,2</w:t>
            </w:r>
          </w:p>
        </w:tc>
      </w:tr>
      <w:tr w:rsidR="00D264DA" w:rsidRPr="00B61F35" w14:paraId="54A5ECC1" w14:textId="77777777" w:rsidTr="0097475C">
        <w:trPr>
          <w:gridAfter w:val="1"/>
          <w:wAfter w:w="18" w:type="dxa"/>
          <w:trHeight w:val="300"/>
        </w:trPr>
        <w:tc>
          <w:tcPr>
            <w:tcW w:w="1474" w:type="dxa"/>
            <w:tcBorders>
              <w:top w:val="nil"/>
              <w:left w:val="nil"/>
              <w:bottom w:val="nil"/>
              <w:right w:val="single" w:sz="4" w:space="0" w:color="auto"/>
            </w:tcBorders>
            <w:shd w:val="clear" w:color="auto" w:fill="auto"/>
            <w:vAlign w:val="center"/>
            <w:hideMark/>
          </w:tcPr>
          <w:p w14:paraId="61A29244" w14:textId="77777777" w:rsidR="00D264DA" w:rsidRPr="00B61F35" w:rsidRDefault="00D264DA" w:rsidP="00D264DA">
            <w:pPr>
              <w:spacing w:after="0" w:line="240" w:lineRule="auto"/>
              <w:ind w:firstLineChars="100" w:firstLine="160"/>
              <w:rPr>
                <w:rFonts w:cs="Arial"/>
                <w:color w:val="000000"/>
                <w:sz w:val="16"/>
                <w:szCs w:val="16"/>
              </w:rPr>
            </w:pPr>
            <w:r w:rsidRPr="00B61F35">
              <w:rPr>
                <w:rFonts w:cs="Arial"/>
                <w:color w:val="000000"/>
                <w:sz w:val="16"/>
                <w:szCs w:val="16"/>
              </w:rPr>
              <w:t>20–29 let</w:t>
            </w:r>
          </w:p>
        </w:tc>
        <w:tc>
          <w:tcPr>
            <w:tcW w:w="1609" w:type="dxa"/>
            <w:tcBorders>
              <w:top w:val="nil"/>
              <w:left w:val="nil"/>
              <w:bottom w:val="nil"/>
              <w:right w:val="nil"/>
            </w:tcBorders>
            <w:shd w:val="clear" w:color="auto" w:fill="auto"/>
            <w:vAlign w:val="center"/>
            <w:hideMark/>
          </w:tcPr>
          <w:p w14:paraId="34D2301E" w14:textId="6AF9EF39" w:rsidR="00D264DA" w:rsidRPr="00B61F35" w:rsidRDefault="00D264DA" w:rsidP="00D264DA">
            <w:pPr>
              <w:spacing w:after="0" w:line="240" w:lineRule="auto"/>
              <w:jc w:val="right"/>
              <w:rPr>
                <w:rFonts w:cs="Arial"/>
                <w:color w:val="000000"/>
                <w:sz w:val="16"/>
                <w:szCs w:val="16"/>
              </w:rPr>
            </w:pPr>
            <w:r>
              <w:rPr>
                <w:rFonts w:cs="Arial"/>
                <w:color w:val="000000"/>
                <w:sz w:val="16"/>
                <w:szCs w:val="16"/>
              </w:rPr>
              <w:t>526,2</w:t>
            </w:r>
          </w:p>
        </w:tc>
        <w:tc>
          <w:tcPr>
            <w:tcW w:w="1252" w:type="dxa"/>
            <w:tcBorders>
              <w:top w:val="nil"/>
              <w:left w:val="nil"/>
              <w:bottom w:val="nil"/>
              <w:right w:val="nil"/>
            </w:tcBorders>
            <w:shd w:val="clear" w:color="auto" w:fill="auto"/>
            <w:vAlign w:val="center"/>
            <w:hideMark/>
          </w:tcPr>
          <w:p w14:paraId="7E8CBA93" w14:textId="78FAC7B7" w:rsidR="00D264DA" w:rsidRPr="00B61F35" w:rsidRDefault="00D264DA" w:rsidP="00D264DA">
            <w:pPr>
              <w:spacing w:after="0" w:line="240" w:lineRule="auto"/>
              <w:jc w:val="right"/>
              <w:rPr>
                <w:rFonts w:cs="Arial"/>
                <w:color w:val="000000"/>
                <w:sz w:val="16"/>
                <w:szCs w:val="16"/>
              </w:rPr>
            </w:pPr>
            <w:r>
              <w:rPr>
                <w:rFonts w:cs="Arial"/>
                <w:color w:val="000000"/>
                <w:sz w:val="16"/>
                <w:szCs w:val="16"/>
              </w:rPr>
              <w:t>289,4</w:t>
            </w:r>
          </w:p>
        </w:tc>
        <w:tc>
          <w:tcPr>
            <w:tcW w:w="1254" w:type="dxa"/>
            <w:tcBorders>
              <w:top w:val="nil"/>
              <w:left w:val="nil"/>
              <w:bottom w:val="nil"/>
              <w:right w:val="single" w:sz="4" w:space="0" w:color="auto"/>
            </w:tcBorders>
            <w:shd w:val="clear" w:color="auto" w:fill="auto"/>
            <w:vAlign w:val="center"/>
            <w:hideMark/>
          </w:tcPr>
          <w:p w14:paraId="77DE84C6" w14:textId="1447DF65" w:rsidR="00D264DA" w:rsidRPr="00B61F35" w:rsidRDefault="00D264DA" w:rsidP="00D264DA">
            <w:pPr>
              <w:spacing w:after="0" w:line="240" w:lineRule="auto"/>
              <w:jc w:val="right"/>
              <w:rPr>
                <w:rFonts w:cs="Arial"/>
                <w:color w:val="000000"/>
                <w:sz w:val="16"/>
                <w:szCs w:val="16"/>
              </w:rPr>
            </w:pPr>
            <w:r>
              <w:rPr>
                <w:rFonts w:cs="Arial"/>
                <w:color w:val="000000"/>
                <w:sz w:val="16"/>
                <w:szCs w:val="16"/>
              </w:rPr>
              <w:t>236,8</w:t>
            </w:r>
          </w:p>
        </w:tc>
        <w:tc>
          <w:tcPr>
            <w:tcW w:w="1610" w:type="dxa"/>
            <w:tcBorders>
              <w:top w:val="nil"/>
              <w:left w:val="nil"/>
              <w:bottom w:val="nil"/>
              <w:right w:val="nil"/>
            </w:tcBorders>
            <w:shd w:val="clear" w:color="auto" w:fill="auto"/>
            <w:vAlign w:val="center"/>
            <w:hideMark/>
          </w:tcPr>
          <w:p w14:paraId="2E988502" w14:textId="74B724C3" w:rsidR="00D264DA" w:rsidRPr="00B61F35" w:rsidRDefault="00D264DA" w:rsidP="00D264DA">
            <w:pPr>
              <w:spacing w:after="0" w:line="240" w:lineRule="auto"/>
              <w:jc w:val="center"/>
              <w:rPr>
                <w:rFonts w:cs="Arial"/>
                <w:color w:val="000000"/>
                <w:sz w:val="16"/>
                <w:szCs w:val="16"/>
              </w:rPr>
            </w:pPr>
            <w:r>
              <w:rPr>
                <w:rFonts w:cs="Arial"/>
                <w:color w:val="000000"/>
                <w:sz w:val="16"/>
                <w:szCs w:val="16"/>
              </w:rPr>
              <w:t>22,4</w:t>
            </w:r>
          </w:p>
        </w:tc>
        <w:tc>
          <w:tcPr>
            <w:tcW w:w="1252" w:type="dxa"/>
            <w:tcBorders>
              <w:top w:val="nil"/>
              <w:left w:val="nil"/>
              <w:bottom w:val="nil"/>
              <w:right w:val="nil"/>
            </w:tcBorders>
            <w:shd w:val="clear" w:color="auto" w:fill="auto"/>
            <w:vAlign w:val="center"/>
            <w:hideMark/>
          </w:tcPr>
          <w:p w14:paraId="2C3378EA" w14:textId="71E4600E" w:rsidR="00D264DA" w:rsidRPr="00B61F35" w:rsidRDefault="00D264DA" w:rsidP="00D264DA">
            <w:pPr>
              <w:spacing w:after="0" w:line="240" w:lineRule="auto"/>
              <w:jc w:val="center"/>
              <w:rPr>
                <w:rFonts w:cs="Arial"/>
                <w:color w:val="000000"/>
                <w:sz w:val="16"/>
                <w:szCs w:val="16"/>
              </w:rPr>
            </w:pPr>
            <w:r>
              <w:rPr>
                <w:rFonts w:cs="Arial"/>
                <w:color w:val="000000"/>
                <w:sz w:val="16"/>
                <w:szCs w:val="16"/>
              </w:rPr>
              <w:t>18,9</w:t>
            </w:r>
          </w:p>
        </w:tc>
        <w:tc>
          <w:tcPr>
            <w:tcW w:w="1254" w:type="dxa"/>
            <w:tcBorders>
              <w:top w:val="nil"/>
              <w:left w:val="nil"/>
              <w:bottom w:val="nil"/>
              <w:right w:val="nil"/>
            </w:tcBorders>
            <w:shd w:val="clear" w:color="auto" w:fill="auto"/>
            <w:vAlign w:val="center"/>
            <w:hideMark/>
          </w:tcPr>
          <w:p w14:paraId="4DB28505" w14:textId="53290CD6" w:rsidR="00D264DA" w:rsidRPr="00B61F35" w:rsidRDefault="00D264DA" w:rsidP="00D264DA">
            <w:pPr>
              <w:spacing w:after="0" w:line="240" w:lineRule="auto"/>
              <w:jc w:val="center"/>
              <w:rPr>
                <w:rFonts w:cs="Arial"/>
                <w:color w:val="000000"/>
                <w:sz w:val="16"/>
                <w:szCs w:val="16"/>
              </w:rPr>
            </w:pPr>
            <w:r>
              <w:rPr>
                <w:rFonts w:cs="Arial"/>
                <w:color w:val="000000"/>
                <w:sz w:val="16"/>
                <w:szCs w:val="16"/>
              </w:rPr>
              <w:t>26,7</w:t>
            </w:r>
          </w:p>
        </w:tc>
      </w:tr>
      <w:tr w:rsidR="00D264DA" w:rsidRPr="00B61F35" w14:paraId="07587D55" w14:textId="77777777" w:rsidTr="0097475C">
        <w:trPr>
          <w:gridAfter w:val="1"/>
          <w:wAfter w:w="18" w:type="dxa"/>
          <w:trHeight w:val="300"/>
        </w:trPr>
        <w:tc>
          <w:tcPr>
            <w:tcW w:w="1474" w:type="dxa"/>
            <w:tcBorders>
              <w:top w:val="nil"/>
              <w:left w:val="nil"/>
              <w:bottom w:val="nil"/>
              <w:right w:val="single" w:sz="4" w:space="0" w:color="auto"/>
            </w:tcBorders>
            <w:shd w:val="clear" w:color="auto" w:fill="auto"/>
            <w:vAlign w:val="center"/>
            <w:hideMark/>
          </w:tcPr>
          <w:p w14:paraId="7C787D14" w14:textId="77777777" w:rsidR="00D264DA" w:rsidRPr="00B61F35" w:rsidRDefault="00D264DA" w:rsidP="00D264DA">
            <w:pPr>
              <w:spacing w:after="0" w:line="240" w:lineRule="auto"/>
              <w:ind w:firstLineChars="100" w:firstLine="160"/>
              <w:rPr>
                <w:rFonts w:cs="Arial"/>
                <w:color w:val="000000"/>
                <w:sz w:val="16"/>
                <w:szCs w:val="16"/>
              </w:rPr>
            </w:pPr>
            <w:r w:rsidRPr="00B61F35">
              <w:rPr>
                <w:rFonts w:cs="Arial"/>
                <w:color w:val="000000"/>
                <w:sz w:val="16"/>
                <w:szCs w:val="16"/>
              </w:rPr>
              <w:t>30–39 let</w:t>
            </w:r>
          </w:p>
        </w:tc>
        <w:tc>
          <w:tcPr>
            <w:tcW w:w="1609" w:type="dxa"/>
            <w:tcBorders>
              <w:top w:val="nil"/>
              <w:left w:val="nil"/>
              <w:bottom w:val="nil"/>
              <w:right w:val="nil"/>
            </w:tcBorders>
            <w:shd w:val="clear" w:color="auto" w:fill="auto"/>
            <w:vAlign w:val="center"/>
            <w:hideMark/>
          </w:tcPr>
          <w:p w14:paraId="356367B8" w14:textId="31F7161B" w:rsidR="00D264DA" w:rsidRPr="00B61F35" w:rsidRDefault="00D264DA" w:rsidP="00D264DA">
            <w:pPr>
              <w:spacing w:after="0" w:line="240" w:lineRule="auto"/>
              <w:jc w:val="right"/>
              <w:rPr>
                <w:rFonts w:cs="Arial"/>
                <w:color w:val="000000"/>
                <w:sz w:val="16"/>
                <w:szCs w:val="16"/>
              </w:rPr>
            </w:pPr>
            <w:r>
              <w:rPr>
                <w:rFonts w:cs="Arial"/>
                <w:color w:val="000000"/>
                <w:sz w:val="16"/>
                <w:szCs w:val="16"/>
              </w:rPr>
              <w:t>576,3</w:t>
            </w:r>
          </w:p>
        </w:tc>
        <w:tc>
          <w:tcPr>
            <w:tcW w:w="1252" w:type="dxa"/>
            <w:tcBorders>
              <w:top w:val="nil"/>
              <w:left w:val="nil"/>
              <w:bottom w:val="nil"/>
              <w:right w:val="nil"/>
            </w:tcBorders>
            <w:shd w:val="clear" w:color="auto" w:fill="auto"/>
            <w:vAlign w:val="center"/>
            <w:hideMark/>
          </w:tcPr>
          <w:p w14:paraId="418ED6A2" w14:textId="7F073131" w:rsidR="00D264DA" w:rsidRPr="00B61F35" w:rsidRDefault="00D264DA" w:rsidP="00D264DA">
            <w:pPr>
              <w:spacing w:after="0" w:line="240" w:lineRule="auto"/>
              <w:jc w:val="right"/>
              <w:rPr>
                <w:rFonts w:cs="Arial"/>
                <w:color w:val="000000"/>
                <w:sz w:val="16"/>
                <w:szCs w:val="16"/>
              </w:rPr>
            </w:pPr>
            <w:r>
              <w:rPr>
                <w:rFonts w:cs="Arial"/>
                <w:color w:val="000000"/>
                <w:sz w:val="16"/>
                <w:szCs w:val="16"/>
              </w:rPr>
              <w:t>308,6</w:t>
            </w:r>
          </w:p>
        </w:tc>
        <w:tc>
          <w:tcPr>
            <w:tcW w:w="1254" w:type="dxa"/>
            <w:tcBorders>
              <w:top w:val="nil"/>
              <w:left w:val="nil"/>
              <w:bottom w:val="nil"/>
              <w:right w:val="single" w:sz="4" w:space="0" w:color="auto"/>
            </w:tcBorders>
            <w:shd w:val="clear" w:color="auto" w:fill="auto"/>
            <w:vAlign w:val="center"/>
            <w:hideMark/>
          </w:tcPr>
          <w:p w14:paraId="1FCCE80F" w14:textId="139DCEBB" w:rsidR="00D264DA" w:rsidRPr="00B61F35" w:rsidRDefault="00D264DA" w:rsidP="00D264DA">
            <w:pPr>
              <w:spacing w:after="0" w:line="240" w:lineRule="auto"/>
              <w:jc w:val="right"/>
              <w:rPr>
                <w:rFonts w:cs="Arial"/>
                <w:color w:val="000000"/>
                <w:sz w:val="16"/>
                <w:szCs w:val="16"/>
              </w:rPr>
            </w:pPr>
            <w:r>
              <w:rPr>
                <w:rFonts w:cs="Arial"/>
                <w:color w:val="000000"/>
                <w:sz w:val="16"/>
                <w:szCs w:val="16"/>
              </w:rPr>
              <w:t>267,7</w:t>
            </w:r>
          </w:p>
        </w:tc>
        <w:tc>
          <w:tcPr>
            <w:tcW w:w="1610" w:type="dxa"/>
            <w:tcBorders>
              <w:top w:val="nil"/>
              <w:left w:val="nil"/>
              <w:bottom w:val="nil"/>
              <w:right w:val="nil"/>
            </w:tcBorders>
            <w:shd w:val="clear" w:color="auto" w:fill="auto"/>
            <w:vAlign w:val="center"/>
            <w:hideMark/>
          </w:tcPr>
          <w:p w14:paraId="12EF4DCF" w14:textId="1FD30FE1" w:rsidR="00D264DA" w:rsidRPr="00B61F35" w:rsidRDefault="00D264DA" w:rsidP="00D264DA">
            <w:pPr>
              <w:spacing w:after="0" w:line="240" w:lineRule="auto"/>
              <w:jc w:val="center"/>
              <w:rPr>
                <w:rFonts w:cs="Arial"/>
                <w:color w:val="000000"/>
                <w:sz w:val="16"/>
                <w:szCs w:val="16"/>
              </w:rPr>
            </w:pPr>
            <w:r>
              <w:rPr>
                <w:rFonts w:cs="Arial"/>
                <w:color w:val="000000"/>
                <w:sz w:val="16"/>
                <w:szCs w:val="16"/>
              </w:rPr>
              <w:t>27,9</w:t>
            </w:r>
          </w:p>
        </w:tc>
        <w:tc>
          <w:tcPr>
            <w:tcW w:w="1252" w:type="dxa"/>
            <w:tcBorders>
              <w:top w:val="nil"/>
              <w:left w:val="nil"/>
              <w:bottom w:val="nil"/>
              <w:right w:val="nil"/>
            </w:tcBorders>
            <w:shd w:val="clear" w:color="auto" w:fill="auto"/>
            <w:vAlign w:val="center"/>
            <w:hideMark/>
          </w:tcPr>
          <w:p w14:paraId="0188C72F" w14:textId="5E221B36" w:rsidR="00D264DA" w:rsidRPr="00B61F35" w:rsidRDefault="00D264DA" w:rsidP="00D264DA">
            <w:pPr>
              <w:spacing w:after="0" w:line="240" w:lineRule="auto"/>
              <w:jc w:val="center"/>
              <w:rPr>
                <w:rFonts w:cs="Arial"/>
                <w:color w:val="000000"/>
                <w:sz w:val="16"/>
                <w:szCs w:val="16"/>
              </w:rPr>
            </w:pPr>
            <w:r>
              <w:rPr>
                <w:rFonts w:cs="Arial"/>
                <w:color w:val="000000"/>
                <w:sz w:val="16"/>
                <w:szCs w:val="16"/>
              </w:rPr>
              <w:t>24,1</w:t>
            </w:r>
          </w:p>
        </w:tc>
        <w:tc>
          <w:tcPr>
            <w:tcW w:w="1254" w:type="dxa"/>
            <w:tcBorders>
              <w:top w:val="nil"/>
              <w:left w:val="nil"/>
              <w:bottom w:val="nil"/>
              <w:right w:val="nil"/>
            </w:tcBorders>
            <w:shd w:val="clear" w:color="auto" w:fill="auto"/>
            <w:vAlign w:val="center"/>
            <w:hideMark/>
          </w:tcPr>
          <w:p w14:paraId="774E0666" w14:textId="4CB6F1D3" w:rsidR="00D264DA" w:rsidRPr="00B61F35" w:rsidRDefault="00D264DA" w:rsidP="00D264DA">
            <w:pPr>
              <w:spacing w:after="0" w:line="240" w:lineRule="auto"/>
              <w:jc w:val="center"/>
              <w:rPr>
                <w:rFonts w:cs="Arial"/>
                <w:color w:val="000000"/>
                <w:sz w:val="16"/>
                <w:szCs w:val="16"/>
              </w:rPr>
            </w:pPr>
            <w:r>
              <w:rPr>
                <w:rFonts w:cs="Arial"/>
                <w:color w:val="000000"/>
                <w:sz w:val="16"/>
                <w:szCs w:val="16"/>
              </w:rPr>
              <w:t>32,2</w:t>
            </w:r>
          </w:p>
        </w:tc>
      </w:tr>
      <w:tr w:rsidR="00D264DA" w:rsidRPr="00B61F35" w14:paraId="021230B8" w14:textId="77777777" w:rsidTr="0097475C">
        <w:trPr>
          <w:gridAfter w:val="1"/>
          <w:wAfter w:w="18" w:type="dxa"/>
          <w:trHeight w:val="300"/>
        </w:trPr>
        <w:tc>
          <w:tcPr>
            <w:tcW w:w="1474" w:type="dxa"/>
            <w:tcBorders>
              <w:top w:val="nil"/>
              <w:left w:val="nil"/>
              <w:bottom w:val="nil"/>
              <w:right w:val="single" w:sz="4" w:space="0" w:color="auto"/>
            </w:tcBorders>
            <w:shd w:val="clear" w:color="auto" w:fill="auto"/>
            <w:vAlign w:val="center"/>
            <w:hideMark/>
          </w:tcPr>
          <w:p w14:paraId="68CCD1B6" w14:textId="77777777" w:rsidR="00D264DA" w:rsidRPr="00B61F35" w:rsidRDefault="00D264DA" w:rsidP="00D264DA">
            <w:pPr>
              <w:spacing w:after="0" w:line="240" w:lineRule="auto"/>
              <w:ind w:firstLineChars="100" w:firstLine="160"/>
              <w:rPr>
                <w:rFonts w:cs="Arial"/>
                <w:color w:val="000000"/>
                <w:sz w:val="16"/>
                <w:szCs w:val="16"/>
              </w:rPr>
            </w:pPr>
            <w:r w:rsidRPr="00B61F35">
              <w:rPr>
                <w:rFonts w:cs="Arial"/>
                <w:color w:val="000000"/>
                <w:sz w:val="16"/>
                <w:szCs w:val="16"/>
              </w:rPr>
              <w:t>40–49 let</w:t>
            </w:r>
          </w:p>
        </w:tc>
        <w:tc>
          <w:tcPr>
            <w:tcW w:w="1609" w:type="dxa"/>
            <w:tcBorders>
              <w:top w:val="nil"/>
              <w:left w:val="nil"/>
              <w:bottom w:val="nil"/>
              <w:right w:val="nil"/>
            </w:tcBorders>
            <w:shd w:val="clear" w:color="auto" w:fill="auto"/>
            <w:vAlign w:val="center"/>
            <w:hideMark/>
          </w:tcPr>
          <w:p w14:paraId="149616ED" w14:textId="315F2526" w:rsidR="00D264DA" w:rsidRPr="00B61F35" w:rsidRDefault="00D264DA" w:rsidP="00D264DA">
            <w:pPr>
              <w:spacing w:after="0" w:line="240" w:lineRule="auto"/>
              <w:jc w:val="right"/>
              <w:rPr>
                <w:rFonts w:cs="Arial"/>
                <w:color w:val="000000"/>
                <w:sz w:val="16"/>
                <w:szCs w:val="16"/>
              </w:rPr>
            </w:pPr>
            <w:r>
              <w:rPr>
                <w:rFonts w:cs="Arial"/>
                <w:color w:val="000000"/>
                <w:sz w:val="16"/>
                <w:szCs w:val="16"/>
              </w:rPr>
              <w:t>763,7</w:t>
            </w:r>
          </w:p>
        </w:tc>
        <w:tc>
          <w:tcPr>
            <w:tcW w:w="1252" w:type="dxa"/>
            <w:tcBorders>
              <w:top w:val="nil"/>
              <w:left w:val="nil"/>
              <w:bottom w:val="nil"/>
              <w:right w:val="nil"/>
            </w:tcBorders>
            <w:shd w:val="clear" w:color="auto" w:fill="auto"/>
            <w:vAlign w:val="center"/>
            <w:hideMark/>
          </w:tcPr>
          <w:p w14:paraId="5CFA3379" w14:textId="4E7D9821" w:rsidR="00D264DA" w:rsidRPr="00B61F35" w:rsidRDefault="00D264DA" w:rsidP="00D264DA">
            <w:pPr>
              <w:spacing w:after="0" w:line="240" w:lineRule="auto"/>
              <w:jc w:val="right"/>
              <w:rPr>
                <w:rFonts w:cs="Arial"/>
                <w:color w:val="000000"/>
                <w:sz w:val="16"/>
                <w:szCs w:val="16"/>
              </w:rPr>
            </w:pPr>
            <w:r>
              <w:rPr>
                <w:rFonts w:cs="Arial"/>
                <w:color w:val="000000"/>
                <w:sz w:val="16"/>
                <w:szCs w:val="16"/>
              </w:rPr>
              <w:t>329,2</w:t>
            </w:r>
          </w:p>
        </w:tc>
        <w:tc>
          <w:tcPr>
            <w:tcW w:w="1254" w:type="dxa"/>
            <w:tcBorders>
              <w:top w:val="nil"/>
              <w:left w:val="nil"/>
              <w:bottom w:val="nil"/>
              <w:right w:val="single" w:sz="4" w:space="0" w:color="auto"/>
            </w:tcBorders>
            <w:shd w:val="clear" w:color="auto" w:fill="auto"/>
            <w:vAlign w:val="center"/>
            <w:hideMark/>
          </w:tcPr>
          <w:p w14:paraId="05959DB3" w14:textId="5900D203" w:rsidR="00D264DA" w:rsidRPr="00B61F35" w:rsidRDefault="00D264DA" w:rsidP="00D264DA">
            <w:pPr>
              <w:spacing w:after="0" w:line="240" w:lineRule="auto"/>
              <w:jc w:val="right"/>
              <w:rPr>
                <w:rFonts w:cs="Arial"/>
                <w:color w:val="000000"/>
                <w:sz w:val="16"/>
                <w:szCs w:val="16"/>
              </w:rPr>
            </w:pPr>
            <w:r>
              <w:rPr>
                <w:rFonts w:cs="Arial"/>
                <w:color w:val="000000"/>
                <w:sz w:val="16"/>
                <w:szCs w:val="16"/>
              </w:rPr>
              <w:t>434,5</w:t>
            </w:r>
          </w:p>
        </w:tc>
        <w:tc>
          <w:tcPr>
            <w:tcW w:w="1610" w:type="dxa"/>
            <w:tcBorders>
              <w:top w:val="nil"/>
              <w:left w:val="nil"/>
              <w:bottom w:val="nil"/>
              <w:right w:val="nil"/>
            </w:tcBorders>
            <w:shd w:val="clear" w:color="auto" w:fill="auto"/>
            <w:vAlign w:val="center"/>
            <w:hideMark/>
          </w:tcPr>
          <w:p w14:paraId="57CF8F5A" w14:textId="12FBFA23" w:rsidR="00D264DA" w:rsidRPr="00B61F35" w:rsidRDefault="00D264DA" w:rsidP="00D264DA">
            <w:pPr>
              <w:spacing w:after="0" w:line="240" w:lineRule="auto"/>
              <w:jc w:val="center"/>
              <w:rPr>
                <w:rFonts w:cs="Arial"/>
                <w:color w:val="000000"/>
                <w:sz w:val="16"/>
                <w:szCs w:val="16"/>
              </w:rPr>
            </w:pPr>
            <w:r>
              <w:rPr>
                <w:rFonts w:cs="Arial"/>
                <w:color w:val="000000"/>
                <w:sz w:val="16"/>
                <w:szCs w:val="16"/>
              </w:rPr>
              <w:t>33,5</w:t>
            </w:r>
          </w:p>
        </w:tc>
        <w:tc>
          <w:tcPr>
            <w:tcW w:w="1252" w:type="dxa"/>
            <w:tcBorders>
              <w:top w:val="nil"/>
              <w:left w:val="nil"/>
              <w:bottom w:val="nil"/>
              <w:right w:val="nil"/>
            </w:tcBorders>
            <w:shd w:val="clear" w:color="auto" w:fill="auto"/>
            <w:vAlign w:val="center"/>
            <w:hideMark/>
          </w:tcPr>
          <w:p w14:paraId="50BB59CB" w14:textId="0FDD1E40" w:rsidR="00D264DA" w:rsidRPr="00B61F35" w:rsidRDefault="00D264DA" w:rsidP="00D264DA">
            <w:pPr>
              <w:spacing w:after="0" w:line="240" w:lineRule="auto"/>
              <w:jc w:val="center"/>
              <w:rPr>
                <w:rFonts w:cs="Arial"/>
                <w:color w:val="000000"/>
                <w:sz w:val="16"/>
                <w:szCs w:val="16"/>
              </w:rPr>
            </w:pPr>
            <w:r>
              <w:rPr>
                <w:rFonts w:cs="Arial"/>
                <w:color w:val="000000"/>
                <w:sz w:val="16"/>
                <w:szCs w:val="16"/>
              </w:rPr>
              <w:t>32,9</w:t>
            </w:r>
          </w:p>
        </w:tc>
        <w:tc>
          <w:tcPr>
            <w:tcW w:w="1254" w:type="dxa"/>
            <w:tcBorders>
              <w:top w:val="nil"/>
              <w:left w:val="nil"/>
              <w:bottom w:val="nil"/>
              <w:right w:val="nil"/>
            </w:tcBorders>
            <w:shd w:val="clear" w:color="auto" w:fill="auto"/>
            <w:vAlign w:val="center"/>
            <w:hideMark/>
          </w:tcPr>
          <w:p w14:paraId="3E70A261" w14:textId="5AA37757" w:rsidR="00D264DA" w:rsidRPr="00B61F35" w:rsidRDefault="00D264DA" w:rsidP="00D264DA">
            <w:pPr>
              <w:spacing w:after="0" w:line="240" w:lineRule="auto"/>
              <w:jc w:val="center"/>
              <w:rPr>
                <w:rFonts w:cs="Arial"/>
                <w:color w:val="000000"/>
                <w:sz w:val="16"/>
                <w:szCs w:val="16"/>
              </w:rPr>
            </w:pPr>
            <w:r>
              <w:rPr>
                <w:rFonts w:cs="Arial"/>
                <w:color w:val="000000"/>
                <w:sz w:val="16"/>
                <w:szCs w:val="16"/>
              </w:rPr>
              <w:t>34,0</w:t>
            </w:r>
          </w:p>
        </w:tc>
      </w:tr>
      <w:tr w:rsidR="00D264DA" w:rsidRPr="00B61F35" w14:paraId="65C22DC9" w14:textId="77777777" w:rsidTr="0097475C">
        <w:trPr>
          <w:gridAfter w:val="1"/>
          <w:wAfter w:w="18" w:type="dxa"/>
          <w:trHeight w:val="300"/>
        </w:trPr>
        <w:tc>
          <w:tcPr>
            <w:tcW w:w="1474" w:type="dxa"/>
            <w:tcBorders>
              <w:top w:val="nil"/>
              <w:left w:val="nil"/>
              <w:bottom w:val="nil"/>
              <w:right w:val="single" w:sz="4" w:space="0" w:color="auto"/>
            </w:tcBorders>
            <w:shd w:val="clear" w:color="auto" w:fill="auto"/>
            <w:vAlign w:val="center"/>
            <w:hideMark/>
          </w:tcPr>
          <w:p w14:paraId="0EE3AF48" w14:textId="77777777" w:rsidR="00D264DA" w:rsidRPr="00B61F35" w:rsidRDefault="00D264DA" w:rsidP="00D264DA">
            <w:pPr>
              <w:spacing w:after="0" w:line="240" w:lineRule="auto"/>
              <w:ind w:firstLineChars="100" w:firstLine="160"/>
              <w:rPr>
                <w:rFonts w:cs="Arial"/>
                <w:color w:val="000000"/>
                <w:sz w:val="16"/>
                <w:szCs w:val="16"/>
              </w:rPr>
            </w:pPr>
            <w:r w:rsidRPr="00B61F35">
              <w:rPr>
                <w:rFonts w:cs="Arial"/>
                <w:color w:val="000000"/>
                <w:sz w:val="16"/>
                <w:szCs w:val="16"/>
              </w:rPr>
              <w:t>50–59 let</w:t>
            </w:r>
          </w:p>
        </w:tc>
        <w:tc>
          <w:tcPr>
            <w:tcW w:w="1609" w:type="dxa"/>
            <w:tcBorders>
              <w:top w:val="nil"/>
              <w:left w:val="nil"/>
              <w:bottom w:val="nil"/>
              <w:right w:val="nil"/>
            </w:tcBorders>
            <w:shd w:val="clear" w:color="auto" w:fill="auto"/>
            <w:vAlign w:val="center"/>
            <w:hideMark/>
          </w:tcPr>
          <w:p w14:paraId="4FC8059F" w14:textId="6E7900ED" w:rsidR="00D264DA" w:rsidRPr="00B61F35" w:rsidRDefault="00D264DA" w:rsidP="00D264DA">
            <w:pPr>
              <w:spacing w:after="0" w:line="240" w:lineRule="auto"/>
              <w:jc w:val="right"/>
              <w:rPr>
                <w:rFonts w:cs="Arial"/>
                <w:color w:val="000000"/>
                <w:sz w:val="16"/>
                <w:szCs w:val="16"/>
              </w:rPr>
            </w:pPr>
            <w:r>
              <w:rPr>
                <w:rFonts w:cs="Arial"/>
                <w:color w:val="000000"/>
                <w:sz w:val="16"/>
                <w:szCs w:val="16"/>
              </w:rPr>
              <w:t>633,2</w:t>
            </w:r>
          </w:p>
        </w:tc>
        <w:tc>
          <w:tcPr>
            <w:tcW w:w="1252" w:type="dxa"/>
            <w:tcBorders>
              <w:top w:val="nil"/>
              <w:left w:val="nil"/>
              <w:bottom w:val="nil"/>
              <w:right w:val="nil"/>
            </w:tcBorders>
            <w:shd w:val="clear" w:color="auto" w:fill="auto"/>
            <w:vAlign w:val="center"/>
            <w:hideMark/>
          </w:tcPr>
          <w:p w14:paraId="478C728A" w14:textId="40B056F6" w:rsidR="00D264DA" w:rsidRPr="00B61F35" w:rsidRDefault="00D264DA" w:rsidP="00D264DA">
            <w:pPr>
              <w:spacing w:after="0" w:line="240" w:lineRule="auto"/>
              <w:jc w:val="right"/>
              <w:rPr>
                <w:rFonts w:cs="Arial"/>
                <w:color w:val="000000"/>
                <w:sz w:val="16"/>
                <w:szCs w:val="16"/>
              </w:rPr>
            </w:pPr>
            <w:r>
              <w:rPr>
                <w:rFonts w:cs="Arial"/>
                <w:color w:val="000000"/>
                <w:sz w:val="16"/>
                <w:szCs w:val="16"/>
              </w:rPr>
              <w:t>269,2</w:t>
            </w:r>
          </w:p>
        </w:tc>
        <w:tc>
          <w:tcPr>
            <w:tcW w:w="1254" w:type="dxa"/>
            <w:tcBorders>
              <w:top w:val="nil"/>
              <w:left w:val="nil"/>
              <w:bottom w:val="nil"/>
              <w:right w:val="single" w:sz="4" w:space="0" w:color="auto"/>
            </w:tcBorders>
            <w:shd w:val="clear" w:color="auto" w:fill="auto"/>
            <w:vAlign w:val="center"/>
            <w:hideMark/>
          </w:tcPr>
          <w:p w14:paraId="7212E070" w14:textId="0250D7A5" w:rsidR="00D264DA" w:rsidRPr="00B61F35" w:rsidRDefault="00D264DA" w:rsidP="00D264DA">
            <w:pPr>
              <w:spacing w:after="0" w:line="240" w:lineRule="auto"/>
              <w:jc w:val="right"/>
              <w:rPr>
                <w:rFonts w:cs="Arial"/>
                <w:color w:val="000000"/>
                <w:sz w:val="16"/>
                <w:szCs w:val="16"/>
              </w:rPr>
            </w:pPr>
            <w:r>
              <w:rPr>
                <w:rFonts w:cs="Arial"/>
                <w:color w:val="000000"/>
                <w:sz w:val="16"/>
                <w:szCs w:val="16"/>
              </w:rPr>
              <w:t>364,0</w:t>
            </w:r>
          </w:p>
        </w:tc>
        <w:tc>
          <w:tcPr>
            <w:tcW w:w="1610" w:type="dxa"/>
            <w:tcBorders>
              <w:top w:val="nil"/>
              <w:left w:val="nil"/>
              <w:bottom w:val="nil"/>
              <w:right w:val="nil"/>
            </w:tcBorders>
            <w:shd w:val="clear" w:color="auto" w:fill="auto"/>
            <w:vAlign w:val="center"/>
            <w:hideMark/>
          </w:tcPr>
          <w:p w14:paraId="59390D64" w14:textId="6DD830E6" w:rsidR="00D264DA" w:rsidRPr="00B61F35" w:rsidRDefault="00D264DA" w:rsidP="00D264DA">
            <w:pPr>
              <w:spacing w:after="0" w:line="240" w:lineRule="auto"/>
              <w:jc w:val="center"/>
              <w:rPr>
                <w:rFonts w:cs="Arial"/>
                <w:color w:val="000000"/>
                <w:sz w:val="16"/>
                <w:szCs w:val="16"/>
              </w:rPr>
            </w:pPr>
            <w:r>
              <w:rPr>
                <w:rFonts w:cs="Arial"/>
                <w:color w:val="000000"/>
                <w:sz w:val="16"/>
                <w:szCs w:val="16"/>
              </w:rPr>
              <w:t>45,2</w:t>
            </w:r>
          </w:p>
        </w:tc>
        <w:tc>
          <w:tcPr>
            <w:tcW w:w="1252" w:type="dxa"/>
            <w:tcBorders>
              <w:top w:val="nil"/>
              <w:left w:val="nil"/>
              <w:bottom w:val="nil"/>
              <w:right w:val="nil"/>
            </w:tcBorders>
            <w:shd w:val="clear" w:color="auto" w:fill="auto"/>
            <w:vAlign w:val="center"/>
            <w:hideMark/>
          </w:tcPr>
          <w:p w14:paraId="7CC393F6" w14:textId="2E712F8E" w:rsidR="00D264DA" w:rsidRPr="00B61F35" w:rsidRDefault="00D264DA" w:rsidP="00D264DA">
            <w:pPr>
              <w:spacing w:after="0" w:line="240" w:lineRule="auto"/>
              <w:jc w:val="center"/>
              <w:rPr>
                <w:rFonts w:cs="Arial"/>
                <w:color w:val="000000"/>
                <w:sz w:val="16"/>
                <w:szCs w:val="16"/>
              </w:rPr>
            </w:pPr>
            <w:r>
              <w:rPr>
                <w:rFonts w:cs="Arial"/>
                <w:color w:val="000000"/>
                <w:sz w:val="16"/>
                <w:szCs w:val="16"/>
              </w:rPr>
              <w:t>45,8</w:t>
            </w:r>
          </w:p>
        </w:tc>
        <w:tc>
          <w:tcPr>
            <w:tcW w:w="1254" w:type="dxa"/>
            <w:tcBorders>
              <w:top w:val="nil"/>
              <w:left w:val="nil"/>
              <w:bottom w:val="nil"/>
              <w:right w:val="nil"/>
            </w:tcBorders>
            <w:shd w:val="clear" w:color="auto" w:fill="auto"/>
            <w:vAlign w:val="center"/>
            <w:hideMark/>
          </w:tcPr>
          <w:p w14:paraId="76102E03" w14:textId="1F1F6997" w:rsidR="00D264DA" w:rsidRPr="00B61F35" w:rsidRDefault="00D264DA" w:rsidP="00D264DA">
            <w:pPr>
              <w:spacing w:after="0" w:line="240" w:lineRule="auto"/>
              <w:jc w:val="center"/>
              <w:rPr>
                <w:rFonts w:cs="Arial"/>
                <w:color w:val="000000"/>
                <w:sz w:val="16"/>
                <w:szCs w:val="16"/>
              </w:rPr>
            </w:pPr>
            <w:r>
              <w:rPr>
                <w:rFonts w:cs="Arial"/>
                <w:color w:val="000000"/>
                <w:sz w:val="16"/>
                <w:szCs w:val="16"/>
              </w:rPr>
              <w:t>44,7</w:t>
            </w:r>
          </w:p>
        </w:tc>
      </w:tr>
      <w:tr w:rsidR="00D264DA" w:rsidRPr="00B61F35" w14:paraId="30E68D63" w14:textId="77777777" w:rsidTr="0097475C">
        <w:trPr>
          <w:gridAfter w:val="1"/>
          <w:wAfter w:w="18" w:type="dxa"/>
          <w:trHeight w:val="300"/>
        </w:trPr>
        <w:tc>
          <w:tcPr>
            <w:tcW w:w="1474" w:type="dxa"/>
            <w:tcBorders>
              <w:top w:val="nil"/>
              <w:left w:val="nil"/>
              <w:bottom w:val="nil"/>
              <w:right w:val="single" w:sz="4" w:space="0" w:color="auto"/>
            </w:tcBorders>
            <w:shd w:val="clear" w:color="auto" w:fill="auto"/>
            <w:vAlign w:val="center"/>
            <w:hideMark/>
          </w:tcPr>
          <w:p w14:paraId="65636C3B" w14:textId="77777777" w:rsidR="00D264DA" w:rsidRPr="00B61F35" w:rsidRDefault="00D264DA" w:rsidP="00D264DA">
            <w:pPr>
              <w:spacing w:after="0" w:line="240" w:lineRule="auto"/>
              <w:ind w:firstLineChars="100" w:firstLine="160"/>
              <w:rPr>
                <w:rFonts w:cs="Arial"/>
                <w:color w:val="000000"/>
                <w:sz w:val="16"/>
                <w:szCs w:val="16"/>
              </w:rPr>
            </w:pPr>
            <w:r w:rsidRPr="00B61F35">
              <w:rPr>
                <w:rFonts w:cs="Arial"/>
                <w:color w:val="000000"/>
                <w:sz w:val="16"/>
                <w:szCs w:val="16"/>
              </w:rPr>
              <w:t>60 a více let</w:t>
            </w:r>
          </w:p>
        </w:tc>
        <w:tc>
          <w:tcPr>
            <w:tcW w:w="1609" w:type="dxa"/>
            <w:tcBorders>
              <w:top w:val="nil"/>
              <w:left w:val="nil"/>
              <w:bottom w:val="nil"/>
              <w:right w:val="nil"/>
            </w:tcBorders>
            <w:shd w:val="clear" w:color="auto" w:fill="auto"/>
            <w:vAlign w:val="center"/>
            <w:hideMark/>
          </w:tcPr>
          <w:p w14:paraId="323C0912" w14:textId="2FFC7C5E" w:rsidR="00D264DA" w:rsidRPr="00B61F35" w:rsidRDefault="00D264DA" w:rsidP="00D264DA">
            <w:pPr>
              <w:spacing w:after="0" w:line="240" w:lineRule="auto"/>
              <w:jc w:val="right"/>
              <w:rPr>
                <w:rFonts w:cs="Arial"/>
                <w:color w:val="000000"/>
                <w:sz w:val="16"/>
                <w:szCs w:val="16"/>
              </w:rPr>
            </w:pPr>
            <w:r>
              <w:rPr>
                <w:rFonts w:cs="Arial"/>
                <w:color w:val="000000"/>
                <w:sz w:val="16"/>
                <w:szCs w:val="16"/>
              </w:rPr>
              <w:t>189,3</w:t>
            </w:r>
          </w:p>
        </w:tc>
        <w:tc>
          <w:tcPr>
            <w:tcW w:w="1252" w:type="dxa"/>
            <w:tcBorders>
              <w:top w:val="nil"/>
              <w:left w:val="nil"/>
              <w:bottom w:val="nil"/>
              <w:right w:val="nil"/>
            </w:tcBorders>
            <w:shd w:val="clear" w:color="auto" w:fill="auto"/>
            <w:vAlign w:val="center"/>
            <w:hideMark/>
          </w:tcPr>
          <w:p w14:paraId="4434D81F" w14:textId="0905EFB4" w:rsidR="00D264DA" w:rsidRPr="00B61F35" w:rsidRDefault="00D264DA" w:rsidP="00D264DA">
            <w:pPr>
              <w:spacing w:after="0" w:line="240" w:lineRule="auto"/>
              <w:jc w:val="right"/>
              <w:rPr>
                <w:rFonts w:cs="Arial"/>
                <w:color w:val="000000"/>
                <w:sz w:val="16"/>
                <w:szCs w:val="16"/>
              </w:rPr>
            </w:pPr>
            <w:r>
              <w:rPr>
                <w:rFonts w:cs="Arial"/>
                <w:color w:val="000000"/>
                <w:sz w:val="16"/>
                <w:szCs w:val="16"/>
              </w:rPr>
              <w:t>106,9</w:t>
            </w:r>
          </w:p>
        </w:tc>
        <w:tc>
          <w:tcPr>
            <w:tcW w:w="1254" w:type="dxa"/>
            <w:tcBorders>
              <w:top w:val="nil"/>
              <w:left w:val="nil"/>
              <w:bottom w:val="nil"/>
              <w:right w:val="single" w:sz="4" w:space="0" w:color="auto"/>
            </w:tcBorders>
            <w:shd w:val="clear" w:color="auto" w:fill="auto"/>
            <w:vAlign w:val="center"/>
            <w:hideMark/>
          </w:tcPr>
          <w:p w14:paraId="3A53FC45" w14:textId="232FE55A" w:rsidR="00D264DA" w:rsidRPr="00B61F35" w:rsidRDefault="00D264DA" w:rsidP="00D264DA">
            <w:pPr>
              <w:spacing w:after="0" w:line="240" w:lineRule="auto"/>
              <w:jc w:val="right"/>
              <w:rPr>
                <w:rFonts w:cs="Arial"/>
                <w:color w:val="000000"/>
                <w:sz w:val="16"/>
                <w:szCs w:val="16"/>
              </w:rPr>
            </w:pPr>
            <w:r>
              <w:rPr>
                <w:rFonts w:cs="Arial"/>
                <w:color w:val="000000"/>
                <w:sz w:val="16"/>
                <w:szCs w:val="16"/>
              </w:rPr>
              <w:t>82,5</w:t>
            </w:r>
          </w:p>
        </w:tc>
        <w:tc>
          <w:tcPr>
            <w:tcW w:w="1610" w:type="dxa"/>
            <w:tcBorders>
              <w:top w:val="nil"/>
              <w:left w:val="nil"/>
              <w:bottom w:val="nil"/>
              <w:right w:val="nil"/>
            </w:tcBorders>
            <w:shd w:val="clear" w:color="auto" w:fill="auto"/>
            <w:vAlign w:val="center"/>
            <w:hideMark/>
          </w:tcPr>
          <w:p w14:paraId="4301C932" w14:textId="2E430815" w:rsidR="00D264DA" w:rsidRPr="00B61F35" w:rsidRDefault="00D264DA" w:rsidP="00D264DA">
            <w:pPr>
              <w:spacing w:after="0" w:line="240" w:lineRule="auto"/>
              <w:jc w:val="center"/>
              <w:rPr>
                <w:rFonts w:cs="Arial"/>
                <w:color w:val="000000"/>
                <w:sz w:val="16"/>
                <w:szCs w:val="16"/>
              </w:rPr>
            </w:pPr>
            <w:r>
              <w:rPr>
                <w:rFonts w:cs="Arial"/>
                <w:color w:val="000000"/>
                <w:sz w:val="16"/>
                <w:szCs w:val="16"/>
              </w:rPr>
              <w:t>58,8</w:t>
            </w:r>
          </w:p>
        </w:tc>
        <w:tc>
          <w:tcPr>
            <w:tcW w:w="1252" w:type="dxa"/>
            <w:tcBorders>
              <w:top w:val="nil"/>
              <w:left w:val="nil"/>
              <w:bottom w:val="single" w:sz="4" w:space="0" w:color="auto"/>
              <w:right w:val="nil"/>
            </w:tcBorders>
            <w:shd w:val="clear" w:color="auto" w:fill="auto"/>
            <w:vAlign w:val="center"/>
            <w:hideMark/>
          </w:tcPr>
          <w:p w14:paraId="36904CBF" w14:textId="128EEF1A" w:rsidR="00D264DA" w:rsidRPr="00B61F35" w:rsidRDefault="00D264DA" w:rsidP="00D264DA">
            <w:pPr>
              <w:spacing w:after="0" w:line="240" w:lineRule="auto"/>
              <w:jc w:val="center"/>
              <w:rPr>
                <w:rFonts w:cs="Arial"/>
                <w:color w:val="000000"/>
                <w:sz w:val="16"/>
                <w:szCs w:val="16"/>
              </w:rPr>
            </w:pPr>
            <w:r>
              <w:rPr>
                <w:rFonts w:cs="Arial"/>
                <w:color w:val="000000"/>
                <w:sz w:val="16"/>
                <w:szCs w:val="16"/>
              </w:rPr>
              <w:t>63,7</w:t>
            </w:r>
          </w:p>
        </w:tc>
        <w:tc>
          <w:tcPr>
            <w:tcW w:w="1254" w:type="dxa"/>
            <w:tcBorders>
              <w:top w:val="nil"/>
              <w:left w:val="nil"/>
              <w:bottom w:val="nil"/>
              <w:right w:val="nil"/>
            </w:tcBorders>
            <w:shd w:val="clear" w:color="auto" w:fill="auto"/>
            <w:vAlign w:val="center"/>
            <w:hideMark/>
          </w:tcPr>
          <w:p w14:paraId="58DCFD19" w14:textId="5387AAF8" w:rsidR="00D264DA" w:rsidRPr="00B61F35" w:rsidRDefault="00D264DA" w:rsidP="00D264DA">
            <w:pPr>
              <w:spacing w:after="0" w:line="240" w:lineRule="auto"/>
              <w:jc w:val="center"/>
              <w:rPr>
                <w:rFonts w:cs="Arial"/>
                <w:color w:val="000000"/>
                <w:sz w:val="16"/>
                <w:szCs w:val="16"/>
              </w:rPr>
            </w:pPr>
            <w:r>
              <w:rPr>
                <w:rFonts w:cs="Arial"/>
                <w:color w:val="000000"/>
                <w:sz w:val="16"/>
                <w:szCs w:val="16"/>
              </w:rPr>
              <w:t>52,5</w:t>
            </w:r>
          </w:p>
        </w:tc>
      </w:tr>
      <w:tr w:rsidR="00425FEB" w:rsidRPr="00B61F35" w14:paraId="7E4E143B" w14:textId="77777777" w:rsidTr="0097475C">
        <w:trPr>
          <w:trHeight w:val="300"/>
        </w:trPr>
        <w:tc>
          <w:tcPr>
            <w:tcW w:w="1474" w:type="dxa"/>
            <w:tcBorders>
              <w:top w:val="single" w:sz="4" w:space="0" w:color="auto"/>
              <w:left w:val="nil"/>
              <w:bottom w:val="single" w:sz="4" w:space="0" w:color="auto"/>
              <w:right w:val="single" w:sz="4" w:space="0" w:color="auto"/>
            </w:tcBorders>
            <w:shd w:val="clear" w:color="000000" w:fill="F5DADD"/>
            <w:vAlign w:val="center"/>
            <w:hideMark/>
          </w:tcPr>
          <w:p w14:paraId="17CAD89F" w14:textId="77777777" w:rsidR="00425FEB" w:rsidRPr="00B61F35" w:rsidRDefault="00425FEB" w:rsidP="0097475C">
            <w:pPr>
              <w:spacing w:after="0" w:line="240" w:lineRule="auto"/>
              <w:jc w:val="center"/>
              <w:rPr>
                <w:rFonts w:cs="Arial"/>
                <w:color w:val="000000"/>
                <w:sz w:val="16"/>
                <w:szCs w:val="16"/>
              </w:rPr>
            </w:pPr>
            <w:r w:rsidRPr="00B61F35">
              <w:rPr>
                <w:rFonts w:cs="Arial"/>
                <w:color w:val="000000"/>
                <w:sz w:val="16"/>
                <w:szCs w:val="16"/>
              </w:rPr>
              <w:t> </w:t>
            </w:r>
          </w:p>
        </w:tc>
        <w:tc>
          <w:tcPr>
            <w:tcW w:w="8249" w:type="dxa"/>
            <w:gridSpan w:val="7"/>
            <w:tcBorders>
              <w:top w:val="single" w:sz="4" w:space="0" w:color="auto"/>
              <w:left w:val="nil"/>
              <w:bottom w:val="single" w:sz="4" w:space="0" w:color="auto"/>
              <w:right w:val="nil"/>
            </w:tcBorders>
            <w:shd w:val="clear" w:color="000000" w:fill="F2DBDB"/>
            <w:vAlign w:val="center"/>
            <w:hideMark/>
          </w:tcPr>
          <w:p w14:paraId="5BE51471" w14:textId="7E2192CD" w:rsidR="00425FEB" w:rsidRPr="00B61F35" w:rsidRDefault="0097475C" w:rsidP="0097475C">
            <w:pPr>
              <w:spacing w:after="0" w:line="240" w:lineRule="auto"/>
              <w:jc w:val="center"/>
              <w:rPr>
                <w:rFonts w:cs="Arial"/>
                <w:b/>
                <w:bCs/>
                <w:color w:val="000000"/>
                <w:sz w:val="16"/>
                <w:szCs w:val="16"/>
              </w:rPr>
            </w:pPr>
            <w:r>
              <w:rPr>
                <w:rFonts w:cs="Arial"/>
                <w:b/>
                <w:bCs/>
                <w:color w:val="000000"/>
                <w:sz w:val="16"/>
                <w:szCs w:val="16"/>
              </w:rPr>
              <w:t>2023</w:t>
            </w:r>
          </w:p>
        </w:tc>
      </w:tr>
      <w:tr w:rsidR="0097475C" w:rsidRPr="00B61F35" w14:paraId="22D817F3" w14:textId="77777777" w:rsidTr="0097475C">
        <w:trPr>
          <w:gridAfter w:val="1"/>
          <w:wAfter w:w="18" w:type="dxa"/>
          <w:trHeight w:val="300"/>
        </w:trPr>
        <w:tc>
          <w:tcPr>
            <w:tcW w:w="1474" w:type="dxa"/>
            <w:tcBorders>
              <w:top w:val="nil"/>
              <w:left w:val="nil"/>
              <w:bottom w:val="nil"/>
              <w:right w:val="single" w:sz="4" w:space="0" w:color="auto"/>
            </w:tcBorders>
            <w:shd w:val="clear" w:color="auto" w:fill="auto"/>
            <w:vAlign w:val="center"/>
            <w:hideMark/>
          </w:tcPr>
          <w:p w14:paraId="146B0BD4" w14:textId="77777777" w:rsidR="0097475C" w:rsidRPr="00B61F35" w:rsidRDefault="0097475C" w:rsidP="0097475C">
            <w:pPr>
              <w:spacing w:after="0" w:line="240" w:lineRule="auto"/>
              <w:rPr>
                <w:rFonts w:cs="Arial"/>
                <w:b/>
                <w:bCs/>
                <w:color w:val="000000"/>
                <w:sz w:val="16"/>
                <w:szCs w:val="16"/>
              </w:rPr>
            </w:pPr>
            <w:r w:rsidRPr="00B61F35">
              <w:rPr>
                <w:rFonts w:cs="Arial"/>
                <w:b/>
                <w:bCs/>
                <w:color w:val="000000"/>
                <w:sz w:val="16"/>
                <w:szCs w:val="16"/>
              </w:rPr>
              <w:t>Celkem</w:t>
            </w:r>
          </w:p>
        </w:tc>
        <w:tc>
          <w:tcPr>
            <w:tcW w:w="1609" w:type="dxa"/>
            <w:tcBorders>
              <w:top w:val="nil"/>
              <w:left w:val="nil"/>
              <w:bottom w:val="nil"/>
              <w:right w:val="nil"/>
            </w:tcBorders>
            <w:shd w:val="clear" w:color="auto" w:fill="auto"/>
            <w:vAlign w:val="center"/>
          </w:tcPr>
          <w:p w14:paraId="69B1892C" w14:textId="2E0CF4BD" w:rsidR="0097475C" w:rsidRPr="00B61F35" w:rsidRDefault="0097475C" w:rsidP="0097475C">
            <w:pPr>
              <w:spacing w:after="0" w:line="240" w:lineRule="auto"/>
              <w:jc w:val="right"/>
              <w:rPr>
                <w:rFonts w:cs="Arial"/>
                <w:b/>
                <w:bCs/>
                <w:color w:val="000000"/>
                <w:sz w:val="16"/>
                <w:szCs w:val="16"/>
              </w:rPr>
            </w:pPr>
            <w:r>
              <w:rPr>
                <w:rFonts w:cs="Arial"/>
                <w:b/>
                <w:bCs/>
                <w:color w:val="000000"/>
                <w:sz w:val="16"/>
                <w:szCs w:val="16"/>
              </w:rPr>
              <w:t>2 528,6</w:t>
            </w:r>
          </w:p>
        </w:tc>
        <w:tc>
          <w:tcPr>
            <w:tcW w:w="1252" w:type="dxa"/>
            <w:tcBorders>
              <w:top w:val="nil"/>
              <w:left w:val="nil"/>
              <w:bottom w:val="nil"/>
              <w:right w:val="nil"/>
            </w:tcBorders>
            <w:shd w:val="clear" w:color="auto" w:fill="auto"/>
            <w:vAlign w:val="center"/>
          </w:tcPr>
          <w:p w14:paraId="5AE84FEC" w14:textId="4215D179" w:rsidR="0097475C" w:rsidRPr="00B61F35" w:rsidRDefault="0097475C" w:rsidP="0097475C">
            <w:pPr>
              <w:spacing w:after="0" w:line="240" w:lineRule="auto"/>
              <w:jc w:val="right"/>
              <w:rPr>
                <w:rFonts w:cs="Arial"/>
                <w:b/>
                <w:bCs/>
                <w:color w:val="000000"/>
                <w:sz w:val="16"/>
                <w:szCs w:val="16"/>
              </w:rPr>
            </w:pPr>
            <w:r>
              <w:rPr>
                <w:rFonts w:cs="Arial"/>
                <w:b/>
                <w:bCs/>
                <w:color w:val="000000"/>
                <w:sz w:val="16"/>
                <w:szCs w:val="16"/>
              </w:rPr>
              <w:t>1 129,0</w:t>
            </w:r>
          </w:p>
        </w:tc>
        <w:tc>
          <w:tcPr>
            <w:tcW w:w="1254" w:type="dxa"/>
            <w:tcBorders>
              <w:top w:val="nil"/>
              <w:left w:val="nil"/>
              <w:bottom w:val="nil"/>
              <w:right w:val="single" w:sz="4" w:space="0" w:color="auto"/>
            </w:tcBorders>
            <w:shd w:val="clear" w:color="auto" w:fill="auto"/>
            <w:vAlign w:val="center"/>
          </w:tcPr>
          <w:p w14:paraId="1D4F0301" w14:textId="5A11EE7D" w:rsidR="0097475C" w:rsidRPr="00B61F35" w:rsidRDefault="0097475C" w:rsidP="0097475C">
            <w:pPr>
              <w:spacing w:after="0" w:line="240" w:lineRule="auto"/>
              <w:jc w:val="right"/>
              <w:rPr>
                <w:rFonts w:cs="Arial"/>
                <w:b/>
                <w:bCs/>
                <w:color w:val="000000"/>
                <w:sz w:val="16"/>
                <w:szCs w:val="16"/>
              </w:rPr>
            </w:pPr>
            <w:r>
              <w:rPr>
                <w:rFonts w:cs="Arial"/>
                <w:b/>
                <w:bCs/>
                <w:color w:val="000000"/>
                <w:sz w:val="16"/>
                <w:szCs w:val="16"/>
              </w:rPr>
              <w:t>1 399,5</w:t>
            </w:r>
          </w:p>
        </w:tc>
        <w:tc>
          <w:tcPr>
            <w:tcW w:w="1610" w:type="dxa"/>
            <w:tcBorders>
              <w:top w:val="nil"/>
              <w:left w:val="nil"/>
              <w:bottom w:val="nil"/>
              <w:right w:val="nil"/>
            </w:tcBorders>
            <w:shd w:val="clear" w:color="auto" w:fill="auto"/>
            <w:vAlign w:val="center"/>
          </w:tcPr>
          <w:p w14:paraId="7B32F0E9" w14:textId="7CF721F3" w:rsidR="0097475C" w:rsidRPr="00B61F35" w:rsidRDefault="0097475C" w:rsidP="0097475C">
            <w:pPr>
              <w:spacing w:after="0" w:line="240" w:lineRule="auto"/>
              <w:jc w:val="center"/>
              <w:rPr>
                <w:rFonts w:cs="Arial"/>
                <w:b/>
                <w:bCs/>
                <w:color w:val="000000"/>
                <w:sz w:val="16"/>
                <w:szCs w:val="16"/>
              </w:rPr>
            </w:pPr>
            <w:r>
              <w:rPr>
                <w:rFonts w:cs="Arial"/>
                <w:b/>
                <w:bCs/>
                <w:color w:val="000000"/>
                <w:sz w:val="16"/>
                <w:szCs w:val="16"/>
              </w:rPr>
              <w:t>31,0</w:t>
            </w:r>
          </w:p>
        </w:tc>
        <w:tc>
          <w:tcPr>
            <w:tcW w:w="1252" w:type="dxa"/>
            <w:tcBorders>
              <w:top w:val="nil"/>
              <w:left w:val="nil"/>
              <w:bottom w:val="nil"/>
              <w:right w:val="nil"/>
            </w:tcBorders>
            <w:shd w:val="clear" w:color="auto" w:fill="auto"/>
            <w:vAlign w:val="center"/>
          </w:tcPr>
          <w:p w14:paraId="6C5119A5" w14:textId="2FDE60BD" w:rsidR="0097475C" w:rsidRPr="00B61F35" w:rsidRDefault="0097475C" w:rsidP="0097475C">
            <w:pPr>
              <w:spacing w:after="0" w:line="240" w:lineRule="auto"/>
              <w:jc w:val="center"/>
              <w:rPr>
                <w:rFonts w:cs="Arial"/>
                <w:b/>
                <w:bCs/>
                <w:color w:val="000000"/>
                <w:sz w:val="16"/>
                <w:szCs w:val="16"/>
              </w:rPr>
            </w:pPr>
            <w:r>
              <w:rPr>
                <w:rFonts w:cs="Arial"/>
                <w:b/>
                <w:bCs/>
                <w:color w:val="000000"/>
                <w:sz w:val="16"/>
                <w:szCs w:val="16"/>
              </w:rPr>
              <w:t>31,3</w:t>
            </w:r>
          </w:p>
        </w:tc>
        <w:tc>
          <w:tcPr>
            <w:tcW w:w="1254" w:type="dxa"/>
            <w:tcBorders>
              <w:top w:val="nil"/>
              <w:left w:val="nil"/>
              <w:bottom w:val="nil"/>
              <w:right w:val="nil"/>
            </w:tcBorders>
            <w:shd w:val="clear" w:color="auto" w:fill="auto"/>
            <w:vAlign w:val="center"/>
          </w:tcPr>
          <w:p w14:paraId="7E51CAA5" w14:textId="0131F713" w:rsidR="0097475C" w:rsidRPr="00B61F35" w:rsidRDefault="0097475C" w:rsidP="0097475C">
            <w:pPr>
              <w:spacing w:after="0" w:line="240" w:lineRule="auto"/>
              <w:jc w:val="center"/>
              <w:rPr>
                <w:rFonts w:cs="Arial"/>
                <w:b/>
                <w:bCs/>
                <w:color w:val="000000"/>
                <w:sz w:val="16"/>
                <w:szCs w:val="16"/>
              </w:rPr>
            </w:pPr>
            <w:r>
              <w:rPr>
                <w:rFonts w:cs="Arial"/>
                <w:b/>
                <w:bCs/>
                <w:color w:val="000000"/>
                <w:sz w:val="16"/>
                <w:szCs w:val="16"/>
              </w:rPr>
              <w:t>30,8</w:t>
            </w:r>
          </w:p>
        </w:tc>
      </w:tr>
      <w:tr w:rsidR="0097475C" w:rsidRPr="00B61F35" w14:paraId="6A4E17F0" w14:textId="77777777" w:rsidTr="0097475C">
        <w:trPr>
          <w:gridAfter w:val="1"/>
          <w:wAfter w:w="18" w:type="dxa"/>
          <w:trHeight w:val="300"/>
        </w:trPr>
        <w:tc>
          <w:tcPr>
            <w:tcW w:w="1474" w:type="dxa"/>
            <w:tcBorders>
              <w:top w:val="nil"/>
              <w:left w:val="nil"/>
              <w:bottom w:val="nil"/>
              <w:right w:val="single" w:sz="4" w:space="0" w:color="auto"/>
            </w:tcBorders>
            <w:shd w:val="clear" w:color="auto" w:fill="auto"/>
            <w:vAlign w:val="center"/>
            <w:hideMark/>
          </w:tcPr>
          <w:p w14:paraId="571B906E" w14:textId="77777777" w:rsidR="0097475C" w:rsidRPr="00B61F35" w:rsidRDefault="0097475C" w:rsidP="0097475C">
            <w:pPr>
              <w:spacing w:after="0" w:line="240" w:lineRule="auto"/>
              <w:ind w:firstLineChars="100" w:firstLine="160"/>
              <w:rPr>
                <w:rFonts w:cs="Arial"/>
                <w:color w:val="000000"/>
                <w:sz w:val="16"/>
                <w:szCs w:val="16"/>
              </w:rPr>
            </w:pPr>
            <w:r w:rsidRPr="00B61F35">
              <w:rPr>
                <w:rFonts w:cs="Arial"/>
                <w:color w:val="000000"/>
                <w:sz w:val="16"/>
                <w:szCs w:val="16"/>
              </w:rPr>
              <w:t>mladší 20 let</w:t>
            </w:r>
          </w:p>
        </w:tc>
        <w:tc>
          <w:tcPr>
            <w:tcW w:w="1609" w:type="dxa"/>
            <w:tcBorders>
              <w:top w:val="nil"/>
              <w:left w:val="nil"/>
              <w:bottom w:val="nil"/>
              <w:right w:val="nil"/>
            </w:tcBorders>
            <w:shd w:val="clear" w:color="auto" w:fill="auto"/>
            <w:vAlign w:val="center"/>
          </w:tcPr>
          <w:p w14:paraId="5780ACEB" w14:textId="74E04128" w:rsidR="0097475C" w:rsidRPr="00B61F35" w:rsidRDefault="0097475C" w:rsidP="0097475C">
            <w:pPr>
              <w:spacing w:after="0" w:line="240" w:lineRule="auto"/>
              <w:jc w:val="right"/>
              <w:rPr>
                <w:rFonts w:cs="Arial"/>
                <w:color w:val="000000"/>
                <w:sz w:val="16"/>
                <w:szCs w:val="16"/>
              </w:rPr>
            </w:pPr>
            <w:r>
              <w:rPr>
                <w:rFonts w:cs="Arial"/>
                <w:color w:val="000000"/>
                <w:sz w:val="16"/>
                <w:szCs w:val="16"/>
              </w:rPr>
              <w:t>28,8</w:t>
            </w:r>
          </w:p>
        </w:tc>
        <w:tc>
          <w:tcPr>
            <w:tcW w:w="1252" w:type="dxa"/>
            <w:tcBorders>
              <w:top w:val="nil"/>
              <w:left w:val="nil"/>
              <w:bottom w:val="nil"/>
              <w:right w:val="nil"/>
            </w:tcBorders>
            <w:shd w:val="clear" w:color="auto" w:fill="auto"/>
            <w:vAlign w:val="center"/>
          </w:tcPr>
          <w:p w14:paraId="7E768EDB" w14:textId="5A3090A5" w:rsidR="0097475C" w:rsidRPr="00B61F35" w:rsidRDefault="0097475C" w:rsidP="0097475C">
            <w:pPr>
              <w:spacing w:after="0" w:line="240" w:lineRule="auto"/>
              <w:jc w:val="right"/>
              <w:rPr>
                <w:rFonts w:cs="Arial"/>
                <w:color w:val="000000"/>
                <w:sz w:val="16"/>
                <w:szCs w:val="16"/>
              </w:rPr>
            </w:pPr>
            <w:r>
              <w:rPr>
                <w:rFonts w:cs="Arial"/>
                <w:color w:val="000000"/>
                <w:sz w:val="16"/>
                <w:szCs w:val="16"/>
              </w:rPr>
              <w:t>15,7</w:t>
            </w:r>
          </w:p>
        </w:tc>
        <w:tc>
          <w:tcPr>
            <w:tcW w:w="1254" w:type="dxa"/>
            <w:tcBorders>
              <w:top w:val="nil"/>
              <w:left w:val="nil"/>
              <w:bottom w:val="nil"/>
              <w:right w:val="single" w:sz="4" w:space="0" w:color="auto"/>
            </w:tcBorders>
            <w:shd w:val="clear" w:color="auto" w:fill="auto"/>
            <w:vAlign w:val="center"/>
          </w:tcPr>
          <w:p w14:paraId="25535F72" w14:textId="1429EBBA" w:rsidR="0097475C" w:rsidRPr="00B61F35" w:rsidRDefault="0097475C" w:rsidP="0097475C">
            <w:pPr>
              <w:spacing w:after="0" w:line="240" w:lineRule="auto"/>
              <w:jc w:val="right"/>
              <w:rPr>
                <w:rFonts w:cs="Arial"/>
                <w:color w:val="000000"/>
                <w:sz w:val="16"/>
                <w:szCs w:val="16"/>
              </w:rPr>
            </w:pPr>
            <w:r>
              <w:rPr>
                <w:rFonts w:cs="Arial"/>
                <w:color w:val="000000"/>
                <w:sz w:val="16"/>
                <w:szCs w:val="16"/>
              </w:rPr>
              <w:t>13,1</w:t>
            </w:r>
          </w:p>
        </w:tc>
        <w:tc>
          <w:tcPr>
            <w:tcW w:w="1610" w:type="dxa"/>
            <w:tcBorders>
              <w:top w:val="nil"/>
              <w:left w:val="nil"/>
              <w:bottom w:val="nil"/>
              <w:right w:val="nil"/>
            </w:tcBorders>
            <w:shd w:val="clear" w:color="auto" w:fill="auto"/>
            <w:vAlign w:val="center"/>
          </w:tcPr>
          <w:p w14:paraId="0A8163DF" w14:textId="2744F39F" w:rsidR="0097475C" w:rsidRPr="00B61F35" w:rsidRDefault="0097475C" w:rsidP="0097475C">
            <w:pPr>
              <w:spacing w:after="0" w:line="240" w:lineRule="auto"/>
              <w:jc w:val="center"/>
              <w:rPr>
                <w:rFonts w:cs="Arial"/>
                <w:color w:val="000000"/>
                <w:sz w:val="16"/>
                <w:szCs w:val="16"/>
              </w:rPr>
            </w:pPr>
            <w:r>
              <w:rPr>
                <w:rFonts w:cs="Arial"/>
                <w:color w:val="000000"/>
                <w:sz w:val="16"/>
                <w:szCs w:val="16"/>
              </w:rPr>
              <w:t>14,2</w:t>
            </w:r>
          </w:p>
        </w:tc>
        <w:tc>
          <w:tcPr>
            <w:tcW w:w="1252" w:type="dxa"/>
            <w:tcBorders>
              <w:top w:val="nil"/>
              <w:left w:val="nil"/>
              <w:bottom w:val="nil"/>
              <w:right w:val="nil"/>
            </w:tcBorders>
            <w:shd w:val="clear" w:color="auto" w:fill="auto"/>
            <w:vAlign w:val="center"/>
          </w:tcPr>
          <w:p w14:paraId="20E1121E" w14:textId="1B42E551" w:rsidR="0097475C" w:rsidRPr="00B61F35" w:rsidRDefault="0097475C" w:rsidP="0097475C">
            <w:pPr>
              <w:spacing w:after="0" w:line="240" w:lineRule="auto"/>
              <w:jc w:val="center"/>
              <w:rPr>
                <w:rFonts w:cs="Arial"/>
                <w:color w:val="000000"/>
                <w:sz w:val="16"/>
                <w:szCs w:val="16"/>
              </w:rPr>
            </w:pPr>
            <w:r>
              <w:rPr>
                <w:rFonts w:cs="Arial"/>
                <w:color w:val="000000"/>
                <w:sz w:val="16"/>
                <w:szCs w:val="16"/>
              </w:rPr>
              <w:t>13,2</w:t>
            </w:r>
          </w:p>
        </w:tc>
        <w:tc>
          <w:tcPr>
            <w:tcW w:w="1254" w:type="dxa"/>
            <w:tcBorders>
              <w:top w:val="nil"/>
              <w:left w:val="nil"/>
              <w:bottom w:val="nil"/>
              <w:right w:val="nil"/>
            </w:tcBorders>
            <w:shd w:val="clear" w:color="auto" w:fill="auto"/>
            <w:vAlign w:val="center"/>
          </w:tcPr>
          <w:p w14:paraId="7580D3E6" w14:textId="706423FF" w:rsidR="0097475C" w:rsidRPr="00B61F35" w:rsidRDefault="0097475C" w:rsidP="0097475C">
            <w:pPr>
              <w:spacing w:after="0" w:line="240" w:lineRule="auto"/>
              <w:jc w:val="center"/>
              <w:rPr>
                <w:rFonts w:cs="Arial"/>
                <w:color w:val="000000"/>
                <w:sz w:val="16"/>
                <w:szCs w:val="16"/>
              </w:rPr>
            </w:pPr>
            <w:r>
              <w:rPr>
                <w:rFonts w:cs="Arial"/>
                <w:color w:val="000000"/>
                <w:sz w:val="16"/>
                <w:szCs w:val="16"/>
              </w:rPr>
              <w:t>15,4</w:t>
            </w:r>
          </w:p>
        </w:tc>
      </w:tr>
      <w:tr w:rsidR="0097475C" w:rsidRPr="00B61F35" w14:paraId="398C1CD5" w14:textId="77777777" w:rsidTr="0097475C">
        <w:trPr>
          <w:gridAfter w:val="1"/>
          <w:wAfter w:w="18" w:type="dxa"/>
          <w:trHeight w:val="300"/>
        </w:trPr>
        <w:tc>
          <w:tcPr>
            <w:tcW w:w="1474" w:type="dxa"/>
            <w:tcBorders>
              <w:top w:val="nil"/>
              <w:left w:val="nil"/>
              <w:bottom w:val="nil"/>
              <w:right w:val="single" w:sz="4" w:space="0" w:color="auto"/>
            </w:tcBorders>
            <w:shd w:val="clear" w:color="auto" w:fill="auto"/>
            <w:vAlign w:val="center"/>
            <w:hideMark/>
          </w:tcPr>
          <w:p w14:paraId="50F935EB" w14:textId="77777777" w:rsidR="0097475C" w:rsidRPr="00B61F35" w:rsidRDefault="0097475C" w:rsidP="0097475C">
            <w:pPr>
              <w:spacing w:after="0" w:line="240" w:lineRule="auto"/>
              <w:ind w:firstLineChars="100" w:firstLine="160"/>
              <w:rPr>
                <w:rFonts w:cs="Arial"/>
                <w:color w:val="000000"/>
                <w:sz w:val="16"/>
                <w:szCs w:val="16"/>
              </w:rPr>
            </w:pPr>
            <w:r w:rsidRPr="00B61F35">
              <w:rPr>
                <w:rFonts w:cs="Arial"/>
                <w:color w:val="000000"/>
                <w:sz w:val="16"/>
                <w:szCs w:val="16"/>
              </w:rPr>
              <w:t>20–29 let</w:t>
            </w:r>
          </w:p>
        </w:tc>
        <w:tc>
          <w:tcPr>
            <w:tcW w:w="1609" w:type="dxa"/>
            <w:tcBorders>
              <w:top w:val="nil"/>
              <w:left w:val="nil"/>
              <w:bottom w:val="nil"/>
              <w:right w:val="nil"/>
            </w:tcBorders>
            <w:shd w:val="clear" w:color="auto" w:fill="auto"/>
            <w:vAlign w:val="center"/>
          </w:tcPr>
          <w:p w14:paraId="03964926" w14:textId="4CC5EA18" w:rsidR="0097475C" w:rsidRPr="00B61F35" w:rsidRDefault="0097475C" w:rsidP="0097475C">
            <w:pPr>
              <w:spacing w:after="0" w:line="240" w:lineRule="auto"/>
              <w:jc w:val="right"/>
              <w:rPr>
                <w:rFonts w:cs="Arial"/>
                <w:color w:val="000000"/>
                <w:sz w:val="16"/>
                <w:szCs w:val="16"/>
              </w:rPr>
            </w:pPr>
            <w:r>
              <w:rPr>
                <w:rFonts w:cs="Arial"/>
                <w:color w:val="000000"/>
                <w:sz w:val="16"/>
                <w:szCs w:val="16"/>
              </w:rPr>
              <w:t>481,4</w:t>
            </w:r>
          </w:p>
        </w:tc>
        <w:tc>
          <w:tcPr>
            <w:tcW w:w="1252" w:type="dxa"/>
            <w:tcBorders>
              <w:top w:val="nil"/>
              <w:left w:val="nil"/>
              <w:bottom w:val="nil"/>
              <w:right w:val="nil"/>
            </w:tcBorders>
            <w:shd w:val="clear" w:color="auto" w:fill="auto"/>
            <w:vAlign w:val="center"/>
          </w:tcPr>
          <w:p w14:paraId="3780E2F0" w14:textId="5FB26951" w:rsidR="0097475C" w:rsidRPr="00B61F35" w:rsidRDefault="0097475C" w:rsidP="0097475C">
            <w:pPr>
              <w:spacing w:after="0" w:line="240" w:lineRule="auto"/>
              <w:jc w:val="right"/>
              <w:rPr>
                <w:rFonts w:cs="Arial"/>
                <w:color w:val="000000"/>
                <w:sz w:val="16"/>
                <w:szCs w:val="16"/>
              </w:rPr>
            </w:pPr>
            <w:r>
              <w:rPr>
                <w:rFonts w:cs="Arial"/>
                <w:color w:val="000000"/>
                <w:sz w:val="16"/>
                <w:szCs w:val="16"/>
              </w:rPr>
              <w:t>244,6</w:t>
            </w:r>
          </w:p>
        </w:tc>
        <w:tc>
          <w:tcPr>
            <w:tcW w:w="1254" w:type="dxa"/>
            <w:tcBorders>
              <w:top w:val="nil"/>
              <w:left w:val="nil"/>
              <w:bottom w:val="nil"/>
              <w:right w:val="single" w:sz="4" w:space="0" w:color="auto"/>
            </w:tcBorders>
            <w:shd w:val="clear" w:color="auto" w:fill="auto"/>
            <w:vAlign w:val="center"/>
          </w:tcPr>
          <w:p w14:paraId="668EEA80" w14:textId="5A7F3705" w:rsidR="0097475C" w:rsidRPr="00B61F35" w:rsidRDefault="0097475C" w:rsidP="0097475C">
            <w:pPr>
              <w:spacing w:after="0" w:line="240" w:lineRule="auto"/>
              <w:jc w:val="right"/>
              <w:rPr>
                <w:rFonts w:cs="Arial"/>
                <w:color w:val="000000"/>
                <w:sz w:val="16"/>
                <w:szCs w:val="16"/>
              </w:rPr>
            </w:pPr>
            <w:r>
              <w:rPr>
                <w:rFonts w:cs="Arial"/>
                <w:color w:val="000000"/>
                <w:sz w:val="16"/>
                <w:szCs w:val="16"/>
              </w:rPr>
              <w:t>236,8</w:t>
            </w:r>
          </w:p>
        </w:tc>
        <w:tc>
          <w:tcPr>
            <w:tcW w:w="1610" w:type="dxa"/>
            <w:tcBorders>
              <w:top w:val="nil"/>
              <w:left w:val="nil"/>
              <w:bottom w:val="nil"/>
              <w:right w:val="nil"/>
            </w:tcBorders>
            <w:shd w:val="clear" w:color="auto" w:fill="auto"/>
            <w:vAlign w:val="center"/>
          </w:tcPr>
          <w:p w14:paraId="13C71E20" w14:textId="5D6E988D" w:rsidR="0097475C" w:rsidRPr="00B61F35" w:rsidRDefault="0097475C" w:rsidP="0097475C">
            <w:pPr>
              <w:spacing w:after="0" w:line="240" w:lineRule="auto"/>
              <w:jc w:val="center"/>
              <w:rPr>
                <w:rFonts w:cs="Arial"/>
                <w:color w:val="000000"/>
                <w:sz w:val="16"/>
                <w:szCs w:val="16"/>
              </w:rPr>
            </w:pPr>
            <w:r>
              <w:rPr>
                <w:rFonts w:cs="Arial"/>
                <w:color w:val="000000"/>
                <w:sz w:val="16"/>
                <w:szCs w:val="16"/>
              </w:rPr>
              <w:t>18,8</w:t>
            </w:r>
          </w:p>
        </w:tc>
        <w:tc>
          <w:tcPr>
            <w:tcW w:w="1252" w:type="dxa"/>
            <w:tcBorders>
              <w:top w:val="nil"/>
              <w:left w:val="nil"/>
              <w:bottom w:val="nil"/>
              <w:right w:val="nil"/>
            </w:tcBorders>
            <w:shd w:val="clear" w:color="auto" w:fill="auto"/>
            <w:vAlign w:val="center"/>
          </w:tcPr>
          <w:p w14:paraId="58DB5B22" w14:textId="76DF3BFA" w:rsidR="0097475C" w:rsidRPr="00B61F35" w:rsidRDefault="0097475C" w:rsidP="0097475C">
            <w:pPr>
              <w:spacing w:after="0" w:line="240" w:lineRule="auto"/>
              <w:jc w:val="center"/>
              <w:rPr>
                <w:rFonts w:cs="Arial"/>
                <w:color w:val="000000"/>
                <w:sz w:val="16"/>
                <w:szCs w:val="16"/>
              </w:rPr>
            </w:pPr>
            <w:r>
              <w:rPr>
                <w:rFonts w:cs="Arial"/>
                <w:color w:val="000000"/>
                <w:sz w:val="16"/>
                <w:szCs w:val="16"/>
              </w:rPr>
              <w:t>16,5</w:t>
            </w:r>
          </w:p>
        </w:tc>
        <w:tc>
          <w:tcPr>
            <w:tcW w:w="1254" w:type="dxa"/>
            <w:tcBorders>
              <w:top w:val="nil"/>
              <w:left w:val="nil"/>
              <w:bottom w:val="nil"/>
              <w:right w:val="nil"/>
            </w:tcBorders>
            <w:shd w:val="clear" w:color="auto" w:fill="auto"/>
            <w:vAlign w:val="center"/>
          </w:tcPr>
          <w:p w14:paraId="72441951" w14:textId="6D0CCF18" w:rsidR="0097475C" w:rsidRPr="00B61F35" w:rsidRDefault="0097475C" w:rsidP="0097475C">
            <w:pPr>
              <w:spacing w:after="0" w:line="240" w:lineRule="auto"/>
              <w:jc w:val="center"/>
              <w:rPr>
                <w:rFonts w:cs="Arial"/>
                <w:color w:val="000000"/>
                <w:sz w:val="16"/>
                <w:szCs w:val="16"/>
              </w:rPr>
            </w:pPr>
            <w:r>
              <w:rPr>
                <w:rFonts w:cs="Arial"/>
                <w:color w:val="000000"/>
                <w:sz w:val="16"/>
                <w:szCs w:val="16"/>
              </w:rPr>
              <w:t>21,2</w:t>
            </w:r>
          </w:p>
        </w:tc>
      </w:tr>
      <w:tr w:rsidR="0097475C" w:rsidRPr="00B61F35" w14:paraId="4F5A32AF" w14:textId="77777777" w:rsidTr="0097475C">
        <w:trPr>
          <w:gridAfter w:val="1"/>
          <w:wAfter w:w="18" w:type="dxa"/>
          <w:trHeight w:val="300"/>
        </w:trPr>
        <w:tc>
          <w:tcPr>
            <w:tcW w:w="1474" w:type="dxa"/>
            <w:tcBorders>
              <w:top w:val="nil"/>
              <w:left w:val="nil"/>
              <w:bottom w:val="nil"/>
              <w:right w:val="single" w:sz="4" w:space="0" w:color="auto"/>
            </w:tcBorders>
            <w:shd w:val="clear" w:color="auto" w:fill="auto"/>
            <w:vAlign w:val="center"/>
            <w:hideMark/>
          </w:tcPr>
          <w:p w14:paraId="4F3ADA24" w14:textId="77777777" w:rsidR="0097475C" w:rsidRPr="00B61F35" w:rsidRDefault="0097475C" w:rsidP="0097475C">
            <w:pPr>
              <w:spacing w:after="0" w:line="240" w:lineRule="auto"/>
              <w:ind w:firstLineChars="100" w:firstLine="160"/>
              <w:rPr>
                <w:rFonts w:cs="Arial"/>
                <w:color w:val="000000"/>
                <w:sz w:val="16"/>
                <w:szCs w:val="16"/>
              </w:rPr>
            </w:pPr>
            <w:r w:rsidRPr="00B61F35">
              <w:rPr>
                <w:rFonts w:cs="Arial"/>
                <w:color w:val="000000"/>
                <w:sz w:val="16"/>
                <w:szCs w:val="16"/>
              </w:rPr>
              <w:t>30–39 let</w:t>
            </w:r>
          </w:p>
        </w:tc>
        <w:tc>
          <w:tcPr>
            <w:tcW w:w="1609" w:type="dxa"/>
            <w:tcBorders>
              <w:top w:val="nil"/>
              <w:left w:val="nil"/>
              <w:bottom w:val="nil"/>
              <w:right w:val="nil"/>
            </w:tcBorders>
            <w:shd w:val="clear" w:color="auto" w:fill="auto"/>
            <w:vAlign w:val="center"/>
          </w:tcPr>
          <w:p w14:paraId="1FCF6ADA" w14:textId="1F71AD81" w:rsidR="0097475C" w:rsidRPr="00B61F35" w:rsidRDefault="0097475C" w:rsidP="0097475C">
            <w:pPr>
              <w:spacing w:after="0" w:line="240" w:lineRule="auto"/>
              <w:jc w:val="right"/>
              <w:rPr>
                <w:rFonts w:cs="Arial"/>
                <w:color w:val="000000"/>
                <w:sz w:val="16"/>
                <w:szCs w:val="16"/>
              </w:rPr>
            </w:pPr>
            <w:r>
              <w:rPr>
                <w:rFonts w:cs="Arial"/>
                <w:color w:val="000000"/>
                <w:sz w:val="16"/>
                <w:szCs w:val="16"/>
              </w:rPr>
              <w:t>555,4</w:t>
            </w:r>
          </w:p>
        </w:tc>
        <w:tc>
          <w:tcPr>
            <w:tcW w:w="1252" w:type="dxa"/>
            <w:tcBorders>
              <w:top w:val="nil"/>
              <w:left w:val="nil"/>
              <w:bottom w:val="nil"/>
              <w:right w:val="nil"/>
            </w:tcBorders>
            <w:shd w:val="clear" w:color="auto" w:fill="auto"/>
            <w:vAlign w:val="center"/>
          </w:tcPr>
          <w:p w14:paraId="7342E384" w14:textId="6719E2FC" w:rsidR="0097475C" w:rsidRPr="00B61F35" w:rsidRDefault="0097475C" w:rsidP="0097475C">
            <w:pPr>
              <w:spacing w:after="0" w:line="240" w:lineRule="auto"/>
              <w:jc w:val="right"/>
              <w:rPr>
                <w:rFonts w:cs="Arial"/>
                <w:color w:val="000000"/>
                <w:sz w:val="16"/>
                <w:szCs w:val="16"/>
              </w:rPr>
            </w:pPr>
            <w:r>
              <w:rPr>
                <w:rFonts w:cs="Arial"/>
                <w:color w:val="000000"/>
                <w:sz w:val="16"/>
                <w:szCs w:val="16"/>
              </w:rPr>
              <w:t>275,7</w:t>
            </w:r>
          </w:p>
        </w:tc>
        <w:tc>
          <w:tcPr>
            <w:tcW w:w="1254" w:type="dxa"/>
            <w:tcBorders>
              <w:top w:val="nil"/>
              <w:left w:val="nil"/>
              <w:bottom w:val="nil"/>
              <w:right w:val="single" w:sz="4" w:space="0" w:color="auto"/>
            </w:tcBorders>
            <w:shd w:val="clear" w:color="auto" w:fill="auto"/>
            <w:vAlign w:val="center"/>
          </w:tcPr>
          <w:p w14:paraId="681F333D" w14:textId="6725D56E" w:rsidR="0097475C" w:rsidRPr="00B61F35" w:rsidRDefault="0097475C" w:rsidP="0097475C">
            <w:pPr>
              <w:spacing w:after="0" w:line="240" w:lineRule="auto"/>
              <w:jc w:val="right"/>
              <w:rPr>
                <w:rFonts w:cs="Arial"/>
                <w:color w:val="000000"/>
                <w:sz w:val="16"/>
                <w:szCs w:val="16"/>
              </w:rPr>
            </w:pPr>
            <w:r>
              <w:rPr>
                <w:rFonts w:cs="Arial"/>
                <w:color w:val="000000"/>
                <w:sz w:val="16"/>
                <w:szCs w:val="16"/>
              </w:rPr>
              <w:t>279,7</w:t>
            </w:r>
          </w:p>
        </w:tc>
        <w:tc>
          <w:tcPr>
            <w:tcW w:w="1610" w:type="dxa"/>
            <w:tcBorders>
              <w:top w:val="nil"/>
              <w:left w:val="nil"/>
              <w:bottom w:val="nil"/>
              <w:right w:val="nil"/>
            </w:tcBorders>
            <w:shd w:val="clear" w:color="auto" w:fill="auto"/>
            <w:vAlign w:val="center"/>
          </w:tcPr>
          <w:p w14:paraId="0FFDA7C5" w14:textId="3179CEC7" w:rsidR="0097475C" w:rsidRPr="00B61F35" w:rsidRDefault="0097475C" w:rsidP="0097475C">
            <w:pPr>
              <w:spacing w:after="0" w:line="240" w:lineRule="auto"/>
              <w:jc w:val="center"/>
              <w:rPr>
                <w:rFonts w:cs="Arial"/>
                <w:color w:val="000000"/>
                <w:sz w:val="16"/>
                <w:szCs w:val="16"/>
              </w:rPr>
            </w:pPr>
            <w:r>
              <w:rPr>
                <w:rFonts w:cs="Arial"/>
                <w:color w:val="000000"/>
                <w:sz w:val="16"/>
                <w:szCs w:val="16"/>
              </w:rPr>
              <w:t>23,7</w:t>
            </w:r>
          </w:p>
        </w:tc>
        <w:tc>
          <w:tcPr>
            <w:tcW w:w="1252" w:type="dxa"/>
            <w:tcBorders>
              <w:top w:val="nil"/>
              <w:left w:val="nil"/>
              <w:bottom w:val="nil"/>
              <w:right w:val="nil"/>
            </w:tcBorders>
            <w:shd w:val="clear" w:color="auto" w:fill="auto"/>
            <w:vAlign w:val="center"/>
          </w:tcPr>
          <w:p w14:paraId="1119E6AB" w14:textId="28FE7EC3" w:rsidR="0097475C" w:rsidRPr="00B61F35" w:rsidRDefault="0097475C" w:rsidP="0097475C">
            <w:pPr>
              <w:spacing w:after="0" w:line="240" w:lineRule="auto"/>
              <w:jc w:val="center"/>
              <w:rPr>
                <w:rFonts w:cs="Arial"/>
                <w:color w:val="000000"/>
                <w:sz w:val="16"/>
                <w:szCs w:val="16"/>
              </w:rPr>
            </w:pPr>
            <w:r>
              <w:rPr>
                <w:rFonts w:cs="Arial"/>
                <w:color w:val="000000"/>
                <w:sz w:val="16"/>
                <w:szCs w:val="16"/>
              </w:rPr>
              <w:t>21,7</w:t>
            </w:r>
          </w:p>
        </w:tc>
        <w:tc>
          <w:tcPr>
            <w:tcW w:w="1254" w:type="dxa"/>
            <w:tcBorders>
              <w:top w:val="nil"/>
              <w:left w:val="nil"/>
              <w:bottom w:val="nil"/>
              <w:right w:val="nil"/>
            </w:tcBorders>
            <w:shd w:val="clear" w:color="auto" w:fill="auto"/>
            <w:vAlign w:val="center"/>
          </w:tcPr>
          <w:p w14:paraId="29B2E725" w14:textId="4651C9D8" w:rsidR="0097475C" w:rsidRPr="00B61F35" w:rsidRDefault="0097475C" w:rsidP="0097475C">
            <w:pPr>
              <w:spacing w:after="0" w:line="240" w:lineRule="auto"/>
              <w:jc w:val="center"/>
              <w:rPr>
                <w:rFonts w:cs="Arial"/>
                <w:color w:val="000000"/>
                <w:sz w:val="16"/>
                <w:szCs w:val="16"/>
              </w:rPr>
            </w:pPr>
            <w:r>
              <w:rPr>
                <w:rFonts w:cs="Arial"/>
                <w:color w:val="000000"/>
                <w:sz w:val="16"/>
                <w:szCs w:val="16"/>
              </w:rPr>
              <w:t>25,8</w:t>
            </w:r>
          </w:p>
        </w:tc>
      </w:tr>
      <w:tr w:rsidR="0097475C" w:rsidRPr="00B61F35" w14:paraId="19E646EF" w14:textId="77777777" w:rsidTr="0097475C">
        <w:trPr>
          <w:gridAfter w:val="1"/>
          <w:wAfter w:w="18" w:type="dxa"/>
          <w:trHeight w:val="300"/>
        </w:trPr>
        <w:tc>
          <w:tcPr>
            <w:tcW w:w="1474" w:type="dxa"/>
            <w:tcBorders>
              <w:top w:val="nil"/>
              <w:left w:val="nil"/>
              <w:bottom w:val="nil"/>
              <w:right w:val="single" w:sz="4" w:space="0" w:color="auto"/>
            </w:tcBorders>
            <w:shd w:val="clear" w:color="auto" w:fill="auto"/>
            <w:vAlign w:val="center"/>
            <w:hideMark/>
          </w:tcPr>
          <w:p w14:paraId="52573EE9" w14:textId="77777777" w:rsidR="0097475C" w:rsidRPr="00B61F35" w:rsidRDefault="0097475C" w:rsidP="0097475C">
            <w:pPr>
              <w:spacing w:after="0" w:line="240" w:lineRule="auto"/>
              <w:ind w:firstLineChars="100" w:firstLine="160"/>
              <w:rPr>
                <w:rFonts w:cs="Arial"/>
                <w:color w:val="000000"/>
                <w:sz w:val="16"/>
                <w:szCs w:val="16"/>
              </w:rPr>
            </w:pPr>
            <w:r w:rsidRPr="00B61F35">
              <w:rPr>
                <w:rFonts w:cs="Arial"/>
                <w:color w:val="000000"/>
                <w:sz w:val="16"/>
                <w:szCs w:val="16"/>
              </w:rPr>
              <w:t>40–49 let</w:t>
            </w:r>
          </w:p>
        </w:tc>
        <w:tc>
          <w:tcPr>
            <w:tcW w:w="1609" w:type="dxa"/>
            <w:tcBorders>
              <w:top w:val="nil"/>
              <w:left w:val="nil"/>
              <w:bottom w:val="nil"/>
              <w:right w:val="nil"/>
            </w:tcBorders>
            <w:shd w:val="clear" w:color="auto" w:fill="auto"/>
            <w:vAlign w:val="center"/>
          </w:tcPr>
          <w:p w14:paraId="78155A97" w14:textId="4AB9367D" w:rsidR="0097475C" w:rsidRPr="00B61F35" w:rsidRDefault="0097475C" w:rsidP="0097475C">
            <w:pPr>
              <w:spacing w:after="0" w:line="240" w:lineRule="auto"/>
              <w:jc w:val="right"/>
              <w:rPr>
                <w:rFonts w:cs="Arial"/>
                <w:color w:val="000000"/>
                <w:sz w:val="16"/>
                <w:szCs w:val="16"/>
              </w:rPr>
            </w:pPr>
            <w:r>
              <w:rPr>
                <w:rFonts w:cs="Arial"/>
                <w:color w:val="000000"/>
                <w:sz w:val="16"/>
                <w:szCs w:val="16"/>
              </w:rPr>
              <w:t>651,9</w:t>
            </w:r>
          </w:p>
        </w:tc>
        <w:tc>
          <w:tcPr>
            <w:tcW w:w="1252" w:type="dxa"/>
            <w:tcBorders>
              <w:top w:val="nil"/>
              <w:left w:val="nil"/>
              <w:bottom w:val="nil"/>
              <w:right w:val="nil"/>
            </w:tcBorders>
            <w:shd w:val="clear" w:color="auto" w:fill="auto"/>
            <w:vAlign w:val="center"/>
          </w:tcPr>
          <w:p w14:paraId="66414CE9" w14:textId="3E6C3D24" w:rsidR="0097475C" w:rsidRPr="00B61F35" w:rsidRDefault="0097475C" w:rsidP="0097475C">
            <w:pPr>
              <w:spacing w:after="0" w:line="240" w:lineRule="auto"/>
              <w:jc w:val="right"/>
              <w:rPr>
                <w:rFonts w:cs="Arial"/>
                <w:color w:val="000000"/>
                <w:sz w:val="16"/>
                <w:szCs w:val="16"/>
              </w:rPr>
            </w:pPr>
            <w:r>
              <w:rPr>
                <w:rFonts w:cs="Arial"/>
                <w:color w:val="000000"/>
                <w:sz w:val="16"/>
                <w:szCs w:val="16"/>
              </w:rPr>
              <w:t>263,4</w:t>
            </w:r>
          </w:p>
        </w:tc>
        <w:tc>
          <w:tcPr>
            <w:tcW w:w="1254" w:type="dxa"/>
            <w:tcBorders>
              <w:top w:val="nil"/>
              <w:left w:val="nil"/>
              <w:bottom w:val="nil"/>
              <w:right w:val="single" w:sz="4" w:space="0" w:color="auto"/>
            </w:tcBorders>
            <w:shd w:val="clear" w:color="auto" w:fill="auto"/>
            <w:vAlign w:val="center"/>
          </w:tcPr>
          <w:p w14:paraId="723082CC" w14:textId="59725ED9" w:rsidR="0097475C" w:rsidRPr="00B61F35" w:rsidRDefault="0097475C" w:rsidP="0097475C">
            <w:pPr>
              <w:spacing w:after="0" w:line="240" w:lineRule="auto"/>
              <w:jc w:val="right"/>
              <w:rPr>
                <w:rFonts w:cs="Arial"/>
                <w:color w:val="000000"/>
                <w:sz w:val="16"/>
                <w:szCs w:val="16"/>
              </w:rPr>
            </w:pPr>
            <w:r>
              <w:rPr>
                <w:rFonts w:cs="Arial"/>
                <w:color w:val="000000"/>
                <w:sz w:val="16"/>
                <w:szCs w:val="16"/>
              </w:rPr>
              <w:t>388,5</w:t>
            </w:r>
          </w:p>
        </w:tc>
        <w:tc>
          <w:tcPr>
            <w:tcW w:w="1610" w:type="dxa"/>
            <w:tcBorders>
              <w:top w:val="nil"/>
              <w:left w:val="nil"/>
              <w:bottom w:val="nil"/>
              <w:right w:val="nil"/>
            </w:tcBorders>
            <w:shd w:val="clear" w:color="auto" w:fill="auto"/>
            <w:vAlign w:val="center"/>
          </w:tcPr>
          <w:p w14:paraId="4A16CB7D" w14:textId="13ADA3B2" w:rsidR="0097475C" w:rsidRPr="00B61F35" w:rsidRDefault="0097475C" w:rsidP="0097475C">
            <w:pPr>
              <w:spacing w:after="0" w:line="240" w:lineRule="auto"/>
              <w:jc w:val="center"/>
              <w:rPr>
                <w:rFonts w:cs="Arial"/>
                <w:color w:val="000000"/>
                <w:sz w:val="16"/>
                <w:szCs w:val="16"/>
              </w:rPr>
            </w:pPr>
            <w:r>
              <w:rPr>
                <w:rFonts w:cs="Arial"/>
                <w:color w:val="000000"/>
                <w:sz w:val="16"/>
                <w:szCs w:val="16"/>
              </w:rPr>
              <w:t>30,9</w:t>
            </w:r>
          </w:p>
        </w:tc>
        <w:tc>
          <w:tcPr>
            <w:tcW w:w="1252" w:type="dxa"/>
            <w:tcBorders>
              <w:top w:val="nil"/>
              <w:left w:val="nil"/>
              <w:bottom w:val="nil"/>
              <w:right w:val="nil"/>
            </w:tcBorders>
            <w:shd w:val="clear" w:color="auto" w:fill="auto"/>
            <w:vAlign w:val="center"/>
          </w:tcPr>
          <w:p w14:paraId="67894C28" w14:textId="076D969E" w:rsidR="0097475C" w:rsidRPr="00B61F35" w:rsidRDefault="0097475C" w:rsidP="0097475C">
            <w:pPr>
              <w:spacing w:after="0" w:line="240" w:lineRule="auto"/>
              <w:jc w:val="center"/>
              <w:rPr>
                <w:rFonts w:cs="Arial"/>
                <w:color w:val="000000"/>
                <w:sz w:val="16"/>
                <w:szCs w:val="16"/>
              </w:rPr>
            </w:pPr>
            <w:r>
              <w:rPr>
                <w:rFonts w:cs="Arial"/>
                <w:color w:val="000000"/>
                <w:sz w:val="16"/>
                <w:szCs w:val="16"/>
              </w:rPr>
              <w:t>32,7</w:t>
            </w:r>
          </w:p>
        </w:tc>
        <w:tc>
          <w:tcPr>
            <w:tcW w:w="1254" w:type="dxa"/>
            <w:tcBorders>
              <w:top w:val="nil"/>
              <w:left w:val="nil"/>
              <w:bottom w:val="nil"/>
              <w:right w:val="nil"/>
            </w:tcBorders>
            <w:shd w:val="clear" w:color="auto" w:fill="auto"/>
            <w:vAlign w:val="center"/>
          </w:tcPr>
          <w:p w14:paraId="193B7AE4" w14:textId="1237F2A9" w:rsidR="0097475C" w:rsidRPr="00B61F35" w:rsidRDefault="0097475C" w:rsidP="0097475C">
            <w:pPr>
              <w:spacing w:after="0" w:line="240" w:lineRule="auto"/>
              <w:jc w:val="center"/>
              <w:rPr>
                <w:rFonts w:cs="Arial"/>
                <w:color w:val="000000"/>
                <w:sz w:val="16"/>
                <w:szCs w:val="16"/>
              </w:rPr>
            </w:pPr>
            <w:r>
              <w:rPr>
                <w:rFonts w:cs="Arial"/>
                <w:color w:val="000000"/>
                <w:sz w:val="16"/>
                <w:szCs w:val="16"/>
              </w:rPr>
              <w:t>29,8</w:t>
            </w:r>
          </w:p>
        </w:tc>
      </w:tr>
      <w:tr w:rsidR="0097475C" w:rsidRPr="00B61F35" w14:paraId="6B48EC4B" w14:textId="77777777" w:rsidTr="0097475C">
        <w:trPr>
          <w:gridAfter w:val="1"/>
          <w:wAfter w:w="18" w:type="dxa"/>
          <w:trHeight w:val="300"/>
        </w:trPr>
        <w:tc>
          <w:tcPr>
            <w:tcW w:w="1474" w:type="dxa"/>
            <w:tcBorders>
              <w:top w:val="nil"/>
              <w:left w:val="nil"/>
              <w:bottom w:val="nil"/>
              <w:right w:val="single" w:sz="4" w:space="0" w:color="auto"/>
            </w:tcBorders>
            <w:shd w:val="clear" w:color="auto" w:fill="auto"/>
            <w:vAlign w:val="center"/>
            <w:hideMark/>
          </w:tcPr>
          <w:p w14:paraId="323C0AF4" w14:textId="77777777" w:rsidR="0097475C" w:rsidRPr="00B61F35" w:rsidRDefault="0097475C" w:rsidP="0097475C">
            <w:pPr>
              <w:spacing w:after="0" w:line="240" w:lineRule="auto"/>
              <w:ind w:firstLineChars="100" w:firstLine="160"/>
              <w:rPr>
                <w:rFonts w:cs="Arial"/>
                <w:color w:val="000000"/>
                <w:sz w:val="16"/>
                <w:szCs w:val="16"/>
              </w:rPr>
            </w:pPr>
            <w:r w:rsidRPr="00B61F35">
              <w:rPr>
                <w:rFonts w:cs="Arial"/>
                <w:color w:val="000000"/>
                <w:sz w:val="16"/>
                <w:szCs w:val="16"/>
              </w:rPr>
              <w:t>50–59 let</w:t>
            </w:r>
          </w:p>
        </w:tc>
        <w:tc>
          <w:tcPr>
            <w:tcW w:w="1609" w:type="dxa"/>
            <w:tcBorders>
              <w:top w:val="nil"/>
              <w:left w:val="nil"/>
              <w:right w:val="nil"/>
            </w:tcBorders>
            <w:shd w:val="clear" w:color="auto" w:fill="auto"/>
            <w:vAlign w:val="center"/>
          </w:tcPr>
          <w:p w14:paraId="447CFB19" w14:textId="0764E6E9" w:rsidR="0097475C" w:rsidRPr="00B61F35" w:rsidRDefault="0097475C" w:rsidP="0097475C">
            <w:pPr>
              <w:spacing w:after="0" w:line="240" w:lineRule="auto"/>
              <w:jc w:val="right"/>
              <w:rPr>
                <w:rFonts w:cs="Arial"/>
                <w:color w:val="000000"/>
                <w:sz w:val="16"/>
                <w:szCs w:val="16"/>
              </w:rPr>
            </w:pPr>
            <w:r>
              <w:rPr>
                <w:rFonts w:cs="Arial"/>
                <w:color w:val="000000"/>
                <w:sz w:val="16"/>
                <w:szCs w:val="16"/>
              </w:rPr>
              <w:t>610,1</w:t>
            </w:r>
          </w:p>
        </w:tc>
        <w:tc>
          <w:tcPr>
            <w:tcW w:w="1252" w:type="dxa"/>
            <w:tcBorders>
              <w:top w:val="nil"/>
              <w:left w:val="nil"/>
              <w:right w:val="nil"/>
            </w:tcBorders>
            <w:shd w:val="clear" w:color="auto" w:fill="auto"/>
            <w:vAlign w:val="center"/>
          </w:tcPr>
          <w:p w14:paraId="09B9BA5D" w14:textId="44FB1DE2" w:rsidR="0097475C" w:rsidRPr="00B61F35" w:rsidRDefault="0097475C" w:rsidP="0097475C">
            <w:pPr>
              <w:spacing w:after="0" w:line="240" w:lineRule="auto"/>
              <w:jc w:val="right"/>
              <w:rPr>
                <w:rFonts w:cs="Arial"/>
                <w:color w:val="000000"/>
                <w:sz w:val="16"/>
                <w:szCs w:val="16"/>
              </w:rPr>
            </w:pPr>
            <w:r>
              <w:rPr>
                <w:rFonts w:cs="Arial"/>
                <w:color w:val="000000"/>
                <w:sz w:val="16"/>
                <w:szCs w:val="16"/>
              </w:rPr>
              <w:t>231,8</w:t>
            </w:r>
          </w:p>
        </w:tc>
        <w:tc>
          <w:tcPr>
            <w:tcW w:w="1254" w:type="dxa"/>
            <w:tcBorders>
              <w:top w:val="nil"/>
              <w:left w:val="nil"/>
              <w:right w:val="single" w:sz="4" w:space="0" w:color="auto"/>
            </w:tcBorders>
            <w:shd w:val="clear" w:color="auto" w:fill="auto"/>
            <w:vAlign w:val="center"/>
          </w:tcPr>
          <w:p w14:paraId="352F31D1" w14:textId="70B64B81" w:rsidR="0097475C" w:rsidRPr="00B61F35" w:rsidRDefault="0097475C" w:rsidP="0097475C">
            <w:pPr>
              <w:spacing w:after="0" w:line="240" w:lineRule="auto"/>
              <w:jc w:val="right"/>
              <w:rPr>
                <w:rFonts w:cs="Arial"/>
                <w:color w:val="000000"/>
                <w:sz w:val="16"/>
                <w:szCs w:val="16"/>
              </w:rPr>
            </w:pPr>
            <w:r>
              <w:rPr>
                <w:rFonts w:cs="Arial"/>
                <w:color w:val="000000"/>
                <w:sz w:val="16"/>
                <w:szCs w:val="16"/>
              </w:rPr>
              <w:t>378,2</w:t>
            </w:r>
          </w:p>
        </w:tc>
        <w:tc>
          <w:tcPr>
            <w:tcW w:w="1610" w:type="dxa"/>
            <w:tcBorders>
              <w:top w:val="nil"/>
              <w:left w:val="nil"/>
              <w:right w:val="nil"/>
            </w:tcBorders>
            <w:shd w:val="clear" w:color="auto" w:fill="auto"/>
            <w:vAlign w:val="center"/>
          </w:tcPr>
          <w:p w14:paraId="6E96E2F5" w14:textId="1C7B7CFD" w:rsidR="0097475C" w:rsidRPr="00B61F35" w:rsidRDefault="0097475C" w:rsidP="0097475C">
            <w:pPr>
              <w:spacing w:after="0" w:line="240" w:lineRule="auto"/>
              <w:jc w:val="center"/>
              <w:rPr>
                <w:rFonts w:cs="Arial"/>
                <w:color w:val="000000"/>
                <w:sz w:val="16"/>
                <w:szCs w:val="16"/>
              </w:rPr>
            </w:pPr>
            <w:r>
              <w:rPr>
                <w:rFonts w:cs="Arial"/>
                <w:color w:val="000000"/>
                <w:sz w:val="16"/>
                <w:szCs w:val="16"/>
              </w:rPr>
              <w:t>41,6</w:t>
            </w:r>
          </w:p>
        </w:tc>
        <w:tc>
          <w:tcPr>
            <w:tcW w:w="1252" w:type="dxa"/>
            <w:tcBorders>
              <w:top w:val="nil"/>
              <w:left w:val="nil"/>
              <w:right w:val="nil"/>
            </w:tcBorders>
            <w:shd w:val="clear" w:color="auto" w:fill="auto"/>
            <w:vAlign w:val="center"/>
          </w:tcPr>
          <w:p w14:paraId="2D8DCE83" w14:textId="4876C9C1" w:rsidR="0097475C" w:rsidRPr="00B61F35" w:rsidRDefault="0097475C" w:rsidP="0097475C">
            <w:pPr>
              <w:spacing w:after="0" w:line="240" w:lineRule="auto"/>
              <w:jc w:val="center"/>
              <w:rPr>
                <w:rFonts w:cs="Arial"/>
                <w:color w:val="000000"/>
                <w:sz w:val="16"/>
                <w:szCs w:val="16"/>
              </w:rPr>
            </w:pPr>
            <w:r>
              <w:rPr>
                <w:rFonts w:cs="Arial"/>
                <w:color w:val="000000"/>
                <w:sz w:val="16"/>
                <w:szCs w:val="16"/>
              </w:rPr>
              <w:t>46,5</w:t>
            </w:r>
          </w:p>
        </w:tc>
        <w:tc>
          <w:tcPr>
            <w:tcW w:w="1254" w:type="dxa"/>
            <w:tcBorders>
              <w:top w:val="nil"/>
              <w:left w:val="nil"/>
              <w:right w:val="nil"/>
            </w:tcBorders>
            <w:shd w:val="clear" w:color="auto" w:fill="auto"/>
            <w:vAlign w:val="center"/>
          </w:tcPr>
          <w:p w14:paraId="343834A8" w14:textId="1026D4C5" w:rsidR="0097475C" w:rsidRPr="00B61F35" w:rsidRDefault="0097475C" w:rsidP="0097475C">
            <w:pPr>
              <w:spacing w:after="0" w:line="240" w:lineRule="auto"/>
              <w:jc w:val="center"/>
              <w:rPr>
                <w:rFonts w:cs="Arial"/>
                <w:color w:val="000000"/>
                <w:sz w:val="16"/>
                <w:szCs w:val="16"/>
              </w:rPr>
            </w:pPr>
            <w:r>
              <w:rPr>
                <w:rFonts w:cs="Arial"/>
                <w:color w:val="000000"/>
                <w:sz w:val="16"/>
                <w:szCs w:val="16"/>
              </w:rPr>
              <w:t>38,6</w:t>
            </w:r>
          </w:p>
        </w:tc>
      </w:tr>
      <w:tr w:rsidR="0097475C" w:rsidRPr="00B61F35" w14:paraId="5F9370FB" w14:textId="77777777" w:rsidTr="0097475C">
        <w:trPr>
          <w:gridAfter w:val="1"/>
          <w:wAfter w:w="18" w:type="dxa"/>
          <w:trHeight w:val="300"/>
        </w:trPr>
        <w:tc>
          <w:tcPr>
            <w:tcW w:w="1474" w:type="dxa"/>
            <w:tcBorders>
              <w:top w:val="nil"/>
              <w:left w:val="nil"/>
              <w:bottom w:val="nil"/>
              <w:right w:val="single" w:sz="4" w:space="0" w:color="auto"/>
            </w:tcBorders>
            <w:shd w:val="clear" w:color="auto" w:fill="auto"/>
            <w:vAlign w:val="center"/>
            <w:hideMark/>
          </w:tcPr>
          <w:p w14:paraId="679DDC39" w14:textId="77777777" w:rsidR="0097475C" w:rsidRPr="00B61F35" w:rsidRDefault="0097475C" w:rsidP="0097475C">
            <w:pPr>
              <w:spacing w:after="0" w:line="240" w:lineRule="auto"/>
              <w:ind w:firstLineChars="100" w:firstLine="160"/>
              <w:rPr>
                <w:rFonts w:cs="Arial"/>
                <w:color w:val="000000"/>
                <w:sz w:val="16"/>
                <w:szCs w:val="16"/>
              </w:rPr>
            </w:pPr>
            <w:r w:rsidRPr="00B61F35">
              <w:rPr>
                <w:rFonts w:cs="Arial"/>
                <w:color w:val="000000"/>
                <w:sz w:val="16"/>
                <w:szCs w:val="16"/>
              </w:rPr>
              <w:t>60 a více let</w:t>
            </w:r>
          </w:p>
        </w:tc>
        <w:tc>
          <w:tcPr>
            <w:tcW w:w="1609" w:type="dxa"/>
            <w:tcBorders>
              <w:top w:val="nil"/>
              <w:left w:val="nil"/>
              <w:right w:val="nil"/>
            </w:tcBorders>
            <w:shd w:val="clear" w:color="auto" w:fill="auto"/>
            <w:vAlign w:val="center"/>
          </w:tcPr>
          <w:p w14:paraId="2E1674F6" w14:textId="3CBD535F" w:rsidR="0097475C" w:rsidRPr="00B61F35" w:rsidRDefault="0097475C" w:rsidP="0097475C">
            <w:pPr>
              <w:spacing w:after="0" w:line="240" w:lineRule="auto"/>
              <w:jc w:val="right"/>
              <w:rPr>
                <w:rFonts w:cs="Arial"/>
                <w:color w:val="000000"/>
                <w:sz w:val="16"/>
                <w:szCs w:val="16"/>
              </w:rPr>
            </w:pPr>
            <w:r>
              <w:rPr>
                <w:rFonts w:cs="Arial"/>
                <w:color w:val="000000"/>
                <w:sz w:val="16"/>
                <w:szCs w:val="16"/>
              </w:rPr>
              <w:t>201,0</w:t>
            </w:r>
          </w:p>
        </w:tc>
        <w:tc>
          <w:tcPr>
            <w:tcW w:w="1252" w:type="dxa"/>
            <w:tcBorders>
              <w:top w:val="nil"/>
              <w:left w:val="nil"/>
              <w:right w:val="nil"/>
            </w:tcBorders>
            <w:shd w:val="clear" w:color="auto" w:fill="auto"/>
            <w:vAlign w:val="center"/>
          </w:tcPr>
          <w:p w14:paraId="2E91DDAE" w14:textId="46343A21" w:rsidR="0097475C" w:rsidRPr="00B61F35" w:rsidRDefault="0097475C" w:rsidP="0097475C">
            <w:pPr>
              <w:spacing w:after="0" w:line="240" w:lineRule="auto"/>
              <w:jc w:val="right"/>
              <w:rPr>
                <w:rFonts w:cs="Arial"/>
                <w:color w:val="000000"/>
                <w:sz w:val="16"/>
                <w:szCs w:val="16"/>
              </w:rPr>
            </w:pPr>
            <w:r>
              <w:rPr>
                <w:rFonts w:cs="Arial"/>
                <w:color w:val="000000"/>
                <w:sz w:val="16"/>
                <w:szCs w:val="16"/>
              </w:rPr>
              <w:t>97,9</w:t>
            </w:r>
          </w:p>
        </w:tc>
        <w:tc>
          <w:tcPr>
            <w:tcW w:w="1254" w:type="dxa"/>
            <w:tcBorders>
              <w:top w:val="nil"/>
              <w:left w:val="nil"/>
              <w:right w:val="single" w:sz="4" w:space="0" w:color="auto"/>
            </w:tcBorders>
            <w:shd w:val="clear" w:color="auto" w:fill="auto"/>
            <w:vAlign w:val="center"/>
          </w:tcPr>
          <w:p w14:paraId="2CF22DA9" w14:textId="5CA6DCED" w:rsidR="0097475C" w:rsidRPr="00B61F35" w:rsidRDefault="0097475C" w:rsidP="0097475C">
            <w:pPr>
              <w:spacing w:after="0" w:line="240" w:lineRule="auto"/>
              <w:jc w:val="right"/>
              <w:rPr>
                <w:rFonts w:cs="Arial"/>
                <w:color w:val="000000"/>
                <w:sz w:val="16"/>
                <w:szCs w:val="16"/>
              </w:rPr>
            </w:pPr>
            <w:r>
              <w:rPr>
                <w:rFonts w:cs="Arial"/>
                <w:color w:val="000000"/>
                <w:sz w:val="16"/>
                <w:szCs w:val="16"/>
              </w:rPr>
              <w:t>103,1</w:t>
            </w:r>
          </w:p>
        </w:tc>
        <w:tc>
          <w:tcPr>
            <w:tcW w:w="1610" w:type="dxa"/>
            <w:tcBorders>
              <w:top w:val="nil"/>
              <w:left w:val="nil"/>
              <w:right w:val="nil"/>
            </w:tcBorders>
            <w:shd w:val="clear" w:color="auto" w:fill="auto"/>
            <w:vAlign w:val="center"/>
          </w:tcPr>
          <w:p w14:paraId="61CE70E1" w14:textId="0876613E" w:rsidR="0097475C" w:rsidRPr="00B61F35" w:rsidRDefault="0097475C" w:rsidP="0097475C">
            <w:pPr>
              <w:spacing w:after="0" w:line="240" w:lineRule="auto"/>
              <w:jc w:val="center"/>
              <w:rPr>
                <w:rFonts w:cs="Arial"/>
                <w:color w:val="000000"/>
                <w:sz w:val="16"/>
                <w:szCs w:val="16"/>
              </w:rPr>
            </w:pPr>
            <w:r>
              <w:rPr>
                <w:rFonts w:cs="Arial"/>
                <w:color w:val="000000"/>
                <w:sz w:val="16"/>
                <w:szCs w:val="16"/>
              </w:rPr>
              <w:t>50,7</w:t>
            </w:r>
          </w:p>
        </w:tc>
        <w:tc>
          <w:tcPr>
            <w:tcW w:w="1252" w:type="dxa"/>
            <w:tcBorders>
              <w:top w:val="nil"/>
              <w:left w:val="nil"/>
              <w:right w:val="nil"/>
            </w:tcBorders>
            <w:shd w:val="clear" w:color="auto" w:fill="auto"/>
            <w:vAlign w:val="center"/>
          </w:tcPr>
          <w:p w14:paraId="47CD4254" w14:textId="407D45A4" w:rsidR="0097475C" w:rsidRPr="00B61F35" w:rsidRDefault="0097475C" w:rsidP="0097475C">
            <w:pPr>
              <w:spacing w:after="0" w:line="240" w:lineRule="auto"/>
              <w:jc w:val="center"/>
              <w:rPr>
                <w:rFonts w:cs="Arial"/>
                <w:color w:val="000000"/>
                <w:sz w:val="16"/>
                <w:szCs w:val="16"/>
              </w:rPr>
            </w:pPr>
            <w:r>
              <w:rPr>
                <w:rFonts w:cs="Arial"/>
                <w:color w:val="000000"/>
                <w:sz w:val="16"/>
                <w:szCs w:val="16"/>
              </w:rPr>
              <w:t>58,6</w:t>
            </w:r>
          </w:p>
        </w:tc>
        <w:tc>
          <w:tcPr>
            <w:tcW w:w="1254" w:type="dxa"/>
            <w:tcBorders>
              <w:top w:val="nil"/>
              <w:left w:val="nil"/>
              <w:right w:val="nil"/>
            </w:tcBorders>
            <w:shd w:val="clear" w:color="auto" w:fill="auto"/>
            <w:vAlign w:val="center"/>
          </w:tcPr>
          <w:p w14:paraId="28765B25" w14:textId="20E56E4F" w:rsidR="0097475C" w:rsidRPr="00B61F35" w:rsidRDefault="0097475C" w:rsidP="0097475C">
            <w:pPr>
              <w:spacing w:after="0" w:line="240" w:lineRule="auto"/>
              <w:jc w:val="center"/>
              <w:rPr>
                <w:rFonts w:cs="Arial"/>
                <w:color w:val="000000"/>
                <w:sz w:val="16"/>
                <w:szCs w:val="16"/>
              </w:rPr>
            </w:pPr>
            <w:r>
              <w:rPr>
                <w:rFonts w:cs="Arial"/>
                <w:color w:val="000000"/>
                <w:sz w:val="16"/>
                <w:szCs w:val="16"/>
              </w:rPr>
              <w:t>43,3</w:t>
            </w:r>
          </w:p>
        </w:tc>
      </w:tr>
    </w:tbl>
    <w:p w14:paraId="7311CE37" w14:textId="23F57F10" w:rsidR="00425FEB" w:rsidRDefault="00425FEB" w:rsidP="00425FEB">
      <w:pPr>
        <w:spacing w:before="120"/>
        <w:rPr>
          <w:sz w:val="16"/>
        </w:rPr>
      </w:pPr>
      <w:r w:rsidRPr="00B61F35">
        <w:rPr>
          <w:sz w:val="16"/>
        </w:rPr>
        <w:t>Zdroj: ČSSZ</w:t>
      </w:r>
    </w:p>
    <w:p w14:paraId="50A8B4C9" w14:textId="06A451A4" w:rsidR="00C20328" w:rsidRDefault="00C20328" w:rsidP="00344573">
      <w:pPr>
        <w:spacing w:before="120" w:after="120"/>
        <w:jc w:val="both"/>
        <w:rPr>
          <w:b/>
        </w:rPr>
      </w:pPr>
      <w:r w:rsidRPr="00251BF8">
        <w:lastRenderedPageBreak/>
        <w:t xml:space="preserve">Z hlediska </w:t>
      </w:r>
      <w:r w:rsidRPr="00251BF8">
        <w:rPr>
          <w:b/>
        </w:rPr>
        <w:t>pohlaví</w:t>
      </w:r>
      <w:r w:rsidRPr="00251BF8">
        <w:t xml:space="preserve"> je výskyt pracovní neschopnosti četnější u žen, v roce 2023 ženy zaznamenaly 1 400 tis. ukončených případů pracovní neschopnosti, muži 1</w:t>
      </w:r>
      <w:r w:rsidR="00D05A05">
        <w:t> </w:t>
      </w:r>
      <w:r w:rsidRPr="00251BF8">
        <w:t>129 tis. neschopenek. Výraznější rozdíl v pracovní neschopnosti podle pohlaví se objevuje u nemocí močové a pohlavní soustavy, kdy je počet ukončených případů u mužů oproti ženám 3,5krát nižší. Duševní onemocnění vedoucí k pracovní neschopnosti byly v roce 2023 téměř dvakrát častější u žen. Muži jsou naopak náchylnější na nemoci oběhové, trávicí soustavy či úrazy a otravy. U posledně jmenované skupiny diagnóz zaznamenali 123 tis. neschopenek, zatímco ženy 78 tis.</w:t>
      </w:r>
    </w:p>
    <w:p w14:paraId="4AE79B76" w14:textId="6601084F" w:rsidR="00452914" w:rsidRDefault="0097475C" w:rsidP="00D744C7">
      <w:pPr>
        <w:spacing w:before="120" w:after="120"/>
        <w:jc w:val="both"/>
        <w:rPr>
          <w:b/>
        </w:rPr>
      </w:pPr>
      <w:r w:rsidRPr="0097475C">
        <w:rPr>
          <w:b/>
        </w:rPr>
        <w:t>Tab. 3.3: Ukončené případy dočasné pracovní neschopnosti podle skupin diagnóz a pohlaví, 2023</w:t>
      </w:r>
    </w:p>
    <w:tbl>
      <w:tblPr>
        <w:tblW w:w="9637" w:type="dxa"/>
        <w:tblCellMar>
          <w:left w:w="70" w:type="dxa"/>
          <w:right w:w="70" w:type="dxa"/>
        </w:tblCellMar>
        <w:tblLook w:val="04A0" w:firstRow="1" w:lastRow="0" w:firstColumn="1" w:lastColumn="0" w:noHBand="0" w:noVBand="1"/>
      </w:tblPr>
      <w:tblGrid>
        <w:gridCol w:w="4195"/>
        <w:gridCol w:w="907"/>
        <w:gridCol w:w="907"/>
        <w:gridCol w:w="907"/>
        <w:gridCol w:w="907"/>
        <w:gridCol w:w="907"/>
        <w:gridCol w:w="907"/>
      </w:tblGrid>
      <w:tr w:rsidR="0097475C" w:rsidRPr="003018A3" w14:paraId="34245031" w14:textId="77777777" w:rsidTr="0097475C">
        <w:trPr>
          <w:trHeight w:val="525"/>
        </w:trPr>
        <w:tc>
          <w:tcPr>
            <w:tcW w:w="4195" w:type="dxa"/>
            <w:vMerge w:val="restart"/>
            <w:tcBorders>
              <w:top w:val="single" w:sz="4" w:space="0" w:color="auto"/>
              <w:left w:val="nil"/>
              <w:bottom w:val="single" w:sz="4" w:space="0" w:color="000000"/>
              <w:right w:val="single" w:sz="4" w:space="0" w:color="auto"/>
            </w:tcBorders>
            <w:shd w:val="clear" w:color="000000" w:fill="F5DADD"/>
            <w:vAlign w:val="center"/>
            <w:hideMark/>
          </w:tcPr>
          <w:p w14:paraId="06985EE1" w14:textId="77777777" w:rsidR="0097475C" w:rsidRPr="003018A3" w:rsidRDefault="0097475C" w:rsidP="0097475C">
            <w:pPr>
              <w:spacing w:after="0" w:line="240" w:lineRule="auto"/>
              <w:jc w:val="center"/>
              <w:rPr>
                <w:rFonts w:cs="Arial"/>
                <w:color w:val="000000"/>
                <w:sz w:val="16"/>
                <w:szCs w:val="16"/>
              </w:rPr>
            </w:pPr>
            <w:r w:rsidRPr="003018A3">
              <w:rPr>
                <w:rFonts w:cs="Arial"/>
                <w:color w:val="000000"/>
                <w:sz w:val="16"/>
                <w:szCs w:val="16"/>
              </w:rPr>
              <w:t>Skupiny diagnóz (kapitoly podle MKN-10)</w:t>
            </w:r>
          </w:p>
        </w:tc>
        <w:tc>
          <w:tcPr>
            <w:tcW w:w="2721" w:type="dxa"/>
            <w:gridSpan w:val="3"/>
            <w:tcBorders>
              <w:top w:val="single" w:sz="4" w:space="0" w:color="auto"/>
              <w:left w:val="nil"/>
              <w:bottom w:val="single" w:sz="4" w:space="0" w:color="auto"/>
              <w:right w:val="single" w:sz="4" w:space="0" w:color="000000"/>
            </w:tcBorders>
            <w:shd w:val="clear" w:color="000000" w:fill="F2DBDB"/>
            <w:vAlign w:val="center"/>
            <w:hideMark/>
          </w:tcPr>
          <w:p w14:paraId="1E7C7F4F" w14:textId="77777777" w:rsidR="0097475C" w:rsidRPr="003018A3" w:rsidRDefault="0097475C" w:rsidP="0097475C">
            <w:pPr>
              <w:spacing w:after="0" w:line="240" w:lineRule="auto"/>
              <w:jc w:val="center"/>
              <w:rPr>
                <w:rFonts w:cs="Arial"/>
                <w:color w:val="000000"/>
                <w:sz w:val="16"/>
                <w:szCs w:val="16"/>
              </w:rPr>
            </w:pPr>
            <w:r w:rsidRPr="003018A3">
              <w:rPr>
                <w:rFonts w:cs="Arial"/>
                <w:color w:val="000000"/>
                <w:sz w:val="16"/>
                <w:szCs w:val="16"/>
              </w:rPr>
              <w:t xml:space="preserve">Počet </w:t>
            </w:r>
            <w:r>
              <w:rPr>
                <w:rFonts w:cs="Arial"/>
                <w:color w:val="000000"/>
                <w:sz w:val="16"/>
                <w:szCs w:val="16"/>
              </w:rPr>
              <w:t xml:space="preserve">ukončených </w:t>
            </w:r>
            <w:r w:rsidRPr="003018A3">
              <w:rPr>
                <w:rFonts w:cs="Arial"/>
                <w:color w:val="000000"/>
                <w:sz w:val="16"/>
                <w:szCs w:val="16"/>
              </w:rPr>
              <w:t>případů DPN (tis.)</w:t>
            </w:r>
          </w:p>
        </w:tc>
        <w:tc>
          <w:tcPr>
            <w:tcW w:w="2721" w:type="dxa"/>
            <w:gridSpan w:val="3"/>
            <w:tcBorders>
              <w:top w:val="single" w:sz="4" w:space="0" w:color="auto"/>
              <w:left w:val="nil"/>
              <w:bottom w:val="single" w:sz="4" w:space="0" w:color="auto"/>
              <w:right w:val="nil"/>
            </w:tcBorders>
            <w:shd w:val="clear" w:color="000000" w:fill="F2DBDB"/>
            <w:vAlign w:val="center"/>
            <w:hideMark/>
          </w:tcPr>
          <w:p w14:paraId="292CBB90" w14:textId="6A9591A0" w:rsidR="0097475C" w:rsidRPr="003018A3" w:rsidRDefault="0097475C" w:rsidP="0097475C">
            <w:pPr>
              <w:spacing w:after="0" w:line="240" w:lineRule="auto"/>
              <w:jc w:val="center"/>
              <w:rPr>
                <w:rFonts w:cs="Arial"/>
                <w:color w:val="000000"/>
                <w:sz w:val="16"/>
                <w:szCs w:val="16"/>
              </w:rPr>
            </w:pPr>
            <w:r w:rsidRPr="003018A3">
              <w:rPr>
                <w:rFonts w:cs="Arial"/>
                <w:color w:val="000000"/>
                <w:sz w:val="16"/>
                <w:szCs w:val="16"/>
              </w:rPr>
              <w:t xml:space="preserve">Průměrná délka trvání </w:t>
            </w:r>
            <w:r>
              <w:rPr>
                <w:rFonts w:cs="Arial"/>
                <w:color w:val="000000"/>
                <w:sz w:val="16"/>
                <w:szCs w:val="16"/>
              </w:rPr>
              <w:t xml:space="preserve">1 </w:t>
            </w:r>
            <w:r w:rsidRPr="003018A3">
              <w:rPr>
                <w:rFonts w:cs="Arial"/>
                <w:color w:val="000000"/>
                <w:sz w:val="16"/>
                <w:szCs w:val="16"/>
              </w:rPr>
              <w:t>případu DPN ve dnech</w:t>
            </w:r>
          </w:p>
        </w:tc>
      </w:tr>
      <w:tr w:rsidR="0097475C" w:rsidRPr="003018A3" w14:paraId="1B4CF656" w14:textId="77777777" w:rsidTr="0097475C">
        <w:trPr>
          <w:trHeight w:val="300"/>
        </w:trPr>
        <w:tc>
          <w:tcPr>
            <w:tcW w:w="4195" w:type="dxa"/>
            <w:vMerge/>
            <w:tcBorders>
              <w:top w:val="single" w:sz="4" w:space="0" w:color="auto"/>
              <w:left w:val="nil"/>
              <w:bottom w:val="single" w:sz="4" w:space="0" w:color="000000"/>
              <w:right w:val="single" w:sz="4" w:space="0" w:color="auto"/>
            </w:tcBorders>
            <w:vAlign w:val="center"/>
            <w:hideMark/>
          </w:tcPr>
          <w:p w14:paraId="70252936" w14:textId="77777777" w:rsidR="0097475C" w:rsidRPr="003018A3" w:rsidRDefault="0097475C" w:rsidP="0097475C">
            <w:pPr>
              <w:spacing w:after="0" w:line="240" w:lineRule="auto"/>
              <w:rPr>
                <w:rFonts w:cs="Arial"/>
                <w:color w:val="000000"/>
                <w:sz w:val="16"/>
                <w:szCs w:val="16"/>
              </w:rPr>
            </w:pPr>
          </w:p>
        </w:tc>
        <w:tc>
          <w:tcPr>
            <w:tcW w:w="907" w:type="dxa"/>
            <w:vMerge w:val="restart"/>
            <w:tcBorders>
              <w:top w:val="nil"/>
              <w:left w:val="single" w:sz="4" w:space="0" w:color="auto"/>
              <w:bottom w:val="single" w:sz="4" w:space="0" w:color="000000"/>
              <w:right w:val="nil"/>
            </w:tcBorders>
            <w:shd w:val="clear" w:color="000000" w:fill="F2DBDB"/>
            <w:vAlign w:val="center"/>
            <w:hideMark/>
          </w:tcPr>
          <w:p w14:paraId="5CAAEC69" w14:textId="77777777" w:rsidR="0097475C" w:rsidRPr="003018A3" w:rsidRDefault="0097475C" w:rsidP="0097475C">
            <w:pPr>
              <w:spacing w:after="0" w:line="240" w:lineRule="auto"/>
              <w:jc w:val="center"/>
              <w:rPr>
                <w:rFonts w:cs="Arial"/>
                <w:b/>
                <w:bCs/>
                <w:color w:val="000000"/>
                <w:sz w:val="16"/>
                <w:szCs w:val="16"/>
              </w:rPr>
            </w:pPr>
            <w:r w:rsidRPr="003018A3">
              <w:rPr>
                <w:rFonts w:cs="Arial"/>
                <w:b/>
                <w:bCs/>
                <w:color w:val="000000"/>
                <w:sz w:val="16"/>
                <w:szCs w:val="16"/>
              </w:rPr>
              <w:t>Celkem</w:t>
            </w:r>
          </w:p>
        </w:tc>
        <w:tc>
          <w:tcPr>
            <w:tcW w:w="1814" w:type="dxa"/>
            <w:gridSpan w:val="2"/>
            <w:tcBorders>
              <w:top w:val="single" w:sz="4" w:space="0" w:color="auto"/>
              <w:left w:val="single" w:sz="4" w:space="0" w:color="auto"/>
              <w:bottom w:val="single" w:sz="4" w:space="0" w:color="auto"/>
              <w:right w:val="single" w:sz="4" w:space="0" w:color="auto"/>
            </w:tcBorders>
            <w:shd w:val="clear" w:color="000000" w:fill="F2DBDB"/>
            <w:vAlign w:val="center"/>
            <w:hideMark/>
          </w:tcPr>
          <w:p w14:paraId="243C5249" w14:textId="77777777" w:rsidR="0097475C" w:rsidRPr="003018A3" w:rsidRDefault="0097475C" w:rsidP="0097475C">
            <w:pPr>
              <w:spacing w:after="0" w:line="240" w:lineRule="auto"/>
              <w:jc w:val="center"/>
              <w:rPr>
                <w:rFonts w:cs="Arial"/>
                <w:color w:val="000000"/>
                <w:sz w:val="16"/>
                <w:szCs w:val="16"/>
              </w:rPr>
            </w:pPr>
            <w:r w:rsidRPr="003018A3">
              <w:rPr>
                <w:rFonts w:cs="Arial"/>
                <w:color w:val="000000"/>
                <w:sz w:val="16"/>
                <w:szCs w:val="16"/>
              </w:rPr>
              <w:t>podle pohlaví</w:t>
            </w:r>
          </w:p>
        </w:tc>
        <w:tc>
          <w:tcPr>
            <w:tcW w:w="907" w:type="dxa"/>
            <w:vMerge w:val="restart"/>
            <w:tcBorders>
              <w:top w:val="nil"/>
              <w:left w:val="single" w:sz="4" w:space="0" w:color="auto"/>
              <w:right w:val="nil"/>
            </w:tcBorders>
            <w:shd w:val="clear" w:color="000000" w:fill="F2DBDB"/>
            <w:vAlign w:val="center"/>
            <w:hideMark/>
          </w:tcPr>
          <w:p w14:paraId="392D81B4" w14:textId="77777777" w:rsidR="0097475C" w:rsidRPr="003018A3" w:rsidRDefault="0097475C" w:rsidP="0097475C">
            <w:pPr>
              <w:spacing w:after="0" w:line="240" w:lineRule="auto"/>
              <w:jc w:val="center"/>
              <w:rPr>
                <w:rFonts w:cs="Arial"/>
                <w:b/>
                <w:bCs/>
                <w:color w:val="000000"/>
                <w:sz w:val="16"/>
                <w:szCs w:val="16"/>
              </w:rPr>
            </w:pPr>
            <w:r w:rsidRPr="003018A3">
              <w:rPr>
                <w:rFonts w:cs="Arial"/>
                <w:b/>
                <w:bCs/>
                <w:color w:val="000000"/>
                <w:sz w:val="16"/>
                <w:szCs w:val="16"/>
              </w:rPr>
              <w:t>Celkem</w:t>
            </w:r>
          </w:p>
        </w:tc>
        <w:tc>
          <w:tcPr>
            <w:tcW w:w="1814" w:type="dxa"/>
            <w:gridSpan w:val="2"/>
            <w:tcBorders>
              <w:top w:val="single" w:sz="4" w:space="0" w:color="auto"/>
              <w:left w:val="single" w:sz="4" w:space="0" w:color="auto"/>
              <w:bottom w:val="single" w:sz="4" w:space="0" w:color="auto"/>
            </w:tcBorders>
            <w:shd w:val="clear" w:color="000000" w:fill="F2DBDB"/>
            <w:vAlign w:val="center"/>
            <w:hideMark/>
          </w:tcPr>
          <w:p w14:paraId="21D59F4C" w14:textId="77777777" w:rsidR="0097475C" w:rsidRPr="003018A3" w:rsidRDefault="0097475C" w:rsidP="0097475C">
            <w:pPr>
              <w:spacing w:after="0" w:line="240" w:lineRule="auto"/>
              <w:jc w:val="center"/>
              <w:rPr>
                <w:rFonts w:cs="Arial"/>
                <w:color w:val="000000"/>
                <w:sz w:val="16"/>
                <w:szCs w:val="16"/>
              </w:rPr>
            </w:pPr>
            <w:r w:rsidRPr="003018A3">
              <w:rPr>
                <w:rFonts w:cs="Arial"/>
                <w:color w:val="000000"/>
                <w:sz w:val="16"/>
                <w:szCs w:val="16"/>
              </w:rPr>
              <w:t>podle pohlaví</w:t>
            </w:r>
          </w:p>
        </w:tc>
      </w:tr>
      <w:tr w:rsidR="0097475C" w:rsidRPr="003018A3" w14:paraId="4CE9D5BF" w14:textId="77777777" w:rsidTr="0097475C">
        <w:trPr>
          <w:trHeight w:val="300"/>
        </w:trPr>
        <w:tc>
          <w:tcPr>
            <w:tcW w:w="4195" w:type="dxa"/>
            <w:vMerge/>
            <w:tcBorders>
              <w:top w:val="single" w:sz="4" w:space="0" w:color="auto"/>
              <w:left w:val="nil"/>
              <w:bottom w:val="single" w:sz="4" w:space="0" w:color="000000"/>
              <w:right w:val="single" w:sz="4" w:space="0" w:color="auto"/>
            </w:tcBorders>
            <w:vAlign w:val="center"/>
            <w:hideMark/>
          </w:tcPr>
          <w:p w14:paraId="7292FEE8" w14:textId="77777777" w:rsidR="0097475C" w:rsidRPr="003018A3" w:rsidRDefault="0097475C" w:rsidP="0097475C">
            <w:pPr>
              <w:spacing w:after="0" w:line="240" w:lineRule="auto"/>
              <w:rPr>
                <w:rFonts w:cs="Arial"/>
                <w:color w:val="000000"/>
                <w:sz w:val="16"/>
                <w:szCs w:val="16"/>
              </w:rPr>
            </w:pPr>
          </w:p>
        </w:tc>
        <w:tc>
          <w:tcPr>
            <w:tcW w:w="907" w:type="dxa"/>
            <w:vMerge/>
            <w:tcBorders>
              <w:top w:val="nil"/>
              <w:left w:val="single" w:sz="4" w:space="0" w:color="auto"/>
              <w:bottom w:val="single" w:sz="4" w:space="0" w:color="000000"/>
              <w:right w:val="nil"/>
            </w:tcBorders>
            <w:vAlign w:val="center"/>
            <w:hideMark/>
          </w:tcPr>
          <w:p w14:paraId="0C49F6EE" w14:textId="77777777" w:rsidR="0097475C" w:rsidRPr="003018A3" w:rsidRDefault="0097475C" w:rsidP="0097475C">
            <w:pPr>
              <w:spacing w:after="0" w:line="240" w:lineRule="auto"/>
              <w:rPr>
                <w:rFonts w:cs="Arial"/>
                <w:b/>
                <w:bCs/>
                <w:color w:val="000000"/>
                <w:sz w:val="16"/>
                <w:szCs w:val="16"/>
              </w:rPr>
            </w:pPr>
          </w:p>
        </w:tc>
        <w:tc>
          <w:tcPr>
            <w:tcW w:w="907" w:type="dxa"/>
            <w:tcBorders>
              <w:top w:val="nil"/>
              <w:left w:val="single" w:sz="4" w:space="0" w:color="auto"/>
              <w:bottom w:val="single" w:sz="4" w:space="0" w:color="auto"/>
              <w:right w:val="single" w:sz="4" w:space="0" w:color="auto"/>
            </w:tcBorders>
            <w:shd w:val="clear" w:color="000000" w:fill="F2DBDB"/>
            <w:vAlign w:val="center"/>
            <w:hideMark/>
          </w:tcPr>
          <w:p w14:paraId="0C92CAA0" w14:textId="77777777" w:rsidR="0097475C" w:rsidRPr="003018A3" w:rsidRDefault="0097475C" w:rsidP="0097475C">
            <w:pPr>
              <w:spacing w:after="0" w:line="240" w:lineRule="auto"/>
              <w:jc w:val="center"/>
              <w:rPr>
                <w:rFonts w:cs="Arial"/>
                <w:color w:val="000000"/>
                <w:sz w:val="16"/>
                <w:szCs w:val="16"/>
              </w:rPr>
            </w:pPr>
            <w:r w:rsidRPr="003018A3">
              <w:rPr>
                <w:rFonts w:cs="Arial"/>
                <w:color w:val="000000"/>
                <w:sz w:val="16"/>
                <w:szCs w:val="16"/>
              </w:rPr>
              <w:t>muži</w:t>
            </w:r>
          </w:p>
        </w:tc>
        <w:tc>
          <w:tcPr>
            <w:tcW w:w="907" w:type="dxa"/>
            <w:tcBorders>
              <w:top w:val="nil"/>
              <w:left w:val="nil"/>
              <w:bottom w:val="single" w:sz="4" w:space="0" w:color="auto"/>
              <w:right w:val="single" w:sz="4" w:space="0" w:color="auto"/>
            </w:tcBorders>
            <w:shd w:val="clear" w:color="000000" w:fill="F2DBDB"/>
            <w:vAlign w:val="center"/>
            <w:hideMark/>
          </w:tcPr>
          <w:p w14:paraId="76741E82" w14:textId="77777777" w:rsidR="0097475C" w:rsidRPr="003018A3" w:rsidRDefault="0097475C" w:rsidP="0097475C">
            <w:pPr>
              <w:spacing w:after="0" w:line="240" w:lineRule="auto"/>
              <w:jc w:val="center"/>
              <w:rPr>
                <w:rFonts w:cs="Arial"/>
                <w:color w:val="000000"/>
                <w:sz w:val="16"/>
                <w:szCs w:val="16"/>
              </w:rPr>
            </w:pPr>
            <w:r w:rsidRPr="003018A3">
              <w:rPr>
                <w:rFonts w:cs="Arial"/>
                <w:color w:val="000000"/>
                <w:sz w:val="16"/>
                <w:szCs w:val="16"/>
              </w:rPr>
              <w:t>ženy</w:t>
            </w:r>
          </w:p>
        </w:tc>
        <w:tc>
          <w:tcPr>
            <w:tcW w:w="907" w:type="dxa"/>
            <w:vMerge/>
            <w:tcBorders>
              <w:left w:val="single" w:sz="4" w:space="0" w:color="auto"/>
              <w:bottom w:val="single" w:sz="4" w:space="0" w:color="000000"/>
              <w:right w:val="nil"/>
            </w:tcBorders>
            <w:vAlign w:val="center"/>
            <w:hideMark/>
          </w:tcPr>
          <w:p w14:paraId="5FC35EE1" w14:textId="77777777" w:rsidR="0097475C" w:rsidRPr="003018A3" w:rsidRDefault="0097475C" w:rsidP="0097475C">
            <w:pPr>
              <w:spacing w:after="0" w:line="240" w:lineRule="auto"/>
              <w:rPr>
                <w:rFonts w:cs="Arial"/>
                <w:b/>
                <w:bCs/>
                <w:color w:val="000000"/>
                <w:sz w:val="16"/>
                <w:szCs w:val="16"/>
              </w:rPr>
            </w:pPr>
          </w:p>
        </w:tc>
        <w:tc>
          <w:tcPr>
            <w:tcW w:w="907" w:type="dxa"/>
            <w:tcBorders>
              <w:top w:val="nil"/>
              <w:left w:val="single" w:sz="4" w:space="0" w:color="auto"/>
              <w:bottom w:val="single" w:sz="4" w:space="0" w:color="auto"/>
              <w:right w:val="single" w:sz="4" w:space="0" w:color="auto"/>
            </w:tcBorders>
            <w:shd w:val="clear" w:color="000000" w:fill="F2DBDB"/>
            <w:vAlign w:val="center"/>
            <w:hideMark/>
          </w:tcPr>
          <w:p w14:paraId="651BCF1A" w14:textId="77777777" w:rsidR="0097475C" w:rsidRPr="003018A3" w:rsidRDefault="0097475C" w:rsidP="0097475C">
            <w:pPr>
              <w:spacing w:after="0" w:line="240" w:lineRule="auto"/>
              <w:jc w:val="center"/>
              <w:rPr>
                <w:rFonts w:cs="Arial"/>
                <w:color w:val="000000"/>
                <w:sz w:val="16"/>
                <w:szCs w:val="16"/>
              </w:rPr>
            </w:pPr>
            <w:r w:rsidRPr="003018A3">
              <w:rPr>
                <w:rFonts w:cs="Arial"/>
                <w:color w:val="000000"/>
                <w:sz w:val="16"/>
                <w:szCs w:val="16"/>
              </w:rPr>
              <w:t>muži</w:t>
            </w:r>
          </w:p>
        </w:tc>
        <w:tc>
          <w:tcPr>
            <w:tcW w:w="907" w:type="dxa"/>
            <w:tcBorders>
              <w:top w:val="nil"/>
              <w:left w:val="nil"/>
              <w:bottom w:val="single" w:sz="4" w:space="0" w:color="auto"/>
              <w:right w:val="nil"/>
            </w:tcBorders>
            <w:shd w:val="clear" w:color="000000" w:fill="F2DBDB"/>
            <w:vAlign w:val="center"/>
            <w:hideMark/>
          </w:tcPr>
          <w:p w14:paraId="76E511D3" w14:textId="77777777" w:rsidR="0097475C" w:rsidRPr="003018A3" w:rsidRDefault="0097475C" w:rsidP="0097475C">
            <w:pPr>
              <w:spacing w:after="0" w:line="240" w:lineRule="auto"/>
              <w:jc w:val="center"/>
              <w:rPr>
                <w:rFonts w:cs="Arial"/>
                <w:color w:val="000000"/>
                <w:sz w:val="16"/>
                <w:szCs w:val="16"/>
              </w:rPr>
            </w:pPr>
            <w:r w:rsidRPr="003018A3">
              <w:rPr>
                <w:rFonts w:cs="Arial"/>
                <w:color w:val="000000"/>
                <w:sz w:val="16"/>
                <w:szCs w:val="16"/>
              </w:rPr>
              <w:t>ženy</w:t>
            </w:r>
          </w:p>
        </w:tc>
      </w:tr>
      <w:tr w:rsidR="0097475C" w:rsidRPr="003018A3" w14:paraId="502DEB64" w14:textId="77777777" w:rsidTr="0097475C">
        <w:trPr>
          <w:trHeight w:val="300"/>
        </w:trPr>
        <w:tc>
          <w:tcPr>
            <w:tcW w:w="4195" w:type="dxa"/>
            <w:tcBorders>
              <w:top w:val="nil"/>
              <w:left w:val="nil"/>
              <w:bottom w:val="nil"/>
              <w:right w:val="nil"/>
            </w:tcBorders>
            <w:shd w:val="clear" w:color="auto" w:fill="auto"/>
            <w:noWrap/>
            <w:vAlign w:val="bottom"/>
            <w:hideMark/>
          </w:tcPr>
          <w:p w14:paraId="41B9D13C" w14:textId="6A11DBD0" w:rsidR="0097475C" w:rsidRPr="003018A3" w:rsidRDefault="0097475C" w:rsidP="0097475C">
            <w:pPr>
              <w:spacing w:after="0" w:line="240" w:lineRule="auto"/>
              <w:rPr>
                <w:rFonts w:cs="Arial"/>
                <w:b/>
                <w:bCs/>
                <w:color w:val="000000"/>
                <w:sz w:val="16"/>
                <w:szCs w:val="16"/>
              </w:rPr>
            </w:pPr>
            <w:r>
              <w:rPr>
                <w:rFonts w:cs="Arial"/>
                <w:b/>
                <w:bCs/>
                <w:color w:val="000000"/>
                <w:sz w:val="16"/>
                <w:szCs w:val="16"/>
              </w:rPr>
              <w:t>Celkem</w:t>
            </w:r>
          </w:p>
        </w:tc>
        <w:tc>
          <w:tcPr>
            <w:tcW w:w="907" w:type="dxa"/>
            <w:tcBorders>
              <w:top w:val="nil"/>
              <w:left w:val="single" w:sz="4" w:space="0" w:color="auto"/>
              <w:bottom w:val="nil"/>
              <w:right w:val="nil"/>
            </w:tcBorders>
            <w:shd w:val="clear" w:color="auto" w:fill="auto"/>
            <w:noWrap/>
            <w:vAlign w:val="bottom"/>
            <w:hideMark/>
          </w:tcPr>
          <w:p w14:paraId="109CC444" w14:textId="6071CF3B" w:rsidR="0097475C" w:rsidRPr="003018A3" w:rsidRDefault="0097475C" w:rsidP="0097475C">
            <w:pPr>
              <w:spacing w:after="0" w:line="240" w:lineRule="auto"/>
              <w:jc w:val="right"/>
              <w:rPr>
                <w:rFonts w:cs="Arial"/>
                <w:b/>
                <w:bCs/>
                <w:color w:val="000000"/>
                <w:sz w:val="16"/>
                <w:szCs w:val="16"/>
              </w:rPr>
            </w:pPr>
            <w:r>
              <w:rPr>
                <w:rFonts w:cs="Arial"/>
                <w:b/>
                <w:bCs/>
                <w:color w:val="000000"/>
                <w:sz w:val="16"/>
                <w:szCs w:val="16"/>
              </w:rPr>
              <w:t>2 528,6</w:t>
            </w:r>
          </w:p>
        </w:tc>
        <w:tc>
          <w:tcPr>
            <w:tcW w:w="907" w:type="dxa"/>
            <w:tcBorders>
              <w:top w:val="nil"/>
              <w:left w:val="nil"/>
              <w:bottom w:val="nil"/>
              <w:right w:val="nil"/>
            </w:tcBorders>
            <w:shd w:val="clear" w:color="auto" w:fill="auto"/>
            <w:noWrap/>
            <w:vAlign w:val="bottom"/>
            <w:hideMark/>
          </w:tcPr>
          <w:p w14:paraId="69221388" w14:textId="5F388BE1" w:rsidR="0097475C" w:rsidRPr="003018A3" w:rsidRDefault="0097475C" w:rsidP="0097475C">
            <w:pPr>
              <w:spacing w:after="0" w:line="240" w:lineRule="auto"/>
              <w:jc w:val="right"/>
              <w:rPr>
                <w:rFonts w:cs="Arial"/>
                <w:b/>
                <w:bCs/>
                <w:color w:val="000000"/>
                <w:sz w:val="16"/>
                <w:szCs w:val="16"/>
              </w:rPr>
            </w:pPr>
            <w:r>
              <w:rPr>
                <w:rFonts w:cs="Arial"/>
                <w:b/>
                <w:bCs/>
                <w:color w:val="000000"/>
                <w:sz w:val="16"/>
                <w:szCs w:val="16"/>
              </w:rPr>
              <w:t>1 129,0</w:t>
            </w:r>
          </w:p>
        </w:tc>
        <w:tc>
          <w:tcPr>
            <w:tcW w:w="907" w:type="dxa"/>
            <w:tcBorders>
              <w:top w:val="nil"/>
              <w:left w:val="nil"/>
              <w:bottom w:val="nil"/>
              <w:right w:val="single" w:sz="4" w:space="0" w:color="auto"/>
            </w:tcBorders>
            <w:shd w:val="clear" w:color="auto" w:fill="auto"/>
            <w:noWrap/>
            <w:vAlign w:val="bottom"/>
            <w:hideMark/>
          </w:tcPr>
          <w:p w14:paraId="5B543666" w14:textId="1C47278D" w:rsidR="0097475C" w:rsidRPr="003018A3" w:rsidRDefault="0097475C" w:rsidP="0097475C">
            <w:pPr>
              <w:spacing w:after="0" w:line="240" w:lineRule="auto"/>
              <w:jc w:val="right"/>
              <w:rPr>
                <w:rFonts w:cs="Arial"/>
                <w:b/>
                <w:bCs/>
                <w:color w:val="000000"/>
                <w:sz w:val="16"/>
                <w:szCs w:val="16"/>
              </w:rPr>
            </w:pPr>
            <w:r>
              <w:rPr>
                <w:rFonts w:cs="Arial"/>
                <w:b/>
                <w:bCs/>
                <w:color w:val="000000"/>
                <w:sz w:val="16"/>
                <w:szCs w:val="16"/>
              </w:rPr>
              <w:t>1 399,5</w:t>
            </w:r>
          </w:p>
        </w:tc>
        <w:tc>
          <w:tcPr>
            <w:tcW w:w="907" w:type="dxa"/>
            <w:tcBorders>
              <w:top w:val="nil"/>
              <w:left w:val="nil"/>
              <w:bottom w:val="nil"/>
              <w:right w:val="nil"/>
            </w:tcBorders>
            <w:shd w:val="clear" w:color="auto" w:fill="auto"/>
            <w:noWrap/>
            <w:vAlign w:val="bottom"/>
            <w:hideMark/>
          </w:tcPr>
          <w:p w14:paraId="48B7D9C5" w14:textId="53134ADC" w:rsidR="0097475C" w:rsidRPr="003018A3" w:rsidRDefault="0097475C" w:rsidP="0097475C">
            <w:pPr>
              <w:spacing w:after="0" w:line="240" w:lineRule="auto"/>
              <w:jc w:val="right"/>
              <w:rPr>
                <w:rFonts w:cs="Arial"/>
                <w:b/>
                <w:bCs/>
                <w:color w:val="000000"/>
                <w:sz w:val="16"/>
                <w:szCs w:val="16"/>
              </w:rPr>
            </w:pPr>
            <w:r>
              <w:rPr>
                <w:rFonts w:cs="Arial"/>
                <w:b/>
                <w:bCs/>
                <w:color w:val="000000"/>
                <w:sz w:val="16"/>
                <w:szCs w:val="16"/>
              </w:rPr>
              <w:t>31,0</w:t>
            </w:r>
          </w:p>
        </w:tc>
        <w:tc>
          <w:tcPr>
            <w:tcW w:w="907" w:type="dxa"/>
            <w:tcBorders>
              <w:top w:val="nil"/>
              <w:left w:val="nil"/>
              <w:bottom w:val="nil"/>
              <w:right w:val="nil"/>
            </w:tcBorders>
            <w:shd w:val="clear" w:color="auto" w:fill="auto"/>
            <w:noWrap/>
            <w:vAlign w:val="bottom"/>
            <w:hideMark/>
          </w:tcPr>
          <w:p w14:paraId="502A37ED" w14:textId="75CFCF2E" w:rsidR="0097475C" w:rsidRPr="003018A3" w:rsidRDefault="0097475C" w:rsidP="0097475C">
            <w:pPr>
              <w:spacing w:after="0" w:line="240" w:lineRule="auto"/>
              <w:jc w:val="right"/>
              <w:rPr>
                <w:rFonts w:cs="Arial"/>
                <w:b/>
                <w:bCs/>
                <w:color w:val="000000"/>
                <w:sz w:val="16"/>
                <w:szCs w:val="16"/>
              </w:rPr>
            </w:pPr>
            <w:r>
              <w:rPr>
                <w:rFonts w:cs="Arial"/>
                <w:b/>
                <w:bCs/>
                <w:color w:val="000000"/>
                <w:sz w:val="16"/>
                <w:szCs w:val="16"/>
              </w:rPr>
              <w:t>31,3</w:t>
            </w:r>
          </w:p>
        </w:tc>
        <w:tc>
          <w:tcPr>
            <w:tcW w:w="907" w:type="dxa"/>
            <w:tcBorders>
              <w:top w:val="nil"/>
              <w:left w:val="nil"/>
              <w:bottom w:val="nil"/>
              <w:right w:val="nil"/>
            </w:tcBorders>
            <w:shd w:val="clear" w:color="auto" w:fill="auto"/>
            <w:noWrap/>
            <w:vAlign w:val="bottom"/>
            <w:hideMark/>
          </w:tcPr>
          <w:p w14:paraId="7EB0655F" w14:textId="428EBA22" w:rsidR="0097475C" w:rsidRPr="003018A3" w:rsidRDefault="0097475C" w:rsidP="0097475C">
            <w:pPr>
              <w:spacing w:after="0" w:line="240" w:lineRule="auto"/>
              <w:jc w:val="right"/>
              <w:rPr>
                <w:rFonts w:cs="Arial"/>
                <w:b/>
                <w:bCs/>
                <w:color w:val="000000"/>
                <w:sz w:val="16"/>
                <w:szCs w:val="16"/>
              </w:rPr>
            </w:pPr>
            <w:r>
              <w:rPr>
                <w:rFonts w:cs="Arial"/>
                <w:b/>
                <w:bCs/>
                <w:color w:val="000000"/>
                <w:sz w:val="16"/>
                <w:szCs w:val="16"/>
              </w:rPr>
              <w:t>30,8</w:t>
            </w:r>
          </w:p>
        </w:tc>
      </w:tr>
      <w:tr w:rsidR="0097475C" w:rsidRPr="003018A3" w14:paraId="642542AC" w14:textId="77777777" w:rsidTr="0097475C">
        <w:trPr>
          <w:trHeight w:val="300"/>
        </w:trPr>
        <w:tc>
          <w:tcPr>
            <w:tcW w:w="4195" w:type="dxa"/>
            <w:tcBorders>
              <w:top w:val="nil"/>
              <w:left w:val="nil"/>
              <w:bottom w:val="nil"/>
              <w:right w:val="nil"/>
            </w:tcBorders>
            <w:shd w:val="clear" w:color="auto" w:fill="auto"/>
            <w:noWrap/>
            <w:vAlign w:val="bottom"/>
            <w:hideMark/>
          </w:tcPr>
          <w:p w14:paraId="0CAC3B2A" w14:textId="02D5B2BE" w:rsidR="0097475C" w:rsidRPr="003018A3" w:rsidRDefault="0097475C" w:rsidP="0097475C">
            <w:pPr>
              <w:spacing w:after="0" w:line="240" w:lineRule="auto"/>
              <w:ind w:firstLineChars="100" w:firstLine="160"/>
              <w:rPr>
                <w:rFonts w:cs="Arial"/>
                <w:color w:val="000000"/>
                <w:sz w:val="16"/>
                <w:szCs w:val="16"/>
              </w:rPr>
            </w:pPr>
            <w:r>
              <w:rPr>
                <w:rFonts w:cs="Arial"/>
                <w:color w:val="000000"/>
                <w:sz w:val="16"/>
                <w:szCs w:val="16"/>
              </w:rPr>
              <w:t>Tuberkulóza</w:t>
            </w:r>
          </w:p>
        </w:tc>
        <w:tc>
          <w:tcPr>
            <w:tcW w:w="907" w:type="dxa"/>
            <w:tcBorders>
              <w:top w:val="nil"/>
              <w:left w:val="single" w:sz="4" w:space="0" w:color="auto"/>
              <w:bottom w:val="nil"/>
              <w:right w:val="nil"/>
            </w:tcBorders>
            <w:shd w:val="clear" w:color="auto" w:fill="auto"/>
            <w:noWrap/>
            <w:vAlign w:val="bottom"/>
            <w:hideMark/>
          </w:tcPr>
          <w:p w14:paraId="466679F2" w14:textId="623CF942" w:rsidR="0097475C" w:rsidRPr="003018A3" w:rsidRDefault="0097475C" w:rsidP="0097475C">
            <w:pPr>
              <w:spacing w:after="0" w:line="240" w:lineRule="auto"/>
              <w:jc w:val="right"/>
              <w:rPr>
                <w:rFonts w:cs="Arial"/>
                <w:color w:val="000000"/>
                <w:sz w:val="16"/>
                <w:szCs w:val="16"/>
              </w:rPr>
            </w:pPr>
            <w:r>
              <w:rPr>
                <w:rFonts w:cs="Arial"/>
                <w:color w:val="000000"/>
                <w:sz w:val="16"/>
                <w:szCs w:val="16"/>
              </w:rPr>
              <w:t>0,1</w:t>
            </w:r>
          </w:p>
        </w:tc>
        <w:tc>
          <w:tcPr>
            <w:tcW w:w="907" w:type="dxa"/>
            <w:tcBorders>
              <w:top w:val="nil"/>
              <w:left w:val="nil"/>
              <w:bottom w:val="nil"/>
              <w:right w:val="nil"/>
            </w:tcBorders>
            <w:shd w:val="clear" w:color="auto" w:fill="auto"/>
            <w:noWrap/>
            <w:vAlign w:val="bottom"/>
            <w:hideMark/>
          </w:tcPr>
          <w:p w14:paraId="646121E3" w14:textId="4219CC1A" w:rsidR="0097475C" w:rsidRPr="003018A3" w:rsidRDefault="0097475C" w:rsidP="0097475C">
            <w:pPr>
              <w:spacing w:after="0" w:line="240" w:lineRule="auto"/>
              <w:jc w:val="right"/>
              <w:rPr>
                <w:rFonts w:cs="Arial"/>
                <w:color w:val="000000"/>
                <w:sz w:val="16"/>
                <w:szCs w:val="16"/>
              </w:rPr>
            </w:pPr>
            <w:r>
              <w:rPr>
                <w:rFonts w:cs="Arial"/>
                <w:color w:val="000000"/>
                <w:sz w:val="16"/>
                <w:szCs w:val="16"/>
              </w:rPr>
              <w:t>0,1</w:t>
            </w:r>
          </w:p>
        </w:tc>
        <w:tc>
          <w:tcPr>
            <w:tcW w:w="907" w:type="dxa"/>
            <w:tcBorders>
              <w:top w:val="nil"/>
              <w:left w:val="nil"/>
              <w:bottom w:val="nil"/>
              <w:right w:val="single" w:sz="4" w:space="0" w:color="auto"/>
            </w:tcBorders>
            <w:shd w:val="clear" w:color="auto" w:fill="auto"/>
            <w:noWrap/>
            <w:vAlign w:val="bottom"/>
            <w:hideMark/>
          </w:tcPr>
          <w:p w14:paraId="7D5DEDA8" w14:textId="1358A634" w:rsidR="0097475C" w:rsidRPr="003018A3" w:rsidRDefault="0097475C" w:rsidP="0097475C">
            <w:pPr>
              <w:spacing w:after="0" w:line="240" w:lineRule="auto"/>
              <w:jc w:val="right"/>
              <w:rPr>
                <w:rFonts w:cs="Arial"/>
                <w:color w:val="000000"/>
                <w:sz w:val="16"/>
                <w:szCs w:val="16"/>
              </w:rPr>
            </w:pPr>
            <w:r>
              <w:rPr>
                <w:rFonts w:cs="Arial"/>
                <w:color w:val="000000"/>
                <w:sz w:val="16"/>
                <w:szCs w:val="16"/>
              </w:rPr>
              <w:t>0,0</w:t>
            </w:r>
          </w:p>
        </w:tc>
        <w:tc>
          <w:tcPr>
            <w:tcW w:w="907" w:type="dxa"/>
            <w:tcBorders>
              <w:top w:val="nil"/>
              <w:left w:val="nil"/>
              <w:bottom w:val="nil"/>
              <w:right w:val="nil"/>
            </w:tcBorders>
            <w:shd w:val="clear" w:color="auto" w:fill="auto"/>
            <w:noWrap/>
            <w:vAlign w:val="bottom"/>
            <w:hideMark/>
          </w:tcPr>
          <w:p w14:paraId="17735153" w14:textId="789A0D21" w:rsidR="0097475C" w:rsidRPr="003018A3" w:rsidRDefault="0097475C" w:rsidP="0097475C">
            <w:pPr>
              <w:spacing w:after="0" w:line="240" w:lineRule="auto"/>
              <w:jc w:val="right"/>
              <w:rPr>
                <w:rFonts w:cs="Arial"/>
                <w:color w:val="000000"/>
                <w:sz w:val="16"/>
                <w:szCs w:val="16"/>
              </w:rPr>
            </w:pPr>
            <w:r>
              <w:rPr>
                <w:rFonts w:cs="Arial"/>
                <w:color w:val="000000"/>
                <w:sz w:val="16"/>
                <w:szCs w:val="16"/>
              </w:rPr>
              <w:t>162,9</w:t>
            </w:r>
          </w:p>
        </w:tc>
        <w:tc>
          <w:tcPr>
            <w:tcW w:w="907" w:type="dxa"/>
            <w:tcBorders>
              <w:top w:val="nil"/>
              <w:left w:val="nil"/>
              <w:bottom w:val="nil"/>
              <w:right w:val="nil"/>
            </w:tcBorders>
            <w:shd w:val="clear" w:color="auto" w:fill="auto"/>
            <w:noWrap/>
            <w:vAlign w:val="bottom"/>
            <w:hideMark/>
          </w:tcPr>
          <w:p w14:paraId="3E03AA67" w14:textId="387A1AEA" w:rsidR="0097475C" w:rsidRPr="003018A3" w:rsidRDefault="0097475C" w:rsidP="0097475C">
            <w:pPr>
              <w:spacing w:after="0" w:line="240" w:lineRule="auto"/>
              <w:jc w:val="right"/>
              <w:rPr>
                <w:rFonts w:cs="Arial"/>
                <w:color w:val="000000"/>
                <w:sz w:val="16"/>
                <w:szCs w:val="16"/>
              </w:rPr>
            </w:pPr>
            <w:r>
              <w:rPr>
                <w:rFonts w:cs="Arial"/>
                <w:color w:val="000000"/>
                <w:sz w:val="16"/>
                <w:szCs w:val="16"/>
              </w:rPr>
              <w:t>167,6</w:t>
            </w:r>
          </w:p>
        </w:tc>
        <w:tc>
          <w:tcPr>
            <w:tcW w:w="907" w:type="dxa"/>
            <w:tcBorders>
              <w:top w:val="nil"/>
              <w:left w:val="nil"/>
              <w:bottom w:val="nil"/>
              <w:right w:val="nil"/>
            </w:tcBorders>
            <w:shd w:val="clear" w:color="auto" w:fill="auto"/>
            <w:noWrap/>
            <w:vAlign w:val="bottom"/>
            <w:hideMark/>
          </w:tcPr>
          <w:p w14:paraId="2DAD15AC" w14:textId="7811C8A7" w:rsidR="0097475C" w:rsidRPr="003018A3" w:rsidRDefault="0097475C" w:rsidP="0097475C">
            <w:pPr>
              <w:spacing w:after="0" w:line="240" w:lineRule="auto"/>
              <w:jc w:val="right"/>
              <w:rPr>
                <w:rFonts w:cs="Arial"/>
                <w:color w:val="000000"/>
                <w:sz w:val="16"/>
                <w:szCs w:val="16"/>
              </w:rPr>
            </w:pPr>
            <w:r>
              <w:rPr>
                <w:rFonts w:cs="Arial"/>
                <w:color w:val="000000"/>
                <w:sz w:val="16"/>
                <w:szCs w:val="16"/>
              </w:rPr>
              <w:t>154,0</w:t>
            </w:r>
          </w:p>
        </w:tc>
      </w:tr>
      <w:tr w:rsidR="0097475C" w:rsidRPr="003018A3" w14:paraId="51FA1586" w14:textId="77777777" w:rsidTr="0097475C">
        <w:trPr>
          <w:trHeight w:val="300"/>
        </w:trPr>
        <w:tc>
          <w:tcPr>
            <w:tcW w:w="4195" w:type="dxa"/>
            <w:tcBorders>
              <w:top w:val="nil"/>
              <w:left w:val="nil"/>
              <w:bottom w:val="nil"/>
              <w:right w:val="nil"/>
            </w:tcBorders>
            <w:shd w:val="clear" w:color="auto" w:fill="auto"/>
            <w:noWrap/>
            <w:vAlign w:val="bottom"/>
            <w:hideMark/>
          </w:tcPr>
          <w:p w14:paraId="047B9C80" w14:textId="39A6282C" w:rsidR="0097475C" w:rsidRPr="003018A3" w:rsidRDefault="0097475C" w:rsidP="0097475C">
            <w:pPr>
              <w:spacing w:after="0" w:line="240" w:lineRule="auto"/>
              <w:ind w:firstLineChars="100" w:firstLine="160"/>
              <w:rPr>
                <w:rFonts w:cs="Arial"/>
                <w:color w:val="000000"/>
                <w:sz w:val="16"/>
                <w:szCs w:val="16"/>
              </w:rPr>
            </w:pPr>
            <w:r>
              <w:rPr>
                <w:rFonts w:cs="Arial"/>
                <w:color w:val="000000"/>
                <w:sz w:val="16"/>
                <w:szCs w:val="16"/>
              </w:rPr>
              <w:t>Zhoubné novotvary</w:t>
            </w:r>
          </w:p>
        </w:tc>
        <w:tc>
          <w:tcPr>
            <w:tcW w:w="907" w:type="dxa"/>
            <w:tcBorders>
              <w:top w:val="nil"/>
              <w:left w:val="single" w:sz="4" w:space="0" w:color="auto"/>
              <w:bottom w:val="nil"/>
              <w:right w:val="nil"/>
            </w:tcBorders>
            <w:shd w:val="clear" w:color="auto" w:fill="auto"/>
            <w:noWrap/>
            <w:vAlign w:val="bottom"/>
            <w:hideMark/>
          </w:tcPr>
          <w:p w14:paraId="152F9014" w14:textId="1B700048" w:rsidR="0097475C" w:rsidRPr="003018A3" w:rsidRDefault="0097475C" w:rsidP="0097475C">
            <w:pPr>
              <w:spacing w:after="0" w:line="240" w:lineRule="auto"/>
              <w:jc w:val="right"/>
              <w:rPr>
                <w:rFonts w:cs="Arial"/>
                <w:color w:val="000000"/>
                <w:sz w:val="16"/>
                <w:szCs w:val="16"/>
              </w:rPr>
            </w:pPr>
            <w:r>
              <w:rPr>
                <w:rFonts w:cs="Arial"/>
                <w:color w:val="000000"/>
                <w:sz w:val="16"/>
                <w:szCs w:val="16"/>
              </w:rPr>
              <w:t>16,3</w:t>
            </w:r>
          </w:p>
        </w:tc>
        <w:tc>
          <w:tcPr>
            <w:tcW w:w="907" w:type="dxa"/>
            <w:tcBorders>
              <w:top w:val="nil"/>
              <w:left w:val="nil"/>
              <w:bottom w:val="nil"/>
              <w:right w:val="nil"/>
            </w:tcBorders>
            <w:shd w:val="clear" w:color="auto" w:fill="auto"/>
            <w:noWrap/>
            <w:vAlign w:val="bottom"/>
            <w:hideMark/>
          </w:tcPr>
          <w:p w14:paraId="5CB6FDDF" w14:textId="2EC32CA1" w:rsidR="0097475C" w:rsidRPr="003018A3" w:rsidRDefault="0097475C" w:rsidP="0097475C">
            <w:pPr>
              <w:spacing w:after="0" w:line="240" w:lineRule="auto"/>
              <w:jc w:val="right"/>
              <w:rPr>
                <w:rFonts w:cs="Arial"/>
                <w:color w:val="000000"/>
                <w:sz w:val="16"/>
                <w:szCs w:val="16"/>
              </w:rPr>
            </w:pPr>
            <w:r>
              <w:rPr>
                <w:rFonts w:cs="Arial"/>
                <w:color w:val="000000"/>
                <w:sz w:val="16"/>
                <w:szCs w:val="16"/>
              </w:rPr>
              <w:t>7,1</w:t>
            </w:r>
          </w:p>
        </w:tc>
        <w:tc>
          <w:tcPr>
            <w:tcW w:w="907" w:type="dxa"/>
            <w:tcBorders>
              <w:top w:val="nil"/>
              <w:left w:val="nil"/>
              <w:bottom w:val="nil"/>
              <w:right w:val="single" w:sz="4" w:space="0" w:color="auto"/>
            </w:tcBorders>
            <w:shd w:val="clear" w:color="auto" w:fill="auto"/>
            <w:noWrap/>
            <w:vAlign w:val="bottom"/>
            <w:hideMark/>
          </w:tcPr>
          <w:p w14:paraId="73362D19" w14:textId="17AB62B3" w:rsidR="0097475C" w:rsidRPr="003018A3" w:rsidRDefault="0097475C" w:rsidP="0097475C">
            <w:pPr>
              <w:spacing w:after="0" w:line="240" w:lineRule="auto"/>
              <w:jc w:val="right"/>
              <w:rPr>
                <w:rFonts w:cs="Arial"/>
                <w:color w:val="000000"/>
                <w:sz w:val="16"/>
                <w:szCs w:val="16"/>
              </w:rPr>
            </w:pPr>
            <w:r>
              <w:rPr>
                <w:rFonts w:cs="Arial"/>
                <w:color w:val="000000"/>
                <w:sz w:val="16"/>
                <w:szCs w:val="16"/>
              </w:rPr>
              <w:t>9,2</w:t>
            </w:r>
          </w:p>
        </w:tc>
        <w:tc>
          <w:tcPr>
            <w:tcW w:w="907" w:type="dxa"/>
            <w:tcBorders>
              <w:top w:val="nil"/>
              <w:left w:val="nil"/>
              <w:bottom w:val="nil"/>
              <w:right w:val="nil"/>
            </w:tcBorders>
            <w:shd w:val="clear" w:color="auto" w:fill="auto"/>
            <w:noWrap/>
            <w:vAlign w:val="bottom"/>
            <w:hideMark/>
          </w:tcPr>
          <w:p w14:paraId="006D172A" w14:textId="11CB20B8" w:rsidR="0097475C" w:rsidRPr="003018A3" w:rsidRDefault="0097475C" w:rsidP="0097475C">
            <w:pPr>
              <w:spacing w:after="0" w:line="240" w:lineRule="auto"/>
              <w:jc w:val="right"/>
              <w:rPr>
                <w:rFonts w:cs="Arial"/>
                <w:color w:val="000000"/>
                <w:sz w:val="16"/>
                <w:szCs w:val="16"/>
              </w:rPr>
            </w:pPr>
            <w:r>
              <w:rPr>
                <w:rFonts w:cs="Arial"/>
                <w:color w:val="000000"/>
                <w:sz w:val="16"/>
                <w:szCs w:val="16"/>
              </w:rPr>
              <w:t>169,6</w:t>
            </w:r>
          </w:p>
        </w:tc>
        <w:tc>
          <w:tcPr>
            <w:tcW w:w="907" w:type="dxa"/>
            <w:tcBorders>
              <w:top w:val="nil"/>
              <w:left w:val="nil"/>
              <w:bottom w:val="nil"/>
              <w:right w:val="nil"/>
            </w:tcBorders>
            <w:shd w:val="clear" w:color="auto" w:fill="auto"/>
            <w:noWrap/>
            <w:vAlign w:val="bottom"/>
            <w:hideMark/>
          </w:tcPr>
          <w:p w14:paraId="741E5C21" w14:textId="431DBF3F" w:rsidR="0097475C" w:rsidRPr="003018A3" w:rsidRDefault="0097475C" w:rsidP="0097475C">
            <w:pPr>
              <w:spacing w:after="0" w:line="240" w:lineRule="auto"/>
              <w:jc w:val="right"/>
              <w:rPr>
                <w:rFonts w:cs="Arial"/>
                <w:color w:val="000000"/>
                <w:sz w:val="16"/>
                <w:szCs w:val="16"/>
              </w:rPr>
            </w:pPr>
            <w:r>
              <w:rPr>
                <w:rFonts w:cs="Arial"/>
                <w:color w:val="000000"/>
                <w:sz w:val="16"/>
                <w:szCs w:val="16"/>
              </w:rPr>
              <w:t>159,7</w:t>
            </w:r>
          </w:p>
        </w:tc>
        <w:tc>
          <w:tcPr>
            <w:tcW w:w="907" w:type="dxa"/>
            <w:tcBorders>
              <w:top w:val="nil"/>
              <w:left w:val="nil"/>
              <w:bottom w:val="nil"/>
              <w:right w:val="nil"/>
            </w:tcBorders>
            <w:shd w:val="clear" w:color="auto" w:fill="auto"/>
            <w:noWrap/>
            <w:vAlign w:val="bottom"/>
            <w:hideMark/>
          </w:tcPr>
          <w:p w14:paraId="4BC14ED5" w14:textId="67BE8B38" w:rsidR="0097475C" w:rsidRPr="003018A3" w:rsidRDefault="0097475C" w:rsidP="0097475C">
            <w:pPr>
              <w:spacing w:after="0" w:line="240" w:lineRule="auto"/>
              <w:jc w:val="right"/>
              <w:rPr>
                <w:rFonts w:cs="Arial"/>
                <w:color w:val="000000"/>
                <w:sz w:val="16"/>
                <w:szCs w:val="16"/>
              </w:rPr>
            </w:pPr>
            <w:r>
              <w:rPr>
                <w:rFonts w:cs="Arial"/>
                <w:color w:val="000000"/>
                <w:sz w:val="16"/>
                <w:szCs w:val="16"/>
              </w:rPr>
              <w:t>177,2</w:t>
            </w:r>
          </w:p>
        </w:tc>
      </w:tr>
      <w:tr w:rsidR="0097475C" w:rsidRPr="003018A3" w14:paraId="7E513DAE" w14:textId="77777777" w:rsidTr="0097475C">
        <w:trPr>
          <w:trHeight w:val="300"/>
        </w:trPr>
        <w:tc>
          <w:tcPr>
            <w:tcW w:w="4195" w:type="dxa"/>
            <w:tcBorders>
              <w:top w:val="nil"/>
              <w:left w:val="nil"/>
              <w:bottom w:val="nil"/>
              <w:right w:val="nil"/>
            </w:tcBorders>
            <w:shd w:val="clear" w:color="auto" w:fill="auto"/>
            <w:noWrap/>
            <w:vAlign w:val="bottom"/>
            <w:hideMark/>
          </w:tcPr>
          <w:p w14:paraId="02188ED9" w14:textId="716A0C86" w:rsidR="0097475C" w:rsidRPr="003018A3" w:rsidRDefault="0097475C" w:rsidP="0097475C">
            <w:pPr>
              <w:spacing w:after="0" w:line="240" w:lineRule="auto"/>
              <w:ind w:firstLineChars="100" w:firstLine="160"/>
              <w:rPr>
                <w:rFonts w:cs="Arial"/>
                <w:color w:val="000000"/>
                <w:sz w:val="16"/>
                <w:szCs w:val="16"/>
              </w:rPr>
            </w:pPr>
            <w:r>
              <w:rPr>
                <w:rFonts w:cs="Arial"/>
                <w:color w:val="000000"/>
                <w:sz w:val="16"/>
                <w:szCs w:val="16"/>
              </w:rPr>
              <w:t>Nemoci duševní</w:t>
            </w:r>
          </w:p>
        </w:tc>
        <w:tc>
          <w:tcPr>
            <w:tcW w:w="907" w:type="dxa"/>
            <w:tcBorders>
              <w:top w:val="nil"/>
              <w:left w:val="single" w:sz="4" w:space="0" w:color="auto"/>
              <w:bottom w:val="nil"/>
              <w:right w:val="nil"/>
            </w:tcBorders>
            <w:shd w:val="clear" w:color="auto" w:fill="auto"/>
            <w:noWrap/>
            <w:vAlign w:val="bottom"/>
            <w:hideMark/>
          </w:tcPr>
          <w:p w14:paraId="032CD428" w14:textId="2A86BD0F" w:rsidR="0097475C" w:rsidRPr="003018A3" w:rsidRDefault="0097475C" w:rsidP="0097475C">
            <w:pPr>
              <w:spacing w:after="0" w:line="240" w:lineRule="auto"/>
              <w:jc w:val="right"/>
              <w:rPr>
                <w:rFonts w:cs="Arial"/>
                <w:color w:val="000000"/>
                <w:sz w:val="16"/>
                <w:szCs w:val="16"/>
              </w:rPr>
            </w:pPr>
            <w:r>
              <w:rPr>
                <w:rFonts w:cs="Arial"/>
                <w:color w:val="000000"/>
                <w:sz w:val="16"/>
                <w:szCs w:val="16"/>
              </w:rPr>
              <w:t>57,4</w:t>
            </w:r>
          </w:p>
        </w:tc>
        <w:tc>
          <w:tcPr>
            <w:tcW w:w="907" w:type="dxa"/>
            <w:tcBorders>
              <w:top w:val="nil"/>
              <w:left w:val="nil"/>
              <w:bottom w:val="nil"/>
              <w:right w:val="nil"/>
            </w:tcBorders>
            <w:shd w:val="clear" w:color="auto" w:fill="auto"/>
            <w:noWrap/>
            <w:vAlign w:val="bottom"/>
            <w:hideMark/>
          </w:tcPr>
          <w:p w14:paraId="69D3B449" w14:textId="0C139447" w:rsidR="0097475C" w:rsidRPr="003018A3" w:rsidRDefault="0097475C" w:rsidP="0097475C">
            <w:pPr>
              <w:spacing w:after="0" w:line="240" w:lineRule="auto"/>
              <w:jc w:val="right"/>
              <w:rPr>
                <w:rFonts w:cs="Arial"/>
                <w:color w:val="000000"/>
                <w:sz w:val="16"/>
                <w:szCs w:val="16"/>
              </w:rPr>
            </w:pPr>
            <w:r>
              <w:rPr>
                <w:rFonts w:cs="Arial"/>
                <w:color w:val="000000"/>
                <w:sz w:val="16"/>
                <w:szCs w:val="16"/>
              </w:rPr>
              <w:t>20,0</w:t>
            </w:r>
          </w:p>
        </w:tc>
        <w:tc>
          <w:tcPr>
            <w:tcW w:w="907" w:type="dxa"/>
            <w:tcBorders>
              <w:top w:val="nil"/>
              <w:left w:val="nil"/>
              <w:bottom w:val="nil"/>
              <w:right w:val="single" w:sz="4" w:space="0" w:color="auto"/>
            </w:tcBorders>
            <w:shd w:val="clear" w:color="auto" w:fill="auto"/>
            <w:noWrap/>
            <w:vAlign w:val="bottom"/>
            <w:hideMark/>
          </w:tcPr>
          <w:p w14:paraId="79B8365E" w14:textId="436CEB44" w:rsidR="0097475C" w:rsidRPr="003018A3" w:rsidRDefault="0097475C" w:rsidP="0097475C">
            <w:pPr>
              <w:spacing w:after="0" w:line="240" w:lineRule="auto"/>
              <w:jc w:val="right"/>
              <w:rPr>
                <w:rFonts w:cs="Arial"/>
                <w:color w:val="000000"/>
                <w:sz w:val="16"/>
                <w:szCs w:val="16"/>
              </w:rPr>
            </w:pPr>
            <w:r>
              <w:rPr>
                <w:rFonts w:cs="Arial"/>
                <w:color w:val="000000"/>
                <w:sz w:val="16"/>
                <w:szCs w:val="16"/>
              </w:rPr>
              <w:t>37,3</w:t>
            </w:r>
          </w:p>
        </w:tc>
        <w:tc>
          <w:tcPr>
            <w:tcW w:w="907" w:type="dxa"/>
            <w:tcBorders>
              <w:top w:val="nil"/>
              <w:left w:val="nil"/>
              <w:bottom w:val="nil"/>
              <w:right w:val="nil"/>
            </w:tcBorders>
            <w:shd w:val="clear" w:color="auto" w:fill="auto"/>
            <w:noWrap/>
            <w:vAlign w:val="bottom"/>
            <w:hideMark/>
          </w:tcPr>
          <w:p w14:paraId="2B0AB540" w14:textId="0E335D55" w:rsidR="0097475C" w:rsidRPr="003018A3" w:rsidRDefault="0097475C" w:rsidP="0097475C">
            <w:pPr>
              <w:spacing w:after="0" w:line="240" w:lineRule="auto"/>
              <w:jc w:val="right"/>
              <w:rPr>
                <w:rFonts w:cs="Arial"/>
                <w:color w:val="000000"/>
                <w:sz w:val="16"/>
                <w:szCs w:val="16"/>
              </w:rPr>
            </w:pPr>
            <w:r>
              <w:rPr>
                <w:rFonts w:cs="Arial"/>
                <w:color w:val="000000"/>
                <w:sz w:val="16"/>
                <w:szCs w:val="16"/>
              </w:rPr>
              <w:t>80,9</w:t>
            </w:r>
          </w:p>
        </w:tc>
        <w:tc>
          <w:tcPr>
            <w:tcW w:w="907" w:type="dxa"/>
            <w:tcBorders>
              <w:top w:val="nil"/>
              <w:left w:val="nil"/>
              <w:bottom w:val="nil"/>
              <w:right w:val="nil"/>
            </w:tcBorders>
            <w:shd w:val="clear" w:color="auto" w:fill="auto"/>
            <w:noWrap/>
            <w:vAlign w:val="bottom"/>
            <w:hideMark/>
          </w:tcPr>
          <w:p w14:paraId="54D830E4" w14:textId="31CC6903" w:rsidR="0097475C" w:rsidRPr="003018A3" w:rsidRDefault="0097475C" w:rsidP="0097475C">
            <w:pPr>
              <w:spacing w:after="0" w:line="240" w:lineRule="auto"/>
              <w:jc w:val="right"/>
              <w:rPr>
                <w:rFonts w:cs="Arial"/>
                <w:color w:val="000000"/>
                <w:sz w:val="16"/>
                <w:szCs w:val="16"/>
              </w:rPr>
            </w:pPr>
            <w:r>
              <w:rPr>
                <w:rFonts w:cs="Arial"/>
                <w:color w:val="000000"/>
                <w:sz w:val="16"/>
                <w:szCs w:val="16"/>
              </w:rPr>
              <w:t>78,8</w:t>
            </w:r>
          </w:p>
        </w:tc>
        <w:tc>
          <w:tcPr>
            <w:tcW w:w="907" w:type="dxa"/>
            <w:tcBorders>
              <w:top w:val="nil"/>
              <w:left w:val="nil"/>
              <w:bottom w:val="nil"/>
              <w:right w:val="nil"/>
            </w:tcBorders>
            <w:shd w:val="clear" w:color="auto" w:fill="auto"/>
            <w:noWrap/>
            <w:vAlign w:val="bottom"/>
            <w:hideMark/>
          </w:tcPr>
          <w:p w14:paraId="04D8701A" w14:textId="4139B5AD" w:rsidR="0097475C" w:rsidRPr="003018A3" w:rsidRDefault="0097475C" w:rsidP="0097475C">
            <w:pPr>
              <w:spacing w:after="0" w:line="240" w:lineRule="auto"/>
              <w:jc w:val="right"/>
              <w:rPr>
                <w:rFonts w:cs="Arial"/>
                <w:color w:val="000000"/>
                <w:sz w:val="16"/>
                <w:szCs w:val="16"/>
              </w:rPr>
            </w:pPr>
            <w:r>
              <w:rPr>
                <w:rFonts w:cs="Arial"/>
                <w:color w:val="000000"/>
                <w:sz w:val="16"/>
                <w:szCs w:val="16"/>
              </w:rPr>
              <w:t>82,0</w:t>
            </w:r>
          </w:p>
        </w:tc>
      </w:tr>
      <w:tr w:rsidR="0097475C" w:rsidRPr="003018A3" w14:paraId="298FC9E9" w14:textId="77777777" w:rsidTr="0097475C">
        <w:trPr>
          <w:trHeight w:val="300"/>
        </w:trPr>
        <w:tc>
          <w:tcPr>
            <w:tcW w:w="4195" w:type="dxa"/>
            <w:tcBorders>
              <w:top w:val="nil"/>
              <w:left w:val="nil"/>
              <w:bottom w:val="nil"/>
              <w:right w:val="nil"/>
            </w:tcBorders>
            <w:shd w:val="clear" w:color="auto" w:fill="auto"/>
            <w:noWrap/>
            <w:vAlign w:val="bottom"/>
            <w:hideMark/>
          </w:tcPr>
          <w:p w14:paraId="0DB82ACF" w14:textId="17EA0195" w:rsidR="0097475C" w:rsidRPr="003018A3" w:rsidRDefault="0097475C" w:rsidP="0097475C">
            <w:pPr>
              <w:spacing w:after="0" w:line="240" w:lineRule="auto"/>
              <w:ind w:firstLineChars="100" w:firstLine="160"/>
              <w:rPr>
                <w:rFonts w:cs="Arial"/>
                <w:color w:val="000000"/>
                <w:sz w:val="16"/>
                <w:szCs w:val="16"/>
              </w:rPr>
            </w:pPr>
            <w:r>
              <w:rPr>
                <w:rFonts w:cs="Arial"/>
                <w:color w:val="000000"/>
                <w:sz w:val="16"/>
                <w:szCs w:val="16"/>
              </w:rPr>
              <w:t>Nemoci nervové soustavy</w:t>
            </w:r>
          </w:p>
        </w:tc>
        <w:tc>
          <w:tcPr>
            <w:tcW w:w="907" w:type="dxa"/>
            <w:tcBorders>
              <w:top w:val="nil"/>
              <w:left w:val="single" w:sz="4" w:space="0" w:color="auto"/>
              <w:bottom w:val="nil"/>
              <w:right w:val="nil"/>
            </w:tcBorders>
            <w:shd w:val="clear" w:color="auto" w:fill="auto"/>
            <w:noWrap/>
            <w:vAlign w:val="bottom"/>
            <w:hideMark/>
          </w:tcPr>
          <w:p w14:paraId="6D4EFE92" w14:textId="7575DC6A" w:rsidR="0097475C" w:rsidRPr="003018A3" w:rsidRDefault="0097475C" w:rsidP="0097475C">
            <w:pPr>
              <w:spacing w:after="0" w:line="240" w:lineRule="auto"/>
              <w:jc w:val="right"/>
              <w:rPr>
                <w:rFonts w:cs="Arial"/>
                <w:color w:val="000000"/>
                <w:sz w:val="16"/>
                <w:szCs w:val="16"/>
              </w:rPr>
            </w:pPr>
            <w:r>
              <w:rPr>
                <w:rFonts w:cs="Arial"/>
                <w:color w:val="000000"/>
                <w:sz w:val="16"/>
                <w:szCs w:val="16"/>
              </w:rPr>
              <w:t>33,4</w:t>
            </w:r>
          </w:p>
        </w:tc>
        <w:tc>
          <w:tcPr>
            <w:tcW w:w="907" w:type="dxa"/>
            <w:tcBorders>
              <w:top w:val="nil"/>
              <w:left w:val="nil"/>
              <w:bottom w:val="nil"/>
              <w:right w:val="nil"/>
            </w:tcBorders>
            <w:shd w:val="clear" w:color="auto" w:fill="auto"/>
            <w:noWrap/>
            <w:vAlign w:val="bottom"/>
            <w:hideMark/>
          </w:tcPr>
          <w:p w14:paraId="0A8909CC" w14:textId="1BFA7264" w:rsidR="0097475C" w:rsidRPr="003018A3" w:rsidRDefault="0097475C" w:rsidP="0097475C">
            <w:pPr>
              <w:spacing w:after="0" w:line="240" w:lineRule="auto"/>
              <w:jc w:val="right"/>
              <w:rPr>
                <w:rFonts w:cs="Arial"/>
                <w:color w:val="000000"/>
                <w:sz w:val="16"/>
                <w:szCs w:val="16"/>
              </w:rPr>
            </w:pPr>
            <w:r>
              <w:rPr>
                <w:rFonts w:cs="Arial"/>
                <w:color w:val="000000"/>
                <w:sz w:val="16"/>
                <w:szCs w:val="16"/>
              </w:rPr>
              <w:t>13,0</w:t>
            </w:r>
          </w:p>
        </w:tc>
        <w:tc>
          <w:tcPr>
            <w:tcW w:w="907" w:type="dxa"/>
            <w:tcBorders>
              <w:top w:val="nil"/>
              <w:left w:val="nil"/>
              <w:bottom w:val="nil"/>
              <w:right w:val="single" w:sz="4" w:space="0" w:color="auto"/>
            </w:tcBorders>
            <w:shd w:val="clear" w:color="auto" w:fill="auto"/>
            <w:noWrap/>
            <w:vAlign w:val="bottom"/>
            <w:hideMark/>
          </w:tcPr>
          <w:p w14:paraId="46499A2C" w14:textId="7E3DCBC5" w:rsidR="0097475C" w:rsidRPr="003018A3" w:rsidRDefault="0097475C" w:rsidP="0097475C">
            <w:pPr>
              <w:spacing w:after="0" w:line="240" w:lineRule="auto"/>
              <w:jc w:val="right"/>
              <w:rPr>
                <w:rFonts w:cs="Arial"/>
                <w:color w:val="000000"/>
                <w:sz w:val="16"/>
                <w:szCs w:val="16"/>
              </w:rPr>
            </w:pPr>
            <w:r>
              <w:rPr>
                <w:rFonts w:cs="Arial"/>
                <w:color w:val="000000"/>
                <w:sz w:val="16"/>
                <w:szCs w:val="16"/>
              </w:rPr>
              <w:t>20,5</w:t>
            </w:r>
          </w:p>
        </w:tc>
        <w:tc>
          <w:tcPr>
            <w:tcW w:w="907" w:type="dxa"/>
            <w:tcBorders>
              <w:top w:val="nil"/>
              <w:left w:val="nil"/>
              <w:bottom w:val="nil"/>
              <w:right w:val="nil"/>
            </w:tcBorders>
            <w:shd w:val="clear" w:color="auto" w:fill="auto"/>
            <w:noWrap/>
            <w:vAlign w:val="bottom"/>
            <w:hideMark/>
          </w:tcPr>
          <w:p w14:paraId="10AC5344" w14:textId="7984E4EB" w:rsidR="0097475C" w:rsidRPr="003018A3" w:rsidRDefault="0097475C" w:rsidP="0097475C">
            <w:pPr>
              <w:spacing w:after="0" w:line="240" w:lineRule="auto"/>
              <w:jc w:val="right"/>
              <w:rPr>
                <w:rFonts w:cs="Arial"/>
                <w:color w:val="000000"/>
                <w:sz w:val="16"/>
                <w:szCs w:val="16"/>
              </w:rPr>
            </w:pPr>
            <w:r>
              <w:rPr>
                <w:rFonts w:cs="Arial"/>
                <w:color w:val="000000"/>
                <w:sz w:val="16"/>
                <w:szCs w:val="16"/>
              </w:rPr>
              <w:t>69,9</w:t>
            </w:r>
          </w:p>
        </w:tc>
        <w:tc>
          <w:tcPr>
            <w:tcW w:w="907" w:type="dxa"/>
            <w:tcBorders>
              <w:top w:val="nil"/>
              <w:left w:val="nil"/>
              <w:bottom w:val="nil"/>
              <w:right w:val="nil"/>
            </w:tcBorders>
            <w:shd w:val="clear" w:color="auto" w:fill="auto"/>
            <w:noWrap/>
            <w:vAlign w:val="bottom"/>
            <w:hideMark/>
          </w:tcPr>
          <w:p w14:paraId="3E0323E8" w14:textId="4242DD31" w:rsidR="0097475C" w:rsidRPr="003018A3" w:rsidRDefault="0097475C" w:rsidP="0097475C">
            <w:pPr>
              <w:spacing w:after="0" w:line="240" w:lineRule="auto"/>
              <w:jc w:val="right"/>
              <w:rPr>
                <w:rFonts w:cs="Arial"/>
                <w:color w:val="000000"/>
                <w:sz w:val="16"/>
                <w:szCs w:val="16"/>
              </w:rPr>
            </w:pPr>
            <w:r>
              <w:rPr>
                <w:rFonts w:cs="Arial"/>
                <w:color w:val="000000"/>
                <w:sz w:val="16"/>
                <w:szCs w:val="16"/>
              </w:rPr>
              <w:t>76,1</w:t>
            </w:r>
          </w:p>
        </w:tc>
        <w:tc>
          <w:tcPr>
            <w:tcW w:w="907" w:type="dxa"/>
            <w:tcBorders>
              <w:top w:val="nil"/>
              <w:left w:val="nil"/>
              <w:bottom w:val="nil"/>
              <w:right w:val="nil"/>
            </w:tcBorders>
            <w:shd w:val="clear" w:color="auto" w:fill="auto"/>
            <w:noWrap/>
            <w:vAlign w:val="bottom"/>
            <w:hideMark/>
          </w:tcPr>
          <w:p w14:paraId="19854AB5" w14:textId="36614326" w:rsidR="0097475C" w:rsidRPr="003018A3" w:rsidRDefault="0097475C" w:rsidP="0097475C">
            <w:pPr>
              <w:spacing w:after="0" w:line="240" w:lineRule="auto"/>
              <w:jc w:val="right"/>
              <w:rPr>
                <w:rFonts w:cs="Arial"/>
                <w:color w:val="000000"/>
                <w:sz w:val="16"/>
                <w:szCs w:val="16"/>
              </w:rPr>
            </w:pPr>
            <w:r>
              <w:rPr>
                <w:rFonts w:cs="Arial"/>
                <w:color w:val="000000"/>
                <w:sz w:val="16"/>
                <w:szCs w:val="16"/>
              </w:rPr>
              <w:t>66,0</w:t>
            </w:r>
          </w:p>
        </w:tc>
      </w:tr>
      <w:tr w:rsidR="0097475C" w:rsidRPr="003018A3" w14:paraId="3D0046BB" w14:textId="77777777" w:rsidTr="0097475C">
        <w:trPr>
          <w:trHeight w:val="300"/>
        </w:trPr>
        <w:tc>
          <w:tcPr>
            <w:tcW w:w="4195" w:type="dxa"/>
            <w:tcBorders>
              <w:top w:val="nil"/>
              <w:left w:val="nil"/>
              <w:bottom w:val="nil"/>
              <w:right w:val="nil"/>
            </w:tcBorders>
            <w:shd w:val="clear" w:color="auto" w:fill="auto"/>
            <w:noWrap/>
            <w:vAlign w:val="bottom"/>
            <w:hideMark/>
          </w:tcPr>
          <w:p w14:paraId="0C41C66A" w14:textId="2E9AEE26" w:rsidR="0097475C" w:rsidRPr="003018A3" w:rsidRDefault="0097475C" w:rsidP="0097475C">
            <w:pPr>
              <w:spacing w:after="0" w:line="240" w:lineRule="auto"/>
              <w:ind w:firstLineChars="100" w:firstLine="160"/>
              <w:rPr>
                <w:rFonts w:cs="Arial"/>
                <w:color w:val="000000"/>
                <w:sz w:val="16"/>
                <w:szCs w:val="16"/>
              </w:rPr>
            </w:pPr>
            <w:r>
              <w:rPr>
                <w:rFonts w:cs="Arial"/>
                <w:color w:val="000000"/>
                <w:sz w:val="16"/>
                <w:szCs w:val="16"/>
              </w:rPr>
              <w:t>Nemoci oběhové soustavy</w:t>
            </w:r>
          </w:p>
        </w:tc>
        <w:tc>
          <w:tcPr>
            <w:tcW w:w="907" w:type="dxa"/>
            <w:tcBorders>
              <w:top w:val="nil"/>
              <w:left w:val="single" w:sz="4" w:space="0" w:color="auto"/>
              <w:bottom w:val="nil"/>
              <w:right w:val="nil"/>
            </w:tcBorders>
            <w:shd w:val="clear" w:color="auto" w:fill="auto"/>
            <w:noWrap/>
            <w:vAlign w:val="bottom"/>
            <w:hideMark/>
          </w:tcPr>
          <w:p w14:paraId="52659105" w14:textId="3D51E371" w:rsidR="0097475C" w:rsidRPr="003018A3" w:rsidRDefault="0097475C" w:rsidP="0097475C">
            <w:pPr>
              <w:spacing w:after="0" w:line="240" w:lineRule="auto"/>
              <w:jc w:val="right"/>
              <w:rPr>
                <w:rFonts w:cs="Arial"/>
                <w:color w:val="000000"/>
                <w:sz w:val="16"/>
                <w:szCs w:val="16"/>
              </w:rPr>
            </w:pPr>
            <w:r>
              <w:rPr>
                <w:rFonts w:cs="Arial"/>
                <w:color w:val="000000"/>
                <w:sz w:val="16"/>
                <w:szCs w:val="16"/>
              </w:rPr>
              <w:t>53,2</w:t>
            </w:r>
          </w:p>
        </w:tc>
        <w:tc>
          <w:tcPr>
            <w:tcW w:w="907" w:type="dxa"/>
            <w:tcBorders>
              <w:top w:val="nil"/>
              <w:left w:val="nil"/>
              <w:bottom w:val="nil"/>
              <w:right w:val="nil"/>
            </w:tcBorders>
            <w:shd w:val="clear" w:color="auto" w:fill="auto"/>
            <w:noWrap/>
            <w:vAlign w:val="bottom"/>
            <w:hideMark/>
          </w:tcPr>
          <w:p w14:paraId="1D7955B8" w14:textId="55CCB3EF" w:rsidR="0097475C" w:rsidRPr="003018A3" w:rsidRDefault="0097475C" w:rsidP="0097475C">
            <w:pPr>
              <w:spacing w:after="0" w:line="240" w:lineRule="auto"/>
              <w:jc w:val="right"/>
              <w:rPr>
                <w:rFonts w:cs="Arial"/>
                <w:color w:val="000000"/>
                <w:sz w:val="16"/>
                <w:szCs w:val="16"/>
              </w:rPr>
            </w:pPr>
            <w:r>
              <w:rPr>
                <w:rFonts w:cs="Arial"/>
                <w:color w:val="000000"/>
                <w:sz w:val="16"/>
                <w:szCs w:val="16"/>
              </w:rPr>
              <w:t>29,4</w:t>
            </w:r>
          </w:p>
        </w:tc>
        <w:tc>
          <w:tcPr>
            <w:tcW w:w="907" w:type="dxa"/>
            <w:tcBorders>
              <w:top w:val="nil"/>
              <w:left w:val="nil"/>
              <w:bottom w:val="nil"/>
              <w:right w:val="single" w:sz="4" w:space="0" w:color="auto"/>
            </w:tcBorders>
            <w:shd w:val="clear" w:color="auto" w:fill="auto"/>
            <w:noWrap/>
            <w:vAlign w:val="bottom"/>
            <w:hideMark/>
          </w:tcPr>
          <w:p w14:paraId="52DA32B5" w14:textId="3FB61B04" w:rsidR="0097475C" w:rsidRPr="003018A3" w:rsidRDefault="0097475C" w:rsidP="0097475C">
            <w:pPr>
              <w:spacing w:after="0" w:line="240" w:lineRule="auto"/>
              <w:jc w:val="right"/>
              <w:rPr>
                <w:rFonts w:cs="Arial"/>
                <w:color w:val="000000"/>
                <w:sz w:val="16"/>
                <w:szCs w:val="16"/>
              </w:rPr>
            </w:pPr>
            <w:r>
              <w:rPr>
                <w:rFonts w:cs="Arial"/>
                <w:color w:val="000000"/>
                <w:sz w:val="16"/>
                <w:szCs w:val="16"/>
              </w:rPr>
              <w:t>23,8</w:t>
            </w:r>
          </w:p>
        </w:tc>
        <w:tc>
          <w:tcPr>
            <w:tcW w:w="907" w:type="dxa"/>
            <w:tcBorders>
              <w:top w:val="nil"/>
              <w:left w:val="nil"/>
              <w:bottom w:val="nil"/>
              <w:right w:val="nil"/>
            </w:tcBorders>
            <w:shd w:val="clear" w:color="auto" w:fill="auto"/>
            <w:noWrap/>
            <w:vAlign w:val="bottom"/>
            <w:hideMark/>
          </w:tcPr>
          <w:p w14:paraId="17D832CE" w14:textId="0BC03FDE" w:rsidR="0097475C" w:rsidRPr="003018A3" w:rsidRDefault="0097475C" w:rsidP="0097475C">
            <w:pPr>
              <w:spacing w:after="0" w:line="240" w:lineRule="auto"/>
              <w:jc w:val="right"/>
              <w:rPr>
                <w:rFonts w:cs="Arial"/>
                <w:color w:val="000000"/>
                <w:sz w:val="16"/>
                <w:szCs w:val="16"/>
              </w:rPr>
            </w:pPr>
            <w:r>
              <w:rPr>
                <w:rFonts w:cs="Arial"/>
                <w:color w:val="000000"/>
                <w:sz w:val="16"/>
                <w:szCs w:val="16"/>
              </w:rPr>
              <w:t>69,8</w:t>
            </w:r>
          </w:p>
        </w:tc>
        <w:tc>
          <w:tcPr>
            <w:tcW w:w="907" w:type="dxa"/>
            <w:tcBorders>
              <w:top w:val="nil"/>
              <w:left w:val="nil"/>
              <w:bottom w:val="nil"/>
              <w:right w:val="nil"/>
            </w:tcBorders>
            <w:shd w:val="clear" w:color="auto" w:fill="auto"/>
            <w:noWrap/>
            <w:vAlign w:val="bottom"/>
            <w:hideMark/>
          </w:tcPr>
          <w:p w14:paraId="5C21D5A3" w14:textId="79BB0D41" w:rsidR="0097475C" w:rsidRPr="003018A3" w:rsidRDefault="0097475C" w:rsidP="0097475C">
            <w:pPr>
              <w:spacing w:after="0" w:line="240" w:lineRule="auto"/>
              <w:jc w:val="right"/>
              <w:rPr>
                <w:rFonts w:cs="Arial"/>
                <w:color w:val="000000"/>
                <w:sz w:val="16"/>
                <w:szCs w:val="16"/>
              </w:rPr>
            </w:pPr>
            <w:r>
              <w:rPr>
                <w:rFonts w:cs="Arial"/>
                <w:color w:val="000000"/>
                <w:sz w:val="16"/>
                <w:szCs w:val="16"/>
              </w:rPr>
              <w:t>79,8</w:t>
            </w:r>
          </w:p>
        </w:tc>
        <w:tc>
          <w:tcPr>
            <w:tcW w:w="907" w:type="dxa"/>
            <w:tcBorders>
              <w:top w:val="nil"/>
              <w:left w:val="nil"/>
              <w:bottom w:val="nil"/>
              <w:right w:val="nil"/>
            </w:tcBorders>
            <w:shd w:val="clear" w:color="auto" w:fill="auto"/>
            <w:noWrap/>
            <w:vAlign w:val="bottom"/>
            <w:hideMark/>
          </w:tcPr>
          <w:p w14:paraId="190DAF06" w14:textId="3323B3F7" w:rsidR="0097475C" w:rsidRPr="003018A3" w:rsidRDefault="0097475C" w:rsidP="0097475C">
            <w:pPr>
              <w:spacing w:after="0" w:line="240" w:lineRule="auto"/>
              <w:jc w:val="right"/>
              <w:rPr>
                <w:rFonts w:cs="Arial"/>
                <w:color w:val="000000"/>
                <w:sz w:val="16"/>
                <w:szCs w:val="16"/>
              </w:rPr>
            </w:pPr>
            <w:r>
              <w:rPr>
                <w:rFonts w:cs="Arial"/>
                <w:color w:val="000000"/>
                <w:sz w:val="16"/>
                <w:szCs w:val="16"/>
              </w:rPr>
              <w:t>57,4</w:t>
            </w:r>
          </w:p>
        </w:tc>
      </w:tr>
      <w:tr w:rsidR="0097475C" w:rsidRPr="003018A3" w14:paraId="6D84FBB9" w14:textId="77777777" w:rsidTr="0097475C">
        <w:trPr>
          <w:trHeight w:val="300"/>
        </w:trPr>
        <w:tc>
          <w:tcPr>
            <w:tcW w:w="4195" w:type="dxa"/>
            <w:tcBorders>
              <w:top w:val="nil"/>
              <w:left w:val="nil"/>
              <w:bottom w:val="nil"/>
              <w:right w:val="nil"/>
            </w:tcBorders>
            <w:shd w:val="clear" w:color="auto" w:fill="auto"/>
            <w:noWrap/>
            <w:vAlign w:val="bottom"/>
            <w:hideMark/>
          </w:tcPr>
          <w:p w14:paraId="4EA64DB2" w14:textId="70FD7510" w:rsidR="0097475C" w:rsidRPr="003018A3" w:rsidRDefault="0097475C" w:rsidP="0097475C">
            <w:pPr>
              <w:spacing w:after="0" w:line="240" w:lineRule="auto"/>
              <w:ind w:firstLineChars="200" w:firstLine="320"/>
              <w:rPr>
                <w:rFonts w:cs="Arial"/>
                <w:color w:val="000000"/>
                <w:sz w:val="16"/>
                <w:szCs w:val="16"/>
              </w:rPr>
            </w:pPr>
            <w:r>
              <w:rPr>
                <w:rFonts w:cs="Arial"/>
                <w:color w:val="000000"/>
                <w:sz w:val="16"/>
                <w:szCs w:val="16"/>
              </w:rPr>
              <w:t xml:space="preserve"> hypertenze</w:t>
            </w:r>
          </w:p>
        </w:tc>
        <w:tc>
          <w:tcPr>
            <w:tcW w:w="907" w:type="dxa"/>
            <w:tcBorders>
              <w:top w:val="nil"/>
              <w:left w:val="single" w:sz="4" w:space="0" w:color="auto"/>
              <w:bottom w:val="nil"/>
              <w:right w:val="nil"/>
            </w:tcBorders>
            <w:shd w:val="clear" w:color="auto" w:fill="auto"/>
            <w:noWrap/>
            <w:vAlign w:val="bottom"/>
            <w:hideMark/>
          </w:tcPr>
          <w:p w14:paraId="5CFF96BB" w14:textId="59ACDBE4" w:rsidR="0097475C" w:rsidRPr="003018A3" w:rsidRDefault="0097475C" w:rsidP="0097475C">
            <w:pPr>
              <w:spacing w:after="0" w:line="240" w:lineRule="auto"/>
              <w:jc w:val="right"/>
              <w:rPr>
                <w:rFonts w:cs="Arial"/>
                <w:color w:val="000000"/>
                <w:sz w:val="16"/>
                <w:szCs w:val="16"/>
              </w:rPr>
            </w:pPr>
            <w:r>
              <w:rPr>
                <w:rFonts w:cs="Arial"/>
                <w:color w:val="000000"/>
                <w:sz w:val="16"/>
                <w:szCs w:val="16"/>
              </w:rPr>
              <w:t>15,1</w:t>
            </w:r>
          </w:p>
        </w:tc>
        <w:tc>
          <w:tcPr>
            <w:tcW w:w="907" w:type="dxa"/>
            <w:tcBorders>
              <w:top w:val="nil"/>
              <w:left w:val="nil"/>
              <w:bottom w:val="nil"/>
              <w:right w:val="nil"/>
            </w:tcBorders>
            <w:shd w:val="clear" w:color="auto" w:fill="auto"/>
            <w:noWrap/>
            <w:vAlign w:val="bottom"/>
            <w:hideMark/>
          </w:tcPr>
          <w:p w14:paraId="54466171" w14:textId="60A17FA5" w:rsidR="0097475C" w:rsidRPr="003018A3" w:rsidRDefault="0097475C" w:rsidP="0097475C">
            <w:pPr>
              <w:spacing w:after="0" w:line="240" w:lineRule="auto"/>
              <w:jc w:val="right"/>
              <w:rPr>
                <w:rFonts w:cs="Arial"/>
                <w:color w:val="000000"/>
                <w:sz w:val="16"/>
                <w:szCs w:val="16"/>
              </w:rPr>
            </w:pPr>
            <w:r>
              <w:rPr>
                <w:rFonts w:cs="Arial"/>
                <w:color w:val="000000"/>
                <w:sz w:val="16"/>
                <w:szCs w:val="16"/>
              </w:rPr>
              <w:t>7,8</w:t>
            </w:r>
          </w:p>
        </w:tc>
        <w:tc>
          <w:tcPr>
            <w:tcW w:w="907" w:type="dxa"/>
            <w:tcBorders>
              <w:top w:val="nil"/>
              <w:left w:val="nil"/>
              <w:bottom w:val="nil"/>
              <w:right w:val="single" w:sz="4" w:space="0" w:color="auto"/>
            </w:tcBorders>
            <w:shd w:val="clear" w:color="auto" w:fill="auto"/>
            <w:noWrap/>
            <w:vAlign w:val="bottom"/>
            <w:hideMark/>
          </w:tcPr>
          <w:p w14:paraId="2B152044" w14:textId="6A1E1B31" w:rsidR="0097475C" w:rsidRPr="003018A3" w:rsidRDefault="0097475C" w:rsidP="0097475C">
            <w:pPr>
              <w:spacing w:after="0" w:line="240" w:lineRule="auto"/>
              <w:jc w:val="right"/>
              <w:rPr>
                <w:rFonts w:cs="Arial"/>
                <w:color w:val="000000"/>
                <w:sz w:val="16"/>
                <w:szCs w:val="16"/>
              </w:rPr>
            </w:pPr>
            <w:r>
              <w:rPr>
                <w:rFonts w:cs="Arial"/>
                <w:color w:val="000000"/>
                <w:sz w:val="16"/>
                <w:szCs w:val="16"/>
              </w:rPr>
              <w:t>7,4</w:t>
            </w:r>
          </w:p>
        </w:tc>
        <w:tc>
          <w:tcPr>
            <w:tcW w:w="907" w:type="dxa"/>
            <w:tcBorders>
              <w:top w:val="nil"/>
              <w:left w:val="nil"/>
              <w:bottom w:val="nil"/>
              <w:right w:val="nil"/>
            </w:tcBorders>
            <w:shd w:val="clear" w:color="auto" w:fill="auto"/>
            <w:noWrap/>
            <w:vAlign w:val="bottom"/>
            <w:hideMark/>
          </w:tcPr>
          <w:p w14:paraId="64839FFA" w14:textId="24306446" w:rsidR="0097475C" w:rsidRPr="003018A3" w:rsidRDefault="0097475C" w:rsidP="0097475C">
            <w:pPr>
              <w:spacing w:after="0" w:line="240" w:lineRule="auto"/>
              <w:jc w:val="right"/>
              <w:rPr>
                <w:rFonts w:cs="Arial"/>
                <w:color w:val="000000"/>
                <w:sz w:val="16"/>
                <w:szCs w:val="16"/>
              </w:rPr>
            </w:pPr>
            <w:r>
              <w:rPr>
                <w:rFonts w:cs="Arial"/>
                <w:color w:val="000000"/>
                <w:sz w:val="16"/>
                <w:szCs w:val="16"/>
              </w:rPr>
              <w:t>43,7</w:t>
            </w:r>
          </w:p>
        </w:tc>
        <w:tc>
          <w:tcPr>
            <w:tcW w:w="907" w:type="dxa"/>
            <w:tcBorders>
              <w:top w:val="nil"/>
              <w:left w:val="nil"/>
              <w:bottom w:val="nil"/>
              <w:right w:val="nil"/>
            </w:tcBorders>
            <w:shd w:val="clear" w:color="auto" w:fill="auto"/>
            <w:noWrap/>
            <w:vAlign w:val="bottom"/>
            <w:hideMark/>
          </w:tcPr>
          <w:p w14:paraId="289D1A68" w14:textId="26FB4283" w:rsidR="0097475C" w:rsidRPr="003018A3" w:rsidRDefault="0097475C" w:rsidP="0097475C">
            <w:pPr>
              <w:spacing w:after="0" w:line="240" w:lineRule="auto"/>
              <w:jc w:val="right"/>
              <w:rPr>
                <w:rFonts w:cs="Arial"/>
                <w:color w:val="000000"/>
                <w:sz w:val="16"/>
                <w:szCs w:val="16"/>
              </w:rPr>
            </w:pPr>
            <w:r>
              <w:rPr>
                <w:rFonts w:cs="Arial"/>
                <w:color w:val="000000"/>
                <w:sz w:val="16"/>
                <w:szCs w:val="16"/>
              </w:rPr>
              <w:t>47,4</w:t>
            </w:r>
          </w:p>
        </w:tc>
        <w:tc>
          <w:tcPr>
            <w:tcW w:w="907" w:type="dxa"/>
            <w:tcBorders>
              <w:top w:val="nil"/>
              <w:left w:val="nil"/>
              <w:bottom w:val="nil"/>
              <w:right w:val="nil"/>
            </w:tcBorders>
            <w:shd w:val="clear" w:color="auto" w:fill="auto"/>
            <w:noWrap/>
            <w:vAlign w:val="bottom"/>
            <w:hideMark/>
          </w:tcPr>
          <w:p w14:paraId="2E0AC06E" w14:textId="1CBA81D9" w:rsidR="0097475C" w:rsidRPr="003018A3" w:rsidRDefault="0097475C" w:rsidP="0097475C">
            <w:pPr>
              <w:spacing w:after="0" w:line="240" w:lineRule="auto"/>
              <w:jc w:val="right"/>
              <w:rPr>
                <w:rFonts w:cs="Arial"/>
                <w:color w:val="000000"/>
                <w:sz w:val="16"/>
                <w:szCs w:val="16"/>
              </w:rPr>
            </w:pPr>
            <w:r>
              <w:rPr>
                <w:rFonts w:cs="Arial"/>
                <w:color w:val="000000"/>
                <w:sz w:val="16"/>
                <w:szCs w:val="16"/>
              </w:rPr>
              <w:t>39,8</w:t>
            </w:r>
          </w:p>
        </w:tc>
      </w:tr>
      <w:tr w:rsidR="0097475C" w:rsidRPr="003018A3" w14:paraId="658D1F9F" w14:textId="77777777" w:rsidTr="0097475C">
        <w:trPr>
          <w:trHeight w:val="300"/>
        </w:trPr>
        <w:tc>
          <w:tcPr>
            <w:tcW w:w="4195" w:type="dxa"/>
            <w:tcBorders>
              <w:top w:val="nil"/>
              <w:left w:val="nil"/>
              <w:bottom w:val="nil"/>
              <w:right w:val="nil"/>
            </w:tcBorders>
            <w:shd w:val="clear" w:color="auto" w:fill="auto"/>
            <w:noWrap/>
            <w:vAlign w:val="bottom"/>
            <w:hideMark/>
          </w:tcPr>
          <w:p w14:paraId="21B9D827" w14:textId="328A6674" w:rsidR="0097475C" w:rsidRPr="003018A3" w:rsidRDefault="0097475C" w:rsidP="0097475C">
            <w:pPr>
              <w:spacing w:after="0" w:line="240" w:lineRule="auto"/>
              <w:ind w:firstLineChars="200" w:firstLine="320"/>
              <w:rPr>
                <w:rFonts w:cs="Arial"/>
                <w:color w:val="000000"/>
                <w:sz w:val="16"/>
                <w:szCs w:val="16"/>
              </w:rPr>
            </w:pPr>
            <w:r>
              <w:rPr>
                <w:rFonts w:cs="Arial"/>
                <w:color w:val="000000"/>
                <w:sz w:val="16"/>
                <w:szCs w:val="16"/>
              </w:rPr>
              <w:t xml:space="preserve"> ischemická choroba srdeční</w:t>
            </w:r>
          </w:p>
        </w:tc>
        <w:tc>
          <w:tcPr>
            <w:tcW w:w="907" w:type="dxa"/>
            <w:tcBorders>
              <w:top w:val="nil"/>
              <w:left w:val="single" w:sz="4" w:space="0" w:color="auto"/>
              <w:bottom w:val="nil"/>
              <w:right w:val="nil"/>
            </w:tcBorders>
            <w:shd w:val="clear" w:color="auto" w:fill="auto"/>
            <w:noWrap/>
            <w:vAlign w:val="bottom"/>
            <w:hideMark/>
          </w:tcPr>
          <w:p w14:paraId="71A61207" w14:textId="67D0F4E3" w:rsidR="0097475C" w:rsidRPr="003018A3" w:rsidRDefault="0097475C" w:rsidP="0097475C">
            <w:pPr>
              <w:spacing w:after="0" w:line="240" w:lineRule="auto"/>
              <w:jc w:val="right"/>
              <w:rPr>
                <w:rFonts w:cs="Arial"/>
                <w:color w:val="000000"/>
                <w:sz w:val="16"/>
                <w:szCs w:val="16"/>
              </w:rPr>
            </w:pPr>
            <w:r>
              <w:rPr>
                <w:rFonts w:cs="Arial"/>
                <w:color w:val="000000"/>
                <w:sz w:val="16"/>
                <w:szCs w:val="16"/>
              </w:rPr>
              <w:t>6,3</w:t>
            </w:r>
          </w:p>
        </w:tc>
        <w:tc>
          <w:tcPr>
            <w:tcW w:w="907" w:type="dxa"/>
            <w:tcBorders>
              <w:top w:val="nil"/>
              <w:left w:val="nil"/>
              <w:bottom w:val="nil"/>
              <w:right w:val="nil"/>
            </w:tcBorders>
            <w:shd w:val="clear" w:color="auto" w:fill="auto"/>
            <w:noWrap/>
            <w:vAlign w:val="bottom"/>
            <w:hideMark/>
          </w:tcPr>
          <w:p w14:paraId="0B0E89C9" w14:textId="48265AE2" w:rsidR="0097475C" w:rsidRPr="003018A3" w:rsidRDefault="0097475C" w:rsidP="0097475C">
            <w:pPr>
              <w:spacing w:after="0" w:line="240" w:lineRule="auto"/>
              <w:jc w:val="right"/>
              <w:rPr>
                <w:rFonts w:cs="Arial"/>
                <w:color w:val="000000"/>
                <w:sz w:val="16"/>
                <w:szCs w:val="16"/>
              </w:rPr>
            </w:pPr>
            <w:r>
              <w:rPr>
                <w:rFonts w:cs="Arial"/>
                <w:color w:val="000000"/>
                <w:sz w:val="16"/>
                <w:szCs w:val="16"/>
              </w:rPr>
              <w:t>4,8</w:t>
            </w:r>
          </w:p>
        </w:tc>
        <w:tc>
          <w:tcPr>
            <w:tcW w:w="907" w:type="dxa"/>
            <w:tcBorders>
              <w:top w:val="nil"/>
              <w:left w:val="nil"/>
              <w:bottom w:val="nil"/>
              <w:right w:val="single" w:sz="4" w:space="0" w:color="auto"/>
            </w:tcBorders>
            <w:shd w:val="clear" w:color="auto" w:fill="auto"/>
            <w:noWrap/>
            <w:vAlign w:val="bottom"/>
            <w:hideMark/>
          </w:tcPr>
          <w:p w14:paraId="47C8A595" w14:textId="07A2AB90" w:rsidR="0097475C" w:rsidRPr="003018A3" w:rsidRDefault="0097475C" w:rsidP="0097475C">
            <w:pPr>
              <w:spacing w:after="0" w:line="240" w:lineRule="auto"/>
              <w:jc w:val="right"/>
              <w:rPr>
                <w:rFonts w:cs="Arial"/>
                <w:color w:val="000000"/>
                <w:sz w:val="16"/>
                <w:szCs w:val="16"/>
              </w:rPr>
            </w:pPr>
            <w:r>
              <w:rPr>
                <w:rFonts w:cs="Arial"/>
                <w:color w:val="000000"/>
                <w:sz w:val="16"/>
                <w:szCs w:val="16"/>
              </w:rPr>
              <w:t>1,4</w:t>
            </w:r>
          </w:p>
        </w:tc>
        <w:tc>
          <w:tcPr>
            <w:tcW w:w="907" w:type="dxa"/>
            <w:tcBorders>
              <w:top w:val="nil"/>
              <w:left w:val="nil"/>
              <w:bottom w:val="nil"/>
              <w:right w:val="nil"/>
            </w:tcBorders>
            <w:shd w:val="clear" w:color="auto" w:fill="auto"/>
            <w:noWrap/>
            <w:vAlign w:val="bottom"/>
            <w:hideMark/>
          </w:tcPr>
          <w:p w14:paraId="77851C7E" w14:textId="37ECA9E3" w:rsidR="0097475C" w:rsidRPr="003018A3" w:rsidRDefault="0097475C" w:rsidP="0097475C">
            <w:pPr>
              <w:spacing w:after="0" w:line="240" w:lineRule="auto"/>
              <w:jc w:val="right"/>
              <w:rPr>
                <w:rFonts w:cs="Arial"/>
                <w:color w:val="000000"/>
                <w:sz w:val="16"/>
                <w:szCs w:val="16"/>
              </w:rPr>
            </w:pPr>
            <w:r>
              <w:rPr>
                <w:rFonts w:cs="Arial"/>
                <w:color w:val="000000"/>
                <w:sz w:val="16"/>
                <w:szCs w:val="16"/>
              </w:rPr>
              <w:t>110,6</w:t>
            </w:r>
          </w:p>
        </w:tc>
        <w:tc>
          <w:tcPr>
            <w:tcW w:w="907" w:type="dxa"/>
            <w:tcBorders>
              <w:top w:val="nil"/>
              <w:left w:val="nil"/>
              <w:bottom w:val="nil"/>
              <w:right w:val="nil"/>
            </w:tcBorders>
            <w:shd w:val="clear" w:color="auto" w:fill="auto"/>
            <w:noWrap/>
            <w:vAlign w:val="bottom"/>
            <w:hideMark/>
          </w:tcPr>
          <w:p w14:paraId="48A30608" w14:textId="27C9B70F" w:rsidR="0097475C" w:rsidRPr="003018A3" w:rsidRDefault="0097475C" w:rsidP="0097475C">
            <w:pPr>
              <w:spacing w:after="0" w:line="240" w:lineRule="auto"/>
              <w:jc w:val="right"/>
              <w:rPr>
                <w:rFonts w:cs="Arial"/>
                <w:color w:val="000000"/>
                <w:sz w:val="16"/>
                <w:szCs w:val="16"/>
              </w:rPr>
            </w:pPr>
            <w:r>
              <w:rPr>
                <w:rFonts w:cs="Arial"/>
                <w:color w:val="000000"/>
                <w:sz w:val="16"/>
                <w:szCs w:val="16"/>
              </w:rPr>
              <w:t>114,8</w:t>
            </w:r>
          </w:p>
        </w:tc>
        <w:tc>
          <w:tcPr>
            <w:tcW w:w="907" w:type="dxa"/>
            <w:tcBorders>
              <w:top w:val="nil"/>
              <w:left w:val="nil"/>
              <w:bottom w:val="nil"/>
              <w:right w:val="nil"/>
            </w:tcBorders>
            <w:shd w:val="clear" w:color="auto" w:fill="auto"/>
            <w:noWrap/>
            <w:vAlign w:val="bottom"/>
            <w:hideMark/>
          </w:tcPr>
          <w:p w14:paraId="312B4F47" w14:textId="5C08779E" w:rsidR="0097475C" w:rsidRPr="003018A3" w:rsidRDefault="0097475C" w:rsidP="0097475C">
            <w:pPr>
              <w:spacing w:after="0" w:line="240" w:lineRule="auto"/>
              <w:jc w:val="right"/>
              <w:rPr>
                <w:rFonts w:cs="Arial"/>
                <w:color w:val="000000"/>
                <w:sz w:val="16"/>
                <w:szCs w:val="16"/>
              </w:rPr>
            </w:pPr>
            <w:r>
              <w:rPr>
                <w:rFonts w:cs="Arial"/>
                <w:color w:val="000000"/>
                <w:sz w:val="16"/>
                <w:szCs w:val="16"/>
              </w:rPr>
              <w:t>96,2</w:t>
            </w:r>
          </w:p>
        </w:tc>
      </w:tr>
      <w:tr w:rsidR="0097475C" w:rsidRPr="003018A3" w14:paraId="70418353" w14:textId="77777777" w:rsidTr="0097475C">
        <w:trPr>
          <w:trHeight w:val="300"/>
        </w:trPr>
        <w:tc>
          <w:tcPr>
            <w:tcW w:w="4195" w:type="dxa"/>
            <w:tcBorders>
              <w:top w:val="nil"/>
              <w:left w:val="nil"/>
              <w:bottom w:val="nil"/>
              <w:right w:val="nil"/>
            </w:tcBorders>
            <w:shd w:val="clear" w:color="auto" w:fill="auto"/>
            <w:noWrap/>
            <w:vAlign w:val="bottom"/>
            <w:hideMark/>
          </w:tcPr>
          <w:p w14:paraId="720305E1" w14:textId="3343A8FD" w:rsidR="0097475C" w:rsidRPr="003018A3" w:rsidRDefault="0097475C" w:rsidP="0097475C">
            <w:pPr>
              <w:spacing w:after="0" w:line="240" w:lineRule="auto"/>
              <w:ind w:firstLineChars="200" w:firstLine="320"/>
              <w:rPr>
                <w:rFonts w:cs="Arial"/>
                <w:color w:val="000000"/>
                <w:sz w:val="16"/>
                <w:szCs w:val="16"/>
              </w:rPr>
            </w:pPr>
            <w:r>
              <w:rPr>
                <w:rFonts w:cs="Arial"/>
                <w:color w:val="000000"/>
                <w:sz w:val="16"/>
                <w:szCs w:val="16"/>
              </w:rPr>
              <w:t xml:space="preserve"> cévní nemoci mozku</w:t>
            </w:r>
          </w:p>
        </w:tc>
        <w:tc>
          <w:tcPr>
            <w:tcW w:w="907" w:type="dxa"/>
            <w:tcBorders>
              <w:top w:val="nil"/>
              <w:left w:val="single" w:sz="4" w:space="0" w:color="auto"/>
              <w:bottom w:val="nil"/>
              <w:right w:val="nil"/>
            </w:tcBorders>
            <w:shd w:val="clear" w:color="auto" w:fill="auto"/>
            <w:noWrap/>
            <w:vAlign w:val="bottom"/>
            <w:hideMark/>
          </w:tcPr>
          <w:p w14:paraId="790570E3" w14:textId="10A7D6F1" w:rsidR="0097475C" w:rsidRPr="003018A3" w:rsidRDefault="0097475C" w:rsidP="0097475C">
            <w:pPr>
              <w:spacing w:after="0" w:line="240" w:lineRule="auto"/>
              <w:jc w:val="right"/>
              <w:rPr>
                <w:rFonts w:cs="Arial"/>
                <w:color w:val="000000"/>
                <w:sz w:val="16"/>
                <w:szCs w:val="16"/>
              </w:rPr>
            </w:pPr>
            <w:r>
              <w:rPr>
                <w:rFonts w:cs="Arial"/>
                <w:color w:val="000000"/>
                <w:sz w:val="16"/>
                <w:szCs w:val="16"/>
              </w:rPr>
              <w:t>3,3</w:t>
            </w:r>
          </w:p>
        </w:tc>
        <w:tc>
          <w:tcPr>
            <w:tcW w:w="907" w:type="dxa"/>
            <w:tcBorders>
              <w:top w:val="nil"/>
              <w:left w:val="nil"/>
              <w:bottom w:val="nil"/>
              <w:right w:val="nil"/>
            </w:tcBorders>
            <w:shd w:val="clear" w:color="auto" w:fill="auto"/>
            <w:noWrap/>
            <w:vAlign w:val="bottom"/>
            <w:hideMark/>
          </w:tcPr>
          <w:p w14:paraId="60C8A0E2" w14:textId="63FBF58A" w:rsidR="0097475C" w:rsidRPr="003018A3" w:rsidRDefault="0097475C" w:rsidP="0097475C">
            <w:pPr>
              <w:spacing w:after="0" w:line="240" w:lineRule="auto"/>
              <w:jc w:val="right"/>
              <w:rPr>
                <w:rFonts w:cs="Arial"/>
                <w:color w:val="000000"/>
                <w:sz w:val="16"/>
                <w:szCs w:val="16"/>
              </w:rPr>
            </w:pPr>
            <w:r>
              <w:rPr>
                <w:rFonts w:cs="Arial"/>
                <w:color w:val="000000"/>
                <w:sz w:val="16"/>
                <w:szCs w:val="16"/>
              </w:rPr>
              <w:t>2,1</w:t>
            </w:r>
          </w:p>
        </w:tc>
        <w:tc>
          <w:tcPr>
            <w:tcW w:w="907" w:type="dxa"/>
            <w:tcBorders>
              <w:top w:val="nil"/>
              <w:left w:val="nil"/>
              <w:bottom w:val="nil"/>
              <w:right w:val="single" w:sz="4" w:space="0" w:color="auto"/>
            </w:tcBorders>
            <w:shd w:val="clear" w:color="auto" w:fill="auto"/>
            <w:noWrap/>
            <w:vAlign w:val="bottom"/>
            <w:hideMark/>
          </w:tcPr>
          <w:p w14:paraId="0BD0F803" w14:textId="401E8A21" w:rsidR="0097475C" w:rsidRPr="003018A3" w:rsidRDefault="0097475C" w:rsidP="0097475C">
            <w:pPr>
              <w:spacing w:after="0" w:line="240" w:lineRule="auto"/>
              <w:jc w:val="right"/>
              <w:rPr>
                <w:rFonts w:cs="Arial"/>
                <w:color w:val="000000"/>
                <w:sz w:val="16"/>
                <w:szCs w:val="16"/>
              </w:rPr>
            </w:pPr>
            <w:r>
              <w:rPr>
                <w:rFonts w:cs="Arial"/>
                <w:color w:val="000000"/>
                <w:sz w:val="16"/>
                <w:szCs w:val="16"/>
              </w:rPr>
              <w:t>1,2</w:t>
            </w:r>
          </w:p>
        </w:tc>
        <w:tc>
          <w:tcPr>
            <w:tcW w:w="907" w:type="dxa"/>
            <w:tcBorders>
              <w:top w:val="nil"/>
              <w:left w:val="nil"/>
              <w:bottom w:val="nil"/>
              <w:right w:val="nil"/>
            </w:tcBorders>
            <w:shd w:val="clear" w:color="auto" w:fill="auto"/>
            <w:noWrap/>
            <w:vAlign w:val="bottom"/>
            <w:hideMark/>
          </w:tcPr>
          <w:p w14:paraId="6AC752DE" w14:textId="6E907076" w:rsidR="0097475C" w:rsidRPr="003018A3" w:rsidRDefault="0097475C" w:rsidP="0097475C">
            <w:pPr>
              <w:spacing w:after="0" w:line="240" w:lineRule="auto"/>
              <w:jc w:val="right"/>
              <w:rPr>
                <w:rFonts w:cs="Arial"/>
                <w:color w:val="000000"/>
                <w:sz w:val="16"/>
                <w:szCs w:val="16"/>
              </w:rPr>
            </w:pPr>
            <w:r>
              <w:rPr>
                <w:rFonts w:cs="Arial"/>
                <w:color w:val="000000"/>
                <w:sz w:val="16"/>
                <w:szCs w:val="16"/>
              </w:rPr>
              <w:t>155,1</w:t>
            </w:r>
          </w:p>
        </w:tc>
        <w:tc>
          <w:tcPr>
            <w:tcW w:w="907" w:type="dxa"/>
            <w:tcBorders>
              <w:top w:val="nil"/>
              <w:left w:val="nil"/>
              <w:bottom w:val="nil"/>
              <w:right w:val="nil"/>
            </w:tcBorders>
            <w:shd w:val="clear" w:color="auto" w:fill="auto"/>
            <w:noWrap/>
            <w:vAlign w:val="bottom"/>
            <w:hideMark/>
          </w:tcPr>
          <w:p w14:paraId="7BC30F4C" w14:textId="032A9F9A" w:rsidR="0097475C" w:rsidRPr="003018A3" w:rsidRDefault="0097475C" w:rsidP="0097475C">
            <w:pPr>
              <w:spacing w:after="0" w:line="240" w:lineRule="auto"/>
              <w:jc w:val="right"/>
              <w:rPr>
                <w:rFonts w:cs="Arial"/>
                <w:color w:val="000000"/>
                <w:sz w:val="16"/>
                <w:szCs w:val="16"/>
              </w:rPr>
            </w:pPr>
            <w:r>
              <w:rPr>
                <w:rFonts w:cs="Arial"/>
                <w:color w:val="000000"/>
                <w:sz w:val="16"/>
                <w:szCs w:val="16"/>
              </w:rPr>
              <w:t>160,0</w:t>
            </w:r>
          </w:p>
        </w:tc>
        <w:tc>
          <w:tcPr>
            <w:tcW w:w="907" w:type="dxa"/>
            <w:tcBorders>
              <w:top w:val="nil"/>
              <w:left w:val="nil"/>
              <w:bottom w:val="nil"/>
              <w:right w:val="nil"/>
            </w:tcBorders>
            <w:shd w:val="clear" w:color="auto" w:fill="auto"/>
            <w:noWrap/>
            <w:vAlign w:val="bottom"/>
            <w:hideMark/>
          </w:tcPr>
          <w:p w14:paraId="052ED22C" w14:textId="5D99AAB9" w:rsidR="0097475C" w:rsidRPr="003018A3" w:rsidRDefault="0097475C" w:rsidP="0097475C">
            <w:pPr>
              <w:spacing w:after="0" w:line="240" w:lineRule="auto"/>
              <w:jc w:val="right"/>
              <w:rPr>
                <w:rFonts w:cs="Arial"/>
                <w:color w:val="000000"/>
                <w:sz w:val="16"/>
                <w:szCs w:val="16"/>
              </w:rPr>
            </w:pPr>
            <w:r>
              <w:rPr>
                <w:rFonts w:cs="Arial"/>
                <w:color w:val="000000"/>
                <w:sz w:val="16"/>
                <w:szCs w:val="16"/>
              </w:rPr>
              <w:t>146,7</w:t>
            </w:r>
          </w:p>
        </w:tc>
      </w:tr>
      <w:tr w:rsidR="0097475C" w:rsidRPr="003018A3" w14:paraId="22DBC74D" w14:textId="77777777" w:rsidTr="0097475C">
        <w:trPr>
          <w:trHeight w:val="300"/>
        </w:trPr>
        <w:tc>
          <w:tcPr>
            <w:tcW w:w="4195" w:type="dxa"/>
            <w:tcBorders>
              <w:top w:val="nil"/>
              <w:left w:val="nil"/>
              <w:bottom w:val="nil"/>
              <w:right w:val="nil"/>
            </w:tcBorders>
            <w:shd w:val="clear" w:color="auto" w:fill="auto"/>
            <w:noWrap/>
            <w:vAlign w:val="bottom"/>
            <w:hideMark/>
          </w:tcPr>
          <w:p w14:paraId="1C5800D7" w14:textId="47A65DEC" w:rsidR="0097475C" w:rsidRPr="003018A3" w:rsidRDefault="0097475C" w:rsidP="0097475C">
            <w:pPr>
              <w:spacing w:after="0" w:line="240" w:lineRule="auto"/>
              <w:ind w:firstLineChars="200" w:firstLine="320"/>
              <w:rPr>
                <w:rFonts w:cs="Arial"/>
                <w:color w:val="000000"/>
                <w:sz w:val="16"/>
                <w:szCs w:val="16"/>
              </w:rPr>
            </w:pPr>
            <w:r>
              <w:rPr>
                <w:rFonts w:cs="Arial"/>
                <w:color w:val="000000"/>
                <w:sz w:val="16"/>
                <w:szCs w:val="16"/>
              </w:rPr>
              <w:t xml:space="preserve"> jiné nemoci oběhové soustavy</w:t>
            </w:r>
          </w:p>
        </w:tc>
        <w:tc>
          <w:tcPr>
            <w:tcW w:w="907" w:type="dxa"/>
            <w:tcBorders>
              <w:top w:val="nil"/>
              <w:left w:val="single" w:sz="4" w:space="0" w:color="auto"/>
              <w:bottom w:val="nil"/>
              <w:right w:val="nil"/>
            </w:tcBorders>
            <w:shd w:val="clear" w:color="auto" w:fill="auto"/>
            <w:noWrap/>
            <w:vAlign w:val="bottom"/>
            <w:hideMark/>
          </w:tcPr>
          <w:p w14:paraId="7724EAFB" w14:textId="1DED387D" w:rsidR="0097475C" w:rsidRPr="003018A3" w:rsidRDefault="0097475C" w:rsidP="0097475C">
            <w:pPr>
              <w:spacing w:after="0" w:line="240" w:lineRule="auto"/>
              <w:jc w:val="right"/>
              <w:rPr>
                <w:rFonts w:cs="Arial"/>
                <w:color w:val="000000"/>
                <w:sz w:val="16"/>
                <w:szCs w:val="16"/>
              </w:rPr>
            </w:pPr>
            <w:r>
              <w:rPr>
                <w:rFonts w:cs="Arial"/>
                <w:color w:val="000000"/>
                <w:sz w:val="16"/>
                <w:szCs w:val="16"/>
              </w:rPr>
              <w:t>28,4</w:t>
            </w:r>
          </w:p>
        </w:tc>
        <w:tc>
          <w:tcPr>
            <w:tcW w:w="907" w:type="dxa"/>
            <w:tcBorders>
              <w:top w:val="nil"/>
              <w:left w:val="nil"/>
              <w:bottom w:val="nil"/>
              <w:right w:val="nil"/>
            </w:tcBorders>
            <w:shd w:val="clear" w:color="auto" w:fill="auto"/>
            <w:noWrap/>
            <w:vAlign w:val="bottom"/>
            <w:hideMark/>
          </w:tcPr>
          <w:p w14:paraId="5E5785D5" w14:textId="090E0992" w:rsidR="0097475C" w:rsidRPr="003018A3" w:rsidRDefault="0097475C" w:rsidP="0097475C">
            <w:pPr>
              <w:spacing w:after="0" w:line="240" w:lineRule="auto"/>
              <w:jc w:val="right"/>
              <w:rPr>
                <w:rFonts w:cs="Arial"/>
                <w:color w:val="000000"/>
                <w:sz w:val="16"/>
                <w:szCs w:val="16"/>
              </w:rPr>
            </w:pPr>
            <w:r>
              <w:rPr>
                <w:rFonts w:cs="Arial"/>
                <w:color w:val="000000"/>
                <w:sz w:val="16"/>
                <w:szCs w:val="16"/>
              </w:rPr>
              <w:t>14,7</w:t>
            </w:r>
          </w:p>
        </w:tc>
        <w:tc>
          <w:tcPr>
            <w:tcW w:w="907" w:type="dxa"/>
            <w:tcBorders>
              <w:top w:val="nil"/>
              <w:left w:val="nil"/>
              <w:bottom w:val="nil"/>
              <w:right w:val="single" w:sz="4" w:space="0" w:color="auto"/>
            </w:tcBorders>
            <w:shd w:val="clear" w:color="auto" w:fill="auto"/>
            <w:noWrap/>
            <w:vAlign w:val="bottom"/>
            <w:hideMark/>
          </w:tcPr>
          <w:p w14:paraId="5EB636E3" w14:textId="4B324D84" w:rsidR="0097475C" w:rsidRPr="003018A3" w:rsidRDefault="0097475C" w:rsidP="0097475C">
            <w:pPr>
              <w:spacing w:after="0" w:line="240" w:lineRule="auto"/>
              <w:jc w:val="right"/>
              <w:rPr>
                <w:rFonts w:cs="Arial"/>
                <w:color w:val="000000"/>
                <w:sz w:val="16"/>
                <w:szCs w:val="16"/>
              </w:rPr>
            </w:pPr>
            <w:r>
              <w:rPr>
                <w:rFonts w:cs="Arial"/>
                <w:color w:val="000000"/>
                <w:sz w:val="16"/>
                <w:szCs w:val="16"/>
              </w:rPr>
              <w:t>13,7</w:t>
            </w:r>
          </w:p>
        </w:tc>
        <w:tc>
          <w:tcPr>
            <w:tcW w:w="907" w:type="dxa"/>
            <w:tcBorders>
              <w:top w:val="nil"/>
              <w:left w:val="nil"/>
              <w:bottom w:val="nil"/>
              <w:right w:val="nil"/>
            </w:tcBorders>
            <w:shd w:val="clear" w:color="auto" w:fill="auto"/>
            <w:noWrap/>
            <w:vAlign w:val="bottom"/>
            <w:hideMark/>
          </w:tcPr>
          <w:p w14:paraId="0F647BA2" w14:textId="71178ED3" w:rsidR="0097475C" w:rsidRPr="003018A3" w:rsidRDefault="0097475C" w:rsidP="0097475C">
            <w:pPr>
              <w:spacing w:after="0" w:line="240" w:lineRule="auto"/>
              <w:jc w:val="right"/>
              <w:rPr>
                <w:rFonts w:cs="Arial"/>
                <w:color w:val="000000"/>
                <w:sz w:val="16"/>
                <w:szCs w:val="16"/>
              </w:rPr>
            </w:pPr>
            <w:r>
              <w:rPr>
                <w:rFonts w:cs="Arial"/>
                <w:color w:val="000000"/>
                <w:sz w:val="16"/>
                <w:szCs w:val="16"/>
              </w:rPr>
              <w:t>64,7</w:t>
            </w:r>
          </w:p>
        </w:tc>
        <w:tc>
          <w:tcPr>
            <w:tcW w:w="907" w:type="dxa"/>
            <w:tcBorders>
              <w:top w:val="nil"/>
              <w:left w:val="nil"/>
              <w:bottom w:val="nil"/>
              <w:right w:val="nil"/>
            </w:tcBorders>
            <w:shd w:val="clear" w:color="auto" w:fill="auto"/>
            <w:noWrap/>
            <w:vAlign w:val="bottom"/>
            <w:hideMark/>
          </w:tcPr>
          <w:p w14:paraId="1CE7AF2D" w14:textId="3AB2CCBD" w:rsidR="0097475C" w:rsidRPr="003018A3" w:rsidRDefault="0097475C" w:rsidP="0097475C">
            <w:pPr>
              <w:spacing w:after="0" w:line="240" w:lineRule="auto"/>
              <w:jc w:val="right"/>
              <w:rPr>
                <w:rFonts w:cs="Arial"/>
                <w:color w:val="000000"/>
                <w:sz w:val="16"/>
                <w:szCs w:val="16"/>
              </w:rPr>
            </w:pPr>
            <w:r>
              <w:rPr>
                <w:rFonts w:cs="Arial"/>
                <w:color w:val="000000"/>
                <w:sz w:val="16"/>
                <w:szCs w:val="16"/>
              </w:rPr>
              <w:t>74,1</w:t>
            </w:r>
          </w:p>
        </w:tc>
        <w:tc>
          <w:tcPr>
            <w:tcW w:w="907" w:type="dxa"/>
            <w:tcBorders>
              <w:top w:val="nil"/>
              <w:left w:val="nil"/>
              <w:bottom w:val="nil"/>
              <w:right w:val="nil"/>
            </w:tcBorders>
            <w:shd w:val="clear" w:color="auto" w:fill="auto"/>
            <w:noWrap/>
            <w:vAlign w:val="bottom"/>
            <w:hideMark/>
          </w:tcPr>
          <w:p w14:paraId="7F380319" w14:textId="5EC69D40" w:rsidR="0097475C" w:rsidRPr="003018A3" w:rsidRDefault="0097475C" w:rsidP="0097475C">
            <w:pPr>
              <w:spacing w:after="0" w:line="240" w:lineRule="auto"/>
              <w:jc w:val="right"/>
              <w:rPr>
                <w:rFonts w:cs="Arial"/>
                <w:color w:val="000000"/>
                <w:sz w:val="16"/>
                <w:szCs w:val="16"/>
              </w:rPr>
            </w:pPr>
            <w:r>
              <w:rPr>
                <w:rFonts w:cs="Arial"/>
                <w:color w:val="000000"/>
                <w:sz w:val="16"/>
                <w:szCs w:val="16"/>
              </w:rPr>
              <w:t>54,7</w:t>
            </w:r>
          </w:p>
        </w:tc>
      </w:tr>
      <w:tr w:rsidR="0097475C" w:rsidRPr="003018A3" w14:paraId="6FF745B0" w14:textId="77777777" w:rsidTr="0097475C">
        <w:trPr>
          <w:trHeight w:val="300"/>
        </w:trPr>
        <w:tc>
          <w:tcPr>
            <w:tcW w:w="4195" w:type="dxa"/>
            <w:tcBorders>
              <w:top w:val="nil"/>
              <w:left w:val="nil"/>
              <w:bottom w:val="nil"/>
              <w:right w:val="nil"/>
            </w:tcBorders>
            <w:shd w:val="clear" w:color="auto" w:fill="auto"/>
            <w:noWrap/>
            <w:vAlign w:val="bottom"/>
            <w:hideMark/>
          </w:tcPr>
          <w:p w14:paraId="64799A21" w14:textId="78B774EB" w:rsidR="0097475C" w:rsidRPr="003018A3" w:rsidRDefault="0097475C" w:rsidP="0097475C">
            <w:pPr>
              <w:spacing w:after="0" w:line="240" w:lineRule="auto"/>
              <w:ind w:firstLineChars="100" w:firstLine="160"/>
              <w:rPr>
                <w:rFonts w:cs="Arial"/>
                <w:color w:val="000000"/>
                <w:sz w:val="16"/>
                <w:szCs w:val="16"/>
              </w:rPr>
            </w:pPr>
            <w:r>
              <w:rPr>
                <w:rFonts w:cs="Arial"/>
                <w:color w:val="000000"/>
                <w:sz w:val="16"/>
                <w:szCs w:val="16"/>
              </w:rPr>
              <w:t>Nemoci dýchací soustavy</w:t>
            </w:r>
          </w:p>
        </w:tc>
        <w:tc>
          <w:tcPr>
            <w:tcW w:w="907" w:type="dxa"/>
            <w:tcBorders>
              <w:top w:val="nil"/>
              <w:left w:val="single" w:sz="4" w:space="0" w:color="auto"/>
              <w:bottom w:val="nil"/>
              <w:right w:val="nil"/>
            </w:tcBorders>
            <w:shd w:val="clear" w:color="auto" w:fill="auto"/>
            <w:noWrap/>
            <w:vAlign w:val="bottom"/>
            <w:hideMark/>
          </w:tcPr>
          <w:p w14:paraId="281AD6EE" w14:textId="658DCA08" w:rsidR="0097475C" w:rsidRPr="003018A3" w:rsidRDefault="0097475C" w:rsidP="0097475C">
            <w:pPr>
              <w:spacing w:after="0" w:line="240" w:lineRule="auto"/>
              <w:jc w:val="right"/>
              <w:rPr>
                <w:rFonts w:cs="Arial"/>
                <w:color w:val="000000"/>
                <w:sz w:val="16"/>
                <w:szCs w:val="16"/>
              </w:rPr>
            </w:pPr>
            <w:r>
              <w:rPr>
                <w:rFonts w:cs="Arial"/>
                <w:color w:val="000000"/>
                <w:sz w:val="16"/>
                <w:szCs w:val="16"/>
              </w:rPr>
              <w:t>1 069,9</w:t>
            </w:r>
          </w:p>
        </w:tc>
        <w:tc>
          <w:tcPr>
            <w:tcW w:w="907" w:type="dxa"/>
            <w:tcBorders>
              <w:top w:val="nil"/>
              <w:left w:val="nil"/>
              <w:bottom w:val="nil"/>
              <w:right w:val="nil"/>
            </w:tcBorders>
            <w:shd w:val="clear" w:color="auto" w:fill="auto"/>
            <w:noWrap/>
            <w:vAlign w:val="bottom"/>
            <w:hideMark/>
          </w:tcPr>
          <w:p w14:paraId="28B4345D" w14:textId="2750323D" w:rsidR="0097475C" w:rsidRPr="003018A3" w:rsidRDefault="0097475C" w:rsidP="0097475C">
            <w:pPr>
              <w:spacing w:after="0" w:line="240" w:lineRule="auto"/>
              <w:jc w:val="right"/>
              <w:rPr>
                <w:rFonts w:cs="Arial"/>
                <w:color w:val="000000"/>
                <w:sz w:val="16"/>
                <w:szCs w:val="16"/>
              </w:rPr>
            </w:pPr>
            <w:r>
              <w:rPr>
                <w:rFonts w:cs="Arial"/>
                <w:color w:val="000000"/>
                <w:sz w:val="16"/>
                <w:szCs w:val="16"/>
              </w:rPr>
              <w:t>459,6</w:t>
            </w:r>
          </w:p>
        </w:tc>
        <w:tc>
          <w:tcPr>
            <w:tcW w:w="907" w:type="dxa"/>
            <w:tcBorders>
              <w:top w:val="nil"/>
              <w:left w:val="nil"/>
              <w:bottom w:val="nil"/>
              <w:right w:val="single" w:sz="4" w:space="0" w:color="auto"/>
            </w:tcBorders>
            <w:shd w:val="clear" w:color="auto" w:fill="auto"/>
            <w:noWrap/>
            <w:vAlign w:val="bottom"/>
            <w:hideMark/>
          </w:tcPr>
          <w:p w14:paraId="2449ADB3" w14:textId="14DC0DFB" w:rsidR="0097475C" w:rsidRPr="003018A3" w:rsidRDefault="0097475C" w:rsidP="0097475C">
            <w:pPr>
              <w:spacing w:after="0" w:line="240" w:lineRule="auto"/>
              <w:jc w:val="right"/>
              <w:rPr>
                <w:rFonts w:cs="Arial"/>
                <w:color w:val="000000"/>
                <w:sz w:val="16"/>
                <w:szCs w:val="16"/>
              </w:rPr>
            </w:pPr>
            <w:r>
              <w:rPr>
                <w:rFonts w:cs="Arial"/>
                <w:color w:val="000000"/>
                <w:sz w:val="16"/>
                <w:szCs w:val="16"/>
              </w:rPr>
              <w:t>610,3</w:t>
            </w:r>
          </w:p>
        </w:tc>
        <w:tc>
          <w:tcPr>
            <w:tcW w:w="907" w:type="dxa"/>
            <w:tcBorders>
              <w:top w:val="nil"/>
              <w:left w:val="nil"/>
              <w:bottom w:val="nil"/>
              <w:right w:val="nil"/>
            </w:tcBorders>
            <w:shd w:val="clear" w:color="auto" w:fill="auto"/>
            <w:noWrap/>
            <w:vAlign w:val="bottom"/>
            <w:hideMark/>
          </w:tcPr>
          <w:p w14:paraId="399984AB" w14:textId="7CD4D3C3" w:rsidR="0097475C" w:rsidRPr="003018A3" w:rsidRDefault="0097475C" w:rsidP="0097475C">
            <w:pPr>
              <w:spacing w:after="0" w:line="240" w:lineRule="auto"/>
              <w:jc w:val="right"/>
              <w:rPr>
                <w:rFonts w:cs="Arial"/>
                <w:color w:val="000000"/>
                <w:sz w:val="16"/>
                <w:szCs w:val="16"/>
              </w:rPr>
            </w:pPr>
            <w:r>
              <w:rPr>
                <w:rFonts w:cs="Arial"/>
                <w:color w:val="000000"/>
                <w:sz w:val="16"/>
                <w:szCs w:val="16"/>
              </w:rPr>
              <w:t>11,8</w:t>
            </w:r>
          </w:p>
        </w:tc>
        <w:tc>
          <w:tcPr>
            <w:tcW w:w="907" w:type="dxa"/>
            <w:tcBorders>
              <w:top w:val="nil"/>
              <w:left w:val="nil"/>
              <w:bottom w:val="nil"/>
              <w:right w:val="nil"/>
            </w:tcBorders>
            <w:shd w:val="clear" w:color="auto" w:fill="auto"/>
            <w:noWrap/>
            <w:vAlign w:val="bottom"/>
            <w:hideMark/>
          </w:tcPr>
          <w:p w14:paraId="51836964" w14:textId="4DFDF4D8" w:rsidR="0097475C" w:rsidRPr="003018A3" w:rsidRDefault="0097475C" w:rsidP="0097475C">
            <w:pPr>
              <w:spacing w:after="0" w:line="240" w:lineRule="auto"/>
              <w:jc w:val="right"/>
              <w:rPr>
                <w:rFonts w:cs="Arial"/>
                <w:color w:val="000000"/>
                <w:sz w:val="16"/>
                <w:szCs w:val="16"/>
              </w:rPr>
            </w:pPr>
            <w:r>
              <w:rPr>
                <w:rFonts w:cs="Arial"/>
                <w:color w:val="000000"/>
                <w:sz w:val="16"/>
                <w:szCs w:val="16"/>
              </w:rPr>
              <w:t>11,9</w:t>
            </w:r>
          </w:p>
        </w:tc>
        <w:tc>
          <w:tcPr>
            <w:tcW w:w="907" w:type="dxa"/>
            <w:tcBorders>
              <w:top w:val="nil"/>
              <w:left w:val="nil"/>
              <w:bottom w:val="nil"/>
              <w:right w:val="nil"/>
            </w:tcBorders>
            <w:shd w:val="clear" w:color="auto" w:fill="auto"/>
            <w:noWrap/>
            <w:vAlign w:val="bottom"/>
            <w:hideMark/>
          </w:tcPr>
          <w:p w14:paraId="396EEFEE" w14:textId="75AF3C42" w:rsidR="0097475C" w:rsidRPr="003018A3" w:rsidRDefault="0097475C" w:rsidP="0097475C">
            <w:pPr>
              <w:spacing w:after="0" w:line="240" w:lineRule="auto"/>
              <w:jc w:val="right"/>
              <w:rPr>
                <w:rFonts w:cs="Arial"/>
                <w:color w:val="000000"/>
                <w:sz w:val="16"/>
                <w:szCs w:val="16"/>
              </w:rPr>
            </w:pPr>
            <w:r>
              <w:rPr>
                <w:rFonts w:cs="Arial"/>
                <w:color w:val="000000"/>
                <w:sz w:val="16"/>
                <w:szCs w:val="16"/>
              </w:rPr>
              <w:t>11,7</w:t>
            </w:r>
          </w:p>
        </w:tc>
      </w:tr>
      <w:tr w:rsidR="0097475C" w:rsidRPr="003018A3" w14:paraId="1D3AB46C" w14:textId="77777777" w:rsidTr="0097475C">
        <w:trPr>
          <w:trHeight w:val="300"/>
        </w:trPr>
        <w:tc>
          <w:tcPr>
            <w:tcW w:w="4195" w:type="dxa"/>
            <w:tcBorders>
              <w:top w:val="nil"/>
              <w:left w:val="nil"/>
              <w:bottom w:val="nil"/>
              <w:right w:val="nil"/>
            </w:tcBorders>
            <w:shd w:val="clear" w:color="auto" w:fill="auto"/>
            <w:noWrap/>
            <w:vAlign w:val="bottom"/>
            <w:hideMark/>
          </w:tcPr>
          <w:p w14:paraId="7C397508" w14:textId="5F7B24C6" w:rsidR="0097475C" w:rsidRPr="003018A3" w:rsidRDefault="0097475C" w:rsidP="0097475C">
            <w:pPr>
              <w:spacing w:after="0" w:line="240" w:lineRule="auto"/>
              <w:ind w:firstLineChars="200" w:firstLine="320"/>
              <w:rPr>
                <w:rFonts w:cs="Arial"/>
                <w:color w:val="000000"/>
                <w:sz w:val="16"/>
                <w:szCs w:val="16"/>
              </w:rPr>
            </w:pPr>
            <w:r>
              <w:rPr>
                <w:rFonts w:cs="Arial"/>
                <w:color w:val="000000"/>
                <w:sz w:val="16"/>
                <w:szCs w:val="16"/>
              </w:rPr>
              <w:t xml:space="preserve"> akutní infekce dýchacích cest</w:t>
            </w:r>
          </w:p>
        </w:tc>
        <w:tc>
          <w:tcPr>
            <w:tcW w:w="907" w:type="dxa"/>
            <w:tcBorders>
              <w:top w:val="nil"/>
              <w:left w:val="single" w:sz="4" w:space="0" w:color="auto"/>
              <w:bottom w:val="nil"/>
              <w:right w:val="nil"/>
            </w:tcBorders>
            <w:shd w:val="clear" w:color="auto" w:fill="auto"/>
            <w:noWrap/>
            <w:vAlign w:val="bottom"/>
            <w:hideMark/>
          </w:tcPr>
          <w:p w14:paraId="434BBD1A" w14:textId="07F3FCDA" w:rsidR="0097475C" w:rsidRPr="003018A3" w:rsidRDefault="0097475C" w:rsidP="0097475C">
            <w:pPr>
              <w:spacing w:after="0" w:line="240" w:lineRule="auto"/>
              <w:jc w:val="right"/>
              <w:rPr>
                <w:rFonts w:cs="Arial"/>
                <w:color w:val="000000"/>
                <w:sz w:val="16"/>
                <w:szCs w:val="16"/>
              </w:rPr>
            </w:pPr>
            <w:r>
              <w:rPr>
                <w:rFonts w:cs="Arial"/>
                <w:color w:val="000000"/>
                <w:sz w:val="16"/>
                <w:szCs w:val="16"/>
              </w:rPr>
              <w:t>946,9</w:t>
            </w:r>
          </w:p>
        </w:tc>
        <w:tc>
          <w:tcPr>
            <w:tcW w:w="907" w:type="dxa"/>
            <w:tcBorders>
              <w:top w:val="nil"/>
              <w:left w:val="nil"/>
              <w:bottom w:val="nil"/>
              <w:right w:val="nil"/>
            </w:tcBorders>
            <w:shd w:val="clear" w:color="auto" w:fill="auto"/>
            <w:noWrap/>
            <w:vAlign w:val="bottom"/>
            <w:hideMark/>
          </w:tcPr>
          <w:p w14:paraId="4BA25866" w14:textId="1B606C94" w:rsidR="0097475C" w:rsidRPr="003018A3" w:rsidRDefault="0097475C" w:rsidP="0097475C">
            <w:pPr>
              <w:spacing w:after="0" w:line="240" w:lineRule="auto"/>
              <w:jc w:val="right"/>
              <w:rPr>
                <w:rFonts w:cs="Arial"/>
                <w:color w:val="000000"/>
                <w:sz w:val="16"/>
                <w:szCs w:val="16"/>
              </w:rPr>
            </w:pPr>
            <w:r>
              <w:rPr>
                <w:rFonts w:cs="Arial"/>
                <w:color w:val="000000"/>
                <w:sz w:val="16"/>
                <w:szCs w:val="16"/>
              </w:rPr>
              <w:t>402,1</w:t>
            </w:r>
          </w:p>
        </w:tc>
        <w:tc>
          <w:tcPr>
            <w:tcW w:w="907" w:type="dxa"/>
            <w:tcBorders>
              <w:top w:val="nil"/>
              <w:left w:val="nil"/>
              <w:bottom w:val="nil"/>
              <w:right w:val="single" w:sz="4" w:space="0" w:color="auto"/>
            </w:tcBorders>
            <w:shd w:val="clear" w:color="auto" w:fill="auto"/>
            <w:noWrap/>
            <w:vAlign w:val="bottom"/>
            <w:hideMark/>
          </w:tcPr>
          <w:p w14:paraId="2E26259C" w14:textId="6AAC163F" w:rsidR="0097475C" w:rsidRPr="003018A3" w:rsidRDefault="0097475C" w:rsidP="0097475C">
            <w:pPr>
              <w:spacing w:after="0" w:line="240" w:lineRule="auto"/>
              <w:jc w:val="right"/>
              <w:rPr>
                <w:rFonts w:cs="Arial"/>
                <w:color w:val="000000"/>
                <w:sz w:val="16"/>
                <w:szCs w:val="16"/>
              </w:rPr>
            </w:pPr>
            <w:r>
              <w:rPr>
                <w:rFonts w:cs="Arial"/>
                <w:color w:val="000000"/>
                <w:sz w:val="16"/>
                <w:szCs w:val="16"/>
              </w:rPr>
              <w:t>544,8</w:t>
            </w:r>
          </w:p>
        </w:tc>
        <w:tc>
          <w:tcPr>
            <w:tcW w:w="907" w:type="dxa"/>
            <w:tcBorders>
              <w:top w:val="nil"/>
              <w:left w:val="nil"/>
              <w:bottom w:val="nil"/>
              <w:right w:val="nil"/>
            </w:tcBorders>
            <w:shd w:val="clear" w:color="auto" w:fill="auto"/>
            <w:noWrap/>
            <w:vAlign w:val="bottom"/>
            <w:hideMark/>
          </w:tcPr>
          <w:p w14:paraId="087DA260" w14:textId="7E4FF769" w:rsidR="0097475C" w:rsidRPr="003018A3" w:rsidRDefault="0097475C" w:rsidP="0097475C">
            <w:pPr>
              <w:spacing w:after="0" w:line="240" w:lineRule="auto"/>
              <w:jc w:val="right"/>
              <w:rPr>
                <w:rFonts w:cs="Arial"/>
                <w:color w:val="000000"/>
                <w:sz w:val="16"/>
                <w:szCs w:val="16"/>
              </w:rPr>
            </w:pPr>
            <w:r>
              <w:rPr>
                <w:rFonts w:cs="Arial"/>
                <w:color w:val="000000"/>
                <w:sz w:val="16"/>
                <w:szCs w:val="16"/>
              </w:rPr>
              <w:t>11,2</w:t>
            </w:r>
          </w:p>
        </w:tc>
        <w:tc>
          <w:tcPr>
            <w:tcW w:w="907" w:type="dxa"/>
            <w:tcBorders>
              <w:top w:val="nil"/>
              <w:left w:val="nil"/>
              <w:bottom w:val="nil"/>
              <w:right w:val="nil"/>
            </w:tcBorders>
            <w:shd w:val="clear" w:color="auto" w:fill="auto"/>
            <w:noWrap/>
            <w:vAlign w:val="bottom"/>
            <w:hideMark/>
          </w:tcPr>
          <w:p w14:paraId="56CAE20A" w14:textId="395F6E97" w:rsidR="0097475C" w:rsidRPr="003018A3" w:rsidRDefault="0097475C" w:rsidP="0097475C">
            <w:pPr>
              <w:spacing w:after="0" w:line="240" w:lineRule="auto"/>
              <w:jc w:val="right"/>
              <w:rPr>
                <w:rFonts w:cs="Arial"/>
                <w:color w:val="000000"/>
                <w:sz w:val="16"/>
                <w:szCs w:val="16"/>
              </w:rPr>
            </w:pPr>
            <w:r>
              <w:rPr>
                <w:rFonts w:cs="Arial"/>
                <w:color w:val="000000"/>
                <w:sz w:val="16"/>
                <w:szCs w:val="16"/>
              </w:rPr>
              <w:t>11,1</w:t>
            </w:r>
          </w:p>
        </w:tc>
        <w:tc>
          <w:tcPr>
            <w:tcW w:w="907" w:type="dxa"/>
            <w:tcBorders>
              <w:top w:val="nil"/>
              <w:left w:val="nil"/>
              <w:bottom w:val="nil"/>
              <w:right w:val="nil"/>
            </w:tcBorders>
            <w:shd w:val="clear" w:color="auto" w:fill="auto"/>
            <w:noWrap/>
            <w:vAlign w:val="bottom"/>
            <w:hideMark/>
          </w:tcPr>
          <w:p w14:paraId="404E7712" w14:textId="4ED9BC5C" w:rsidR="0097475C" w:rsidRPr="003018A3" w:rsidRDefault="0097475C" w:rsidP="0097475C">
            <w:pPr>
              <w:spacing w:after="0" w:line="240" w:lineRule="auto"/>
              <w:jc w:val="right"/>
              <w:rPr>
                <w:rFonts w:cs="Arial"/>
                <w:color w:val="000000"/>
                <w:sz w:val="16"/>
                <w:szCs w:val="16"/>
              </w:rPr>
            </w:pPr>
            <w:r>
              <w:rPr>
                <w:rFonts w:cs="Arial"/>
                <w:color w:val="000000"/>
                <w:sz w:val="16"/>
                <w:szCs w:val="16"/>
              </w:rPr>
              <w:t>11,2</w:t>
            </w:r>
          </w:p>
        </w:tc>
      </w:tr>
      <w:tr w:rsidR="0097475C" w:rsidRPr="003018A3" w14:paraId="6ABE85FB" w14:textId="77777777" w:rsidTr="0097475C">
        <w:trPr>
          <w:trHeight w:val="300"/>
        </w:trPr>
        <w:tc>
          <w:tcPr>
            <w:tcW w:w="4195" w:type="dxa"/>
            <w:tcBorders>
              <w:top w:val="nil"/>
              <w:left w:val="nil"/>
              <w:bottom w:val="nil"/>
              <w:right w:val="nil"/>
            </w:tcBorders>
            <w:shd w:val="clear" w:color="auto" w:fill="auto"/>
            <w:noWrap/>
            <w:vAlign w:val="bottom"/>
            <w:hideMark/>
          </w:tcPr>
          <w:p w14:paraId="702866A0" w14:textId="550A0B43" w:rsidR="0097475C" w:rsidRPr="003018A3" w:rsidRDefault="0097475C" w:rsidP="0097475C">
            <w:pPr>
              <w:spacing w:after="0" w:line="240" w:lineRule="auto"/>
              <w:ind w:firstLineChars="200" w:firstLine="320"/>
              <w:rPr>
                <w:rFonts w:cs="Arial"/>
                <w:color w:val="000000"/>
                <w:sz w:val="16"/>
                <w:szCs w:val="16"/>
              </w:rPr>
            </w:pPr>
            <w:r>
              <w:rPr>
                <w:rFonts w:cs="Arial"/>
                <w:color w:val="000000"/>
                <w:sz w:val="16"/>
                <w:szCs w:val="16"/>
              </w:rPr>
              <w:t xml:space="preserve"> chřipka</w:t>
            </w:r>
          </w:p>
        </w:tc>
        <w:tc>
          <w:tcPr>
            <w:tcW w:w="907" w:type="dxa"/>
            <w:tcBorders>
              <w:top w:val="nil"/>
              <w:left w:val="single" w:sz="4" w:space="0" w:color="auto"/>
              <w:bottom w:val="nil"/>
              <w:right w:val="nil"/>
            </w:tcBorders>
            <w:shd w:val="clear" w:color="auto" w:fill="auto"/>
            <w:noWrap/>
            <w:vAlign w:val="bottom"/>
            <w:hideMark/>
          </w:tcPr>
          <w:p w14:paraId="58F60EB2" w14:textId="3B8355CA" w:rsidR="0097475C" w:rsidRPr="003018A3" w:rsidRDefault="0097475C" w:rsidP="0097475C">
            <w:pPr>
              <w:spacing w:after="0" w:line="240" w:lineRule="auto"/>
              <w:jc w:val="right"/>
              <w:rPr>
                <w:rFonts w:cs="Arial"/>
                <w:color w:val="000000"/>
                <w:sz w:val="16"/>
                <w:szCs w:val="16"/>
              </w:rPr>
            </w:pPr>
            <w:r>
              <w:rPr>
                <w:rFonts w:cs="Arial"/>
                <w:color w:val="000000"/>
                <w:sz w:val="16"/>
                <w:szCs w:val="16"/>
              </w:rPr>
              <w:t>100,6</w:t>
            </w:r>
          </w:p>
        </w:tc>
        <w:tc>
          <w:tcPr>
            <w:tcW w:w="907" w:type="dxa"/>
            <w:tcBorders>
              <w:top w:val="nil"/>
              <w:left w:val="nil"/>
              <w:bottom w:val="nil"/>
              <w:right w:val="nil"/>
            </w:tcBorders>
            <w:shd w:val="clear" w:color="auto" w:fill="auto"/>
            <w:noWrap/>
            <w:vAlign w:val="bottom"/>
            <w:hideMark/>
          </w:tcPr>
          <w:p w14:paraId="729EA531" w14:textId="7B101E30" w:rsidR="0097475C" w:rsidRPr="003018A3" w:rsidRDefault="0097475C" w:rsidP="0097475C">
            <w:pPr>
              <w:spacing w:after="0" w:line="240" w:lineRule="auto"/>
              <w:jc w:val="right"/>
              <w:rPr>
                <w:rFonts w:cs="Arial"/>
                <w:color w:val="000000"/>
                <w:sz w:val="16"/>
                <w:szCs w:val="16"/>
              </w:rPr>
            </w:pPr>
            <w:r>
              <w:rPr>
                <w:rFonts w:cs="Arial"/>
                <w:color w:val="000000"/>
                <w:sz w:val="16"/>
                <w:szCs w:val="16"/>
              </w:rPr>
              <w:t>46,8</w:t>
            </w:r>
          </w:p>
        </w:tc>
        <w:tc>
          <w:tcPr>
            <w:tcW w:w="907" w:type="dxa"/>
            <w:tcBorders>
              <w:top w:val="nil"/>
              <w:left w:val="nil"/>
              <w:bottom w:val="nil"/>
              <w:right w:val="single" w:sz="4" w:space="0" w:color="auto"/>
            </w:tcBorders>
            <w:shd w:val="clear" w:color="auto" w:fill="auto"/>
            <w:noWrap/>
            <w:vAlign w:val="bottom"/>
            <w:hideMark/>
          </w:tcPr>
          <w:p w14:paraId="4B344388" w14:textId="55A361F3" w:rsidR="0097475C" w:rsidRPr="003018A3" w:rsidRDefault="0097475C" w:rsidP="0097475C">
            <w:pPr>
              <w:spacing w:after="0" w:line="240" w:lineRule="auto"/>
              <w:jc w:val="right"/>
              <w:rPr>
                <w:rFonts w:cs="Arial"/>
                <w:color w:val="000000"/>
                <w:sz w:val="16"/>
                <w:szCs w:val="16"/>
              </w:rPr>
            </w:pPr>
            <w:r>
              <w:rPr>
                <w:rFonts w:cs="Arial"/>
                <w:color w:val="000000"/>
                <w:sz w:val="16"/>
                <w:szCs w:val="16"/>
              </w:rPr>
              <w:t>53,8</w:t>
            </w:r>
          </w:p>
        </w:tc>
        <w:tc>
          <w:tcPr>
            <w:tcW w:w="907" w:type="dxa"/>
            <w:tcBorders>
              <w:top w:val="nil"/>
              <w:left w:val="nil"/>
              <w:bottom w:val="nil"/>
              <w:right w:val="nil"/>
            </w:tcBorders>
            <w:shd w:val="clear" w:color="auto" w:fill="auto"/>
            <w:noWrap/>
            <w:vAlign w:val="bottom"/>
            <w:hideMark/>
          </w:tcPr>
          <w:p w14:paraId="2F0FA6A1" w14:textId="0785C6FA" w:rsidR="0097475C" w:rsidRPr="003018A3" w:rsidRDefault="0097475C" w:rsidP="0097475C">
            <w:pPr>
              <w:spacing w:after="0" w:line="240" w:lineRule="auto"/>
              <w:jc w:val="right"/>
              <w:rPr>
                <w:rFonts w:cs="Arial"/>
                <w:color w:val="000000"/>
                <w:sz w:val="16"/>
                <w:szCs w:val="16"/>
              </w:rPr>
            </w:pPr>
            <w:r>
              <w:rPr>
                <w:rFonts w:cs="Arial"/>
                <w:color w:val="000000"/>
                <w:sz w:val="16"/>
                <w:szCs w:val="16"/>
              </w:rPr>
              <w:t>12,8</w:t>
            </w:r>
          </w:p>
        </w:tc>
        <w:tc>
          <w:tcPr>
            <w:tcW w:w="907" w:type="dxa"/>
            <w:tcBorders>
              <w:top w:val="nil"/>
              <w:left w:val="nil"/>
              <w:bottom w:val="nil"/>
              <w:right w:val="nil"/>
            </w:tcBorders>
            <w:shd w:val="clear" w:color="auto" w:fill="auto"/>
            <w:noWrap/>
            <w:vAlign w:val="bottom"/>
            <w:hideMark/>
          </w:tcPr>
          <w:p w14:paraId="06782963" w14:textId="56B50B66" w:rsidR="0097475C" w:rsidRPr="003018A3" w:rsidRDefault="0097475C" w:rsidP="0097475C">
            <w:pPr>
              <w:spacing w:after="0" w:line="240" w:lineRule="auto"/>
              <w:jc w:val="right"/>
              <w:rPr>
                <w:rFonts w:cs="Arial"/>
                <w:color w:val="000000"/>
                <w:sz w:val="16"/>
                <w:szCs w:val="16"/>
              </w:rPr>
            </w:pPr>
            <w:r>
              <w:rPr>
                <w:rFonts w:cs="Arial"/>
                <w:color w:val="000000"/>
                <w:sz w:val="16"/>
                <w:szCs w:val="16"/>
              </w:rPr>
              <w:t>13,0</w:t>
            </w:r>
          </w:p>
        </w:tc>
        <w:tc>
          <w:tcPr>
            <w:tcW w:w="907" w:type="dxa"/>
            <w:tcBorders>
              <w:top w:val="nil"/>
              <w:left w:val="nil"/>
              <w:bottom w:val="nil"/>
              <w:right w:val="nil"/>
            </w:tcBorders>
            <w:shd w:val="clear" w:color="auto" w:fill="auto"/>
            <w:noWrap/>
            <w:vAlign w:val="bottom"/>
            <w:hideMark/>
          </w:tcPr>
          <w:p w14:paraId="4AD86599" w14:textId="12D22A36" w:rsidR="0097475C" w:rsidRPr="003018A3" w:rsidRDefault="0097475C" w:rsidP="0097475C">
            <w:pPr>
              <w:spacing w:after="0" w:line="240" w:lineRule="auto"/>
              <w:jc w:val="right"/>
              <w:rPr>
                <w:rFonts w:cs="Arial"/>
                <w:color w:val="000000"/>
                <w:sz w:val="16"/>
                <w:szCs w:val="16"/>
              </w:rPr>
            </w:pPr>
            <w:r>
              <w:rPr>
                <w:rFonts w:cs="Arial"/>
                <w:color w:val="000000"/>
                <w:sz w:val="16"/>
                <w:szCs w:val="16"/>
              </w:rPr>
              <w:t>12,6</w:t>
            </w:r>
          </w:p>
        </w:tc>
      </w:tr>
      <w:tr w:rsidR="0097475C" w:rsidRPr="003018A3" w14:paraId="5EF083A5" w14:textId="77777777" w:rsidTr="0097475C">
        <w:trPr>
          <w:trHeight w:val="300"/>
        </w:trPr>
        <w:tc>
          <w:tcPr>
            <w:tcW w:w="4195" w:type="dxa"/>
            <w:tcBorders>
              <w:top w:val="nil"/>
              <w:left w:val="nil"/>
              <w:bottom w:val="nil"/>
              <w:right w:val="nil"/>
            </w:tcBorders>
            <w:shd w:val="clear" w:color="auto" w:fill="auto"/>
            <w:noWrap/>
            <w:vAlign w:val="bottom"/>
            <w:hideMark/>
          </w:tcPr>
          <w:p w14:paraId="2A26E180" w14:textId="51237C98" w:rsidR="0097475C" w:rsidRPr="003018A3" w:rsidRDefault="0097475C" w:rsidP="0097475C">
            <w:pPr>
              <w:spacing w:after="0" w:line="240" w:lineRule="auto"/>
              <w:ind w:firstLineChars="200" w:firstLine="320"/>
              <w:rPr>
                <w:rFonts w:cs="Arial"/>
                <w:color w:val="000000"/>
                <w:sz w:val="16"/>
                <w:szCs w:val="16"/>
              </w:rPr>
            </w:pPr>
            <w:r>
              <w:rPr>
                <w:rFonts w:cs="Arial"/>
                <w:color w:val="000000"/>
                <w:sz w:val="16"/>
                <w:szCs w:val="16"/>
              </w:rPr>
              <w:t xml:space="preserve"> chronické nemoci dolních dýchacích cest</w:t>
            </w:r>
          </w:p>
        </w:tc>
        <w:tc>
          <w:tcPr>
            <w:tcW w:w="907" w:type="dxa"/>
            <w:tcBorders>
              <w:top w:val="nil"/>
              <w:left w:val="single" w:sz="4" w:space="0" w:color="auto"/>
              <w:bottom w:val="nil"/>
              <w:right w:val="nil"/>
            </w:tcBorders>
            <w:shd w:val="clear" w:color="auto" w:fill="auto"/>
            <w:noWrap/>
            <w:vAlign w:val="bottom"/>
            <w:hideMark/>
          </w:tcPr>
          <w:p w14:paraId="30A5B3E2" w14:textId="2AF039E7" w:rsidR="0097475C" w:rsidRPr="003018A3" w:rsidRDefault="0097475C" w:rsidP="0097475C">
            <w:pPr>
              <w:spacing w:after="0" w:line="240" w:lineRule="auto"/>
              <w:jc w:val="right"/>
              <w:rPr>
                <w:rFonts w:cs="Arial"/>
                <w:color w:val="000000"/>
                <w:sz w:val="16"/>
                <w:szCs w:val="16"/>
              </w:rPr>
            </w:pPr>
            <w:r>
              <w:rPr>
                <w:rFonts w:cs="Arial"/>
                <w:color w:val="000000"/>
                <w:sz w:val="16"/>
                <w:szCs w:val="16"/>
              </w:rPr>
              <w:t>10,4</w:t>
            </w:r>
          </w:p>
        </w:tc>
        <w:tc>
          <w:tcPr>
            <w:tcW w:w="907" w:type="dxa"/>
            <w:tcBorders>
              <w:top w:val="nil"/>
              <w:left w:val="nil"/>
              <w:bottom w:val="nil"/>
              <w:right w:val="nil"/>
            </w:tcBorders>
            <w:shd w:val="clear" w:color="auto" w:fill="auto"/>
            <w:noWrap/>
            <w:vAlign w:val="bottom"/>
            <w:hideMark/>
          </w:tcPr>
          <w:p w14:paraId="5FF2AA69" w14:textId="198E1C29" w:rsidR="0097475C" w:rsidRPr="003018A3" w:rsidRDefault="0097475C" w:rsidP="0097475C">
            <w:pPr>
              <w:spacing w:after="0" w:line="240" w:lineRule="auto"/>
              <w:jc w:val="right"/>
              <w:rPr>
                <w:rFonts w:cs="Arial"/>
                <w:color w:val="000000"/>
                <w:sz w:val="16"/>
                <w:szCs w:val="16"/>
              </w:rPr>
            </w:pPr>
            <w:r>
              <w:rPr>
                <w:rFonts w:cs="Arial"/>
                <w:color w:val="000000"/>
                <w:sz w:val="16"/>
                <w:szCs w:val="16"/>
              </w:rPr>
              <w:t>4,5</w:t>
            </w:r>
          </w:p>
        </w:tc>
        <w:tc>
          <w:tcPr>
            <w:tcW w:w="907" w:type="dxa"/>
            <w:tcBorders>
              <w:top w:val="nil"/>
              <w:left w:val="nil"/>
              <w:bottom w:val="nil"/>
              <w:right w:val="single" w:sz="4" w:space="0" w:color="auto"/>
            </w:tcBorders>
            <w:shd w:val="clear" w:color="auto" w:fill="auto"/>
            <w:noWrap/>
            <w:vAlign w:val="bottom"/>
            <w:hideMark/>
          </w:tcPr>
          <w:p w14:paraId="7B8058A8" w14:textId="1B4C4D4F" w:rsidR="0097475C" w:rsidRPr="003018A3" w:rsidRDefault="0097475C" w:rsidP="0097475C">
            <w:pPr>
              <w:spacing w:after="0" w:line="240" w:lineRule="auto"/>
              <w:jc w:val="right"/>
              <w:rPr>
                <w:rFonts w:cs="Arial"/>
                <w:color w:val="000000"/>
                <w:sz w:val="16"/>
                <w:szCs w:val="16"/>
              </w:rPr>
            </w:pPr>
            <w:r>
              <w:rPr>
                <w:rFonts w:cs="Arial"/>
                <w:color w:val="000000"/>
                <w:sz w:val="16"/>
                <w:szCs w:val="16"/>
              </w:rPr>
              <w:t>5,9</w:t>
            </w:r>
          </w:p>
        </w:tc>
        <w:tc>
          <w:tcPr>
            <w:tcW w:w="907" w:type="dxa"/>
            <w:tcBorders>
              <w:top w:val="nil"/>
              <w:left w:val="nil"/>
              <w:bottom w:val="nil"/>
              <w:right w:val="nil"/>
            </w:tcBorders>
            <w:shd w:val="clear" w:color="auto" w:fill="auto"/>
            <w:noWrap/>
            <w:vAlign w:val="bottom"/>
            <w:hideMark/>
          </w:tcPr>
          <w:p w14:paraId="05D60F0F" w14:textId="4F889804" w:rsidR="0097475C" w:rsidRPr="003018A3" w:rsidRDefault="0097475C" w:rsidP="0097475C">
            <w:pPr>
              <w:spacing w:after="0" w:line="240" w:lineRule="auto"/>
              <w:jc w:val="right"/>
              <w:rPr>
                <w:rFonts w:cs="Arial"/>
                <w:color w:val="000000"/>
                <w:sz w:val="16"/>
                <w:szCs w:val="16"/>
              </w:rPr>
            </w:pPr>
            <w:r>
              <w:rPr>
                <w:rFonts w:cs="Arial"/>
                <w:color w:val="000000"/>
                <w:sz w:val="16"/>
                <w:szCs w:val="16"/>
              </w:rPr>
              <w:t>43,3</w:t>
            </w:r>
          </w:p>
        </w:tc>
        <w:tc>
          <w:tcPr>
            <w:tcW w:w="907" w:type="dxa"/>
            <w:tcBorders>
              <w:top w:val="nil"/>
              <w:left w:val="nil"/>
              <w:bottom w:val="nil"/>
              <w:right w:val="nil"/>
            </w:tcBorders>
            <w:shd w:val="clear" w:color="auto" w:fill="auto"/>
            <w:noWrap/>
            <w:vAlign w:val="bottom"/>
            <w:hideMark/>
          </w:tcPr>
          <w:p w14:paraId="000C66D4" w14:textId="238C4B01" w:rsidR="0097475C" w:rsidRPr="003018A3" w:rsidRDefault="0097475C" w:rsidP="0097475C">
            <w:pPr>
              <w:spacing w:after="0" w:line="240" w:lineRule="auto"/>
              <w:jc w:val="right"/>
              <w:rPr>
                <w:rFonts w:cs="Arial"/>
                <w:color w:val="000000"/>
                <w:sz w:val="16"/>
                <w:szCs w:val="16"/>
              </w:rPr>
            </w:pPr>
            <w:r>
              <w:rPr>
                <w:rFonts w:cs="Arial"/>
                <w:color w:val="000000"/>
                <w:sz w:val="16"/>
                <w:szCs w:val="16"/>
              </w:rPr>
              <w:t>47,2</w:t>
            </w:r>
          </w:p>
        </w:tc>
        <w:tc>
          <w:tcPr>
            <w:tcW w:w="907" w:type="dxa"/>
            <w:tcBorders>
              <w:top w:val="nil"/>
              <w:left w:val="nil"/>
              <w:bottom w:val="nil"/>
              <w:right w:val="nil"/>
            </w:tcBorders>
            <w:shd w:val="clear" w:color="auto" w:fill="auto"/>
            <w:noWrap/>
            <w:vAlign w:val="bottom"/>
            <w:hideMark/>
          </w:tcPr>
          <w:p w14:paraId="76D18537" w14:textId="487CC2D0" w:rsidR="0097475C" w:rsidRPr="003018A3" w:rsidRDefault="0097475C" w:rsidP="0097475C">
            <w:pPr>
              <w:spacing w:after="0" w:line="240" w:lineRule="auto"/>
              <w:jc w:val="right"/>
              <w:rPr>
                <w:rFonts w:cs="Arial"/>
                <w:color w:val="000000"/>
                <w:sz w:val="16"/>
                <w:szCs w:val="16"/>
              </w:rPr>
            </w:pPr>
            <w:r>
              <w:rPr>
                <w:rFonts w:cs="Arial"/>
                <w:color w:val="000000"/>
                <w:sz w:val="16"/>
                <w:szCs w:val="16"/>
              </w:rPr>
              <w:t>40,2</w:t>
            </w:r>
          </w:p>
        </w:tc>
      </w:tr>
      <w:tr w:rsidR="0097475C" w:rsidRPr="003018A3" w14:paraId="14CDD920" w14:textId="77777777" w:rsidTr="0097475C">
        <w:trPr>
          <w:trHeight w:val="300"/>
        </w:trPr>
        <w:tc>
          <w:tcPr>
            <w:tcW w:w="4195" w:type="dxa"/>
            <w:tcBorders>
              <w:top w:val="nil"/>
              <w:left w:val="nil"/>
              <w:bottom w:val="nil"/>
              <w:right w:val="nil"/>
            </w:tcBorders>
            <w:shd w:val="clear" w:color="auto" w:fill="auto"/>
            <w:noWrap/>
            <w:vAlign w:val="bottom"/>
            <w:hideMark/>
          </w:tcPr>
          <w:p w14:paraId="4BF73160" w14:textId="45262E2D" w:rsidR="0097475C" w:rsidRPr="003018A3" w:rsidRDefault="0097475C" w:rsidP="0097475C">
            <w:pPr>
              <w:spacing w:after="0" w:line="240" w:lineRule="auto"/>
              <w:ind w:firstLineChars="200" w:firstLine="320"/>
              <w:rPr>
                <w:rFonts w:cs="Arial"/>
                <w:color w:val="000000"/>
                <w:sz w:val="16"/>
                <w:szCs w:val="16"/>
              </w:rPr>
            </w:pPr>
            <w:r>
              <w:rPr>
                <w:rFonts w:cs="Arial"/>
                <w:color w:val="000000"/>
                <w:sz w:val="16"/>
                <w:szCs w:val="16"/>
              </w:rPr>
              <w:t xml:space="preserve"> jiné nemoci dýchacích cest</w:t>
            </w:r>
          </w:p>
        </w:tc>
        <w:tc>
          <w:tcPr>
            <w:tcW w:w="907" w:type="dxa"/>
            <w:tcBorders>
              <w:top w:val="nil"/>
              <w:left w:val="single" w:sz="4" w:space="0" w:color="auto"/>
              <w:bottom w:val="nil"/>
              <w:right w:val="nil"/>
            </w:tcBorders>
            <w:shd w:val="clear" w:color="auto" w:fill="auto"/>
            <w:noWrap/>
            <w:vAlign w:val="bottom"/>
            <w:hideMark/>
          </w:tcPr>
          <w:p w14:paraId="652E00F2" w14:textId="28CEC0CC" w:rsidR="0097475C" w:rsidRPr="003018A3" w:rsidRDefault="0097475C" w:rsidP="0097475C">
            <w:pPr>
              <w:spacing w:after="0" w:line="240" w:lineRule="auto"/>
              <w:jc w:val="right"/>
              <w:rPr>
                <w:rFonts w:cs="Arial"/>
                <w:color w:val="000000"/>
                <w:sz w:val="16"/>
                <w:szCs w:val="16"/>
              </w:rPr>
            </w:pPr>
            <w:r>
              <w:rPr>
                <w:rFonts w:cs="Arial"/>
                <w:color w:val="000000"/>
                <w:sz w:val="16"/>
                <w:szCs w:val="16"/>
              </w:rPr>
              <w:t>12,0</w:t>
            </w:r>
          </w:p>
        </w:tc>
        <w:tc>
          <w:tcPr>
            <w:tcW w:w="907" w:type="dxa"/>
            <w:tcBorders>
              <w:top w:val="nil"/>
              <w:left w:val="nil"/>
              <w:bottom w:val="nil"/>
              <w:right w:val="nil"/>
            </w:tcBorders>
            <w:shd w:val="clear" w:color="auto" w:fill="auto"/>
            <w:noWrap/>
            <w:vAlign w:val="bottom"/>
            <w:hideMark/>
          </w:tcPr>
          <w:p w14:paraId="30E73249" w14:textId="58BD28A8" w:rsidR="0097475C" w:rsidRPr="003018A3" w:rsidRDefault="0097475C" w:rsidP="0097475C">
            <w:pPr>
              <w:spacing w:after="0" w:line="240" w:lineRule="auto"/>
              <w:jc w:val="right"/>
              <w:rPr>
                <w:rFonts w:cs="Arial"/>
                <w:color w:val="000000"/>
                <w:sz w:val="16"/>
                <w:szCs w:val="16"/>
              </w:rPr>
            </w:pPr>
            <w:r>
              <w:rPr>
                <w:rFonts w:cs="Arial"/>
                <w:color w:val="000000"/>
                <w:sz w:val="16"/>
                <w:szCs w:val="16"/>
              </w:rPr>
              <w:t>6,1</w:t>
            </w:r>
          </w:p>
        </w:tc>
        <w:tc>
          <w:tcPr>
            <w:tcW w:w="907" w:type="dxa"/>
            <w:tcBorders>
              <w:top w:val="nil"/>
              <w:left w:val="nil"/>
              <w:bottom w:val="nil"/>
              <w:right w:val="single" w:sz="4" w:space="0" w:color="auto"/>
            </w:tcBorders>
            <w:shd w:val="clear" w:color="auto" w:fill="auto"/>
            <w:noWrap/>
            <w:vAlign w:val="bottom"/>
            <w:hideMark/>
          </w:tcPr>
          <w:p w14:paraId="3080E35A" w14:textId="4A16B9DA" w:rsidR="0097475C" w:rsidRPr="003018A3" w:rsidRDefault="0097475C" w:rsidP="0097475C">
            <w:pPr>
              <w:spacing w:after="0" w:line="240" w:lineRule="auto"/>
              <w:jc w:val="right"/>
              <w:rPr>
                <w:rFonts w:cs="Arial"/>
                <w:color w:val="000000"/>
                <w:sz w:val="16"/>
                <w:szCs w:val="16"/>
              </w:rPr>
            </w:pPr>
            <w:r>
              <w:rPr>
                <w:rFonts w:cs="Arial"/>
                <w:color w:val="000000"/>
                <w:sz w:val="16"/>
                <w:szCs w:val="16"/>
              </w:rPr>
              <w:t>5,9</w:t>
            </w:r>
          </w:p>
        </w:tc>
        <w:tc>
          <w:tcPr>
            <w:tcW w:w="907" w:type="dxa"/>
            <w:tcBorders>
              <w:top w:val="nil"/>
              <w:left w:val="nil"/>
              <w:bottom w:val="nil"/>
              <w:right w:val="nil"/>
            </w:tcBorders>
            <w:shd w:val="clear" w:color="auto" w:fill="auto"/>
            <w:noWrap/>
            <w:vAlign w:val="bottom"/>
            <w:hideMark/>
          </w:tcPr>
          <w:p w14:paraId="5B9EBC73" w14:textId="37DE24A1" w:rsidR="0097475C" w:rsidRPr="003018A3" w:rsidRDefault="0097475C" w:rsidP="0097475C">
            <w:pPr>
              <w:spacing w:after="0" w:line="240" w:lineRule="auto"/>
              <w:jc w:val="right"/>
              <w:rPr>
                <w:rFonts w:cs="Arial"/>
                <w:color w:val="000000"/>
                <w:sz w:val="16"/>
                <w:szCs w:val="16"/>
              </w:rPr>
            </w:pPr>
            <w:r>
              <w:rPr>
                <w:rFonts w:cs="Arial"/>
                <w:color w:val="000000"/>
                <w:sz w:val="16"/>
                <w:szCs w:val="16"/>
              </w:rPr>
              <w:t>25,0</w:t>
            </w:r>
          </w:p>
        </w:tc>
        <w:tc>
          <w:tcPr>
            <w:tcW w:w="907" w:type="dxa"/>
            <w:tcBorders>
              <w:top w:val="nil"/>
              <w:left w:val="nil"/>
              <w:bottom w:val="nil"/>
              <w:right w:val="nil"/>
            </w:tcBorders>
            <w:shd w:val="clear" w:color="auto" w:fill="auto"/>
            <w:noWrap/>
            <w:vAlign w:val="bottom"/>
            <w:hideMark/>
          </w:tcPr>
          <w:p w14:paraId="73B06FED" w14:textId="2D71CBE6" w:rsidR="0097475C" w:rsidRPr="003018A3" w:rsidRDefault="0097475C" w:rsidP="0097475C">
            <w:pPr>
              <w:spacing w:after="0" w:line="240" w:lineRule="auto"/>
              <w:jc w:val="right"/>
              <w:rPr>
                <w:rFonts w:cs="Arial"/>
                <w:color w:val="000000"/>
                <w:sz w:val="16"/>
                <w:szCs w:val="16"/>
              </w:rPr>
            </w:pPr>
            <w:r>
              <w:rPr>
                <w:rFonts w:cs="Arial"/>
                <w:color w:val="000000"/>
                <w:sz w:val="16"/>
                <w:szCs w:val="16"/>
              </w:rPr>
              <w:t>27,9</w:t>
            </w:r>
          </w:p>
        </w:tc>
        <w:tc>
          <w:tcPr>
            <w:tcW w:w="907" w:type="dxa"/>
            <w:tcBorders>
              <w:top w:val="nil"/>
              <w:left w:val="nil"/>
              <w:bottom w:val="nil"/>
              <w:right w:val="nil"/>
            </w:tcBorders>
            <w:shd w:val="clear" w:color="auto" w:fill="auto"/>
            <w:noWrap/>
            <w:vAlign w:val="bottom"/>
            <w:hideMark/>
          </w:tcPr>
          <w:p w14:paraId="52C2C35E" w14:textId="23F1EDC0" w:rsidR="0097475C" w:rsidRPr="003018A3" w:rsidRDefault="0097475C" w:rsidP="0097475C">
            <w:pPr>
              <w:spacing w:after="0" w:line="240" w:lineRule="auto"/>
              <w:jc w:val="right"/>
              <w:rPr>
                <w:rFonts w:cs="Arial"/>
                <w:color w:val="000000"/>
                <w:sz w:val="16"/>
                <w:szCs w:val="16"/>
              </w:rPr>
            </w:pPr>
            <w:r>
              <w:rPr>
                <w:rFonts w:cs="Arial"/>
                <w:color w:val="000000"/>
                <w:sz w:val="16"/>
                <w:szCs w:val="16"/>
              </w:rPr>
              <w:t>22,0</w:t>
            </w:r>
          </w:p>
        </w:tc>
      </w:tr>
      <w:tr w:rsidR="0097475C" w:rsidRPr="003018A3" w14:paraId="7F6CECD0" w14:textId="77777777" w:rsidTr="0097475C">
        <w:trPr>
          <w:trHeight w:val="300"/>
        </w:trPr>
        <w:tc>
          <w:tcPr>
            <w:tcW w:w="4195" w:type="dxa"/>
            <w:tcBorders>
              <w:top w:val="nil"/>
              <w:left w:val="nil"/>
              <w:bottom w:val="nil"/>
              <w:right w:val="nil"/>
            </w:tcBorders>
            <w:shd w:val="clear" w:color="auto" w:fill="auto"/>
            <w:noWrap/>
            <w:vAlign w:val="bottom"/>
            <w:hideMark/>
          </w:tcPr>
          <w:p w14:paraId="380F4A49" w14:textId="4B1F4030" w:rsidR="0097475C" w:rsidRPr="003018A3" w:rsidRDefault="0097475C" w:rsidP="0097475C">
            <w:pPr>
              <w:spacing w:after="0" w:line="240" w:lineRule="auto"/>
              <w:ind w:firstLineChars="100" w:firstLine="160"/>
              <w:rPr>
                <w:rFonts w:cs="Arial"/>
                <w:color w:val="000000"/>
                <w:sz w:val="16"/>
                <w:szCs w:val="16"/>
              </w:rPr>
            </w:pPr>
            <w:r>
              <w:rPr>
                <w:rFonts w:cs="Arial"/>
                <w:color w:val="000000"/>
                <w:sz w:val="16"/>
                <w:szCs w:val="16"/>
              </w:rPr>
              <w:t>Nemoci trávicí soustavy</w:t>
            </w:r>
          </w:p>
        </w:tc>
        <w:tc>
          <w:tcPr>
            <w:tcW w:w="907" w:type="dxa"/>
            <w:tcBorders>
              <w:top w:val="nil"/>
              <w:left w:val="single" w:sz="4" w:space="0" w:color="auto"/>
              <w:bottom w:val="nil"/>
              <w:right w:val="nil"/>
            </w:tcBorders>
            <w:shd w:val="clear" w:color="auto" w:fill="auto"/>
            <w:noWrap/>
            <w:vAlign w:val="bottom"/>
            <w:hideMark/>
          </w:tcPr>
          <w:p w14:paraId="3DA1AC0F" w14:textId="3B082AB4" w:rsidR="0097475C" w:rsidRPr="003018A3" w:rsidRDefault="0097475C" w:rsidP="0097475C">
            <w:pPr>
              <w:spacing w:after="0" w:line="240" w:lineRule="auto"/>
              <w:jc w:val="right"/>
              <w:rPr>
                <w:rFonts w:cs="Arial"/>
                <w:color w:val="000000"/>
                <w:sz w:val="16"/>
                <w:szCs w:val="16"/>
              </w:rPr>
            </w:pPr>
            <w:r>
              <w:rPr>
                <w:rFonts w:cs="Arial"/>
                <w:color w:val="000000"/>
                <w:sz w:val="16"/>
                <w:szCs w:val="16"/>
              </w:rPr>
              <w:t>154,7</w:t>
            </w:r>
          </w:p>
        </w:tc>
        <w:tc>
          <w:tcPr>
            <w:tcW w:w="907" w:type="dxa"/>
            <w:tcBorders>
              <w:top w:val="nil"/>
              <w:left w:val="nil"/>
              <w:bottom w:val="nil"/>
              <w:right w:val="nil"/>
            </w:tcBorders>
            <w:shd w:val="clear" w:color="auto" w:fill="auto"/>
            <w:noWrap/>
            <w:vAlign w:val="bottom"/>
            <w:hideMark/>
          </w:tcPr>
          <w:p w14:paraId="7E52979C" w14:textId="1644E163" w:rsidR="0097475C" w:rsidRPr="003018A3" w:rsidRDefault="0097475C" w:rsidP="0097475C">
            <w:pPr>
              <w:spacing w:after="0" w:line="240" w:lineRule="auto"/>
              <w:jc w:val="right"/>
              <w:rPr>
                <w:rFonts w:cs="Arial"/>
                <w:color w:val="000000"/>
                <w:sz w:val="16"/>
                <w:szCs w:val="16"/>
              </w:rPr>
            </w:pPr>
            <w:r>
              <w:rPr>
                <w:rFonts w:cs="Arial"/>
                <w:color w:val="000000"/>
                <w:sz w:val="16"/>
                <w:szCs w:val="16"/>
              </w:rPr>
              <w:t>79,7</w:t>
            </w:r>
          </w:p>
        </w:tc>
        <w:tc>
          <w:tcPr>
            <w:tcW w:w="907" w:type="dxa"/>
            <w:tcBorders>
              <w:top w:val="nil"/>
              <w:left w:val="nil"/>
              <w:bottom w:val="nil"/>
              <w:right w:val="single" w:sz="4" w:space="0" w:color="auto"/>
            </w:tcBorders>
            <w:shd w:val="clear" w:color="auto" w:fill="auto"/>
            <w:noWrap/>
            <w:vAlign w:val="bottom"/>
            <w:hideMark/>
          </w:tcPr>
          <w:p w14:paraId="418F258C" w14:textId="41835941" w:rsidR="0097475C" w:rsidRPr="003018A3" w:rsidRDefault="0097475C" w:rsidP="0097475C">
            <w:pPr>
              <w:spacing w:after="0" w:line="240" w:lineRule="auto"/>
              <w:jc w:val="right"/>
              <w:rPr>
                <w:rFonts w:cs="Arial"/>
                <w:color w:val="000000"/>
                <w:sz w:val="16"/>
                <w:szCs w:val="16"/>
              </w:rPr>
            </w:pPr>
            <w:r>
              <w:rPr>
                <w:rFonts w:cs="Arial"/>
                <w:color w:val="000000"/>
                <w:sz w:val="16"/>
                <w:szCs w:val="16"/>
              </w:rPr>
              <w:t>74,9</w:t>
            </w:r>
          </w:p>
        </w:tc>
        <w:tc>
          <w:tcPr>
            <w:tcW w:w="907" w:type="dxa"/>
            <w:tcBorders>
              <w:top w:val="nil"/>
              <w:left w:val="nil"/>
              <w:bottom w:val="nil"/>
              <w:right w:val="nil"/>
            </w:tcBorders>
            <w:shd w:val="clear" w:color="auto" w:fill="auto"/>
            <w:noWrap/>
            <w:vAlign w:val="bottom"/>
            <w:hideMark/>
          </w:tcPr>
          <w:p w14:paraId="2BA038AA" w14:textId="1D78E578" w:rsidR="0097475C" w:rsidRPr="003018A3" w:rsidRDefault="0097475C" w:rsidP="0097475C">
            <w:pPr>
              <w:spacing w:after="0" w:line="240" w:lineRule="auto"/>
              <w:jc w:val="right"/>
              <w:rPr>
                <w:rFonts w:cs="Arial"/>
                <w:color w:val="000000"/>
                <w:sz w:val="16"/>
                <w:szCs w:val="16"/>
              </w:rPr>
            </w:pPr>
            <w:r>
              <w:rPr>
                <w:rFonts w:cs="Arial"/>
                <w:color w:val="000000"/>
                <w:sz w:val="16"/>
                <w:szCs w:val="16"/>
              </w:rPr>
              <w:t>24,4</w:t>
            </w:r>
          </w:p>
        </w:tc>
        <w:tc>
          <w:tcPr>
            <w:tcW w:w="907" w:type="dxa"/>
            <w:tcBorders>
              <w:top w:val="nil"/>
              <w:left w:val="nil"/>
              <w:bottom w:val="nil"/>
              <w:right w:val="nil"/>
            </w:tcBorders>
            <w:shd w:val="clear" w:color="auto" w:fill="auto"/>
            <w:noWrap/>
            <w:vAlign w:val="bottom"/>
            <w:hideMark/>
          </w:tcPr>
          <w:p w14:paraId="3CAA8C34" w14:textId="45708A16" w:rsidR="0097475C" w:rsidRPr="003018A3" w:rsidRDefault="0097475C" w:rsidP="0097475C">
            <w:pPr>
              <w:spacing w:after="0" w:line="240" w:lineRule="auto"/>
              <w:jc w:val="right"/>
              <w:rPr>
                <w:rFonts w:cs="Arial"/>
                <w:color w:val="000000"/>
                <w:sz w:val="16"/>
                <w:szCs w:val="16"/>
              </w:rPr>
            </w:pPr>
            <w:r>
              <w:rPr>
                <w:rFonts w:cs="Arial"/>
                <w:color w:val="000000"/>
                <w:sz w:val="16"/>
                <w:szCs w:val="16"/>
              </w:rPr>
              <w:t>26,0</w:t>
            </w:r>
          </w:p>
        </w:tc>
        <w:tc>
          <w:tcPr>
            <w:tcW w:w="907" w:type="dxa"/>
            <w:tcBorders>
              <w:top w:val="nil"/>
              <w:left w:val="nil"/>
              <w:bottom w:val="nil"/>
              <w:right w:val="nil"/>
            </w:tcBorders>
            <w:shd w:val="clear" w:color="auto" w:fill="auto"/>
            <w:noWrap/>
            <w:vAlign w:val="bottom"/>
            <w:hideMark/>
          </w:tcPr>
          <w:p w14:paraId="75D17470" w14:textId="686FF4E9" w:rsidR="0097475C" w:rsidRPr="003018A3" w:rsidRDefault="0097475C" w:rsidP="0097475C">
            <w:pPr>
              <w:spacing w:after="0" w:line="240" w:lineRule="auto"/>
              <w:jc w:val="right"/>
              <w:rPr>
                <w:rFonts w:cs="Arial"/>
                <w:color w:val="000000"/>
                <w:sz w:val="16"/>
                <w:szCs w:val="16"/>
              </w:rPr>
            </w:pPr>
            <w:r>
              <w:rPr>
                <w:rFonts w:cs="Arial"/>
                <w:color w:val="000000"/>
                <w:sz w:val="16"/>
                <w:szCs w:val="16"/>
              </w:rPr>
              <w:t>22,6</w:t>
            </w:r>
          </w:p>
        </w:tc>
      </w:tr>
      <w:tr w:rsidR="0097475C" w:rsidRPr="003018A3" w14:paraId="69876B18" w14:textId="77777777" w:rsidTr="0097475C">
        <w:trPr>
          <w:trHeight w:val="300"/>
        </w:trPr>
        <w:tc>
          <w:tcPr>
            <w:tcW w:w="4195" w:type="dxa"/>
            <w:tcBorders>
              <w:top w:val="nil"/>
              <w:left w:val="nil"/>
              <w:bottom w:val="nil"/>
              <w:right w:val="nil"/>
            </w:tcBorders>
            <w:shd w:val="clear" w:color="auto" w:fill="auto"/>
            <w:noWrap/>
            <w:vAlign w:val="bottom"/>
            <w:hideMark/>
          </w:tcPr>
          <w:p w14:paraId="10C5D8C8" w14:textId="462068C5" w:rsidR="0097475C" w:rsidRPr="003018A3" w:rsidRDefault="0097475C" w:rsidP="0097475C">
            <w:pPr>
              <w:spacing w:after="0" w:line="240" w:lineRule="auto"/>
              <w:ind w:firstLineChars="100" w:firstLine="160"/>
              <w:rPr>
                <w:rFonts w:cs="Arial"/>
                <w:color w:val="000000"/>
                <w:sz w:val="16"/>
                <w:szCs w:val="16"/>
              </w:rPr>
            </w:pPr>
            <w:r>
              <w:rPr>
                <w:rFonts w:cs="Arial"/>
                <w:color w:val="000000"/>
                <w:sz w:val="16"/>
                <w:szCs w:val="16"/>
              </w:rPr>
              <w:t>Nemoci kůže</w:t>
            </w:r>
          </w:p>
        </w:tc>
        <w:tc>
          <w:tcPr>
            <w:tcW w:w="907" w:type="dxa"/>
            <w:tcBorders>
              <w:top w:val="nil"/>
              <w:left w:val="single" w:sz="4" w:space="0" w:color="auto"/>
              <w:bottom w:val="nil"/>
              <w:right w:val="nil"/>
            </w:tcBorders>
            <w:shd w:val="clear" w:color="auto" w:fill="auto"/>
            <w:noWrap/>
            <w:vAlign w:val="bottom"/>
            <w:hideMark/>
          </w:tcPr>
          <w:p w14:paraId="111A35D1" w14:textId="58198F59" w:rsidR="0097475C" w:rsidRPr="003018A3" w:rsidRDefault="0097475C" w:rsidP="0097475C">
            <w:pPr>
              <w:spacing w:after="0" w:line="240" w:lineRule="auto"/>
              <w:jc w:val="right"/>
              <w:rPr>
                <w:rFonts w:cs="Arial"/>
                <w:color w:val="000000"/>
                <w:sz w:val="16"/>
                <w:szCs w:val="16"/>
              </w:rPr>
            </w:pPr>
            <w:r>
              <w:rPr>
                <w:rFonts w:cs="Arial"/>
                <w:color w:val="000000"/>
                <w:sz w:val="16"/>
                <w:szCs w:val="16"/>
              </w:rPr>
              <w:t>33,6</w:t>
            </w:r>
          </w:p>
        </w:tc>
        <w:tc>
          <w:tcPr>
            <w:tcW w:w="907" w:type="dxa"/>
            <w:tcBorders>
              <w:top w:val="nil"/>
              <w:left w:val="nil"/>
              <w:bottom w:val="nil"/>
              <w:right w:val="nil"/>
            </w:tcBorders>
            <w:shd w:val="clear" w:color="auto" w:fill="auto"/>
            <w:noWrap/>
            <w:vAlign w:val="bottom"/>
            <w:hideMark/>
          </w:tcPr>
          <w:p w14:paraId="358F5F81" w14:textId="14B6C580" w:rsidR="0097475C" w:rsidRPr="003018A3" w:rsidRDefault="0097475C" w:rsidP="0097475C">
            <w:pPr>
              <w:spacing w:after="0" w:line="240" w:lineRule="auto"/>
              <w:jc w:val="right"/>
              <w:rPr>
                <w:rFonts w:cs="Arial"/>
                <w:color w:val="000000"/>
                <w:sz w:val="16"/>
                <w:szCs w:val="16"/>
              </w:rPr>
            </w:pPr>
            <w:r>
              <w:rPr>
                <w:rFonts w:cs="Arial"/>
                <w:color w:val="000000"/>
                <w:sz w:val="16"/>
                <w:szCs w:val="16"/>
              </w:rPr>
              <w:t>19,1</w:t>
            </w:r>
          </w:p>
        </w:tc>
        <w:tc>
          <w:tcPr>
            <w:tcW w:w="907" w:type="dxa"/>
            <w:tcBorders>
              <w:top w:val="nil"/>
              <w:left w:val="nil"/>
              <w:bottom w:val="nil"/>
              <w:right w:val="single" w:sz="4" w:space="0" w:color="auto"/>
            </w:tcBorders>
            <w:shd w:val="clear" w:color="auto" w:fill="auto"/>
            <w:noWrap/>
            <w:vAlign w:val="bottom"/>
            <w:hideMark/>
          </w:tcPr>
          <w:p w14:paraId="584FA3C4" w14:textId="6197160A" w:rsidR="0097475C" w:rsidRPr="003018A3" w:rsidRDefault="0097475C" w:rsidP="0097475C">
            <w:pPr>
              <w:spacing w:after="0" w:line="240" w:lineRule="auto"/>
              <w:jc w:val="right"/>
              <w:rPr>
                <w:rFonts w:cs="Arial"/>
                <w:color w:val="000000"/>
                <w:sz w:val="16"/>
                <w:szCs w:val="16"/>
              </w:rPr>
            </w:pPr>
            <w:r>
              <w:rPr>
                <w:rFonts w:cs="Arial"/>
                <w:color w:val="000000"/>
                <w:sz w:val="16"/>
                <w:szCs w:val="16"/>
              </w:rPr>
              <w:t>14,5</w:t>
            </w:r>
          </w:p>
        </w:tc>
        <w:tc>
          <w:tcPr>
            <w:tcW w:w="907" w:type="dxa"/>
            <w:tcBorders>
              <w:top w:val="nil"/>
              <w:left w:val="nil"/>
              <w:bottom w:val="nil"/>
              <w:right w:val="nil"/>
            </w:tcBorders>
            <w:shd w:val="clear" w:color="auto" w:fill="auto"/>
            <w:noWrap/>
            <w:vAlign w:val="bottom"/>
            <w:hideMark/>
          </w:tcPr>
          <w:p w14:paraId="024A701F" w14:textId="2774B718" w:rsidR="0097475C" w:rsidRPr="003018A3" w:rsidRDefault="0097475C" w:rsidP="0097475C">
            <w:pPr>
              <w:spacing w:after="0" w:line="240" w:lineRule="auto"/>
              <w:jc w:val="right"/>
              <w:rPr>
                <w:rFonts w:cs="Arial"/>
                <w:color w:val="000000"/>
                <w:sz w:val="16"/>
                <w:szCs w:val="16"/>
              </w:rPr>
            </w:pPr>
            <w:r>
              <w:rPr>
                <w:rFonts w:cs="Arial"/>
                <w:color w:val="000000"/>
                <w:sz w:val="16"/>
                <w:szCs w:val="16"/>
              </w:rPr>
              <w:t>29,3</w:t>
            </w:r>
          </w:p>
        </w:tc>
        <w:tc>
          <w:tcPr>
            <w:tcW w:w="907" w:type="dxa"/>
            <w:tcBorders>
              <w:top w:val="nil"/>
              <w:left w:val="nil"/>
              <w:bottom w:val="nil"/>
              <w:right w:val="nil"/>
            </w:tcBorders>
            <w:shd w:val="clear" w:color="auto" w:fill="auto"/>
            <w:noWrap/>
            <w:vAlign w:val="bottom"/>
            <w:hideMark/>
          </w:tcPr>
          <w:p w14:paraId="7CBC0789" w14:textId="0C8A7DDF" w:rsidR="0097475C" w:rsidRPr="003018A3" w:rsidRDefault="0097475C" w:rsidP="0097475C">
            <w:pPr>
              <w:spacing w:after="0" w:line="240" w:lineRule="auto"/>
              <w:jc w:val="right"/>
              <w:rPr>
                <w:rFonts w:cs="Arial"/>
                <w:color w:val="000000"/>
                <w:sz w:val="16"/>
                <w:szCs w:val="16"/>
              </w:rPr>
            </w:pPr>
            <w:r>
              <w:rPr>
                <w:rFonts w:cs="Arial"/>
                <w:color w:val="000000"/>
                <w:sz w:val="16"/>
                <w:szCs w:val="16"/>
              </w:rPr>
              <w:t>30,3</w:t>
            </w:r>
          </w:p>
        </w:tc>
        <w:tc>
          <w:tcPr>
            <w:tcW w:w="907" w:type="dxa"/>
            <w:tcBorders>
              <w:top w:val="nil"/>
              <w:left w:val="nil"/>
              <w:bottom w:val="nil"/>
              <w:right w:val="nil"/>
            </w:tcBorders>
            <w:shd w:val="clear" w:color="auto" w:fill="auto"/>
            <w:noWrap/>
            <w:vAlign w:val="bottom"/>
            <w:hideMark/>
          </w:tcPr>
          <w:p w14:paraId="547A0E67" w14:textId="2CEC5CFF" w:rsidR="0097475C" w:rsidRPr="003018A3" w:rsidRDefault="0097475C" w:rsidP="0097475C">
            <w:pPr>
              <w:spacing w:after="0" w:line="240" w:lineRule="auto"/>
              <w:jc w:val="right"/>
              <w:rPr>
                <w:rFonts w:cs="Arial"/>
                <w:color w:val="000000"/>
                <w:sz w:val="16"/>
                <w:szCs w:val="16"/>
              </w:rPr>
            </w:pPr>
            <w:r>
              <w:rPr>
                <w:rFonts w:cs="Arial"/>
                <w:color w:val="000000"/>
                <w:sz w:val="16"/>
                <w:szCs w:val="16"/>
              </w:rPr>
              <w:t>28,0</w:t>
            </w:r>
          </w:p>
        </w:tc>
      </w:tr>
      <w:tr w:rsidR="0097475C" w:rsidRPr="003018A3" w14:paraId="29D530FE" w14:textId="77777777" w:rsidTr="0097475C">
        <w:trPr>
          <w:trHeight w:val="300"/>
        </w:trPr>
        <w:tc>
          <w:tcPr>
            <w:tcW w:w="4195" w:type="dxa"/>
            <w:tcBorders>
              <w:top w:val="nil"/>
              <w:left w:val="nil"/>
              <w:bottom w:val="nil"/>
              <w:right w:val="nil"/>
            </w:tcBorders>
            <w:shd w:val="clear" w:color="auto" w:fill="auto"/>
            <w:noWrap/>
            <w:vAlign w:val="bottom"/>
            <w:hideMark/>
          </w:tcPr>
          <w:p w14:paraId="0B246438" w14:textId="7AF3A155" w:rsidR="0097475C" w:rsidRPr="003018A3" w:rsidRDefault="0097475C" w:rsidP="0097475C">
            <w:pPr>
              <w:spacing w:after="0" w:line="240" w:lineRule="auto"/>
              <w:ind w:firstLineChars="100" w:firstLine="160"/>
              <w:rPr>
                <w:rFonts w:cs="Arial"/>
                <w:color w:val="000000"/>
                <w:sz w:val="16"/>
                <w:szCs w:val="16"/>
              </w:rPr>
            </w:pPr>
            <w:r>
              <w:rPr>
                <w:rFonts w:cs="Arial"/>
                <w:color w:val="000000"/>
                <w:sz w:val="16"/>
                <w:szCs w:val="16"/>
              </w:rPr>
              <w:t>Nemoci pohybové soustavy</w:t>
            </w:r>
          </w:p>
        </w:tc>
        <w:tc>
          <w:tcPr>
            <w:tcW w:w="907" w:type="dxa"/>
            <w:tcBorders>
              <w:top w:val="nil"/>
              <w:left w:val="single" w:sz="4" w:space="0" w:color="auto"/>
              <w:bottom w:val="nil"/>
              <w:right w:val="nil"/>
            </w:tcBorders>
            <w:shd w:val="clear" w:color="auto" w:fill="auto"/>
            <w:noWrap/>
            <w:vAlign w:val="bottom"/>
            <w:hideMark/>
          </w:tcPr>
          <w:p w14:paraId="0E256C6C" w14:textId="4C505849" w:rsidR="0097475C" w:rsidRPr="003018A3" w:rsidRDefault="0097475C" w:rsidP="0097475C">
            <w:pPr>
              <w:spacing w:after="0" w:line="240" w:lineRule="auto"/>
              <w:jc w:val="right"/>
              <w:rPr>
                <w:rFonts w:cs="Arial"/>
                <w:color w:val="000000"/>
                <w:sz w:val="16"/>
                <w:szCs w:val="16"/>
              </w:rPr>
            </w:pPr>
            <w:r>
              <w:rPr>
                <w:rFonts w:cs="Arial"/>
                <w:color w:val="000000"/>
                <w:sz w:val="16"/>
                <w:szCs w:val="16"/>
              </w:rPr>
              <w:t>377,5</w:t>
            </w:r>
          </w:p>
        </w:tc>
        <w:tc>
          <w:tcPr>
            <w:tcW w:w="907" w:type="dxa"/>
            <w:tcBorders>
              <w:top w:val="nil"/>
              <w:left w:val="nil"/>
              <w:bottom w:val="nil"/>
              <w:right w:val="nil"/>
            </w:tcBorders>
            <w:shd w:val="clear" w:color="auto" w:fill="auto"/>
            <w:noWrap/>
            <w:vAlign w:val="bottom"/>
            <w:hideMark/>
          </w:tcPr>
          <w:p w14:paraId="4CBD27ED" w14:textId="5F520EE2" w:rsidR="0097475C" w:rsidRPr="003018A3" w:rsidRDefault="0097475C" w:rsidP="0097475C">
            <w:pPr>
              <w:spacing w:after="0" w:line="240" w:lineRule="auto"/>
              <w:jc w:val="right"/>
              <w:rPr>
                <w:rFonts w:cs="Arial"/>
                <w:color w:val="000000"/>
                <w:sz w:val="16"/>
                <w:szCs w:val="16"/>
              </w:rPr>
            </w:pPr>
            <w:r>
              <w:rPr>
                <w:rFonts w:cs="Arial"/>
                <w:color w:val="000000"/>
                <w:sz w:val="16"/>
                <w:szCs w:val="16"/>
              </w:rPr>
              <w:t>190,0</w:t>
            </w:r>
          </w:p>
        </w:tc>
        <w:tc>
          <w:tcPr>
            <w:tcW w:w="907" w:type="dxa"/>
            <w:tcBorders>
              <w:top w:val="nil"/>
              <w:left w:val="nil"/>
              <w:bottom w:val="nil"/>
              <w:right w:val="single" w:sz="4" w:space="0" w:color="auto"/>
            </w:tcBorders>
            <w:shd w:val="clear" w:color="auto" w:fill="auto"/>
            <w:noWrap/>
            <w:vAlign w:val="bottom"/>
            <w:hideMark/>
          </w:tcPr>
          <w:p w14:paraId="0FB18DE3" w14:textId="4CDEF121" w:rsidR="0097475C" w:rsidRPr="003018A3" w:rsidRDefault="0097475C" w:rsidP="0097475C">
            <w:pPr>
              <w:spacing w:after="0" w:line="240" w:lineRule="auto"/>
              <w:jc w:val="right"/>
              <w:rPr>
                <w:rFonts w:cs="Arial"/>
                <w:color w:val="000000"/>
                <w:sz w:val="16"/>
                <w:szCs w:val="16"/>
              </w:rPr>
            </w:pPr>
            <w:r>
              <w:rPr>
                <w:rFonts w:cs="Arial"/>
                <w:color w:val="000000"/>
                <w:sz w:val="16"/>
                <w:szCs w:val="16"/>
              </w:rPr>
              <w:t>187,5</w:t>
            </w:r>
          </w:p>
        </w:tc>
        <w:tc>
          <w:tcPr>
            <w:tcW w:w="907" w:type="dxa"/>
            <w:tcBorders>
              <w:top w:val="nil"/>
              <w:left w:val="nil"/>
              <w:bottom w:val="nil"/>
              <w:right w:val="nil"/>
            </w:tcBorders>
            <w:shd w:val="clear" w:color="auto" w:fill="auto"/>
            <w:noWrap/>
            <w:vAlign w:val="bottom"/>
            <w:hideMark/>
          </w:tcPr>
          <w:p w14:paraId="299CE853" w14:textId="580AFFAF" w:rsidR="0097475C" w:rsidRPr="003018A3" w:rsidRDefault="0097475C" w:rsidP="0097475C">
            <w:pPr>
              <w:spacing w:after="0" w:line="240" w:lineRule="auto"/>
              <w:jc w:val="right"/>
              <w:rPr>
                <w:rFonts w:cs="Arial"/>
                <w:color w:val="000000"/>
                <w:sz w:val="16"/>
                <w:szCs w:val="16"/>
              </w:rPr>
            </w:pPr>
            <w:r>
              <w:rPr>
                <w:rFonts w:cs="Arial"/>
                <w:color w:val="000000"/>
                <w:sz w:val="16"/>
                <w:szCs w:val="16"/>
              </w:rPr>
              <w:t>62,2</w:t>
            </w:r>
          </w:p>
        </w:tc>
        <w:tc>
          <w:tcPr>
            <w:tcW w:w="907" w:type="dxa"/>
            <w:tcBorders>
              <w:top w:val="nil"/>
              <w:left w:val="nil"/>
              <w:bottom w:val="nil"/>
              <w:right w:val="nil"/>
            </w:tcBorders>
            <w:shd w:val="clear" w:color="auto" w:fill="auto"/>
            <w:noWrap/>
            <w:vAlign w:val="bottom"/>
            <w:hideMark/>
          </w:tcPr>
          <w:p w14:paraId="03898E19" w14:textId="480DEF43" w:rsidR="0097475C" w:rsidRPr="003018A3" w:rsidRDefault="0097475C" w:rsidP="0097475C">
            <w:pPr>
              <w:spacing w:after="0" w:line="240" w:lineRule="auto"/>
              <w:jc w:val="right"/>
              <w:rPr>
                <w:rFonts w:cs="Arial"/>
                <w:color w:val="000000"/>
                <w:sz w:val="16"/>
                <w:szCs w:val="16"/>
              </w:rPr>
            </w:pPr>
            <w:r>
              <w:rPr>
                <w:rFonts w:cs="Arial"/>
                <w:color w:val="000000"/>
                <w:sz w:val="16"/>
                <w:szCs w:val="16"/>
              </w:rPr>
              <w:t>58,2</w:t>
            </w:r>
          </w:p>
        </w:tc>
        <w:tc>
          <w:tcPr>
            <w:tcW w:w="907" w:type="dxa"/>
            <w:tcBorders>
              <w:top w:val="nil"/>
              <w:left w:val="nil"/>
              <w:bottom w:val="nil"/>
              <w:right w:val="nil"/>
            </w:tcBorders>
            <w:shd w:val="clear" w:color="auto" w:fill="auto"/>
            <w:noWrap/>
            <w:vAlign w:val="bottom"/>
            <w:hideMark/>
          </w:tcPr>
          <w:p w14:paraId="4F1D15AB" w14:textId="0589326C" w:rsidR="0097475C" w:rsidRPr="003018A3" w:rsidRDefault="0097475C" w:rsidP="0097475C">
            <w:pPr>
              <w:spacing w:after="0" w:line="240" w:lineRule="auto"/>
              <w:jc w:val="right"/>
              <w:rPr>
                <w:rFonts w:cs="Arial"/>
                <w:color w:val="000000"/>
                <w:sz w:val="16"/>
                <w:szCs w:val="16"/>
              </w:rPr>
            </w:pPr>
            <w:r>
              <w:rPr>
                <w:rFonts w:cs="Arial"/>
                <w:color w:val="000000"/>
                <w:sz w:val="16"/>
                <w:szCs w:val="16"/>
              </w:rPr>
              <w:t>66,3</w:t>
            </w:r>
          </w:p>
        </w:tc>
      </w:tr>
      <w:tr w:rsidR="0097475C" w:rsidRPr="003018A3" w14:paraId="786C749A" w14:textId="77777777" w:rsidTr="0097475C">
        <w:trPr>
          <w:trHeight w:val="300"/>
        </w:trPr>
        <w:tc>
          <w:tcPr>
            <w:tcW w:w="4195" w:type="dxa"/>
            <w:tcBorders>
              <w:top w:val="nil"/>
              <w:left w:val="nil"/>
              <w:bottom w:val="nil"/>
              <w:right w:val="nil"/>
            </w:tcBorders>
            <w:shd w:val="clear" w:color="auto" w:fill="auto"/>
            <w:noWrap/>
            <w:vAlign w:val="bottom"/>
            <w:hideMark/>
          </w:tcPr>
          <w:p w14:paraId="72C53B04" w14:textId="2DF43DE1" w:rsidR="0097475C" w:rsidRPr="003018A3" w:rsidRDefault="0097475C" w:rsidP="0097475C">
            <w:pPr>
              <w:spacing w:after="0" w:line="240" w:lineRule="auto"/>
              <w:ind w:firstLineChars="200" w:firstLine="320"/>
              <w:rPr>
                <w:rFonts w:cs="Arial"/>
                <w:color w:val="000000"/>
                <w:sz w:val="16"/>
                <w:szCs w:val="16"/>
              </w:rPr>
            </w:pPr>
            <w:r>
              <w:rPr>
                <w:rFonts w:cs="Arial"/>
                <w:color w:val="000000"/>
                <w:sz w:val="16"/>
                <w:szCs w:val="16"/>
              </w:rPr>
              <w:t xml:space="preserve"> nemoci páteře</w:t>
            </w:r>
          </w:p>
        </w:tc>
        <w:tc>
          <w:tcPr>
            <w:tcW w:w="907" w:type="dxa"/>
            <w:tcBorders>
              <w:top w:val="nil"/>
              <w:left w:val="single" w:sz="4" w:space="0" w:color="auto"/>
              <w:bottom w:val="nil"/>
              <w:right w:val="nil"/>
            </w:tcBorders>
            <w:shd w:val="clear" w:color="auto" w:fill="auto"/>
            <w:noWrap/>
            <w:vAlign w:val="bottom"/>
            <w:hideMark/>
          </w:tcPr>
          <w:p w14:paraId="1375F1E1" w14:textId="49BD3B57" w:rsidR="0097475C" w:rsidRPr="003018A3" w:rsidRDefault="0097475C" w:rsidP="0097475C">
            <w:pPr>
              <w:spacing w:after="0" w:line="240" w:lineRule="auto"/>
              <w:jc w:val="right"/>
              <w:rPr>
                <w:rFonts w:cs="Arial"/>
                <w:color w:val="000000"/>
                <w:sz w:val="16"/>
                <w:szCs w:val="16"/>
              </w:rPr>
            </w:pPr>
            <w:r>
              <w:rPr>
                <w:rFonts w:cs="Arial"/>
                <w:color w:val="000000"/>
                <w:sz w:val="16"/>
                <w:szCs w:val="16"/>
              </w:rPr>
              <w:t>245,3</w:t>
            </w:r>
          </w:p>
        </w:tc>
        <w:tc>
          <w:tcPr>
            <w:tcW w:w="907" w:type="dxa"/>
            <w:tcBorders>
              <w:top w:val="nil"/>
              <w:left w:val="nil"/>
              <w:bottom w:val="nil"/>
              <w:right w:val="nil"/>
            </w:tcBorders>
            <w:shd w:val="clear" w:color="auto" w:fill="auto"/>
            <w:noWrap/>
            <w:vAlign w:val="bottom"/>
            <w:hideMark/>
          </w:tcPr>
          <w:p w14:paraId="2ECD0E18" w14:textId="6928FECB" w:rsidR="0097475C" w:rsidRPr="003018A3" w:rsidRDefault="0097475C" w:rsidP="0097475C">
            <w:pPr>
              <w:spacing w:after="0" w:line="240" w:lineRule="auto"/>
              <w:jc w:val="right"/>
              <w:rPr>
                <w:rFonts w:cs="Arial"/>
                <w:color w:val="000000"/>
                <w:sz w:val="16"/>
                <w:szCs w:val="16"/>
              </w:rPr>
            </w:pPr>
            <w:r>
              <w:rPr>
                <w:rFonts w:cs="Arial"/>
                <w:color w:val="000000"/>
                <w:sz w:val="16"/>
                <w:szCs w:val="16"/>
              </w:rPr>
              <w:t>123,2</w:t>
            </w:r>
          </w:p>
        </w:tc>
        <w:tc>
          <w:tcPr>
            <w:tcW w:w="907" w:type="dxa"/>
            <w:tcBorders>
              <w:top w:val="nil"/>
              <w:left w:val="nil"/>
              <w:bottom w:val="nil"/>
              <w:right w:val="single" w:sz="4" w:space="0" w:color="auto"/>
            </w:tcBorders>
            <w:shd w:val="clear" w:color="auto" w:fill="auto"/>
            <w:noWrap/>
            <w:vAlign w:val="bottom"/>
            <w:hideMark/>
          </w:tcPr>
          <w:p w14:paraId="0BA281E5" w14:textId="3EF6B255" w:rsidR="0097475C" w:rsidRPr="003018A3" w:rsidRDefault="0097475C" w:rsidP="0097475C">
            <w:pPr>
              <w:spacing w:after="0" w:line="240" w:lineRule="auto"/>
              <w:jc w:val="right"/>
              <w:rPr>
                <w:rFonts w:cs="Arial"/>
                <w:color w:val="000000"/>
                <w:sz w:val="16"/>
                <w:szCs w:val="16"/>
              </w:rPr>
            </w:pPr>
            <w:r>
              <w:rPr>
                <w:rFonts w:cs="Arial"/>
                <w:color w:val="000000"/>
                <w:sz w:val="16"/>
                <w:szCs w:val="16"/>
              </w:rPr>
              <w:t>122,1</w:t>
            </w:r>
          </w:p>
        </w:tc>
        <w:tc>
          <w:tcPr>
            <w:tcW w:w="907" w:type="dxa"/>
            <w:tcBorders>
              <w:top w:val="nil"/>
              <w:left w:val="nil"/>
              <w:bottom w:val="nil"/>
              <w:right w:val="nil"/>
            </w:tcBorders>
            <w:shd w:val="clear" w:color="auto" w:fill="auto"/>
            <w:noWrap/>
            <w:vAlign w:val="bottom"/>
            <w:hideMark/>
          </w:tcPr>
          <w:p w14:paraId="745DD321" w14:textId="20EA4C77" w:rsidR="0097475C" w:rsidRPr="003018A3" w:rsidRDefault="0097475C" w:rsidP="0097475C">
            <w:pPr>
              <w:spacing w:after="0" w:line="240" w:lineRule="auto"/>
              <w:jc w:val="right"/>
              <w:rPr>
                <w:rFonts w:cs="Arial"/>
                <w:color w:val="000000"/>
                <w:sz w:val="16"/>
                <w:szCs w:val="16"/>
              </w:rPr>
            </w:pPr>
            <w:r>
              <w:rPr>
                <w:rFonts w:cs="Arial"/>
                <w:color w:val="000000"/>
                <w:sz w:val="16"/>
                <w:szCs w:val="16"/>
              </w:rPr>
              <w:t>56,4</w:t>
            </w:r>
          </w:p>
        </w:tc>
        <w:tc>
          <w:tcPr>
            <w:tcW w:w="907" w:type="dxa"/>
            <w:tcBorders>
              <w:top w:val="nil"/>
              <w:left w:val="nil"/>
              <w:bottom w:val="nil"/>
              <w:right w:val="nil"/>
            </w:tcBorders>
            <w:shd w:val="clear" w:color="auto" w:fill="auto"/>
            <w:noWrap/>
            <w:vAlign w:val="bottom"/>
            <w:hideMark/>
          </w:tcPr>
          <w:p w14:paraId="4E7987E2" w14:textId="038C84EA" w:rsidR="0097475C" w:rsidRPr="003018A3" w:rsidRDefault="0097475C" w:rsidP="0097475C">
            <w:pPr>
              <w:spacing w:after="0" w:line="240" w:lineRule="auto"/>
              <w:jc w:val="right"/>
              <w:rPr>
                <w:rFonts w:cs="Arial"/>
                <w:color w:val="000000"/>
                <w:sz w:val="16"/>
                <w:szCs w:val="16"/>
              </w:rPr>
            </w:pPr>
            <w:r>
              <w:rPr>
                <w:rFonts w:cs="Arial"/>
                <w:color w:val="000000"/>
                <w:sz w:val="16"/>
                <w:szCs w:val="16"/>
              </w:rPr>
              <w:t>52,3</w:t>
            </w:r>
          </w:p>
        </w:tc>
        <w:tc>
          <w:tcPr>
            <w:tcW w:w="907" w:type="dxa"/>
            <w:tcBorders>
              <w:top w:val="nil"/>
              <w:left w:val="nil"/>
              <w:bottom w:val="nil"/>
              <w:right w:val="nil"/>
            </w:tcBorders>
            <w:shd w:val="clear" w:color="auto" w:fill="auto"/>
            <w:noWrap/>
            <w:vAlign w:val="bottom"/>
            <w:hideMark/>
          </w:tcPr>
          <w:p w14:paraId="275EBC59" w14:textId="12CF9BF3" w:rsidR="0097475C" w:rsidRPr="003018A3" w:rsidRDefault="0097475C" w:rsidP="0097475C">
            <w:pPr>
              <w:spacing w:after="0" w:line="240" w:lineRule="auto"/>
              <w:jc w:val="right"/>
              <w:rPr>
                <w:rFonts w:cs="Arial"/>
                <w:color w:val="000000"/>
                <w:sz w:val="16"/>
                <w:szCs w:val="16"/>
              </w:rPr>
            </w:pPr>
            <w:r>
              <w:rPr>
                <w:rFonts w:cs="Arial"/>
                <w:color w:val="000000"/>
                <w:sz w:val="16"/>
                <w:szCs w:val="16"/>
              </w:rPr>
              <w:t>60,5</w:t>
            </w:r>
          </w:p>
        </w:tc>
      </w:tr>
      <w:tr w:rsidR="0097475C" w:rsidRPr="003018A3" w14:paraId="5FCE0CD0" w14:textId="77777777" w:rsidTr="0097475C">
        <w:trPr>
          <w:trHeight w:val="300"/>
        </w:trPr>
        <w:tc>
          <w:tcPr>
            <w:tcW w:w="4195" w:type="dxa"/>
            <w:tcBorders>
              <w:top w:val="nil"/>
              <w:left w:val="nil"/>
              <w:bottom w:val="nil"/>
              <w:right w:val="nil"/>
            </w:tcBorders>
            <w:shd w:val="clear" w:color="auto" w:fill="auto"/>
            <w:noWrap/>
            <w:vAlign w:val="bottom"/>
            <w:hideMark/>
          </w:tcPr>
          <w:p w14:paraId="73C222B7" w14:textId="7745E832" w:rsidR="0097475C" w:rsidRPr="003018A3" w:rsidRDefault="0097475C" w:rsidP="0097475C">
            <w:pPr>
              <w:spacing w:after="0" w:line="240" w:lineRule="auto"/>
              <w:ind w:firstLineChars="200" w:firstLine="320"/>
              <w:rPr>
                <w:rFonts w:cs="Arial"/>
                <w:color w:val="000000"/>
                <w:sz w:val="16"/>
                <w:szCs w:val="16"/>
              </w:rPr>
            </w:pPr>
            <w:r>
              <w:rPr>
                <w:rFonts w:cs="Arial"/>
                <w:color w:val="000000"/>
                <w:sz w:val="16"/>
                <w:szCs w:val="16"/>
              </w:rPr>
              <w:t xml:space="preserve"> jiné nemoci pohybové soustavy</w:t>
            </w:r>
          </w:p>
        </w:tc>
        <w:tc>
          <w:tcPr>
            <w:tcW w:w="907" w:type="dxa"/>
            <w:tcBorders>
              <w:top w:val="nil"/>
              <w:left w:val="single" w:sz="4" w:space="0" w:color="auto"/>
              <w:bottom w:val="nil"/>
              <w:right w:val="nil"/>
            </w:tcBorders>
            <w:shd w:val="clear" w:color="auto" w:fill="auto"/>
            <w:noWrap/>
            <w:vAlign w:val="bottom"/>
            <w:hideMark/>
          </w:tcPr>
          <w:p w14:paraId="79BAC089" w14:textId="52D9BF05" w:rsidR="0097475C" w:rsidRPr="003018A3" w:rsidRDefault="0097475C" w:rsidP="0097475C">
            <w:pPr>
              <w:spacing w:after="0" w:line="240" w:lineRule="auto"/>
              <w:jc w:val="right"/>
              <w:rPr>
                <w:rFonts w:cs="Arial"/>
                <w:color w:val="000000"/>
                <w:sz w:val="16"/>
                <w:szCs w:val="16"/>
              </w:rPr>
            </w:pPr>
            <w:r>
              <w:rPr>
                <w:rFonts w:cs="Arial"/>
                <w:color w:val="000000"/>
                <w:sz w:val="16"/>
                <w:szCs w:val="16"/>
              </w:rPr>
              <w:t>132,1</w:t>
            </w:r>
          </w:p>
        </w:tc>
        <w:tc>
          <w:tcPr>
            <w:tcW w:w="907" w:type="dxa"/>
            <w:tcBorders>
              <w:top w:val="nil"/>
              <w:left w:val="nil"/>
              <w:bottom w:val="nil"/>
              <w:right w:val="nil"/>
            </w:tcBorders>
            <w:shd w:val="clear" w:color="auto" w:fill="auto"/>
            <w:noWrap/>
            <w:vAlign w:val="bottom"/>
            <w:hideMark/>
          </w:tcPr>
          <w:p w14:paraId="0C7943EE" w14:textId="45AC54D9" w:rsidR="0097475C" w:rsidRPr="003018A3" w:rsidRDefault="0097475C" w:rsidP="0097475C">
            <w:pPr>
              <w:spacing w:after="0" w:line="240" w:lineRule="auto"/>
              <w:jc w:val="right"/>
              <w:rPr>
                <w:rFonts w:cs="Arial"/>
                <w:color w:val="000000"/>
                <w:sz w:val="16"/>
                <w:szCs w:val="16"/>
              </w:rPr>
            </w:pPr>
            <w:r>
              <w:rPr>
                <w:rFonts w:cs="Arial"/>
                <w:color w:val="000000"/>
                <w:sz w:val="16"/>
                <w:szCs w:val="16"/>
              </w:rPr>
              <w:t>66,8</w:t>
            </w:r>
          </w:p>
        </w:tc>
        <w:tc>
          <w:tcPr>
            <w:tcW w:w="907" w:type="dxa"/>
            <w:tcBorders>
              <w:top w:val="nil"/>
              <w:left w:val="nil"/>
              <w:bottom w:val="nil"/>
              <w:right w:val="single" w:sz="4" w:space="0" w:color="auto"/>
            </w:tcBorders>
            <w:shd w:val="clear" w:color="auto" w:fill="auto"/>
            <w:noWrap/>
            <w:vAlign w:val="bottom"/>
            <w:hideMark/>
          </w:tcPr>
          <w:p w14:paraId="232FB431" w14:textId="4FF35D26" w:rsidR="0097475C" w:rsidRPr="003018A3" w:rsidRDefault="0097475C" w:rsidP="0097475C">
            <w:pPr>
              <w:spacing w:after="0" w:line="240" w:lineRule="auto"/>
              <w:jc w:val="right"/>
              <w:rPr>
                <w:rFonts w:cs="Arial"/>
                <w:color w:val="000000"/>
                <w:sz w:val="16"/>
                <w:szCs w:val="16"/>
              </w:rPr>
            </w:pPr>
            <w:r>
              <w:rPr>
                <w:rFonts w:cs="Arial"/>
                <w:color w:val="000000"/>
                <w:sz w:val="16"/>
                <w:szCs w:val="16"/>
              </w:rPr>
              <w:t>65,4</w:t>
            </w:r>
          </w:p>
        </w:tc>
        <w:tc>
          <w:tcPr>
            <w:tcW w:w="907" w:type="dxa"/>
            <w:tcBorders>
              <w:top w:val="nil"/>
              <w:left w:val="nil"/>
              <w:bottom w:val="nil"/>
              <w:right w:val="nil"/>
            </w:tcBorders>
            <w:shd w:val="clear" w:color="auto" w:fill="auto"/>
            <w:noWrap/>
            <w:vAlign w:val="bottom"/>
            <w:hideMark/>
          </w:tcPr>
          <w:p w14:paraId="78206E26" w14:textId="06F34799" w:rsidR="0097475C" w:rsidRPr="003018A3" w:rsidRDefault="0097475C" w:rsidP="0097475C">
            <w:pPr>
              <w:spacing w:after="0" w:line="240" w:lineRule="auto"/>
              <w:jc w:val="right"/>
              <w:rPr>
                <w:rFonts w:cs="Arial"/>
                <w:color w:val="000000"/>
                <w:sz w:val="16"/>
                <w:szCs w:val="16"/>
              </w:rPr>
            </w:pPr>
            <w:r>
              <w:rPr>
                <w:rFonts w:cs="Arial"/>
                <w:color w:val="000000"/>
                <w:sz w:val="16"/>
                <w:szCs w:val="16"/>
              </w:rPr>
              <w:t>73,1</w:t>
            </w:r>
          </w:p>
        </w:tc>
        <w:tc>
          <w:tcPr>
            <w:tcW w:w="907" w:type="dxa"/>
            <w:tcBorders>
              <w:top w:val="nil"/>
              <w:left w:val="nil"/>
              <w:bottom w:val="nil"/>
              <w:right w:val="nil"/>
            </w:tcBorders>
            <w:shd w:val="clear" w:color="auto" w:fill="auto"/>
            <w:noWrap/>
            <w:vAlign w:val="bottom"/>
            <w:hideMark/>
          </w:tcPr>
          <w:p w14:paraId="0F2EAA68" w14:textId="4C373765" w:rsidR="0097475C" w:rsidRPr="003018A3" w:rsidRDefault="0097475C" w:rsidP="0097475C">
            <w:pPr>
              <w:spacing w:after="0" w:line="240" w:lineRule="auto"/>
              <w:jc w:val="right"/>
              <w:rPr>
                <w:rFonts w:cs="Arial"/>
                <w:color w:val="000000"/>
                <w:sz w:val="16"/>
                <w:szCs w:val="16"/>
              </w:rPr>
            </w:pPr>
            <w:r>
              <w:rPr>
                <w:rFonts w:cs="Arial"/>
                <w:color w:val="000000"/>
                <w:sz w:val="16"/>
                <w:szCs w:val="16"/>
              </w:rPr>
              <w:t>69,1</w:t>
            </w:r>
          </w:p>
        </w:tc>
        <w:tc>
          <w:tcPr>
            <w:tcW w:w="907" w:type="dxa"/>
            <w:tcBorders>
              <w:top w:val="nil"/>
              <w:left w:val="nil"/>
              <w:bottom w:val="nil"/>
              <w:right w:val="nil"/>
            </w:tcBorders>
            <w:shd w:val="clear" w:color="auto" w:fill="auto"/>
            <w:noWrap/>
            <w:vAlign w:val="bottom"/>
            <w:hideMark/>
          </w:tcPr>
          <w:p w14:paraId="0C4C2257" w14:textId="3F52B1F5" w:rsidR="0097475C" w:rsidRPr="003018A3" w:rsidRDefault="0097475C" w:rsidP="0097475C">
            <w:pPr>
              <w:spacing w:after="0" w:line="240" w:lineRule="auto"/>
              <w:jc w:val="right"/>
              <w:rPr>
                <w:rFonts w:cs="Arial"/>
                <w:color w:val="000000"/>
                <w:sz w:val="16"/>
                <w:szCs w:val="16"/>
              </w:rPr>
            </w:pPr>
            <w:r>
              <w:rPr>
                <w:rFonts w:cs="Arial"/>
                <w:color w:val="000000"/>
                <w:sz w:val="16"/>
                <w:szCs w:val="16"/>
              </w:rPr>
              <w:t>77,2</w:t>
            </w:r>
          </w:p>
        </w:tc>
      </w:tr>
      <w:tr w:rsidR="0097475C" w:rsidRPr="003018A3" w14:paraId="204FA6BD" w14:textId="77777777" w:rsidTr="0097475C">
        <w:trPr>
          <w:trHeight w:val="300"/>
        </w:trPr>
        <w:tc>
          <w:tcPr>
            <w:tcW w:w="4195" w:type="dxa"/>
            <w:tcBorders>
              <w:top w:val="nil"/>
              <w:left w:val="nil"/>
              <w:bottom w:val="nil"/>
              <w:right w:val="nil"/>
            </w:tcBorders>
            <w:shd w:val="clear" w:color="auto" w:fill="auto"/>
            <w:noWrap/>
            <w:vAlign w:val="bottom"/>
            <w:hideMark/>
          </w:tcPr>
          <w:p w14:paraId="7ECE8404" w14:textId="2C5EEB2D" w:rsidR="0097475C" w:rsidRPr="003018A3" w:rsidRDefault="0097475C" w:rsidP="0097475C">
            <w:pPr>
              <w:spacing w:after="0" w:line="240" w:lineRule="auto"/>
              <w:ind w:firstLineChars="100" w:firstLine="160"/>
              <w:rPr>
                <w:rFonts w:cs="Arial"/>
                <w:color w:val="000000"/>
                <w:sz w:val="16"/>
                <w:szCs w:val="16"/>
              </w:rPr>
            </w:pPr>
            <w:r>
              <w:rPr>
                <w:rFonts w:cs="Arial"/>
                <w:color w:val="000000"/>
                <w:sz w:val="16"/>
                <w:szCs w:val="16"/>
              </w:rPr>
              <w:t>Nemoci močové a pohlavní soustavy</w:t>
            </w:r>
          </w:p>
        </w:tc>
        <w:tc>
          <w:tcPr>
            <w:tcW w:w="907" w:type="dxa"/>
            <w:tcBorders>
              <w:top w:val="nil"/>
              <w:left w:val="single" w:sz="4" w:space="0" w:color="auto"/>
              <w:bottom w:val="nil"/>
              <w:right w:val="nil"/>
            </w:tcBorders>
            <w:shd w:val="clear" w:color="auto" w:fill="auto"/>
            <w:noWrap/>
            <w:vAlign w:val="bottom"/>
            <w:hideMark/>
          </w:tcPr>
          <w:p w14:paraId="53AB8257" w14:textId="154126B8" w:rsidR="0097475C" w:rsidRPr="003018A3" w:rsidRDefault="0097475C" w:rsidP="0097475C">
            <w:pPr>
              <w:spacing w:after="0" w:line="240" w:lineRule="auto"/>
              <w:jc w:val="right"/>
              <w:rPr>
                <w:rFonts w:cs="Arial"/>
                <w:color w:val="000000"/>
                <w:sz w:val="16"/>
                <w:szCs w:val="16"/>
              </w:rPr>
            </w:pPr>
            <w:r>
              <w:rPr>
                <w:rFonts w:cs="Arial"/>
                <w:color w:val="000000"/>
                <w:sz w:val="16"/>
                <w:szCs w:val="16"/>
              </w:rPr>
              <w:t>83,2</w:t>
            </w:r>
          </w:p>
        </w:tc>
        <w:tc>
          <w:tcPr>
            <w:tcW w:w="907" w:type="dxa"/>
            <w:tcBorders>
              <w:top w:val="nil"/>
              <w:left w:val="nil"/>
              <w:bottom w:val="nil"/>
              <w:right w:val="nil"/>
            </w:tcBorders>
            <w:shd w:val="clear" w:color="auto" w:fill="auto"/>
            <w:noWrap/>
            <w:vAlign w:val="bottom"/>
            <w:hideMark/>
          </w:tcPr>
          <w:p w14:paraId="75B42B3A" w14:textId="1A752FDF" w:rsidR="0097475C" w:rsidRPr="003018A3" w:rsidRDefault="0097475C" w:rsidP="0097475C">
            <w:pPr>
              <w:spacing w:after="0" w:line="240" w:lineRule="auto"/>
              <w:jc w:val="right"/>
              <w:rPr>
                <w:rFonts w:cs="Arial"/>
                <w:color w:val="000000"/>
                <w:sz w:val="16"/>
                <w:szCs w:val="16"/>
              </w:rPr>
            </w:pPr>
            <w:r>
              <w:rPr>
                <w:rFonts w:cs="Arial"/>
                <w:color w:val="000000"/>
                <w:sz w:val="16"/>
                <w:szCs w:val="16"/>
              </w:rPr>
              <w:t>18,3</w:t>
            </w:r>
          </w:p>
        </w:tc>
        <w:tc>
          <w:tcPr>
            <w:tcW w:w="907" w:type="dxa"/>
            <w:tcBorders>
              <w:top w:val="nil"/>
              <w:left w:val="nil"/>
              <w:bottom w:val="nil"/>
              <w:right w:val="single" w:sz="4" w:space="0" w:color="auto"/>
            </w:tcBorders>
            <w:shd w:val="clear" w:color="auto" w:fill="auto"/>
            <w:noWrap/>
            <w:vAlign w:val="bottom"/>
            <w:hideMark/>
          </w:tcPr>
          <w:p w14:paraId="1BEB584B" w14:textId="30AFBB90" w:rsidR="0097475C" w:rsidRPr="003018A3" w:rsidRDefault="0097475C" w:rsidP="0097475C">
            <w:pPr>
              <w:spacing w:after="0" w:line="240" w:lineRule="auto"/>
              <w:jc w:val="right"/>
              <w:rPr>
                <w:rFonts w:cs="Arial"/>
                <w:color w:val="000000"/>
                <w:sz w:val="16"/>
                <w:szCs w:val="16"/>
              </w:rPr>
            </w:pPr>
            <w:r>
              <w:rPr>
                <w:rFonts w:cs="Arial"/>
                <w:color w:val="000000"/>
                <w:sz w:val="16"/>
                <w:szCs w:val="16"/>
              </w:rPr>
              <w:t>64,9</w:t>
            </w:r>
          </w:p>
        </w:tc>
        <w:tc>
          <w:tcPr>
            <w:tcW w:w="907" w:type="dxa"/>
            <w:tcBorders>
              <w:top w:val="nil"/>
              <w:left w:val="nil"/>
              <w:bottom w:val="nil"/>
              <w:right w:val="nil"/>
            </w:tcBorders>
            <w:shd w:val="clear" w:color="auto" w:fill="auto"/>
            <w:noWrap/>
            <w:vAlign w:val="bottom"/>
            <w:hideMark/>
          </w:tcPr>
          <w:p w14:paraId="2EA6F16A" w14:textId="0CDACAE6" w:rsidR="0097475C" w:rsidRPr="003018A3" w:rsidRDefault="0097475C" w:rsidP="0097475C">
            <w:pPr>
              <w:spacing w:after="0" w:line="240" w:lineRule="auto"/>
              <w:jc w:val="right"/>
              <w:rPr>
                <w:rFonts w:cs="Arial"/>
                <w:color w:val="000000"/>
                <w:sz w:val="16"/>
                <w:szCs w:val="16"/>
              </w:rPr>
            </w:pPr>
            <w:r>
              <w:rPr>
                <w:rFonts w:cs="Arial"/>
                <w:color w:val="000000"/>
                <w:sz w:val="16"/>
                <w:szCs w:val="16"/>
              </w:rPr>
              <w:t>28,7</w:t>
            </w:r>
          </w:p>
        </w:tc>
        <w:tc>
          <w:tcPr>
            <w:tcW w:w="907" w:type="dxa"/>
            <w:tcBorders>
              <w:top w:val="nil"/>
              <w:left w:val="nil"/>
              <w:bottom w:val="nil"/>
              <w:right w:val="nil"/>
            </w:tcBorders>
            <w:shd w:val="clear" w:color="auto" w:fill="auto"/>
            <w:noWrap/>
            <w:vAlign w:val="bottom"/>
            <w:hideMark/>
          </w:tcPr>
          <w:p w14:paraId="558843E0" w14:textId="504F3FA6" w:rsidR="0097475C" w:rsidRPr="003018A3" w:rsidRDefault="0097475C" w:rsidP="0097475C">
            <w:pPr>
              <w:spacing w:after="0" w:line="240" w:lineRule="auto"/>
              <w:jc w:val="right"/>
              <w:rPr>
                <w:rFonts w:cs="Arial"/>
                <w:color w:val="000000"/>
                <w:sz w:val="16"/>
                <w:szCs w:val="16"/>
              </w:rPr>
            </w:pPr>
            <w:r>
              <w:rPr>
                <w:rFonts w:cs="Arial"/>
                <w:color w:val="000000"/>
                <w:sz w:val="16"/>
                <w:szCs w:val="16"/>
              </w:rPr>
              <w:t>32,3</w:t>
            </w:r>
          </w:p>
        </w:tc>
        <w:tc>
          <w:tcPr>
            <w:tcW w:w="907" w:type="dxa"/>
            <w:tcBorders>
              <w:top w:val="nil"/>
              <w:left w:val="nil"/>
              <w:bottom w:val="nil"/>
              <w:right w:val="nil"/>
            </w:tcBorders>
            <w:shd w:val="clear" w:color="auto" w:fill="auto"/>
            <w:noWrap/>
            <w:vAlign w:val="bottom"/>
            <w:hideMark/>
          </w:tcPr>
          <w:p w14:paraId="67A0D671" w14:textId="206F3984" w:rsidR="0097475C" w:rsidRPr="003018A3" w:rsidRDefault="0097475C" w:rsidP="0097475C">
            <w:pPr>
              <w:spacing w:after="0" w:line="240" w:lineRule="auto"/>
              <w:jc w:val="right"/>
              <w:rPr>
                <w:rFonts w:cs="Arial"/>
                <w:color w:val="000000"/>
                <w:sz w:val="16"/>
                <w:szCs w:val="16"/>
              </w:rPr>
            </w:pPr>
            <w:r>
              <w:rPr>
                <w:rFonts w:cs="Arial"/>
                <w:color w:val="000000"/>
                <w:sz w:val="16"/>
                <w:szCs w:val="16"/>
              </w:rPr>
              <w:t>27,7</w:t>
            </w:r>
          </w:p>
        </w:tc>
      </w:tr>
      <w:tr w:rsidR="0097475C" w:rsidRPr="003018A3" w14:paraId="4D6239A2" w14:textId="77777777" w:rsidTr="0097475C">
        <w:trPr>
          <w:trHeight w:val="300"/>
        </w:trPr>
        <w:tc>
          <w:tcPr>
            <w:tcW w:w="4195" w:type="dxa"/>
            <w:tcBorders>
              <w:top w:val="nil"/>
              <w:left w:val="nil"/>
              <w:bottom w:val="nil"/>
              <w:right w:val="nil"/>
            </w:tcBorders>
            <w:shd w:val="clear" w:color="auto" w:fill="auto"/>
            <w:noWrap/>
            <w:vAlign w:val="bottom"/>
            <w:hideMark/>
          </w:tcPr>
          <w:p w14:paraId="2ABC538A" w14:textId="642A36E8" w:rsidR="0097475C" w:rsidRPr="003018A3" w:rsidRDefault="0097475C" w:rsidP="0097475C">
            <w:pPr>
              <w:spacing w:after="0" w:line="240" w:lineRule="auto"/>
              <w:ind w:firstLineChars="100" w:firstLine="160"/>
              <w:rPr>
                <w:rFonts w:cs="Arial"/>
                <w:color w:val="000000"/>
                <w:sz w:val="16"/>
                <w:szCs w:val="16"/>
              </w:rPr>
            </w:pPr>
            <w:r>
              <w:rPr>
                <w:rFonts w:cs="Arial"/>
                <w:color w:val="000000"/>
                <w:sz w:val="16"/>
                <w:szCs w:val="16"/>
              </w:rPr>
              <w:t>Těhotenství, porod, šestinedělí</w:t>
            </w:r>
          </w:p>
        </w:tc>
        <w:tc>
          <w:tcPr>
            <w:tcW w:w="907" w:type="dxa"/>
            <w:tcBorders>
              <w:top w:val="nil"/>
              <w:left w:val="single" w:sz="4" w:space="0" w:color="auto"/>
              <w:bottom w:val="nil"/>
              <w:right w:val="nil"/>
            </w:tcBorders>
            <w:shd w:val="clear" w:color="auto" w:fill="auto"/>
            <w:noWrap/>
            <w:vAlign w:val="bottom"/>
            <w:hideMark/>
          </w:tcPr>
          <w:p w14:paraId="15DD956D" w14:textId="2824684B" w:rsidR="0097475C" w:rsidRPr="003018A3" w:rsidRDefault="0097475C" w:rsidP="0097475C">
            <w:pPr>
              <w:spacing w:after="0" w:line="240" w:lineRule="auto"/>
              <w:jc w:val="right"/>
              <w:rPr>
                <w:rFonts w:cs="Arial"/>
                <w:color w:val="000000"/>
                <w:sz w:val="16"/>
                <w:szCs w:val="16"/>
              </w:rPr>
            </w:pPr>
            <w:r>
              <w:rPr>
                <w:rFonts w:cs="Arial"/>
                <w:color w:val="000000"/>
                <w:sz w:val="16"/>
                <w:szCs w:val="16"/>
              </w:rPr>
              <w:t>24,5</w:t>
            </w:r>
          </w:p>
        </w:tc>
        <w:tc>
          <w:tcPr>
            <w:tcW w:w="907" w:type="dxa"/>
            <w:tcBorders>
              <w:top w:val="nil"/>
              <w:left w:val="nil"/>
              <w:bottom w:val="nil"/>
              <w:right w:val="nil"/>
            </w:tcBorders>
            <w:shd w:val="clear" w:color="auto" w:fill="auto"/>
            <w:noWrap/>
            <w:vAlign w:val="bottom"/>
            <w:hideMark/>
          </w:tcPr>
          <w:p w14:paraId="70BA243A" w14:textId="02C929FB" w:rsidR="0097475C" w:rsidRPr="003018A3" w:rsidRDefault="0097475C" w:rsidP="0097475C">
            <w:pPr>
              <w:spacing w:after="0" w:line="240" w:lineRule="auto"/>
              <w:jc w:val="right"/>
              <w:rPr>
                <w:rFonts w:ascii="Calibri" w:hAnsi="Calibri" w:cs="Calibri"/>
                <w:color w:val="000000"/>
                <w:sz w:val="16"/>
                <w:szCs w:val="16"/>
              </w:rPr>
            </w:pPr>
            <w:r>
              <w:rPr>
                <w:rFonts w:cs="Arial"/>
                <w:color w:val="000000"/>
                <w:sz w:val="16"/>
                <w:szCs w:val="16"/>
              </w:rPr>
              <w:t>x</w:t>
            </w:r>
          </w:p>
        </w:tc>
        <w:tc>
          <w:tcPr>
            <w:tcW w:w="907" w:type="dxa"/>
            <w:tcBorders>
              <w:top w:val="nil"/>
              <w:left w:val="nil"/>
              <w:bottom w:val="nil"/>
              <w:right w:val="single" w:sz="4" w:space="0" w:color="auto"/>
            </w:tcBorders>
            <w:shd w:val="clear" w:color="auto" w:fill="auto"/>
            <w:noWrap/>
            <w:vAlign w:val="bottom"/>
            <w:hideMark/>
          </w:tcPr>
          <w:p w14:paraId="300CB6AA" w14:textId="3CEB386F" w:rsidR="0097475C" w:rsidRPr="003018A3" w:rsidRDefault="0097475C" w:rsidP="0097475C">
            <w:pPr>
              <w:spacing w:after="0" w:line="240" w:lineRule="auto"/>
              <w:jc w:val="right"/>
              <w:rPr>
                <w:rFonts w:cs="Arial"/>
                <w:color w:val="000000"/>
                <w:sz w:val="16"/>
                <w:szCs w:val="16"/>
              </w:rPr>
            </w:pPr>
            <w:r>
              <w:rPr>
                <w:rFonts w:cs="Arial"/>
                <w:color w:val="000000"/>
                <w:sz w:val="16"/>
                <w:szCs w:val="16"/>
              </w:rPr>
              <w:t>24,5</w:t>
            </w:r>
          </w:p>
        </w:tc>
        <w:tc>
          <w:tcPr>
            <w:tcW w:w="907" w:type="dxa"/>
            <w:tcBorders>
              <w:top w:val="nil"/>
              <w:left w:val="nil"/>
              <w:bottom w:val="nil"/>
              <w:right w:val="nil"/>
            </w:tcBorders>
            <w:shd w:val="clear" w:color="auto" w:fill="auto"/>
            <w:noWrap/>
            <w:vAlign w:val="bottom"/>
            <w:hideMark/>
          </w:tcPr>
          <w:p w14:paraId="72C85951" w14:textId="19522B47" w:rsidR="0097475C" w:rsidRPr="003018A3" w:rsidRDefault="0097475C" w:rsidP="0097475C">
            <w:pPr>
              <w:spacing w:after="0" w:line="240" w:lineRule="auto"/>
              <w:jc w:val="right"/>
              <w:rPr>
                <w:rFonts w:cs="Arial"/>
                <w:color w:val="000000"/>
                <w:sz w:val="16"/>
                <w:szCs w:val="16"/>
              </w:rPr>
            </w:pPr>
            <w:r>
              <w:rPr>
                <w:rFonts w:cs="Arial"/>
                <w:color w:val="000000"/>
                <w:sz w:val="16"/>
                <w:szCs w:val="16"/>
              </w:rPr>
              <w:t>92,3</w:t>
            </w:r>
          </w:p>
        </w:tc>
        <w:tc>
          <w:tcPr>
            <w:tcW w:w="907" w:type="dxa"/>
            <w:tcBorders>
              <w:top w:val="nil"/>
              <w:left w:val="nil"/>
              <w:bottom w:val="nil"/>
              <w:right w:val="nil"/>
            </w:tcBorders>
            <w:shd w:val="clear" w:color="auto" w:fill="auto"/>
            <w:noWrap/>
            <w:vAlign w:val="bottom"/>
            <w:hideMark/>
          </w:tcPr>
          <w:p w14:paraId="0B177629" w14:textId="0D172034" w:rsidR="0097475C" w:rsidRPr="003018A3" w:rsidRDefault="0097475C" w:rsidP="0097475C">
            <w:pPr>
              <w:spacing w:after="0" w:line="240" w:lineRule="auto"/>
              <w:jc w:val="right"/>
              <w:rPr>
                <w:rFonts w:cs="Arial"/>
                <w:color w:val="000000"/>
                <w:sz w:val="16"/>
                <w:szCs w:val="16"/>
              </w:rPr>
            </w:pPr>
            <w:r>
              <w:rPr>
                <w:rFonts w:ascii="Calibri" w:hAnsi="Calibri" w:cs="Calibri"/>
                <w:color w:val="000000"/>
                <w:sz w:val="16"/>
                <w:szCs w:val="16"/>
              </w:rPr>
              <w:t>x</w:t>
            </w:r>
          </w:p>
        </w:tc>
        <w:tc>
          <w:tcPr>
            <w:tcW w:w="907" w:type="dxa"/>
            <w:tcBorders>
              <w:top w:val="nil"/>
              <w:left w:val="nil"/>
              <w:bottom w:val="nil"/>
              <w:right w:val="nil"/>
            </w:tcBorders>
            <w:shd w:val="clear" w:color="auto" w:fill="auto"/>
            <w:noWrap/>
            <w:vAlign w:val="bottom"/>
            <w:hideMark/>
          </w:tcPr>
          <w:p w14:paraId="1E1CAE95" w14:textId="35E65DC0" w:rsidR="0097475C" w:rsidRPr="003018A3" w:rsidRDefault="0097475C" w:rsidP="0097475C">
            <w:pPr>
              <w:spacing w:after="0" w:line="240" w:lineRule="auto"/>
              <w:jc w:val="right"/>
              <w:rPr>
                <w:rFonts w:cs="Arial"/>
                <w:color w:val="000000"/>
                <w:sz w:val="16"/>
                <w:szCs w:val="16"/>
              </w:rPr>
            </w:pPr>
            <w:r>
              <w:rPr>
                <w:rFonts w:cs="Arial"/>
                <w:color w:val="000000"/>
                <w:sz w:val="16"/>
                <w:szCs w:val="16"/>
              </w:rPr>
              <w:t>92,3</w:t>
            </w:r>
          </w:p>
        </w:tc>
      </w:tr>
      <w:tr w:rsidR="0097475C" w:rsidRPr="003018A3" w14:paraId="1654C1EB" w14:textId="77777777" w:rsidTr="0097475C">
        <w:trPr>
          <w:trHeight w:val="300"/>
        </w:trPr>
        <w:tc>
          <w:tcPr>
            <w:tcW w:w="4195" w:type="dxa"/>
            <w:tcBorders>
              <w:top w:val="nil"/>
              <w:left w:val="nil"/>
              <w:bottom w:val="nil"/>
              <w:right w:val="nil"/>
            </w:tcBorders>
            <w:shd w:val="clear" w:color="auto" w:fill="auto"/>
            <w:noWrap/>
            <w:vAlign w:val="bottom"/>
            <w:hideMark/>
          </w:tcPr>
          <w:p w14:paraId="4C49DBD6" w14:textId="6CFA0AD2" w:rsidR="0097475C" w:rsidRPr="003018A3" w:rsidRDefault="0097475C" w:rsidP="0097475C">
            <w:pPr>
              <w:spacing w:after="0" w:line="240" w:lineRule="auto"/>
              <w:ind w:firstLineChars="100" w:firstLine="160"/>
              <w:rPr>
                <w:rFonts w:cs="Arial"/>
                <w:color w:val="000000"/>
                <w:sz w:val="16"/>
                <w:szCs w:val="16"/>
              </w:rPr>
            </w:pPr>
            <w:r>
              <w:rPr>
                <w:rFonts w:cs="Arial"/>
                <w:color w:val="000000"/>
                <w:sz w:val="16"/>
                <w:szCs w:val="16"/>
              </w:rPr>
              <w:t>Úrazy, otravy</w:t>
            </w:r>
          </w:p>
        </w:tc>
        <w:tc>
          <w:tcPr>
            <w:tcW w:w="907" w:type="dxa"/>
            <w:tcBorders>
              <w:top w:val="nil"/>
              <w:left w:val="single" w:sz="4" w:space="0" w:color="auto"/>
              <w:bottom w:val="nil"/>
              <w:right w:val="nil"/>
            </w:tcBorders>
            <w:shd w:val="clear" w:color="auto" w:fill="auto"/>
            <w:noWrap/>
            <w:vAlign w:val="bottom"/>
            <w:hideMark/>
          </w:tcPr>
          <w:p w14:paraId="48836E5E" w14:textId="310DC514" w:rsidR="0097475C" w:rsidRPr="003018A3" w:rsidRDefault="0097475C" w:rsidP="0097475C">
            <w:pPr>
              <w:spacing w:after="0" w:line="240" w:lineRule="auto"/>
              <w:jc w:val="right"/>
              <w:rPr>
                <w:rFonts w:cs="Arial"/>
                <w:color w:val="000000"/>
                <w:sz w:val="16"/>
                <w:szCs w:val="16"/>
              </w:rPr>
            </w:pPr>
            <w:r>
              <w:rPr>
                <w:rFonts w:cs="Arial"/>
                <w:color w:val="000000"/>
                <w:sz w:val="16"/>
                <w:szCs w:val="16"/>
              </w:rPr>
              <w:t>201,0</w:t>
            </w:r>
          </w:p>
        </w:tc>
        <w:tc>
          <w:tcPr>
            <w:tcW w:w="907" w:type="dxa"/>
            <w:tcBorders>
              <w:top w:val="nil"/>
              <w:left w:val="nil"/>
              <w:bottom w:val="nil"/>
              <w:right w:val="nil"/>
            </w:tcBorders>
            <w:shd w:val="clear" w:color="auto" w:fill="auto"/>
            <w:noWrap/>
            <w:vAlign w:val="bottom"/>
            <w:hideMark/>
          </w:tcPr>
          <w:p w14:paraId="752DECE1" w14:textId="6FBA2879" w:rsidR="0097475C" w:rsidRPr="003018A3" w:rsidRDefault="0097475C" w:rsidP="0097475C">
            <w:pPr>
              <w:spacing w:after="0" w:line="240" w:lineRule="auto"/>
              <w:jc w:val="right"/>
              <w:rPr>
                <w:rFonts w:cs="Arial"/>
                <w:color w:val="000000"/>
                <w:sz w:val="16"/>
                <w:szCs w:val="16"/>
              </w:rPr>
            </w:pPr>
            <w:r>
              <w:rPr>
                <w:rFonts w:cs="Arial"/>
                <w:color w:val="000000"/>
                <w:sz w:val="16"/>
                <w:szCs w:val="16"/>
              </w:rPr>
              <w:t>123,4</w:t>
            </w:r>
          </w:p>
        </w:tc>
        <w:tc>
          <w:tcPr>
            <w:tcW w:w="907" w:type="dxa"/>
            <w:tcBorders>
              <w:top w:val="nil"/>
              <w:left w:val="nil"/>
              <w:bottom w:val="nil"/>
              <w:right w:val="single" w:sz="4" w:space="0" w:color="auto"/>
            </w:tcBorders>
            <w:shd w:val="clear" w:color="auto" w:fill="auto"/>
            <w:noWrap/>
            <w:vAlign w:val="bottom"/>
            <w:hideMark/>
          </w:tcPr>
          <w:p w14:paraId="7DE560AE" w14:textId="155EF5CD" w:rsidR="0097475C" w:rsidRPr="003018A3" w:rsidRDefault="0097475C" w:rsidP="0097475C">
            <w:pPr>
              <w:spacing w:after="0" w:line="240" w:lineRule="auto"/>
              <w:jc w:val="right"/>
              <w:rPr>
                <w:rFonts w:cs="Arial"/>
                <w:color w:val="000000"/>
                <w:sz w:val="16"/>
                <w:szCs w:val="16"/>
              </w:rPr>
            </w:pPr>
            <w:r>
              <w:rPr>
                <w:rFonts w:cs="Arial"/>
                <w:color w:val="000000"/>
                <w:sz w:val="16"/>
                <w:szCs w:val="16"/>
              </w:rPr>
              <w:t>77,6</w:t>
            </w:r>
          </w:p>
        </w:tc>
        <w:tc>
          <w:tcPr>
            <w:tcW w:w="907" w:type="dxa"/>
            <w:tcBorders>
              <w:top w:val="nil"/>
              <w:left w:val="nil"/>
              <w:bottom w:val="nil"/>
              <w:right w:val="nil"/>
            </w:tcBorders>
            <w:shd w:val="clear" w:color="auto" w:fill="auto"/>
            <w:noWrap/>
            <w:vAlign w:val="bottom"/>
            <w:hideMark/>
          </w:tcPr>
          <w:p w14:paraId="63BAF79B" w14:textId="182BE4C1" w:rsidR="0097475C" w:rsidRPr="003018A3" w:rsidRDefault="0097475C" w:rsidP="0097475C">
            <w:pPr>
              <w:spacing w:after="0" w:line="240" w:lineRule="auto"/>
              <w:jc w:val="right"/>
              <w:rPr>
                <w:rFonts w:cs="Arial"/>
                <w:color w:val="000000"/>
                <w:sz w:val="16"/>
                <w:szCs w:val="16"/>
              </w:rPr>
            </w:pPr>
            <w:r>
              <w:rPr>
                <w:rFonts w:cs="Arial"/>
                <w:color w:val="000000"/>
                <w:sz w:val="16"/>
                <w:szCs w:val="16"/>
              </w:rPr>
              <w:t>51,7</w:t>
            </w:r>
          </w:p>
        </w:tc>
        <w:tc>
          <w:tcPr>
            <w:tcW w:w="907" w:type="dxa"/>
            <w:tcBorders>
              <w:top w:val="nil"/>
              <w:left w:val="nil"/>
              <w:bottom w:val="nil"/>
              <w:right w:val="nil"/>
            </w:tcBorders>
            <w:shd w:val="clear" w:color="auto" w:fill="auto"/>
            <w:noWrap/>
            <w:vAlign w:val="bottom"/>
            <w:hideMark/>
          </w:tcPr>
          <w:p w14:paraId="16B9F404" w14:textId="283E1025" w:rsidR="0097475C" w:rsidRPr="003018A3" w:rsidRDefault="0097475C" w:rsidP="0097475C">
            <w:pPr>
              <w:spacing w:after="0" w:line="240" w:lineRule="auto"/>
              <w:jc w:val="right"/>
              <w:rPr>
                <w:rFonts w:cs="Arial"/>
                <w:color w:val="000000"/>
                <w:sz w:val="16"/>
                <w:szCs w:val="16"/>
              </w:rPr>
            </w:pPr>
            <w:r>
              <w:rPr>
                <w:rFonts w:cs="Arial"/>
                <w:color w:val="000000"/>
                <w:sz w:val="16"/>
                <w:szCs w:val="16"/>
              </w:rPr>
              <w:t>50,6</w:t>
            </w:r>
          </w:p>
        </w:tc>
        <w:tc>
          <w:tcPr>
            <w:tcW w:w="907" w:type="dxa"/>
            <w:tcBorders>
              <w:top w:val="nil"/>
              <w:left w:val="nil"/>
              <w:bottom w:val="nil"/>
              <w:right w:val="nil"/>
            </w:tcBorders>
            <w:shd w:val="clear" w:color="auto" w:fill="auto"/>
            <w:noWrap/>
            <w:vAlign w:val="bottom"/>
            <w:hideMark/>
          </w:tcPr>
          <w:p w14:paraId="76D2F6D8" w14:textId="0415B670" w:rsidR="0097475C" w:rsidRPr="003018A3" w:rsidRDefault="0097475C" w:rsidP="0097475C">
            <w:pPr>
              <w:spacing w:after="0" w:line="240" w:lineRule="auto"/>
              <w:jc w:val="right"/>
              <w:rPr>
                <w:rFonts w:cs="Arial"/>
                <w:color w:val="000000"/>
                <w:sz w:val="16"/>
                <w:szCs w:val="16"/>
              </w:rPr>
            </w:pPr>
            <w:r>
              <w:rPr>
                <w:rFonts w:cs="Arial"/>
                <w:color w:val="000000"/>
                <w:sz w:val="16"/>
                <w:szCs w:val="16"/>
              </w:rPr>
              <w:t>53,5</w:t>
            </w:r>
          </w:p>
        </w:tc>
      </w:tr>
      <w:tr w:rsidR="0097475C" w:rsidRPr="003018A3" w14:paraId="58C90F5E" w14:textId="77777777" w:rsidTr="0097475C">
        <w:trPr>
          <w:trHeight w:val="300"/>
        </w:trPr>
        <w:tc>
          <w:tcPr>
            <w:tcW w:w="4195" w:type="dxa"/>
            <w:tcBorders>
              <w:top w:val="nil"/>
              <w:left w:val="nil"/>
              <w:bottom w:val="nil"/>
              <w:right w:val="nil"/>
            </w:tcBorders>
            <w:shd w:val="clear" w:color="auto" w:fill="auto"/>
            <w:noWrap/>
            <w:vAlign w:val="bottom"/>
            <w:hideMark/>
          </w:tcPr>
          <w:p w14:paraId="4CA01B2E" w14:textId="5D167DDB" w:rsidR="0097475C" w:rsidRPr="003018A3" w:rsidRDefault="0097475C" w:rsidP="0097475C">
            <w:pPr>
              <w:spacing w:after="0" w:line="240" w:lineRule="auto"/>
              <w:ind w:firstLineChars="100" w:firstLine="160"/>
              <w:rPr>
                <w:rFonts w:cs="Arial"/>
                <w:color w:val="000000"/>
                <w:sz w:val="16"/>
                <w:szCs w:val="16"/>
              </w:rPr>
            </w:pPr>
            <w:r>
              <w:rPr>
                <w:rFonts w:cs="Arial"/>
                <w:color w:val="000000"/>
                <w:sz w:val="16"/>
                <w:szCs w:val="16"/>
              </w:rPr>
              <w:t>Nemoci ostatní</w:t>
            </w:r>
          </w:p>
        </w:tc>
        <w:tc>
          <w:tcPr>
            <w:tcW w:w="907" w:type="dxa"/>
            <w:tcBorders>
              <w:top w:val="nil"/>
              <w:left w:val="single" w:sz="4" w:space="0" w:color="auto"/>
              <w:bottom w:val="nil"/>
              <w:right w:val="nil"/>
            </w:tcBorders>
            <w:shd w:val="clear" w:color="auto" w:fill="auto"/>
            <w:noWrap/>
            <w:vAlign w:val="bottom"/>
            <w:hideMark/>
          </w:tcPr>
          <w:p w14:paraId="353F8024" w14:textId="3AAC6930" w:rsidR="0097475C" w:rsidRPr="003018A3" w:rsidRDefault="0097475C" w:rsidP="0097475C">
            <w:pPr>
              <w:spacing w:after="0" w:line="240" w:lineRule="auto"/>
              <w:jc w:val="right"/>
              <w:rPr>
                <w:rFonts w:cs="Arial"/>
                <w:color w:val="000000"/>
                <w:sz w:val="16"/>
                <w:szCs w:val="16"/>
              </w:rPr>
            </w:pPr>
            <w:r>
              <w:rPr>
                <w:rFonts w:cs="Arial"/>
                <w:color w:val="000000"/>
                <w:sz w:val="16"/>
                <w:szCs w:val="16"/>
              </w:rPr>
              <w:t>423,9</w:t>
            </w:r>
          </w:p>
        </w:tc>
        <w:tc>
          <w:tcPr>
            <w:tcW w:w="907" w:type="dxa"/>
            <w:tcBorders>
              <w:top w:val="nil"/>
              <w:left w:val="nil"/>
              <w:bottom w:val="nil"/>
              <w:right w:val="nil"/>
            </w:tcBorders>
            <w:shd w:val="clear" w:color="auto" w:fill="auto"/>
            <w:noWrap/>
            <w:vAlign w:val="bottom"/>
            <w:hideMark/>
          </w:tcPr>
          <w:p w14:paraId="6023A30B" w14:textId="1A1C058A" w:rsidR="0097475C" w:rsidRPr="003018A3" w:rsidRDefault="0097475C" w:rsidP="0097475C">
            <w:pPr>
              <w:spacing w:after="0" w:line="240" w:lineRule="auto"/>
              <w:jc w:val="right"/>
              <w:rPr>
                <w:rFonts w:cs="Arial"/>
                <w:color w:val="000000"/>
                <w:sz w:val="16"/>
                <w:szCs w:val="16"/>
              </w:rPr>
            </w:pPr>
            <w:r>
              <w:rPr>
                <w:rFonts w:cs="Arial"/>
                <w:color w:val="000000"/>
                <w:sz w:val="16"/>
                <w:szCs w:val="16"/>
              </w:rPr>
              <w:t>169,4</w:t>
            </w:r>
          </w:p>
        </w:tc>
        <w:tc>
          <w:tcPr>
            <w:tcW w:w="907" w:type="dxa"/>
            <w:tcBorders>
              <w:top w:val="nil"/>
              <w:left w:val="nil"/>
              <w:bottom w:val="nil"/>
              <w:right w:val="single" w:sz="4" w:space="0" w:color="auto"/>
            </w:tcBorders>
            <w:shd w:val="clear" w:color="auto" w:fill="auto"/>
            <w:noWrap/>
            <w:vAlign w:val="bottom"/>
            <w:hideMark/>
          </w:tcPr>
          <w:p w14:paraId="5232BF27" w14:textId="58F909B4" w:rsidR="0097475C" w:rsidRPr="003018A3" w:rsidRDefault="0097475C" w:rsidP="0097475C">
            <w:pPr>
              <w:spacing w:after="0" w:line="240" w:lineRule="auto"/>
              <w:jc w:val="right"/>
              <w:rPr>
                <w:rFonts w:cs="Arial"/>
                <w:color w:val="000000"/>
                <w:sz w:val="16"/>
                <w:szCs w:val="16"/>
              </w:rPr>
            </w:pPr>
            <w:r>
              <w:rPr>
                <w:rFonts w:cs="Arial"/>
                <w:color w:val="000000"/>
                <w:sz w:val="16"/>
                <w:szCs w:val="16"/>
              </w:rPr>
              <w:t>254,5</w:t>
            </w:r>
          </w:p>
        </w:tc>
        <w:tc>
          <w:tcPr>
            <w:tcW w:w="907" w:type="dxa"/>
            <w:tcBorders>
              <w:top w:val="nil"/>
              <w:left w:val="nil"/>
              <w:bottom w:val="nil"/>
              <w:right w:val="nil"/>
            </w:tcBorders>
            <w:shd w:val="clear" w:color="auto" w:fill="auto"/>
            <w:noWrap/>
            <w:vAlign w:val="bottom"/>
            <w:hideMark/>
          </w:tcPr>
          <w:p w14:paraId="7FDC130E" w14:textId="50FAF65F" w:rsidR="0097475C" w:rsidRPr="003018A3" w:rsidRDefault="0097475C" w:rsidP="0097475C">
            <w:pPr>
              <w:spacing w:after="0" w:line="240" w:lineRule="auto"/>
              <w:jc w:val="right"/>
              <w:rPr>
                <w:rFonts w:cs="Arial"/>
                <w:color w:val="000000"/>
                <w:sz w:val="16"/>
                <w:szCs w:val="16"/>
              </w:rPr>
            </w:pPr>
            <w:r>
              <w:rPr>
                <w:rFonts w:cs="Arial"/>
                <w:color w:val="000000"/>
                <w:sz w:val="16"/>
                <w:szCs w:val="16"/>
              </w:rPr>
              <w:t>21,2</w:t>
            </w:r>
          </w:p>
        </w:tc>
        <w:tc>
          <w:tcPr>
            <w:tcW w:w="907" w:type="dxa"/>
            <w:tcBorders>
              <w:top w:val="nil"/>
              <w:left w:val="nil"/>
              <w:bottom w:val="nil"/>
              <w:right w:val="nil"/>
            </w:tcBorders>
            <w:shd w:val="clear" w:color="auto" w:fill="auto"/>
            <w:noWrap/>
            <w:vAlign w:val="bottom"/>
            <w:hideMark/>
          </w:tcPr>
          <w:p w14:paraId="38D402C3" w14:textId="6048CD95" w:rsidR="0097475C" w:rsidRPr="003018A3" w:rsidRDefault="0097475C" w:rsidP="0097475C">
            <w:pPr>
              <w:spacing w:after="0" w:line="240" w:lineRule="auto"/>
              <w:jc w:val="right"/>
              <w:rPr>
                <w:rFonts w:cs="Arial"/>
                <w:color w:val="000000"/>
                <w:sz w:val="16"/>
                <w:szCs w:val="16"/>
              </w:rPr>
            </w:pPr>
            <w:r>
              <w:rPr>
                <w:rFonts w:cs="Arial"/>
                <w:color w:val="000000"/>
                <w:sz w:val="16"/>
                <w:szCs w:val="16"/>
              </w:rPr>
              <w:t>19,3</w:t>
            </w:r>
          </w:p>
        </w:tc>
        <w:tc>
          <w:tcPr>
            <w:tcW w:w="907" w:type="dxa"/>
            <w:tcBorders>
              <w:top w:val="nil"/>
              <w:left w:val="nil"/>
              <w:bottom w:val="nil"/>
              <w:right w:val="nil"/>
            </w:tcBorders>
            <w:shd w:val="clear" w:color="auto" w:fill="auto"/>
            <w:noWrap/>
            <w:vAlign w:val="bottom"/>
            <w:hideMark/>
          </w:tcPr>
          <w:p w14:paraId="387AC44A" w14:textId="7B3D68DB" w:rsidR="0097475C" w:rsidRPr="003018A3" w:rsidRDefault="0097475C" w:rsidP="0097475C">
            <w:pPr>
              <w:spacing w:after="0" w:line="240" w:lineRule="auto"/>
              <w:jc w:val="right"/>
              <w:rPr>
                <w:rFonts w:cs="Arial"/>
                <w:color w:val="000000"/>
                <w:sz w:val="16"/>
                <w:szCs w:val="16"/>
              </w:rPr>
            </w:pPr>
            <w:r>
              <w:rPr>
                <w:rFonts w:cs="Arial"/>
                <w:color w:val="000000"/>
                <w:sz w:val="16"/>
                <w:szCs w:val="16"/>
              </w:rPr>
              <w:t>22,5</w:t>
            </w:r>
          </w:p>
        </w:tc>
      </w:tr>
    </w:tbl>
    <w:p w14:paraId="345F63BD" w14:textId="77777777" w:rsidR="0097475C" w:rsidRPr="003018A3" w:rsidRDefault="0097475C" w:rsidP="0097475C">
      <w:pPr>
        <w:spacing w:before="120"/>
        <w:rPr>
          <w:sz w:val="16"/>
        </w:rPr>
      </w:pPr>
      <w:r w:rsidRPr="003018A3">
        <w:rPr>
          <w:sz w:val="16"/>
        </w:rPr>
        <w:t>Zdroj: ČSSZ</w:t>
      </w:r>
    </w:p>
    <w:p w14:paraId="64D24A0E" w14:textId="77777777" w:rsidR="00344573" w:rsidRDefault="00344573">
      <w:pPr>
        <w:spacing w:after="0" w:line="240" w:lineRule="auto"/>
        <w:rPr>
          <w:b/>
        </w:rPr>
      </w:pPr>
      <w:r>
        <w:rPr>
          <w:b/>
        </w:rPr>
        <w:br w:type="page"/>
      </w:r>
    </w:p>
    <w:p w14:paraId="2D81A075" w14:textId="6D47569A" w:rsidR="0097475C" w:rsidRDefault="00C20328" w:rsidP="00D744C7">
      <w:pPr>
        <w:spacing w:before="120" w:after="120"/>
        <w:jc w:val="both"/>
        <w:rPr>
          <w:b/>
        </w:rPr>
      </w:pPr>
      <w:r w:rsidRPr="00C20328">
        <w:rPr>
          <w:b/>
        </w:rPr>
        <w:lastRenderedPageBreak/>
        <w:t>Graf 3.1: Struktura ukončených případů dočasné pracovní neschopnosti podle skupin diagnóz, 2023</w:t>
      </w:r>
    </w:p>
    <w:p w14:paraId="3F43E767" w14:textId="40A8D105" w:rsidR="00C20328" w:rsidRDefault="00C20328" w:rsidP="00D744C7">
      <w:pPr>
        <w:spacing w:before="120" w:after="120"/>
        <w:jc w:val="both"/>
        <w:rPr>
          <w:b/>
        </w:rPr>
      </w:pPr>
      <w:r>
        <w:rPr>
          <w:noProof/>
        </w:rPr>
        <w:drawing>
          <wp:inline distT="0" distB="0" distL="0" distR="0" wp14:anchorId="2FB35066" wp14:editId="4C164CDF">
            <wp:extent cx="6400800" cy="2619375"/>
            <wp:effectExtent l="0" t="0" r="0" b="9525"/>
            <wp:docPr id="40" name="Graf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324C326" w14:textId="0F91E59F" w:rsidR="00C20328" w:rsidRDefault="00C20328" w:rsidP="00C20328">
      <w:pPr>
        <w:spacing w:before="120"/>
        <w:rPr>
          <w:sz w:val="16"/>
        </w:rPr>
      </w:pPr>
      <w:r w:rsidRPr="003018A3">
        <w:rPr>
          <w:sz w:val="16"/>
        </w:rPr>
        <w:t>Zdroj: ČSSZ</w:t>
      </w:r>
    </w:p>
    <w:p w14:paraId="7A09CA2B" w14:textId="77777777" w:rsidR="00B27E3C" w:rsidRPr="00E755F7" w:rsidRDefault="00B27E3C" w:rsidP="003E1B21">
      <w:pPr>
        <w:pStyle w:val="Nadpis3"/>
        <w:numPr>
          <w:ilvl w:val="1"/>
          <w:numId w:val="29"/>
        </w:numPr>
        <w:spacing w:after="120"/>
        <w:ind w:left="426" w:hanging="426"/>
      </w:pPr>
      <w:bookmarkStart w:id="32" w:name="_Toc54262804"/>
      <w:bookmarkStart w:id="33" w:name="_Toc149295406"/>
      <w:bookmarkStart w:id="34" w:name="_Toc167965229"/>
      <w:r w:rsidRPr="00E755F7">
        <w:t>Výdaje na dávky nemocenské</w:t>
      </w:r>
      <w:bookmarkEnd w:id="32"/>
      <w:r w:rsidRPr="00E755F7">
        <w:t>ho pojištění</w:t>
      </w:r>
      <w:bookmarkEnd w:id="33"/>
      <w:bookmarkEnd w:id="34"/>
    </w:p>
    <w:p w14:paraId="649DD3AC" w14:textId="77777777" w:rsidR="00B27E3C" w:rsidRPr="00251BF8" w:rsidRDefault="00B27E3C" w:rsidP="00B27E3C">
      <w:pPr>
        <w:spacing w:before="120" w:after="120"/>
        <w:jc w:val="both"/>
      </w:pPr>
      <w:r w:rsidRPr="00251BF8">
        <w:t>Systém nemocenského pojištění je určen pro výdělečně činné osoby, které při ztrátě příjmu v případech tzv. krátkodobých sociálních událostí zabezpečuje peněžitými dávkami nemocenského pojištění.</w:t>
      </w:r>
    </w:p>
    <w:p w14:paraId="15CE57A9" w14:textId="77777777" w:rsidR="00B27E3C" w:rsidRPr="00251BF8" w:rsidRDefault="00B27E3C" w:rsidP="00B27E3C">
      <w:pPr>
        <w:spacing w:after="60"/>
        <w:jc w:val="both"/>
      </w:pPr>
      <w:r w:rsidRPr="00251BF8">
        <w:t>Z nemocenského pojištění se poskytuje 6 peněžitých dávek, a to:</w:t>
      </w:r>
    </w:p>
    <w:p w14:paraId="2805B0A2" w14:textId="77777777" w:rsidR="00B27E3C" w:rsidRPr="00251BF8" w:rsidRDefault="00B27E3C" w:rsidP="00B27E3C">
      <w:pPr>
        <w:pStyle w:val="Odstavecseseznamem"/>
        <w:numPr>
          <w:ilvl w:val="0"/>
          <w:numId w:val="30"/>
        </w:numPr>
        <w:spacing w:after="0"/>
        <w:jc w:val="both"/>
      </w:pPr>
      <w:r w:rsidRPr="00251BF8">
        <w:t>nemocenské,</w:t>
      </w:r>
    </w:p>
    <w:p w14:paraId="7D560034" w14:textId="77777777" w:rsidR="00B27E3C" w:rsidRPr="00251BF8" w:rsidRDefault="00B27E3C" w:rsidP="00B27E3C">
      <w:pPr>
        <w:pStyle w:val="Odstavecseseznamem"/>
        <w:numPr>
          <w:ilvl w:val="0"/>
          <w:numId w:val="30"/>
        </w:numPr>
        <w:spacing w:after="0"/>
        <w:jc w:val="both"/>
      </w:pPr>
      <w:r w:rsidRPr="00251BF8">
        <w:t>peněžitá pomoc v mateřství,</w:t>
      </w:r>
    </w:p>
    <w:p w14:paraId="6752C46C" w14:textId="77777777" w:rsidR="00B27E3C" w:rsidRPr="00251BF8" w:rsidRDefault="00B27E3C" w:rsidP="00B27E3C">
      <w:pPr>
        <w:pStyle w:val="Odstavecseseznamem"/>
        <w:numPr>
          <w:ilvl w:val="0"/>
          <w:numId w:val="30"/>
        </w:numPr>
        <w:spacing w:after="0"/>
        <w:jc w:val="both"/>
      </w:pPr>
      <w:r w:rsidRPr="00251BF8">
        <w:t>ošetřovné,</w:t>
      </w:r>
    </w:p>
    <w:p w14:paraId="6D46550C" w14:textId="77777777" w:rsidR="00B27E3C" w:rsidRPr="00251BF8" w:rsidRDefault="00B27E3C" w:rsidP="00B27E3C">
      <w:pPr>
        <w:pStyle w:val="Odstavecseseznamem"/>
        <w:numPr>
          <w:ilvl w:val="0"/>
          <w:numId w:val="30"/>
        </w:numPr>
        <w:spacing w:after="0"/>
        <w:jc w:val="both"/>
      </w:pPr>
      <w:r w:rsidRPr="00251BF8">
        <w:t>vyrovnávací příspěvek v těhotenství a mateřství,</w:t>
      </w:r>
    </w:p>
    <w:p w14:paraId="3E39AA31" w14:textId="77777777" w:rsidR="00B27E3C" w:rsidRPr="00251BF8" w:rsidRDefault="00B27E3C" w:rsidP="00B27E3C">
      <w:pPr>
        <w:pStyle w:val="Odstavecseseznamem"/>
        <w:numPr>
          <w:ilvl w:val="0"/>
          <w:numId w:val="30"/>
        </w:numPr>
        <w:spacing w:after="0"/>
        <w:jc w:val="both"/>
      </w:pPr>
      <w:r w:rsidRPr="00251BF8">
        <w:t>dávka otcovské poporodní péče (tzv. otcovská),</w:t>
      </w:r>
    </w:p>
    <w:p w14:paraId="4542E4F4" w14:textId="77777777" w:rsidR="00B27E3C" w:rsidRPr="00251BF8" w:rsidRDefault="00B27E3C" w:rsidP="00B27E3C">
      <w:pPr>
        <w:pStyle w:val="Odstavecseseznamem"/>
        <w:numPr>
          <w:ilvl w:val="0"/>
          <w:numId w:val="30"/>
        </w:numPr>
        <w:spacing w:after="60"/>
        <w:ind w:left="714" w:hanging="357"/>
        <w:contextualSpacing w:val="0"/>
        <w:jc w:val="both"/>
      </w:pPr>
      <w:r w:rsidRPr="00251BF8">
        <w:t>dlouhodobé ošetřovné.</w:t>
      </w:r>
    </w:p>
    <w:p w14:paraId="32564599" w14:textId="77777777" w:rsidR="00B27E3C" w:rsidRPr="00EE4F26" w:rsidRDefault="00B27E3C" w:rsidP="00B27E3C">
      <w:pPr>
        <w:spacing w:before="120" w:after="120"/>
        <w:jc w:val="both"/>
      </w:pPr>
      <w:r w:rsidRPr="00251BF8">
        <w:t xml:space="preserve">Výše dávek nemocenského pojištění </w:t>
      </w:r>
      <w:r w:rsidRPr="00251BF8">
        <w:rPr>
          <w:b/>
        </w:rPr>
        <w:t>závisí</w:t>
      </w:r>
      <w:r w:rsidRPr="00251BF8">
        <w:t xml:space="preserve"> na dosahovaném </w:t>
      </w:r>
      <w:r w:rsidRPr="00251BF8">
        <w:rPr>
          <w:b/>
        </w:rPr>
        <w:t>výdělku, redukčních hranicích</w:t>
      </w:r>
      <w:r w:rsidRPr="00251BF8">
        <w:t xml:space="preserve"> pro redukci</w:t>
      </w:r>
      <w:r w:rsidRPr="00EE4F26">
        <w:t xml:space="preserve"> denního vyměřovacího základu, </w:t>
      </w:r>
      <w:r w:rsidRPr="00EE4F26">
        <w:rPr>
          <w:b/>
        </w:rPr>
        <w:t xml:space="preserve">redukci mezi </w:t>
      </w:r>
      <w:r w:rsidRPr="00EE4F26">
        <w:t xml:space="preserve">jednotlivými redukčními </w:t>
      </w:r>
      <w:r w:rsidRPr="00EE4F26">
        <w:rPr>
          <w:b/>
        </w:rPr>
        <w:t>hranicemi</w:t>
      </w:r>
      <w:r w:rsidRPr="00EE4F26">
        <w:t xml:space="preserve"> a na </w:t>
      </w:r>
      <w:r w:rsidRPr="00EE4F26">
        <w:rPr>
          <w:b/>
        </w:rPr>
        <w:t>procentní sazbě</w:t>
      </w:r>
      <w:r w:rsidRPr="00EE4F26">
        <w:t xml:space="preserve"> pro jednotlivé dávky.</w:t>
      </w:r>
    </w:p>
    <w:p w14:paraId="32B8DA12" w14:textId="77777777" w:rsidR="00B27E3C" w:rsidRPr="00EE4F26" w:rsidRDefault="00B27E3C" w:rsidP="00B27E3C">
      <w:pPr>
        <w:spacing w:before="120" w:after="120"/>
        <w:jc w:val="both"/>
      </w:pPr>
      <w:r w:rsidRPr="00EE4F26">
        <w:t>Všechny dávky nemocenského pojištění vyplácí okresní správa sociálního zabezpečení a hradí se ze státního rozpočtu (z příjmů z pojistného). Dávky nemocenského pojištění se vyplácejí za kalendářní dny.</w:t>
      </w:r>
    </w:p>
    <w:p w14:paraId="7892B60F" w14:textId="77777777" w:rsidR="00B27E3C" w:rsidRPr="00EE4F26" w:rsidRDefault="00B27E3C" w:rsidP="00B27E3C">
      <w:pPr>
        <w:pStyle w:val="Box1"/>
        <w:spacing w:before="120" w:after="120"/>
        <w:ind w:left="0"/>
        <w:contextualSpacing w:val="0"/>
        <w:jc w:val="both"/>
        <w:rPr>
          <w:i/>
        </w:rPr>
      </w:pPr>
      <w:r w:rsidRPr="00EE4F26">
        <w:rPr>
          <w:b/>
          <w:i/>
        </w:rPr>
        <w:t xml:space="preserve">Nemocenské </w:t>
      </w:r>
      <w:r w:rsidRPr="00EE4F26">
        <w:rPr>
          <w:i/>
        </w:rPr>
        <w:t>– je základní peněžitou dávkou systému nemocenského pojištění. Na nemocenské má nárok pojištěnec, který je uznán ošetřujícím lékařem dočasně práce neschopným, a to od 15. kalendářního dne trvání jeho dočasné pracovní neschopnosti do konce dočasné pracovní neschopnosti, maximálně však 380 kalendářních dnů počítaných od vzniku dočasné pracovní neschopnosti.</w:t>
      </w:r>
    </w:p>
    <w:p w14:paraId="614D8813" w14:textId="78E5551C" w:rsidR="00B27E3C" w:rsidRPr="00251BF8" w:rsidRDefault="00B27E3C" w:rsidP="00B27E3C">
      <w:pPr>
        <w:pStyle w:val="Default"/>
        <w:spacing w:before="120" w:after="120" w:line="288" w:lineRule="auto"/>
        <w:jc w:val="both"/>
        <w:rPr>
          <w:rFonts w:eastAsia="Times New Roman" w:cs="Times New Roman"/>
          <w:color w:val="auto"/>
          <w:sz w:val="20"/>
          <w:lang w:eastAsia="cs-CZ"/>
        </w:rPr>
      </w:pPr>
      <w:r w:rsidRPr="00251BF8">
        <w:rPr>
          <w:rFonts w:eastAsia="Times New Roman" w:cs="Times New Roman"/>
          <w:b/>
          <w:color w:val="auto"/>
          <w:sz w:val="20"/>
          <w:lang w:eastAsia="cs-CZ"/>
        </w:rPr>
        <w:t>Výdaje na dávky nemocenského</w:t>
      </w:r>
      <w:r w:rsidRPr="00251BF8">
        <w:rPr>
          <w:rFonts w:eastAsia="Times New Roman" w:cs="Times New Roman"/>
          <w:color w:val="auto"/>
          <w:sz w:val="20"/>
          <w:lang w:eastAsia="cs-CZ"/>
        </w:rPr>
        <w:t xml:space="preserve"> </w:t>
      </w:r>
      <w:r w:rsidRPr="00251BF8">
        <w:rPr>
          <w:rFonts w:eastAsia="Times New Roman" w:cs="Times New Roman"/>
          <w:b/>
          <w:color w:val="auto"/>
          <w:sz w:val="20"/>
          <w:lang w:eastAsia="cs-CZ"/>
        </w:rPr>
        <w:t>pojištění</w:t>
      </w:r>
      <w:r w:rsidRPr="00251BF8">
        <w:rPr>
          <w:rFonts w:eastAsia="Times New Roman" w:cs="Times New Roman"/>
          <w:color w:val="auto"/>
          <w:sz w:val="20"/>
          <w:lang w:eastAsia="cs-CZ"/>
        </w:rPr>
        <w:t xml:space="preserve"> za rok 2023 činily 45,5 mld. Kč, tedy o 2 mld. Kč méně než v předchozím roce. </w:t>
      </w:r>
      <w:r w:rsidRPr="00251BF8">
        <w:rPr>
          <w:rFonts w:eastAsia="Times New Roman" w:cs="Times New Roman"/>
          <w:b/>
          <w:color w:val="auto"/>
          <w:sz w:val="20"/>
          <w:lang w:eastAsia="cs-CZ"/>
        </w:rPr>
        <w:t xml:space="preserve">Výdaje </w:t>
      </w:r>
      <w:r w:rsidRPr="00251BF8">
        <w:rPr>
          <w:rFonts w:eastAsia="Times New Roman" w:cs="Times New Roman"/>
          <w:color w:val="auto"/>
          <w:sz w:val="20"/>
          <w:lang w:eastAsia="cs-CZ"/>
        </w:rPr>
        <w:t xml:space="preserve">na objemově </w:t>
      </w:r>
      <w:r w:rsidRPr="00251BF8">
        <w:rPr>
          <w:rFonts w:eastAsia="Times New Roman" w:cs="Times New Roman"/>
          <w:b/>
          <w:color w:val="auto"/>
          <w:sz w:val="20"/>
          <w:lang w:eastAsia="cs-CZ"/>
        </w:rPr>
        <w:t>nejvýznamnější dávku</w:t>
      </w:r>
      <w:r w:rsidRPr="00251BF8">
        <w:rPr>
          <w:rFonts w:eastAsia="Times New Roman" w:cs="Times New Roman"/>
          <w:color w:val="auto"/>
          <w:sz w:val="20"/>
          <w:lang w:eastAsia="cs-CZ"/>
        </w:rPr>
        <w:t xml:space="preserve"> – </w:t>
      </w:r>
      <w:r w:rsidRPr="00251BF8">
        <w:rPr>
          <w:rFonts w:eastAsia="Times New Roman" w:cs="Times New Roman"/>
          <w:b/>
          <w:color w:val="auto"/>
          <w:sz w:val="20"/>
          <w:lang w:eastAsia="cs-CZ"/>
        </w:rPr>
        <w:t>nemocenské</w:t>
      </w:r>
      <w:r w:rsidRPr="00251BF8">
        <w:rPr>
          <w:rFonts w:eastAsia="Times New Roman" w:cs="Times New Roman"/>
          <w:color w:val="auto"/>
          <w:sz w:val="20"/>
          <w:lang w:eastAsia="cs-CZ"/>
        </w:rPr>
        <w:t xml:space="preserve"> – meziročně poklesly o</w:t>
      </w:r>
      <w:r w:rsidR="00B366D0" w:rsidRPr="00251BF8">
        <w:rPr>
          <w:rFonts w:eastAsia="Times New Roman" w:cs="Times New Roman"/>
          <w:color w:val="auto"/>
          <w:sz w:val="20"/>
          <w:lang w:eastAsia="cs-CZ"/>
        </w:rPr>
        <w:t> </w:t>
      </w:r>
      <w:r w:rsidRPr="00251BF8">
        <w:rPr>
          <w:rFonts w:eastAsia="Times New Roman" w:cs="Times New Roman"/>
          <w:color w:val="auto"/>
          <w:sz w:val="20"/>
          <w:lang w:eastAsia="cs-CZ"/>
        </w:rPr>
        <w:t>1</w:t>
      </w:r>
      <w:r w:rsidR="00B366D0" w:rsidRPr="00251BF8">
        <w:rPr>
          <w:rFonts w:eastAsia="Times New Roman" w:cs="Times New Roman"/>
          <w:color w:val="auto"/>
          <w:sz w:val="20"/>
          <w:lang w:eastAsia="cs-CZ"/>
        </w:rPr>
        <w:t> </w:t>
      </w:r>
      <w:r w:rsidRPr="00251BF8">
        <w:rPr>
          <w:rFonts w:eastAsia="Times New Roman" w:cs="Times New Roman"/>
          <w:color w:val="auto"/>
          <w:sz w:val="20"/>
          <w:lang w:eastAsia="cs-CZ"/>
        </w:rPr>
        <w:t>mld. Kč, tj. o 3 %. Činily 31,7 mld. Kč</w:t>
      </w:r>
      <w:r w:rsidR="00B366D0" w:rsidRPr="00251BF8">
        <w:rPr>
          <w:rFonts w:eastAsia="Times New Roman" w:cs="Times New Roman"/>
          <w:color w:val="auto"/>
          <w:sz w:val="20"/>
          <w:lang w:eastAsia="cs-CZ"/>
        </w:rPr>
        <w:t>, nejméně za poslední 4 roky.</w:t>
      </w:r>
      <w:r w:rsidRPr="00251BF8">
        <w:rPr>
          <w:rFonts w:eastAsia="Times New Roman" w:cs="Times New Roman"/>
          <w:color w:val="auto"/>
          <w:sz w:val="20"/>
          <w:lang w:eastAsia="cs-CZ"/>
        </w:rPr>
        <w:t xml:space="preserve"> Meziroční pokles výdajů na nemocenské byl způsoben zejména poklesem počtu proplacených dnů. Výše průměrné denní dávky nemocenského v</w:t>
      </w:r>
      <w:r w:rsidR="00B366D0" w:rsidRPr="00251BF8">
        <w:rPr>
          <w:rFonts w:eastAsia="Times New Roman" w:cs="Times New Roman"/>
          <w:color w:val="auto"/>
          <w:sz w:val="20"/>
          <w:lang w:eastAsia="cs-CZ"/>
        </w:rPr>
        <w:t xml:space="preserve"> roce </w:t>
      </w:r>
      <w:r w:rsidRPr="00251BF8">
        <w:rPr>
          <w:rFonts w:eastAsia="Times New Roman" w:cs="Times New Roman"/>
          <w:color w:val="auto"/>
          <w:sz w:val="20"/>
          <w:lang w:eastAsia="cs-CZ"/>
        </w:rPr>
        <w:t>2023 představovala 6</w:t>
      </w:r>
      <w:r w:rsidR="00B366D0" w:rsidRPr="00251BF8">
        <w:rPr>
          <w:rFonts w:eastAsia="Times New Roman" w:cs="Times New Roman"/>
          <w:color w:val="auto"/>
          <w:sz w:val="20"/>
          <w:lang w:eastAsia="cs-CZ"/>
        </w:rPr>
        <w:t>12</w:t>
      </w:r>
      <w:r w:rsidRPr="00251BF8">
        <w:rPr>
          <w:rFonts w:eastAsia="Times New Roman" w:cs="Times New Roman"/>
          <w:color w:val="auto"/>
          <w:sz w:val="20"/>
          <w:lang w:eastAsia="cs-CZ"/>
        </w:rPr>
        <w:t xml:space="preserve"> Kč. V</w:t>
      </w:r>
      <w:r w:rsidR="00B366D0" w:rsidRPr="00251BF8">
        <w:rPr>
          <w:rFonts w:eastAsia="Times New Roman" w:cs="Times New Roman"/>
          <w:color w:val="auto"/>
          <w:sz w:val="20"/>
          <w:lang w:eastAsia="cs-CZ"/>
        </w:rPr>
        <w:t> roce předchozím</w:t>
      </w:r>
      <w:r w:rsidRPr="00251BF8">
        <w:rPr>
          <w:rFonts w:eastAsia="Times New Roman" w:cs="Times New Roman"/>
          <w:color w:val="auto"/>
          <w:sz w:val="20"/>
          <w:lang w:eastAsia="cs-CZ"/>
        </w:rPr>
        <w:t xml:space="preserve"> byla průměrná denní dávka nemocenského ve výši 5</w:t>
      </w:r>
      <w:r w:rsidR="00B366D0" w:rsidRPr="00251BF8">
        <w:rPr>
          <w:rFonts w:eastAsia="Times New Roman" w:cs="Times New Roman"/>
          <w:color w:val="auto"/>
          <w:sz w:val="20"/>
          <w:lang w:eastAsia="cs-CZ"/>
        </w:rPr>
        <w:t>80</w:t>
      </w:r>
      <w:r w:rsidRPr="00251BF8">
        <w:rPr>
          <w:rFonts w:eastAsia="Times New Roman" w:cs="Times New Roman"/>
          <w:color w:val="auto"/>
          <w:sz w:val="20"/>
          <w:lang w:eastAsia="cs-CZ"/>
        </w:rPr>
        <w:t xml:space="preserve"> Kč, což </w:t>
      </w:r>
      <w:r w:rsidR="001F5ECC">
        <w:rPr>
          <w:rFonts w:eastAsia="Times New Roman" w:cs="Times New Roman"/>
          <w:color w:val="auto"/>
          <w:sz w:val="20"/>
          <w:lang w:eastAsia="cs-CZ"/>
        </w:rPr>
        <w:t>bylo</w:t>
      </w:r>
      <w:r w:rsidR="001F5ECC" w:rsidRPr="00251BF8">
        <w:rPr>
          <w:rFonts w:eastAsia="Times New Roman" w:cs="Times New Roman"/>
          <w:color w:val="auto"/>
          <w:sz w:val="20"/>
          <w:lang w:eastAsia="cs-CZ"/>
        </w:rPr>
        <w:t xml:space="preserve"> </w:t>
      </w:r>
      <w:r w:rsidRPr="00251BF8">
        <w:rPr>
          <w:rFonts w:eastAsia="Times New Roman" w:cs="Times New Roman"/>
          <w:color w:val="auto"/>
          <w:sz w:val="20"/>
          <w:lang w:eastAsia="cs-CZ"/>
        </w:rPr>
        <w:t>o 5</w:t>
      </w:r>
      <w:r w:rsidR="00B366D0" w:rsidRPr="00251BF8">
        <w:rPr>
          <w:rFonts w:eastAsia="Times New Roman" w:cs="Times New Roman"/>
          <w:color w:val="auto"/>
          <w:sz w:val="20"/>
          <w:lang w:eastAsia="cs-CZ"/>
        </w:rPr>
        <w:t>,6</w:t>
      </w:r>
      <w:r w:rsidRPr="00251BF8">
        <w:rPr>
          <w:rFonts w:eastAsia="Times New Roman" w:cs="Times New Roman"/>
          <w:color w:val="auto"/>
          <w:sz w:val="20"/>
          <w:lang w:eastAsia="cs-CZ"/>
        </w:rPr>
        <w:t xml:space="preserve"> % méně. Výdaje na nemocenské v přepočtu na jednoho pojištěnce v </w:t>
      </w:r>
      <w:r w:rsidR="00B366D0" w:rsidRPr="00251BF8">
        <w:rPr>
          <w:rFonts w:eastAsia="Times New Roman" w:cs="Times New Roman"/>
          <w:color w:val="auto"/>
          <w:sz w:val="20"/>
          <w:lang w:eastAsia="cs-CZ"/>
        </w:rPr>
        <w:t>roce</w:t>
      </w:r>
      <w:r w:rsidRPr="00251BF8">
        <w:rPr>
          <w:rFonts w:eastAsia="Times New Roman" w:cs="Times New Roman"/>
          <w:color w:val="auto"/>
          <w:sz w:val="20"/>
          <w:lang w:eastAsia="cs-CZ"/>
        </w:rPr>
        <w:t xml:space="preserve"> 2023 činily </w:t>
      </w:r>
      <w:r w:rsidR="00B366D0" w:rsidRPr="00251BF8">
        <w:rPr>
          <w:rFonts w:eastAsia="Times New Roman" w:cs="Times New Roman"/>
          <w:color w:val="auto"/>
          <w:sz w:val="20"/>
          <w:lang w:eastAsia="cs-CZ"/>
        </w:rPr>
        <w:t>6 646</w:t>
      </w:r>
      <w:r w:rsidRPr="00251BF8">
        <w:rPr>
          <w:rFonts w:eastAsia="Times New Roman" w:cs="Times New Roman"/>
          <w:color w:val="auto"/>
          <w:sz w:val="20"/>
          <w:lang w:eastAsia="cs-CZ"/>
        </w:rPr>
        <w:t xml:space="preserve"> Kč, o </w:t>
      </w:r>
      <w:r w:rsidR="00B366D0" w:rsidRPr="00251BF8">
        <w:rPr>
          <w:rFonts w:eastAsia="Times New Roman" w:cs="Times New Roman"/>
          <w:color w:val="auto"/>
          <w:sz w:val="20"/>
          <w:lang w:eastAsia="cs-CZ"/>
        </w:rPr>
        <w:t>252</w:t>
      </w:r>
      <w:r w:rsidRPr="00251BF8">
        <w:rPr>
          <w:rFonts w:eastAsia="Times New Roman" w:cs="Times New Roman"/>
          <w:color w:val="auto"/>
          <w:sz w:val="20"/>
          <w:lang w:eastAsia="cs-CZ"/>
        </w:rPr>
        <w:t xml:space="preserve"> Kč méně než před rokem.</w:t>
      </w:r>
    </w:p>
    <w:p w14:paraId="766A260D" w14:textId="58E25DAB" w:rsidR="00B27E3C" w:rsidRPr="00251BF8" w:rsidRDefault="00B27E3C" w:rsidP="00B27E3C">
      <w:pPr>
        <w:spacing w:before="120" w:after="120"/>
        <w:jc w:val="both"/>
      </w:pPr>
      <w:r w:rsidRPr="00251BF8">
        <w:t xml:space="preserve">Je zřejmé, že za enormní nárůst výdajů na dávky nemocenského pojištění mezi </w:t>
      </w:r>
      <w:r w:rsidR="00DD5A0D" w:rsidRPr="00251BF8">
        <w:t xml:space="preserve">roky 2019 a 2020 </w:t>
      </w:r>
      <w:r w:rsidRPr="00251BF8">
        <w:t xml:space="preserve">mohou </w:t>
      </w:r>
      <w:r w:rsidRPr="00251BF8">
        <w:rPr>
          <w:b/>
        </w:rPr>
        <w:t xml:space="preserve">finanční kompenzace </w:t>
      </w:r>
      <w:r w:rsidRPr="00251BF8">
        <w:t xml:space="preserve">vyplacené v souvislosti </w:t>
      </w:r>
      <w:r w:rsidRPr="00251BF8">
        <w:rPr>
          <w:b/>
        </w:rPr>
        <w:t>s</w:t>
      </w:r>
      <w:r w:rsidRPr="00251BF8">
        <w:t> </w:t>
      </w:r>
      <w:r w:rsidRPr="00251BF8">
        <w:rPr>
          <w:b/>
        </w:rPr>
        <w:t>onemocněním</w:t>
      </w:r>
      <w:r w:rsidRPr="00251BF8">
        <w:t xml:space="preserve"> </w:t>
      </w:r>
      <w:r w:rsidRPr="00251BF8">
        <w:rPr>
          <w:b/>
        </w:rPr>
        <w:t>covid-19</w:t>
      </w:r>
      <w:r w:rsidRPr="00251BF8">
        <w:t xml:space="preserve">. Ať už jde o nemocenské nebo ošetřovné. Zatímco do </w:t>
      </w:r>
      <w:r w:rsidR="00390BF5" w:rsidRPr="00251BF8">
        <w:t>roku</w:t>
      </w:r>
      <w:r w:rsidRPr="00251BF8">
        <w:t xml:space="preserve"> 2019 činil podíl</w:t>
      </w:r>
      <w:r w:rsidR="00390BF5" w:rsidRPr="00251BF8">
        <w:t xml:space="preserve"> výdajů za ošetřovné maximálně 5</w:t>
      </w:r>
      <w:r w:rsidRPr="00251BF8">
        <w:t xml:space="preserve"> % celkových výdajů na dávky </w:t>
      </w:r>
      <w:r w:rsidRPr="00251BF8">
        <w:lastRenderedPageBreak/>
        <w:t xml:space="preserve">nemocenského pojištění, v </w:t>
      </w:r>
      <w:r w:rsidR="00390BF5" w:rsidRPr="00251BF8">
        <w:t>roce</w:t>
      </w:r>
      <w:r w:rsidRPr="00251BF8">
        <w:t xml:space="preserve"> 2020 to byla více než </w:t>
      </w:r>
      <w:r w:rsidR="00390BF5" w:rsidRPr="00251BF8">
        <w:t>pětina</w:t>
      </w:r>
      <w:r w:rsidRPr="00251BF8">
        <w:t>. Navýšení nákladů bylo způsobeno jednak vyšším počtem případů, jednak zvýšením částky pro výpočet ošetřovného při epidemii uzákoněné na podzim roku 2020 (tzv. krizové ošetřovné</w:t>
      </w:r>
      <w:r w:rsidRPr="00251BF8">
        <w:rPr>
          <w:rStyle w:val="Znakapoznpodarou"/>
        </w:rPr>
        <w:footnoteReference w:id="10"/>
      </w:r>
      <w:r w:rsidRPr="00251BF8">
        <w:t>). Z dosud počítaných 60 % byl podíl zvýšen na 70 %</w:t>
      </w:r>
      <w:r w:rsidRPr="00251BF8">
        <w:rPr>
          <w:rStyle w:val="Znakapoznpodarou"/>
        </w:rPr>
        <w:footnoteReference w:id="11"/>
      </w:r>
      <w:r w:rsidRPr="00251BF8">
        <w:t xml:space="preserve">  redukovaného denního vyměřovacího základu. Zatímco dříve bylo možné čerpat ošetřovné maximálně 9 dnů, při uzavření školních a</w:t>
      </w:r>
      <w:r w:rsidR="00957C5B">
        <w:t> </w:t>
      </w:r>
      <w:r w:rsidRPr="00251BF8">
        <w:t>dětských zařízení trvala podpůrčí doba po celou dobu mimořádných vládních opa</w:t>
      </w:r>
      <w:r w:rsidR="00390BF5" w:rsidRPr="00251BF8">
        <w:t>tření. Náklady na ošetřovné za rok</w:t>
      </w:r>
      <w:r w:rsidRPr="00251BF8">
        <w:t xml:space="preserve"> 2020 představovaly </w:t>
      </w:r>
      <w:r w:rsidR="00390BF5" w:rsidRPr="00251BF8">
        <w:t>11 442</w:t>
      </w:r>
      <w:r w:rsidRPr="00251BF8">
        <w:t xml:space="preserve"> mil. Kč, </w:t>
      </w:r>
      <w:r w:rsidR="00390BF5" w:rsidRPr="00251BF8">
        <w:t>o rok později 5 664</w:t>
      </w:r>
      <w:r w:rsidRPr="00251BF8">
        <w:t xml:space="preserve"> m</w:t>
      </w:r>
      <w:r w:rsidR="00390BF5" w:rsidRPr="00251BF8">
        <w:t>i</w:t>
      </w:r>
      <w:r w:rsidRPr="00251BF8">
        <w:t>l. Pokles výdajů na ošetřovné pokračoval i</w:t>
      </w:r>
      <w:r w:rsidR="00957C5B">
        <w:t> </w:t>
      </w:r>
      <w:r w:rsidRPr="00251BF8">
        <w:t>v</w:t>
      </w:r>
      <w:r w:rsidR="00390BF5" w:rsidRPr="00251BF8">
        <w:t> dalších letech</w:t>
      </w:r>
      <w:r w:rsidR="009D7404" w:rsidRPr="00251BF8">
        <w:t xml:space="preserve"> a v roce 2023 prostředky na ošetřovné představovaly 2 460 mil., neboli opět 5 % z celkových výdajů na dávky nemocenského pojištění, čili stejný podíl jako do roku 2019</w:t>
      </w:r>
      <w:r w:rsidR="00390BF5" w:rsidRPr="00251BF8">
        <w:t>.</w:t>
      </w:r>
    </w:p>
    <w:p w14:paraId="593DB8F9" w14:textId="163AD12C" w:rsidR="00D05A05" w:rsidRDefault="00B366D0" w:rsidP="00B27E3C">
      <w:pPr>
        <w:spacing w:before="120" w:after="120"/>
        <w:jc w:val="both"/>
        <w:rPr>
          <w:b/>
        </w:rPr>
      </w:pPr>
      <w:r w:rsidRPr="00251BF8">
        <w:t xml:space="preserve">Ke značnému zvýšení však došlo i v roce 2018. </w:t>
      </w:r>
      <w:r w:rsidR="00B27E3C" w:rsidRPr="00251BF8">
        <w:t xml:space="preserve">V roce 2017 </w:t>
      </w:r>
      <w:r w:rsidR="00B27E3C" w:rsidRPr="00251BF8">
        <w:rPr>
          <w:b/>
        </w:rPr>
        <w:t xml:space="preserve">bylo </w:t>
      </w:r>
      <w:r w:rsidR="00B27E3C" w:rsidRPr="00251BF8">
        <w:t xml:space="preserve">totiž </w:t>
      </w:r>
      <w:r w:rsidR="00B27E3C" w:rsidRPr="00251BF8">
        <w:rPr>
          <w:b/>
        </w:rPr>
        <w:t>přijato několik významných legislativních opatření</w:t>
      </w:r>
      <w:r w:rsidR="00B27E3C" w:rsidRPr="00251BF8">
        <w:t xml:space="preserve"> v oblasti nemocenského pojištění, </w:t>
      </w:r>
      <w:r w:rsidR="00B27E3C" w:rsidRPr="00251BF8">
        <w:rPr>
          <w:b/>
        </w:rPr>
        <w:t>s účinností od roku 2018</w:t>
      </w:r>
      <w:r w:rsidR="00B27E3C" w:rsidRPr="00251BF8">
        <w:t xml:space="preserve">, která zásadním způsobem ovlivnila jeho finanční bilanci. Jednalo se o </w:t>
      </w:r>
      <w:r w:rsidR="00B27E3C" w:rsidRPr="00251BF8">
        <w:rPr>
          <w:b/>
        </w:rPr>
        <w:t>zvýšení nemocenského od 31. kalendářního dne DPN</w:t>
      </w:r>
      <w:r w:rsidR="00B27E3C" w:rsidRPr="00251BF8">
        <w:t xml:space="preserve"> nebo karantény z 60 % na 66 % redukovaného denního vyměřovacího základu a od</w:t>
      </w:r>
      <w:r w:rsidR="00B27E3C" w:rsidRPr="00251BF8">
        <w:rPr>
          <w:b/>
        </w:rPr>
        <w:t xml:space="preserve"> 61. kalendářního dne DPN</w:t>
      </w:r>
      <w:r w:rsidR="00B27E3C" w:rsidRPr="00251BF8">
        <w:t xml:space="preserve"> nebo karantény z 60 % na 72 % redukovaného denního vyměřovacího základu s účinností od 1. ledna 2018. Kromě toho, ovšem s jen nepatrným vlivem na celkovou výši výdajů nemocenského pojištění, byl rozšířen okruh dávek poskytovaných z nemocenského pojištění o novou dávku otcovské poporodní péče (tzv. „otcovská“) s účinností od 1. února 2018 a dávku dlouhodobého ošetřovného s účinností od 1. června 2018.</w:t>
      </w:r>
      <w:r w:rsidR="00D05A05">
        <w:t xml:space="preserve"> V tab. 4.1 je patrné zvýšení výdajů za otcovskou poporodní péči od roku 2022</w:t>
      </w:r>
      <w:r w:rsidR="002B6CB3">
        <w:t>. Do té doby byla vyplácena po dobu 1 týdne, v roce 2022 došlo k prodloužení na 2 týdny.</w:t>
      </w:r>
    </w:p>
    <w:p w14:paraId="0DE7D023" w14:textId="77777777" w:rsidR="00B27E3C" w:rsidRPr="00B27E3C" w:rsidRDefault="00B27E3C" w:rsidP="00B27E3C">
      <w:pPr>
        <w:spacing w:after="0" w:line="240" w:lineRule="auto"/>
        <w:rPr>
          <w:rFonts w:cs="Arial"/>
          <w:b/>
          <w:bCs/>
          <w:color w:val="000000"/>
          <w:szCs w:val="20"/>
        </w:rPr>
      </w:pPr>
      <w:r w:rsidRPr="00B27E3C">
        <w:rPr>
          <w:rFonts w:cs="Arial"/>
          <w:b/>
          <w:bCs/>
          <w:color w:val="000000"/>
          <w:szCs w:val="20"/>
        </w:rPr>
        <w:t>Tab. 4.1: Výdaje na dávky nemocenského pojištění, 2013–2023 (v mld. Kč)</w:t>
      </w:r>
    </w:p>
    <w:tbl>
      <w:tblPr>
        <w:tblW w:w="9638" w:type="dxa"/>
        <w:tblCellMar>
          <w:left w:w="70" w:type="dxa"/>
          <w:right w:w="70" w:type="dxa"/>
        </w:tblCellMar>
        <w:tblLook w:val="04A0" w:firstRow="1" w:lastRow="0" w:firstColumn="1" w:lastColumn="0" w:noHBand="0" w:noVBand="1"/>
      </w:tblPr>
      <w:tblGrid>
        <w:gridCol w:w="2257"/>
        <w:gridCol w:w="673"/>
        <w:gridCol w:w="673"/>
        <w:gridCol w:w="673"/>
        <w:gridCol w:w="673"/>
        <w:gridCol w:w="673"/>
        <w:gridCol w:w="673"/>
        <w:gridCol w:w="673"/>
        <w:gridCol w:w="673"/>
        <w:gridCol w:w="666"/>
        <w:gridCol w:w="668"/>
        <w:gridCol w:w="663"/>
      </w:tblGrid>
      <w:tr w:rsidR="00B27E3C" w:rsidRPr="007A75AA" w14:paraId="56529595" w14:textId="44D09B1D" w:rsidTr="00B27E3C">
        <w:trPr>
          <w:trHeight w:val="315"/>
        </w:trPr>
        <w:tc>
          <w:tcPr>
            <w:tcW w:w="2257" w:type="dxa"/>
            <w:tcBorders>
              <w:top w:val="single" w:sz="4" w:space="0" w:color="auto"/>
              <w:left w:val="nil"/>
              <w:bottom w:val="single" w:sz="4" w:space="0" w:color="auto"/>
              <w:right w:val="single" w:sz="4" w:space="0" w:color="auto"/>
            </w:tcBorders>
            <w:shd w:val="clear" w:color="000000" w:fill="F5DADD"/>
            <w:vAlign w:val="center"/>
            <w:hideMark/>
          </w:tcPr>
          <w:p w14:paraId="039A88D7" w14:textId="77777777" w:rsidR="00B27E3C" w:rsidRPr="007A75AA" w:rsidRDefault="00B27E3C" w:rsidP="00B27E3C">
            <w:pPr>
              <w:spacing w:after="0" w:line="240" w:lineRule="auto"/>
              <w:jc w:val="center"/>
              <w:rPr>
                <w:rFonts w:cs="Arial"/>
                <w:sz w:val="16"/>
                <w:szCs w:val="16"/>
              </w:rPr>
            </w:pPr>
            <w:r w:rsidRPr="007A75AA">
              <w:rPr>
                <w:rFonts w:cs="Arial"/>
                <w:sz w:val="16"/>
                <w:szCs w:val="16"/>
              </w:rPr>
              <w:t>Druh dávky</w:t>
            </w:r>
          </w:p>
        </w:tc>
        <w:tc>
          <w:tcPr>
            <w:tcW w:w="673" w:type="dxa"/>
            <w:tcBorders>
              <w:top w:val="single" w:sz="4" w:space="0" w:color="auto"/>
              <w:left w:val="nil"/>
              <w:bottom w:val="single" w:sz="4" w:space="0" w:color="auto"/>
              <w:right w:val="nil"/>
            </w:tcBorders>
            <w:shd w:val="clear" w:color="000000" w:fill="F5DADD"/>
            <w:noWrap/>
            <w:vAlign w:val="center"/>
            <w:hideMark/>
          </w:tcPr>
          <w:p w14:paraId="05B1E839" w14:textId="77777777" w:rsidR="00B27E3C" w:rsidRPr="007A75AA" w:rsidRDefault="00B27E3C" w:rsidP="00B27E3C">
            <w:pPr>
              <w:spacing w:after="0" w:line="240" w:lineRule="auto"/>
              <w:jc w:val="center"/>
              <w:rPr>
                <w:rFonts w:cs="Arial"/>
                <w:sz w:val="16"/>
                <w:szCs w:val="16"/>
              </w:rPr>
            </w:pPr>
            <w:r w:rsidRPr="007A75AA">
              <w:rPr>
                <w:rFonts w:cs="Arial"/>
                <w:sz w:val="16"/>
                <w:szCs w:val="16"/>
              </w:rPr>
              <w:t>2013</w:t>
            </w:r>
          </w:p>
        </w:tc>
        <w:tc>
          <w:tcPr>
            <w:tcW w:w="673" w:type="dxa"/>
            <w:tcBorders>
              <w:top w:val="single" w:sz="4" w:space="0" w:color="auto"/>
              <w:left w:val="nil"/>
              <w:bottom w:val="single" w:sz="4" w:space="0" w:color="auto"/>
              <w:right w:val="nil"/>
            </w:tcBorders>
            <w:shd w:val="clear" w:color="000000" w:fill="F5DADD"/>
            <w:noWrap/>
            <w:vAlign w:val="center"/>
            <w:hideMark/>
          </w:tcPr>
          <w:p w14:paraId="15267D0B" w14:textId="77777777" w:rsidR="00B27E3C" w:rsidRPr="007A75AA" w:rsidRDefault="00B27E3C" w:rsidP="00B27E3C">
            <w:pPr>
              <w:spacing w:after="0" w:line="240" w:lineRule="auto"/>
              <w:jc w:val="center"/>
              <w:rPr>
                <w:rFonts w:cs="Arial"/>
                <w:sz w:val="16"/>
                <w:szCs w:val="16"/>
              </w:rPr>
            </w:pPr>
            <w:r w:rsidRPr="007A75AA">
              <w:rPr>
                <w:rFonts w:cs="Arial"/>
                <w:sz w:val="16"/>
                <w:szCs w:val="16"/>
              </w:rPr>
              <w:t>2014</w:t>
            </w:r>
          </w:p>
        </w:tc>
        <w:tc>
          <w:tcPr>
            <w:tcW w:w="673" w:type="dxa"/>
            <w:tcBorders>
              <w:top w:val="single" w:sz="4" w:space="0" w:color="auto"/>
              <w:left w:val="nil"/>
              <w:bottom w:val="single" w:sz="4" w:space="0" w:color="auto"/>
              <w:right w:val="nil"/>
            </w:tcBorders>
            <w:shd w:val="clear" w:color="000000" w:fill="F5DADD"/>
            <w:noWrap/>
            <w:vAlign w:val="center"/>
            <w:hideMark/>
          </w:tcPr>
          <w:p w14:paraId="0097DA87" w14:textId="77777777" w:rsidR="00B27E3C" w:rsidRPr="007A75AA" w:rsidRDefault="00B27E3C" w:rsidP="00B27E3C">
            <w:pPr>
              <w:spacing w:after="0" w:line="240" w:lineRule="auto"/>
              <w:jc w:val="center"/>
              <w:rPr>
                <w:rFonts w:cs="Arial"/>
                <w:sz w:val="16"/>
                <w:szCs w:val="16"/>
              </w:rPr>
            </w:pPr>
            <w:r w:rsidRPr="007A75AA">
              <w:rPr>
                <w:rFonts w:cs="Arial"/>
                <w:sz w:val="16"/>
                <w:szCs w:val="16"/>
              </w:rPr>
              <w:t>2015</w:t>
            </w:r>
          </w:p>
        </w:tc>
        <w:tc>
          <w:tcPr>
            <w:tcW w:w="673" w:type="dxa"/>
            <w:tcBorders>
              <w:top w:val="single" w:sz="4" w:space="0" w:color="auto"/>
              <w:left w:val="nil"/>
              <w:bottom w:val="single" w:sz="4" w:space="0" w:color="auto"/>
              <w:right w:val="nil"/>
            </w:tcBorders>
            <w:shd w:val="clear" w:color="000000" w:fill="F5DADD"/>
            <w:noWrap/>
            <w:vAlign w:val="center"/>
            <w:hideMark/>
          </w:tcPr>
          <w:p w14:paraId="5CA7241D" w14:textId="77777777" w:rsidR="00B27E3C" w:rsidRPr="007A75AA" w:rsidRDefault="00B27E3C" w:rsidP="00B27E3C">
            <w:pPr>
              <w:spacing w:after="0" w:line="240" w:lineRule="auto"/>
              <w:jc w:val="center"/>
              <w:rPr>
                <w:rFonts w:cs="Arial"/>
                <w:sz w:val="16"/>
                <w:szCs w:val="16"/>
              </w:rPr>
            </w:pPr>
            <w:r w:rsidRPr="007A75AA">
              <w:rPr>
                <w:rFonts w:cs="Arial"/>
                <w:sz w:val="16"/>
                <w:szCs w:val="16"/>
              </w:rPr>
              <w:t>2016</w:t>
            </w:r>
          </w:p>
        </w:tc>
        <w:tc>
          <w:tcPr>
            <w:tcW w:w="673" w:type="dxa"/>
            <w:tcBorders>
              <w:top w:val="single" w:sz="4" w:space="0" w:color="auto"/>
              <w:left w:val="nil"/>
              <w:bottom w:val="single" w:sz="4" w:space="0" w:color="auto"/>
              <w:right w:val="nil"/>
            </w:tcBorders>
            <w:shd w:val="clear" w:color="000000" w:fill="F5DADD"/>
            <w:noWrap/>
            <w:vAlign w:val="center"/>
            <w:hideMark/>
          </w:tcPr>
          <w:p w14:paraId="132159C9" w14:textId="77777777" w:rsidR="00B27E3C" w:rsidRPr="007A75AA" w:rsidRDefault="00B27E3C" w:rsidP="00B27E3C">
            <w:pPr>
              <w:spacing w:after="0" w:line="240" w:lineRule="auto"/>
              <w:jc w:val="center"/>
              <w:rPr>
                <w:rFonts w:cs="Arial"/>
                <w:sz w:val="16"/>
                <w:szCs w:val="16"/>
              </w:rPr>
            </w:pPr>
            <w:r w:rsidRPr="007A75AA">
              <w:rPr>
                <w:rFonts w:cs="Arial"/>
                <w:sz w:val="16"/>
                <w:szCs w:val="16"/>
              </w:rPr>
              <w:t>2017</w:t>
            </w:r>
          </w:p>
        </w:tc>
        <w:tc>
          <w:tcPr>
            <w:tcW w:w="673" w:type="dxa"/>
            <w:tcBorders>
              <w:top w:val="single" w:sz="4" w:space="0" w:color="auto"/>
              <w:left w:val="nil"/>
              <w:bottom w:val="single" w:sz="4" w:space="0" w:color="auto"/>
              <w:right w:val="nil"/>
            </w:tcBorders>
            <w:shd w:val="clear" w:color="000000" w:fill="F5DADD"/>
            <w:noWrap/>
            <w:vAlign w:val="center"/>
            <w:hideMark/>
          </w:tcPr>
          <w:p w14:paraId="017E2C85" w14:textId="77777777" w:rsidR="00B27E3C" w:rsidRPr="007A75AA" w:rsidRDefault="00B27E3C" w:rsidP="00B27E3C">
            <w:pPr>
              <w:spacing w:after="0" w:line="240" w:lineRule="auto"/>
              <w:jc w:val="center"/>
              <w:rPr>
                <w:rFonts w:cs="Arial"/>
                <w:sz w:val="16"/>
                <w:szCs w:val="16"/>
              </w:rPr>
            </w:pPr>
            <w:r w:rsidRPr="007A75AA">
              <w:rPr>
                <w:rFonts w:cs="Arial"/>
                <w:sz w:val="16"/>
                <w:szCs w:val="16"/>
              </w:rPr>
              <w:t>2018</w:t>
            </w:r>
          </w:p>
        </w:tc>
        <w:tc>
          <w:tcPr>
            <w:tcW w:w="673" w:type="dxa"/>
            <w:tcBorders>
              <w:top w:val="single" w:sz="4" w:space="0" w:color="auto"/>
              <w:left w:val="nil"/>
              <w:bottom w:val="single" w:sz="4" w:space="0" w:color="auto"/>
              <w:right w:val="nil"/>
            </w:tcBorders>
            <w:shd w:val="clear" w:color="000000" w:fill="F5DADD"/>
            <w:noWrap/>
            <w:vAlign w:val="center"/>
            <w:hideMark/>
          </w:tcPr>
          <w:p w14:paraId="607E9C24" w14:textId="77777777" w:rsidR="00B27E3C" w:rsidRPr="007A75AA" w:rsidRDefault="00B27E3C" w:rsidP="00B27E3C">
            <w:pPr>
              <w:spacing w:after="0" w:line="240" w:lineRule="auto"/>
              <w:jc w:val="center"/>
              <w:rPr>
                <w:rFonts w:cs="Arial"/>
                <w:sz w:val="16"/>
                <w:szCs w:val="16"/>
              </w:rPr>
            </w:pPr>
            <w:r w:rsidRPr="007A75AA">
              <w:rPr>
                <w:rFonts w:cs="Arial"/>
                <w:sz w:val="16"/>
                <w:szCs w:val="16"/>
              </w:rPr>
              <w:t>2019</w:t>
            </w:r>
          </w:p>
        </w:tc>
        <w:tc>
          <w:tcPr>
            <w:tcW w:w="673" w:type="dxa"/>
            <w:tcBorders>
              <w:top w:val="single" w:sz="4" w:space="0" w:color="auto"/>
              <w:left w:val="nil"/>
              <w:bottom w:val="single" w:sz="4" w:space="0" w:color="auto"/>
              <w:right w:val="nil"/>
            </w:tcBorders>
            <w:shd w:val="clear" w:color="000000" w:fill="F5DADD"/>
            <w:noWrap/>
            <w:vAlign w:val="center"/>
            <w:hideMark/>
          </w:tcPr>
          <w:p w14:paraId="74390943" w14:textId="77777777" w:rsidR="00B27E3C" w:rsidRPr="007A75AA" w:rsidRDefault="00B27E3C" w:rsidP="00B27E3C">
            <w:pPr>
              <w:spacing w:after="0" w:line="240" w:lineRule="auto"/>
              <w:jc w:val="center"/>
              <w:rPr>
                <w:rFonts w:cs="Arial"/>
                <w:sz w:val="16"/>
                <w:szCs w:val="16"/>
              </w:rPr>
            </w:pPr>
            <w:r w:rsidRPr="007A75AA">
              <w:rPr>
                <w:rFonts w:cs="Arial"/>
                <w:sz w:val="16"/>
                <w:szCs w:val="16"/>
              </w:rPr>
              <w:t>2020</w:t>
            </w:r>
          </w:p>
        </w:tc>
        <w:tc>
          <w:tcPr>
            <w:tcW w:w="666" w:type="dxa"/>
            <w:tcBorders>
              <w:top w:val="single" w:sz="4" w:space="0" w:color="auto"/>
              <w:bottom w:val="single" w:sz="4" w:space="0" w:color="auto"/>
            </w:tcBorders>
            <w:shd w:val="clear" w:color="auto" w:fill="F5DADD"/>
            <w:vAlign w:val="center"/>
          </w:tcPr>
          <w:p w14:paraId="4B254221" w14:textId="77777777" w:rsidR="00B27E3C" w:rsidRPr="007A75AA" w:rsidRDefault="00B27E3C" w:rsidP="00B27E3C">
            <w:pPr>
              <w:spacing w:after="0" w:line="240" w:lineRule="auto"/>
              <w:jc w:val="center"/>
            </w:pPr>
            <w:r w:rsidRPr="007A75AA">
              <w:rPr>
                <w:rFonts w:cs="Arial"/>
                <w:sz w:val="16"/>
                <w:szCs w:val="16"/>
                <w:shd w:val="clear" w:color="auto" w:fill="F5DADD"/>
              </w:rPr>
              <w:t>2021</w:t>
            </w:r>
          </w:p>
        </w:tc>
        <w:tc>
          <w:tcPr>
            <w:tcW w:w="668" w:type="dxa"/>
            <w:tcBorders>
              <w:top w:val="single" w:sz="4" w:space="0" w:color="auto"/>
              <w:bottom w:val="single" w:sz="4" w:space="0" w:color="auto"/>
            </w:tcBorders>
            <w:shd w:val="clear" w:color="auto" w:fill="F5DADD"/>
            <w:vAlign w:val="center"/>
          </w:tcPr>
          <w:p w14:paraId="6F66D051" w14:textId="77777777" w:rsidR="00B27E3C" w:rsidRPr="007A75AA" w:rsidRDefault="00B27E3C" w:rsidP="00B27E3C">
            <w:pPr>
              <w:spacing w:after="0" w:line="240" w:lineRule="auto"/>
              <w:jc w:val="center"/>
              <w:rPr>
                <w:rFonts w:cs="Arial"/>
                <w:sz w:val="16"/>
                <w:szCs w:val="16"/>
                <w:shd w:val="clear" w:color="auto" w:fill="F5DADD"/>
              </w:rPr>
            </w:pPr>
            <w:r w:rsidRPr="007A75AA">
              <w:rPr>
                <w:rFonts w:cs="Arial"/>
                <w:sz w:val="16"/>
                <w:szCs w:val="16"/>
                <w:shd w:val="clear" w:color="auto" w:fill="F5DADD"/>
              </w:rPr>
              <w:t>2022</w:t>
            </w:r>
          </w:p>
        </w:tc>
        <w:tc>
          <w:tcPr>
            <w:tcW w:w="663" w:type="dxa"/>
            <w:tcBorders>
              <w:top w:val="single" w:sz="4" w:space="0" w:color="auto"/>
              <w:bottom w:val="single" w:sz="4" w:space="0" w:color="auto"/>
            </w:tcBorders>
            <w:shd w:val="clear" w:color="auto" w:fill="F5DADD"/>
            <w:vAlign w:val="center"/>
          </w:tcPr>
          <w:p w14:paraId="11DB88DF" w14:textId="7CAF5898" w:rsidR="00B27E3C" w:rsidRPr="007A75AA" w:rsidRDefault="00B27E3C" w:rsidP="00B27E3C">
            <w:pPr>
              <w:spacing w:after="0" w:line="240" w:lineRule="auto"/>
              <w:jc w:val="center"/>
              <w:rPr>
                <w:rFonts w:cs="Arial"/>
                <w:sz w:val="16"/>
                <w:szCs w:val="16"/>
                <w:shd w:val="clear" w:color="auto" w:fill="F5DADD"/>
              </w:rPr>
            </w:pPr>
            <w:r>
              <w:rPr>
                <w:rFonts w:cs="Arial"/>
                <w:sz w:val="16"/>
                <w:szCs w:val="16"/>
              </w:rPr>
              <w:t>2023</w:t>
            </w:r>
          </w:p>
        </w:tc>
      </w:tr>
      <w:tr w:rsidR="00B27E3C" w:rsidRPr="007A75AA" w14:paraId="634B6AE3" w14:textId="2E1E849E" w:rsidTr="008F6B9A">
        <w:trPr>
          <w:trHeight w:val="300"/>
        </w:trPr>
        <w:tc>
          <w:tcPr>
            <w:tcW w:w="2257" w:type="dxa"/>
            <w:tcBorders>
              <w:top w:val="single" w:sz="4" w:space="0" w:color="auto"/>
              <w:left w:val="nil"/>
              <w:bottom w:val="nil"/>
              <w:right w:val="single" w:sz="4" w:space="0" w:color="auto"/>
            </w:tcBorders>
            <w:shd w:val="clear" w:color="auto" w:fill="auto"/>
            <w:vAlign w:val="center"/>
            <w:hideMark/>
          </w:tcPr>
          <w:p w14:paraId="39414D2C" w14:textId="77777777" w:rsidR="00B27E3C" w:rsidRPr="007A75AA" w:rsidRDefault="00B27E3C" w:rsidP="00B27E3C">
            <w:pPr>
              <w:spacing w:after="0" w:line="240" w:lineRule="auto"/>
              <w:rPr>
                <w:rFonts w:cs="Arial"/>
                <w:b/>
                <w:bCs/>
                <w:sz w:val="16"/>
                <w:szCs w:val="16"/>
              </w:rPr>
            </w:pPr>
            <w:r w:rsidRPr="007A75AA">
              <w:rPr>
                <w:rFonts w:cs="Arial"/>
                <w:b/>
                <w:bCs/>
                <w:sz w:val="16"/>
                <w:szCs w:val="16"/>
              </w:rPr>
              <w:t>Celkem</w:t>
            </w:r>
          </w:p>
        </w:tc>
        <w:tc>
          <w:tcPr>
            <w:tcW w:w="673" w:type="dxa"/>
            <w:tcBorders>
              <w:top w:val="single" w:sz="4" w:space="0" w:color="auto"/>
              <w:left w:val="nil"/>
              <w:bottom w:val="nil"/>
              <w:right w:val="nil"/>
            </w:tcBorders>
            <w:shd w:val="clear" w:color="auto" w:fill="auto"/>
            <w:noWrap/>
            <w:vAlign w:val="center"/>
            <w:hideMark/>
          </w:tcPr>
          <w:p w14:paraId="6DD6B837" w14:textId="77777777" w:rsidR="00B27E3C" w:rsidRPr="007A75AA" w:rsidRDefault="00B27E3C" w:rsidP="00B27E3C">
            <w:pPr>
              <w:spacing w:after="0" w:line="240" w:lineRule="auto"/>
              <w:jc w:val="right"/>
              <w:rPr>
                <w:rFonts w:cs="Arial"/>
                <w:b/>
                <w:bCs/>
                <w:sz w:val="16"/>
                <w:szCs w:val="16"/>
              </w:rPr>
            </w:pPr>
            <w:r w:rsidRPr="007A75AA">
              <w:rPr>
                <w:rFonts w:cs="Arial"/>
                <w:b/>
                <w:bCs/>
                <w:sz w:val="16"/>
                <w:szCs w:val="16"/>
              </w:rPr>
              <w:t>20,14</w:t>
            </w:r>
          </w:p>
        </w:tc>
        <w:tc>
          <w:tcPr>
            <w:tcW w:w="673" w:type="dxa"/>
            <w:tcBorders>
              <w:top w:val="single" w:sz="4" w:space="0" w:color="auto"/>
              <w:left w:val="nil"/>
              <w:bottom w:val="nil"/>
              <w:right w:val="nil"/>
            </w:tcBorders>
            <w:shd w:val="clear" w:color="auto" w:fill="auto"/>
            <w:noWrap/>
            <w:vAlign w:val="center"/>
            <w:hideMark/>
          </w:tcPr>
          <w:p w14:paraId="61660193" w14:textId="77777777" w:rsidR="00B27E3C" w:rsidRPr="007A75AA" w:rsidRDefault="00B27E3C" w:rsidP="00B27E3C">
            <w:pPr>
              <w:spacing w:after="0" w:line="240" w:lineRule="auto"/>
              <w:jc w:val="right"/>
              <w:rPr>
                <w:rFonts w:cs="Arial"/>
                <w:b/>
                <w:bCs/>
                <w:sz w:val="16"/>
                <w:szCs w:val="16"/>
              </w:rPr>
            </w:pPr>
            <w:r w:rsidRPr="007A75AA">
              <w:rPr>
                <w:rFonts w:cs="Arial"/>
                <w:b/>
                <w:bCs/>
                <w:sz w:val="16"/>
                <w:szCs w:val="16"/>
              </w:rPr>
              <w:t>22,08</w:t>
            </w:r>
          </w:p>
        </w:tc>
        <w:tc>
          <w:tcPr>
            <w:tcW w:w="673" w:type="dxa"/>
            <w:tcBorders>
              <w:top w:val="single" w:sz="4" w:space="0" w:color="auto"/>
              <w:left w:val="nil"/>
              <w:bottom w:val="nil"/>
              <w:right w:val="nil"/>
            </w:tcBorders>
            <w:shd w:val="clear" w:color="auto" w:fill="auto"/>
            <w:noWrap/>
            <w:vAlign w:val="center"/>
            <w:hideMark/>
          </w:tcPr>
          <w:p w14:paraId="21575E50" w14:textId="77777777" w:rsidR="00B27E3C" w:rsidRPr="007A75AA" w:rsidRDefault="00B27E3C" w:rsidP="00B27E3C">
            <w:pPr>
              <w:spacing w:after="0" w:line="240" w:lineRule="auto"/>
              <w:jc w:val="right"/>
              <w:rPr>
                <w:rFonts w:cs="Arial"/>
                <w:b/>
                <w:bCs/>
                <w:sz w:val="16"/>
                <w:szCs w:val="16"/>
              </w:rPr>
            </w:pPr>
            <w:r w:rsidRPr="007A75AA">
              <w:rPr>
                <w:rFonts w:cs="Arial"/>
                <w:b/>
                <w:bCs/>
                <w:sz w:val="16"/>
                <w:szCs w:val="16"/>
              </w:rPr>
              <w:t>24,11</w:t>
            </w:r>
          </w:p>
        </w:tc>
        <w:tc>
          <w:tcPr>
            <w:tcW w:w="673" w:type="dxa"/>
            <w:tcBorders>
              <w:top w:val="single" w:sz="4" w:space="0" w:color="auto"/>
              <w:left w:val="nil"/>
              <w:bottom w:val="nil"/>
              <w:right w:val="nil"/>
            </w:tcBorders>
            <w:shd w:val="clear" w:color="auto" w:fill="auto"/>
            <w:noWrap/>
            <w:vAlign w:val="center"/>
            <w:hideMark/>
          </w:tcPr>
          <w:p w14:paraId="2FC9EAD8" w14:textId="77777777" w:rsidR="00B27E3C" w:rsidRPr="007A75AA" w:rsidRDefault="00B27E3C" w:rsidP="00B27E3C">
            <w:pPr>
              <w:spacing w:after="0" w:line="240" w:lineRule="auto"/>
              <w:jc w:val="right"/>
              <w:rPr>
                <w:rFonts w:cs="Arial"/>
                <w:b/>
                <w:bCs/>
                <w:sz w:val="16"/>
                <w:szCs w:val="16"/>
              </w:rPr>
            </w:pPr>
            <w:r w:rsidRPr="007A75AA">
              <w:rPr>
                <w:rFonts w:cs="Arial"/>
                <w:b/>
                <w:bCs/>
                <w:sz w:val="16"/>
                <w:szCs w:val="16"/>
              </w:rPr>
              <w:t>26,28</w:t>
            </w:r>
          </w:p>
        </w:tc>
        <w:tc>
          <w:tcPr>
            <w:tcW w:w="673" w:type="dxa"/>
            <w:tcBorders>
              <w:top w:val="single" w:sz="4" w:space="0" w:color="auto"/>
              <w:left w:val="nil"/>
              <w:bottom w:val="nil"/>
              <w:right w:val="nil"/>
            </w:tcBorders>
            <w:shd w:val="clear" w:color="auto" w:fill="auto"/>
            <w:noWrap/>
            <w:vAlign w:val="center"/>
            <w:hideMark/>
          </w:tcPr>
          <w:p w14:paraId="70433AC1" w14:textId="77777777" w:rsidR="00B27E3C" w:rsidRPr="007A75AA" w:rsidRDefault="00B27E3C" w:rsidP="00B27E3C">
            <w:pPr>
              <w:spacing w:after="0" w:line="240" w:lineRule="auto"/>
              <w:jc w:val="right"/>
              <w:rPr>
                <w:rFonts w:cs="Arial"/>
                <w:b/>
                <w:bCs/>
                <w:sz w:val="16"/>
                <w:szCs w:val="16"/>
              </w:rPr>
            </w:pPr>
            <w:r w:rsidRPr="007A75AA">
              <w:rPr>
                <w:rFonts w:cs="Arial"/>
                <w:b/>
                <w:bCs/>
                <w:sz w:val="16"/>
                <w:szCs w:val="16"/>
              </w:rPr>
              <w:t>28,32</w:t>
            </w:r>
          </w:p>
        </w:tc>
        <w:tc>
          <w:tcPr>
            <w:tcW w:w="673" w:type="dxa"/>
            <w:tcBorders>
              <w:top w:val="single" w:sz="4" w:space="0" w:color="auto"/>
              <w:left w:val="nil"/>
              <w:bottom w:val="nil"/>
              <w:right w:val="nil"/>
            </w:tcBorders>
            <w:shd w:val="clear" w:color="auto" w:fill="auto"/>
            <w:noWrap/>
            <w:vAlign w:val="center"/>
            <w:hideMark/>
          </w:tcPr>
          <w:p w14:paraId="5E31F998" w14:textId="77777777" w:rsidR="00B27E3C" w:rsidRPr="007A75AA" w:rsidRDefault="00B27E3C" w:rsidP="00B27E3C">
            <w:pPr>
              <w:spacing w:after="0" w:line="240" w:lineRule="auto"/>
              <w:jc w:val="right"/>
              <w:rPr>
                <w:rFonts w:cs="Arial"/>
                <w:b/>
                <w:bCs/>
                <w:sz w:val="16"/>
                <w:szCs w:val="16"/>
              </w:rPr>
            </w:pPr>
            <w:r w:rsidRPr="007A75AA">
              <w:rPr>
                <w:rFonts w:cs="Arial"/>
                <w:b/>
                <w:bCs/>
                <w:sz w:val="16"/>
                <w:szCs w:val="16"/>
              </w:rPr>
              <w:t>33,97</w:t>
            </w:r>
          </w:p>
        </w:tc>
        <w:tc>
          <w:tcPr>
            <w:tcW w:w="673" w:type="dxa"/>
            <w:tcBorders>
              <w:top w:val="single" w:sz="4" w:space="0" w:color="auto"/>
              <w:left w:val="nil"/>
              <w:bottom w:val="nil"/>
              <w:right w:val="nil"/>
            </w:tcBorders>
            <w:shd w:val="clear" w:color="auto" w:fill="auto"/>
            <w:noWrap/>
            <w:vAlign w:val="center"/>
            <w:hideMark/>
          </w:tcPr>
          <w:p w14:paraId="3E41233F" w14:textId="77777777" w:rsidR="00B27E3C" w:rsidRPr="007A75AA" w:rsidRDefault="00B27E3C" w:rsidP="00B27E3C">
            <w:pPr>
              <w:spacing w:after="0" w:line="240" w:lineRule="auto"/>
              <w:jc w:val="right"/>
              <w:rPr>
                <w:rFonts w:cs="Arial"/>
                <w:b/>
                <w:bCs/>
                <w:sz w:val="16"/>
                <w:szCs w:val="16"/>
              </w:rPr>
            </w:pPr>
            <w:r w:rsidRPr="007A75AA">
              <w:rPr>
                <w:rFonts w:cs="Arial"/>
                <w:b/>
                <w:bCs/>
                <w:sz w:val="16"/>
                <w:szCs w:val="16"/>
              </w:rPr>
              <w:t>38,89</w:t>
            </w:r>
          </w:p>
        </w:tc>
        <w:tc>
          <w:tcPr>
            <w:tcW w:w="673" w:type="dxa"/>
            <w:tcBorders>
              <w:top w:val="single" w:sz="4" w:space="0" w:color="auto"/>
              <w:left w:val="nil"/>
              <w:bottom w:val="nil"/>
              <w:right w:val="nil"/>
            </w:tcBorders>
            <w:shd w:val="clear" w:color="auto" w:fill="auto"/>
            <w:noWrap/>
            <w:vAlign w:val="center"/>
            <w:hideMark/>
          </w:tcPr>
          <w:p w14:paraId="63F1F85C" w14:textId="77777777" w:rsidR="00B27E3C" w:rsidRPr="007A75AA" w:rsidRDefault="00B27E3C" w:rsidP="00B27E3C">
            <w:pPr>
              <w:spacing w:after="0" w:line="240" w:lineRule="auto"/>
              <w:jc w:val="right"/>
              <w:rPr>
                <w:rFonts w:cs="Arial"/>
                <w:b/>
                <w:bCs/>
                <w:sz w:val="16"/>
                <w:szCs w:val="16"/>
              </w:rPr>
            </w:pPr>
            <w:r w:rsidRPr="007A75AA">
              <w:rPr>
                <w:rFonts w:cs="Arial"/>
                <w:b/>
                <w:bCs/>
                <w:sz w:val="16"/>
                <w:szCs w:val="16"/>
              </w:rPr>
              <w:t>55,21</w:t>
            </w:r>
          </w:p>
        </w:tc>
        <w:tc>
          <w:tcPr>
            <w:tcW w:w="666" w:type="dxa"/>
            <w:tcBorders>
              <w:top w:val="single" w:sz="4" w:space="0" w:color="auto"/>
            </w:tcBorders>
            <w:vAlign w:val="center"/>
          </w:tcPr>
          <w:p w14:paraId="54D1BE68" w14:textId="77777777" w:rsidR="00B27E3C" w:rsidRPr="007A75AA" w:rsidRDefault="00B27E3C" w:rsidP="00B27E3C">
            <w:pPr>
              <w:spacing w:after="0" w:line="240" w:lineRule="auto"/>
              <w:jc w:val="right"/>
            </w:pPr>
            <w:r w:rsidRPr="007A75AA">
              <w:rPr>
                <w:rFonts w:cs="Arial"/>
                <w:b/>
                <w:bCs/>
                <w:sz w:val="16"/>
                <w:szCs w:val="16"/>
              </w:rPr>
              <w:t>51,47</w:t>
            </w:r>
          </w:p>
        </w:tc>
        <w:tc>
          <w:tcPr>
            <w:tcW w:w="668" w:type="dxa"/>
            <w:tcBorders>
              <w:top w:val="single" w:sz="4" w:space="0" w:color="auto"/>
            </w:tcBorders>
            <w:vAlign w:val="center"/>
          </w:tcPr>
          <w:p w14:paraId="0D828595" w14:textId="77777777" w:rsidR="00B27E3C" w:rsidRPr="007A75AA" w:rsidRDefault="00B27E3C" w:rsidP="00B27E3C">
            <w:pPr>
              <w:spacing w:after="0" w:line="240" w:lineRule="auto"/>
              <w:jc w:val="right"/>
              <w:rPr>
                <w:rFonts w:cs="Arial"/>
                <w:b/>
                <w:bCs/>
                <w:sz w:val="16"/>
                <w:szCs w:val="16"/>
              </w:rPr>
            </w:pPr>
            <w:r w:rsidRPr="007A75AA">
              <w:rPr>
                <w:rFonts w:cs="Arial"/>
                <w:b/>
                <w:bCs/>
                <w:sz w:val="16"/>
                <w:szCs w:val="16"/>
              </w:rPr>
              <w:t>47,63</w:t>
            </w:r>
          </w:p>
        </w:tc>
        <w:tc>
          <w:tcPr>
            <w:tcW w:w="663" w:type="dxa"/>
            <w:tcBorders>
              <w:top w:val="single" w:sz="4" w:space="0" w:color="auto"/>
            </w:tcBorders>
            <w:vAlign w:val="center"/>
          </w:tcPr>
          <w:p w14:paraId="63D25E50" w14:textId="6DE6A9FD" w:rsidR="00B27E3C" w:rsidRPr="007A75AA" w:rsidRDefault="00B27E3C" w:rsidP="00B27E3C">
            <w:pPr>
              <w:spacing w:after="0" w:line="240" w:lineRule="auto"/>
              <w:jc w:val="right"/>
              <w:rPr>
                <w:rFonts w:cs="Arial"/>
                <w:b/>
                <w:bCs/>
                <w:sz w:val="16"/>
                <w:szCs w:val="16"/>
              </w:rPr>
            </w:pPr>
            <w:r>
              <w:rPr>
                <w:rFonts w:cs="Arial"/>
                <w:b/>
                <w:bCs/>
                <w:sz w:val="16"/>
                <w:szCs w:val="16"/>
              </w:rPr>
              <w:t>45,45</w:t>
            </w:r>
          </w:p>
        </w:tc>
      </w:tr>
      <w:tr w:rsidR="00B27E3C" w:rsidRPr="007A75AA" w14:paraId="43DB43BD" w14:textId="187916C1" w:rsidTr="008F6B9A">
        <w:trPr>
          <w:trHeight w:val="300"/>
        </w:trPr>
        <w:tc>
          <w:tcPr>
            <w:tcW w:w="2257" w:type="dxa"/>
            <w:tcBorders>
              <w:top w:val="nil"/>
              <w:left w:val="nil"/>
              <w:bottom w:val="nil"/>
              <w:right w:val="single" w:sz="4" w:space="0" w:color="auto"/>
            </w:tcBorders>
            <w:shd w:val="clear" w:color="000000" w:fill="F5DADD"/>
            <w:vAlign w:val="center"/>
            <w:hideMark/>
          </w:tcPr>
          <w:p w14:paraId="5F50646C" w14:textId="77777777" w:rsidR="00B27E3C" w:rsidRPr="007A75AA" w:rsidRDefault="00B27E3C" w:rsidP="00B27E3C">
            <w:pPr>
              <w:spacing w:after="0" w:line="240" w:lineRule="auto"/>
              <w:ind w:firstLineChars="100" w:firstLine="160"/>
              <w:rPr>
                <w:rFonts w:cs="Arial"/>
                <w:sz w:val="16"/>
                <w:szCs w:val="16"/>
              </w:rPr>
            </w:pPr>
            <w:r w:rsidRPr="007A75AA">
              <w:rPr>
                <w:rFonts w:cs="Arial"/>
                <w:sz w:val="16"/>
                <w:szCs w:val="16"/>
              </w:rPr>
              <w:t>nemocenské</w:t>
            </w:r>
          </w:p>
        </w:tc>
        <w:tc>
          <w:tcPr>
            <w:tcW w:w="673" w:type="dxa"/>
            <w:tcBorders>
              <w:top w:val="nil"/>
              <w:left w:val="nil"/>
              <w:bottom w:val="nil"/>
              <w:right w:val="nil"/>
            </w:tcBorders>
            <w:shd w:val="clear" w:color="000000" w:fill="F5DADD"/>
            <w:noWrap/>
            <w:vAlign w:val="center"/>
            <w:hideMark/>
          </w:tcPr>
          <w:p w14:paraId="145C801B" w14:textId="77777777" w:rsidR="00B27E3C" w:rsidRPr="007A75AA" w:rsidRDefault="00B27E3C" w:rsidP="00B27E3C">
            <w:pPr>
              <w:spacing w:after="0" w:line="240" w:lineRule="auto"/>
              <w:jc w:val="right"/>
              <w:rPr>
                <w:rFonts w:cs="Arial"/>
                <w:sz w:val="16"/>
                <w:szCs w:val="16"/>
              </w:rPr>
            </w:pPr>
            <w:r w:rsidRPr="007A75AA">
              <w:rPr>
                <w:rFonts w:cs="Arial"/>
                <w:sz w:val="16"/>
                <w:szCs w:val="16"/>
              </w:rPr>
              <w:t>12,04</w:t>
            </w:r>
          </w:p>
        </w:tc>
        <w:tc>
          <w:tcPr>
            <w:tcW w:w="673" w:type="dxa"/>
            <w:tcBorders>
              <w:top w:val="nil"/>
              <w:left w:val="nil"/>
              <w:bottom w:val="nil"/>
              <w:right w:val="nil"/>
            </w:tcBorders>
            <w:shd w:val="clear" w:color="000000" w:fill="F5DADD"/>
            <w:noWrap/>
            <w:vAlign w:val="center"/>
            <w:hideMark/>
          </w:tcPr>
          <w:p w14:paraId="3BAB4847" w14:textId="77777777" w:rsidR="00B27E3C" w:rsidRPr="007A75AA" w:rsidRDefault="00B27E3C" w:rsidP="00B27E3C">
            <w:pPr>
              <w:spacing w:after="0" w:line="240" w:lineRule="auto"/>
              <w:jc w:val="right"/>
              <w:rPr>
                <w:rFonts w:cs="Arial"/>
                <w:sz w:val="16"/>
                <w:szCs w:val="16"/>
              </w:rPr>
            </w:pPr>
            <w:r w:rsidRPr="007A75AA">
              <w:rPr>
                <w:rFonts w:cs="Arial"/>
                <w:sz w:val="16"/>
                <w:szCs w:val="16"/>
              </w:rPr>
              <w:t>13,88</w:t>
            </w:r>
          </w:p>
        </w:tc>
        <w:tc>
          <w:tcPr>
            <w:tcW w:w="673" w:type="dxa"/>
            <w:tcBorders>
              <w:top w:val="nil"/>
              <w:left w:val="nil"/>
              <w:bottom w:val="nil"/>
              <w:right w:val="nil"/>
            </w:tcBorders>
            <w:shd w:val="clear" w:color="000000" w:fill="F5DADD"/>
            <w:noWrap/>
            <w:vAlign w:val="center"/>
            <w:hideMark/>
          </w:tcPr>
          <w:p w14:paraId="350095AC" w14:textId="77777777" w:rsidR="00B27E3C" w:rsidRPr="007A75AA" w:rsidRDefault="00B27E3C" w:rsidP="00B27E3C">
            <w:pPr>
              <w:spacing w:after="0" w:line="240" w:lineRule="auto"/>
              <w:jc w:val="right"/>
              <w:rPr>
                <w:rFonts w:cs="Arial"/>
                <w:sz w:val="16"/>
                <w:szCs w:val="16"/>
              </w:rPr>
            </w:pPr>
            <w:r w:rsidRPr="007A75AA">
              <w:rPr>
                <w:rFonts w:cs="Arial"/>
                <w:sz w:val="16"/>
                <w:szCs w:val="16"/>
              </w:rPr>
              <w:t>15,43</w:t>
            </w:r>
          </w:p>
        </w:tc>
        <w:tc>
          <w:tcPr>
            <w:tcW w:w="673" w:type="dxa"/>
            <w:tcBorders>
              <w:top w:val="nil"/>
              <w:left w:val="nil"/>
              <w:bottom w:val="nil"/>
              <w:right w:val="nil"/>
            </w:tcBorders>
            <w:shd w:val="clear" w:color="000000" w:fill="F5DADD"/>
            <w:noWrap/>
            <w:vAlign w:val="center"/>
            <w:hideMark/>
          </w:tcPr>
          <w:p w14:paraId="727AC511" w14:textId="77777777" w:rsidR="00B27E3C" w:rsidRPr="007A75AA" w:rsidRDefault="00B27E3C" w:rsidP="00B27E3C">
            <w:pPr>
              <w:spacing w:after="0" w:line="240" w:lineRule="auto"/>
              <w:jc w:val="right"/>
              <w:rPr>
                <w:rFonts w:cs="Arial"/>
                <w:sz w:val="16"/>
                <w:szCs w:val="16"/>
              </w:rPr>
            </w:pPr>
            <w:r w:rsidRPr="007A75AA">
              <w:rPr>
                <w:rFonts w:cs="Arial"/>
                <w:sz w:val="16"/>
                <w:szCs w:val="16"/>
              </w:rPr>
              <w:t>16,99</w:t>
            </w:r>
          </w:p>
        </w:tc>
        <w:tc>
          <w:tcPr>
            <w:tcW w:w="673" w:type="dxa"/>
            <w:tcBorders>
              <w:top w:val="nil"/>
              <w:left w:val="nil"/>
              <w:bottom w:val="nil"/>
              <w:right w:val="nil"/>
            </w:tcBorders>
            <w:shd w:val="clear" w:color="000000" w:fill="F5DADD"/>
            <w:noWrap/>
            <w:vAlign w:val="center"/>
            <w:hideMark/>
          </w:tcPr>
          <w:p w14:paraId="6AE7185B" w14:textId="77777777" w:rsidR="00B27E3C" w:rsidRPr="007A75AA" w:rsidRDefault="00B27E3C" w:rsidP="00B27E3C">
            <w:pPr>
              <w:spacing w:after="0" w:line="240" w:lineRule="auto"/>
              <w:jc w:val="right"/>
              <w:rPr>
                <w:rFonts w:cs="Arial"/>
                <w:color w:val="000000"/>
                <w:sz w:val="16"/>
                <w:szCs w:val="16"/>
              </w:rPr>
            </w:pPr>
            <w:r w:rsidRPr="007A75AA">
              <w:rPr>
                <w:rFonts w:cs="Arial"/>
                <w:color w:val="000000"/>
                <w:sz w:val="16"/>
                <w:szCs w:val="16"/>
              </w:rPr>
              <w:t>18,29</w:t>
            </w:r>
          </w:p>
        </w:tc>
        <w:tc>
          <w:tcPr>
            <w:tcW w:w="673" w:type="dxa"/>
            <w:tcBorders>
              <w:top w:val="nil"/>
              <w:left w:val="nil"/>
              <w:bottom w:val="nil"/>
              <w:right w:val="nil"/>
            </w:tcBorders>
            <w:shd w:val="clear" w:color="000000" w:fill="F5DADD"/>
            <w:noWrap/>
            <w:vAlign w:val="center"/>
            <w:hideMark/>
          </w:tcPr>
          <w:p w14:paraId="3E9E4C93" w14:textId="77777777" w:rsidR="00B27E3C" w:rsidRPr="007A75AA" w:rsidRDefault="00B27E3C" w:rsidP="00B27E3C">
            <w:pPr>
              <w:spacing w:after="0" w:line="240" w:lineRule="auto"/>
              <w:jc w:val="right"/>
              <w:rPr>
                <w:rFonts w:cs="Arial"/>
                <w:color w:val="000000"/>
                <w:sz w:val="16"/>
                <w:szCs w:val="16"/>
              </w:rPr>
            </w:pPr>
            <w:r w:rsidRPr="007A75AA">
              <w:rPr>
                <w:rFonts w:cs="Arial"/>
                <w:color w:val="000000"/>
                <w:sz w:val="16"/>
                <w:szCs w:val="16"/>
              </w:rPr>
              <w:t>22,68</w:t>
            </w:r>
          </w:p>
        </w:tc>
        <w:tc>
          <w:tcPr>
            <w:tcW w:w="673" w:type="dxa"/>
            <w:tcBorders>
              <w:top w:val="nil"/>
              <w:left w:val="nil"/>
              <w:bottom w:val="nil"/>
              <w:right w:val="nil"/>
            </w:tcBorders>
            <w:shd w:val="clear" w:color="000000" w:fill="F5DADD"/>
            <w:noWrap/>
            <w:vAlign w:val="center"/>
            <w:hideMark/>
          </w:tcPr>
          <w:p w14:paraId="59EC846F" w14:textId="77777777" w:rsidR="00B27E3C" w:rsidRPr="007A75AA" w:rsidRDefault="00B27E3C" w:rsidP="00B27E3C">
            <w:pPr>
              <w:spacing w:after="0" w:line="240" w:lineRule="auto"/>
              <w:jc w:val="right"/>
              <w:rPr>
                <w:rFonts w:cs="Arial"/>
                <w:color w:val="000000"/>
                <w:sz w:val="16"/>
                <w:szCs w:val="16"/>
              </w:rPr>
            </w:pPr>
            <w:r w:rsidRPr="007A75AA">
              <w:rPr>
                <w:rFonts w:cs="Arial"/>
                <w:color w:val="000000"/>
                <w:sz w:val="16"/>
                <w:szCs w:val="16"/>
              </w:rPr>
              <w:t>26,67</w:t>
            </w:r>
          </w:p>
        </w:tc>
        <w:tc>
          <w:tcPr>
            <w:tcW w:w="673" w:type="dxa"/>
            <w:tcBorders>
              <w:top w:val="nil"/>
              <w:left w:val="nil"/>
              <w:bottom w:val="nil"/>
              <w:right w:val="nil"/>
            </w:tcBorders>
            <w:shd w:val="clear" w:color="000000" w:fill="F5DADD"/>
            <w:noWrap/>
            <w:vAlign w:val="center"/>
            <w:hideMark/>
          </w:tcPr>
          <w:p w14:paraId="61A178C7" w14:textId="77777777" w:rsidR="00B27E3C" w:rsidRPr="007A75AA" w:rsidRDefault="00B27E3C" w:rsidP="00B27E3C">
            <w:pPr>
              <w:spacing w:after="0" w:line="240" w:lineRule="auto"/>
              <w:jc w:val="right"/>
              <w:rPr>
                <w:rFonts w:cs="Arial"/>
                <w:color w:val="000000"/>
                <w:sz w:val="16"/>
                <w:szCs w:val="16"/>
              </w:rPr>
            </w:pPr>
            <w:r w:rsidRPr="007A75AA">
              <w:rPr>
                <w:rFonts w:cs="Arial"/>
                <w:color w:val="000000"/>
                <w:sz w:val="16"/>
                <w:szCs w:val="16"/>
              </w:rPr>
              <w:t>32,77</w:t>
            </w:r>
          </w:p>
        </w:tc>
        <w:tc>
          <w:tcPr>
            <w:tcW w:w="666" w:type="dxa"/>
            <w:shd w:val="clear" w:color="auto" w:fill="F5DADD"/>
            <w:vAlign w:val="center"/>
          </w:tcPr>
          <w:p w14:paraId="0AA35E10" w14:textId="77777777" w:rsidR="00B27E3C" w:rsidRPr="007A75AA" w:rsidRDefault="00B27E3C" w:rsidP="00B27E3C">
            <w:pPr>
              <w:spacing w:after="0" w:line="240" w:lineRule="auto"/>
              <w:jc w:val="right"/>
            </w:pPr>
            <w:r w:rsidRPr="007A75AA">
              <w:rPr>
                <w:rFonts w:cs="Arial"/>
                <w:color w:val="000000"/>
                <w:sz w:val="16"/>
                <w:szCs w:val="16"/>
                <w:shd w:val="clear" w:color="auto" w:fill="F5DADD"/>
              </w:rPr>
              <w:t>34,04</w:t>
            </w:r>
          </w:p>
        </w:tc>
        <w:tc>
          <w:tcPr>
            <w:tcW w:w="668" w:type="dxa"/>
            <w:shd w:val="clear" w:color="auto" w:fill="F5DADD"/>
            <w:vAlign w:val="center"/>
          </w:tcPr>
          <w:p w14:paraId="385C3147" w14:textId="77777777" w:rsidR="00B27E3C" w:rsidRPr="007A75AA" w:rsidRDefault="00B27E3C" w:rsidP="00B27E3C">
            <w:pPr>
              <w:spacing w:after="0" w:line="240" w:lineRule="auto"/>
              <w:jc w:val="right"/>
              <w:rPr>
                <w:rFonts w:cs="Arial"/>
                <w:sz w:val="16"/>
                <w:szCs w:val="16"/>
                <w:shd w:val="clear" w:color="auto" w:fill="F5DADD"/>
              </w:rPr>
            </w:pPr>
            <w:r w:rsidRPr="007A75AA">
              <w:rPr>
                <w:rFonts w:cs="Arial"/>
                <w:sz w:val="16"/>
                <w:szCs w:val="16"/>
                <w:shd w:val="clear" w:color="auto" w:fill="F5DADD"/>
              </w:rPr>
              <w:t>32,75</w:t>
            </w:r>
          </w:p>
        </w:tc>
        <w:tc>
          <w:tcPr>
            <w:tcW w:w="663" w:type="dxa"/>
            <w:shd w:val="clear" w:color="auto" w:fill="F5DADD"/>
            <w:vAlign w:val="center"/>
          </w:tcPr>
          <w:p w14:paraId="786AAEF8" w14:textId="451448F8" w:rsidR="00B27E3C" w:rsidRPr="007A75AA" w:rsidRDefault="00B27E3C" w:rsidP="00B27E3C">
            <w:pPr>
              <w:spacing w:after="0" w:line="240" w:lineRule="auto"/>
              <w:jc w:val="right"/>
              <w:rPr>
                <w:rFonts w:cs="Arial"/>
                <w:sz w:val="16"/>
                <w:szCs w:val="16"/>
                <w:shd w:val="clear" w:color="auto" w:fill="F5DADD"/>
              </w:rPr>
            </w:pPr>
            <w:r>
              <w:rPr>
                <w:rFonts w:cs="Arial"/>
                <w:color w:val="000000"/>
                <w:sz w:val="16"/>
                <w:szCs w:val="16"/>
              </w:rPr>
              <w:t>31,68</w:t>
            </w:r>
          </w:p>
        </w:tc>
      </w:tr>
      <w:tr w:rsidR="00B27E3C" w:rsidRPr="007A75AA" w14:paraId="7020ABA3" w14:textId="2FC75D86" w:rsidTr="008F6B9A">
        <w:trPr>
          <w:trHeight w:val="300"/>
        </w:trPr>
        <w:tc>
          <w:tcPr>
            <w:tcW w:w="2257" w:type="dxa"/>
            <w:tcBorders>
              <w:top w:val="nil"/>
              <w:left w:val="nil"/>
              <w:bottom w:val="nil"/>
              <w:right w:val="single" w:sz="4" w:space="0" w:color="auto"/>
            </w:tcBorders>
            <w:shd w:val="clear" w:color="auto" w:fill="auto"/>
            <w:vAlign w:val="center"/>
            <w:hideMark/>
          </w:tcPr>
          <w:p w14:paraId="4DC2866C" w14:textId="77777777" w:rsidR="00B27E3C" w:rsidRPr="007A75AA" w:rsidRDefault="00B27E3C" w:rsidP="00B27E3C">
            <w:pPr>
              <w:spacing w:after="0" w:line="240" w:lineRule="auto"/>
              <w:ind w:firstLineChars="100" w:firstLine="160"/>
              <w:rPr>
                <w:rFonts w:cs="Arial"/>
                <w:sz w:val="16"/>
                <w:szCs w:val="16"/>
              </w:rPr>
            </w:pPr>
            <w:r w:rsidRPr="007A75AA">
              <w:rPr>
                <w:rFonts w:cs="Arial"/>
                <w:sz w:val="16"/>
                <w:szCs w:val="16"/>
              </w:rPr>
              <w:t>ošetřovné</w:t>
            </w:r>
          </w:p>
        </w:tc>
        <w:tc>
          <w:tcPr>
            <w:tcW w:w="673" w:type="dxa"/>
            <w:tcBorders>
              <w:top w:val="nil"/>
              <w:left w:val="nil"/>
              <w:bottom w:val="nil"/>
              <w:right w:val="nil"/>
            </w:tcBorders>
            <w:shd w:val="clear" w:color="auto" w:fill="auto"/>
            <w:noWrap/>
            <w:vAlign w:val="center"/>
            <w:hideMark/>
          </w:tcPr>
          <w:p w14:paraId="67DD6E1C" w14:textId="77777777" w:rsidR="00B27E3C" w:rsidRPr="007A75AA" w:rsidRDefault="00B27E3C" w:rsidP="00B27E3C">
            <w:pPr>
              <w:spacing w:after="0" w:line="240" w:lineRule="auto"/>
              <w:jc w:val="right"/>
              <w:rPr>
                <w:rFonts w:cs="Arial"/>
                <w:sz w:val="16"/>
                <w:szCs w:val="16"/>
              </w:rPr>
            </w:pPr>
            <w:r w:rsidRPr="007A75AA">
              <w:rPr>
                <w:rFonts w:cs="Arial"/>
                <w:sz w:val="16"/>
                <w:szCs w:val="16"/>
              </w:rPr>
              <w:t>0,84</w:t>
            </w:r>
          </w:p>
        </w:tc>
        <w:tc>
          <w:tcPr>
            <w:tcW w:w="673" w:type="dxa"/>
            <w:tcBorders>
              <w:top w:val="nil"/>
              <w:left w:val="nil"/>
              <w:bottom w:val="nil"/>
              <w:right w:val="nil"/>
            </w:tcBorders>
            <w:shd w:val="clear" w:color="auto" w:fill="auto"/>
            <w:noWrap/>
            <w:vAlign w:val="center"/>
            <w:hideMark/>
          </w:tcPr>
          <w:p w14:paraId="34D60502" w14:textId="77777777" w:rsidR="00B27E3C" w:rsidRPr="007A75AA" w:rsidRDefault="00B27E3C" w:rsidP="00B27E3C">
            <w:pPr>
              <w:spacing w:after="0" w:line="240" w:lineRule="auto"/>
              <w:jc w:val="right"/>
              <w:rPr>
                <w:rFonts w:cs="Arial"/>
                <w:sz w:val="16"/>
                <w:szCs w:val="16"/>
              </w:rPr>
            </w:pPr>
            <w:r w:rsidRPr="007A75AA">
              <w:rPr>
                <w:rFonts w:cs="Arial"/>
                <w:sz w:val="16"/>
                <w:szCs w:val="16"/>
              </w:rPr>
              <w:t>0,85</w:t>
            </w:r>
          </w:p>
        </w:tc>
        <w:tc>
          <w:tcPr>
            <w:tcW w:w="673" w:type="dxa"/>
            <w:tcBorders>
              <w:top w:val="nil"/>
              <w:left w:val="nil"/>
              <w:bottom w:val="nil"/>
              <w:right w:val="nil"/>
            </w:tcBorders>
            <w:shd w:val="clear" w:color="auto" w:fill="auto"/>
            <w:noWrap/>
            <w:vAlign w:val="center"/>
            <w:hideMark/>
          </w:tcPr>
          <w:p w14:paraId="118AF998" w14:textId="77777777" w:rsidR="00B27E3C" w:rsidRPr="007A75AA" w:rsidRDefault="00B27E3C" w:rsidP="00B27E3C">
            <w:pPr>
              <w:spacing w:after="0" w:line="240" w:lineRule="auto"/>
              <w:jc w:val="right"/>
              <w:rPr>
                <w:rFonts w:cs="Arial"/>
                <w:sz w:val="16"/>
                <w:szCs w:val="16"/>
              </w:rPr>
            </w:pPr>
            <w:r w:rsidRPr="007A75AA">
              <w:rPr>
                <w:rFonts w:cs="Arial"/>
                <w:sz w:val="16"/>
                <w:szCs w:val="16"/>
              </w:rPr>
              <w:t>1,06</w:t>
            </w:r>
          </w:p>
        </w:tc>
        <w:tc>
          <w:tcPr>
            <w:tcW w:w="673" w:type="dxa"/>
            <w:tcBorders>
              <w:top w:val="nil"/>
              <w:left w:val="nil"/>
              <w:bottom w:val="nil"/>
              <w:right w:val="nil"/>
            </w:tcBorders>
            <w:shd w:val="clear" w:color="auto" w:fill="auto"/>
            <w:noWrap/>
            <w:vAlign w:val="center"/>
            <w:hideMark/>
          </w:tcPr>
          <w:p w14:paraId="1B95E3DC" w14:textId="77777777" w:rsidR="00B27E3C" w:rsidRPr="007A75AA" w:rsidRDefault="00B27E3C" w:rsidP="00B27E3C">
            <w:pPr>
              <w:spacing w:after="0" w:line="240" w:lineRule="auto"/>
              <w:jc w:val="right"/>
              <w:rPr>
                <w:rFonts w:cs="Arial"/>
                <w:sz w:val="16"/>
                <w:szCs w:val="16"/>
              </w:rPr>
            </w:pPr>
            <w:r w:rsidRPr="007A75AA">
              <w:rPr>
                <w:rFonts w:cs="Arial"/>
                <w:sz w:val="16"/>
                <w:szCs w:val="16"/>
              </w:rPr>
              <w:t>1,18</w:t>
            </w:r>
          </w:p>
        </w:tc>
        <w:tc>
          <w:tcPr>
            <w:tcW w:w="673" w:type="dxa"/>
            <w:tcBorders>
              <w:top w:val="nil"/>
              <w:left w:val="nil"/>
              <w:bottom w:val="nil"/>
              <w:right w:val="nil"/>
            </w:tcBorders>
            <w:shd w:val="clear" w:color="auto" w:fill="auto"/>
            <w:noWrap/>
            <w:vAlign w:val="center"/>
            <w:hideMark/>
          </w:tcPr>
          <w:p w14:paraId="605325C5" w14:textId="77777777" w:rsidR="00B27E3C" w:rsidRPr="007A75AA" w:rsidRDefault="00B27E3C" w:rsidP="00B27E3C">
            <w:pPr>
              <w:spacing w:after="0" w:line="240" w:lineRule="auto"/>
              <w:jc w:val="right"/>
              <w:rPr>
                <w:rFonts w:cs="Arial"/>
                <w:sz w:val="16"/>
                <w:szCs w:val="16"/>
              </w:rPr>
            </w:pPr>
            <w:r w:rsidRPr="007A75AA">
              <w:rPr>
                <w:rFonts w:cs="Arial"/>
                <w:sz w:val="16"/>
                <w:szCs w:val="16"/>
              </w:rPr>
              <w:t>1,40</w:t>
            </w:r>
          </w:p>
        </w:tc>
        <w:tc>
          <w:tcPr>
            <w:tcW w:w="673" w:type="dxa"/>
            <w:tcBorders>
              <w:top w:val="nil"/>
              <w:left w:val="nil"/>
              <w:bottom w:val="nil"/>
              <w:right w:val="nil"/>
            </w:tcBorders>
            <w:shd w:val="clear" w:color="auto" w:fill="auto"/>
            <w:noWrap/>
            <w:vAlign w:val="center"/>
            <w:hideMark/>
          </w:tcPr>
          <w:p w14:paraId="70DCCEE7" w14:textId="77777777" w:rsidR="00B27E3C" w:rsidRPr="007A75AA" w:rsidRDefault="00B27E3C" w:rsidP="00B27E3C">
            <w:pPr>
              <w:spacing w:after="0" w:line="240" w:lineRule="auto"/>
              <w:jc w:val="right"/>
              <w:rPr>
                <w:rFonts w:cs="Arial"/>
                <w:sz w:val="16"/>
                <w:szCs w:val="16"/>
              </w:rPr>
            </w:pPr>
            <w:r w:rsidRPr="007A75AA">
              <w:rPr>
                <w:rFonts w:cs="Arial"/>
                <w:sz w:val="16"/>
                <w:szCs w:val="16"/>
              </w:rPr>
              <w:t>1,63</w:t>
            </w:r>
          </w:p>
        </w:tc>
        <w:tc>
          <w:tcPr>
            <w:tcW w:w="673" w:type="dxa"/>
            <w:tcBorders>
              <w:top w:val="nil"/>
              <w:left w:val="nil"/>
              <w:bottom w:val="nil"/>
              <w:right w:val="nil"/>
            </w:tcBorders>
            <w:shd w:val="clear" w:color="auto" w:fill="auto"/>
            <w:noWrap/>
            <w:vAlign w:val="center"/>
            <w:hideMark/>
          </w:tcPr>
          <w:p w14:paraId="61FA7A0A" w14:textId="77777777" w:rsidR="00B27E3C" w:rsidRPr="007A75AA" w:rsidRDefault="00B27E3C" w:rsidP="00B27E3C">
            <w:pPr>
              <w:spacing w:after="0" w:line="240" w:lineRule="auto"/>
              <w:jc w:val="right"/>
              <w:rPr>
                <w:rFonts w:cs="Arial"/>
                <w:sz w:val="16"/>
                <w:szCs w:val="16"/>
              </w:rPr>
            </w:pPr>
            <w:r w:rsidRPr="007A75AA">
              <w:rPr>
                <w:rFonts w:cs="Arial"/>
                <w:sz w:val="16"/>
                <w:szCs w:val="16"/>
              </w:rPr>
              <w:t>1,73</w:t>
            </w:r>
          </w:p>
        </w:tc>
        <w:tc>
          <w:tcPr>
            <w:tcW w:w="673" w:type="dxa"/>
            <w:tcBorders>
              <w:top w:val="nil"/>
              <w:left w:val="nil"/>
              <w:bottom w:val="nil"/>
              <w:right w:val="nil"/>
            </w:tcBorders>
            <w:shd w:val="clear" w:color="auto" w:fill="auto"/>
            <w:noWrap/>
            <w:vAlign w:val="center"/>
            <w:hideMark/>
          </w:tcPr>
          <w:p w14:paraId="6128B0DD" w14:textId="77777777" w:rsidR="00B27E3C" w:rsidRPr="007A75AA" w:rsidRDefault="00B27E3C" w:rsidP="00B27E3C">
            <w:pPr>
              <w:spacing w:after="0" w:line="240" w:lineRule="auto"/>
              <w:jc w:val="right"/>
              <w:rPr>
                <w:rFonts w:cs="Arial"/>
                <w:sz w:val="16"/>
                <w:szCs w:val="16"/>
              </w:rPr>
            </w:pPr>
            <w:r w:rsidRPr="007A75AA">
              <w:rPr>
                <w:rFonts w:cs="Arial"/>
                <w:sz w:val="16"/>
                <w:szCs w:val="16"/>
              </w:rPr>
              <w:t>11,44</w:t>
            </w:r>
          </w:p>
        </w:tc>
        <w:tc>
          <w:tcPr>
            <w:tcW w:w="666" w:type="dxa"/>
            <w:vAlign w:val="center"/>
          </w:tcPr>
          <w:p w14:paraId="71160951" w14:textId="77777777" w:rsidR="00B27E3C" w:rsidRPr="007A75AA" w:rsidRDefault="00B27E3C" w:rsidP="00B27E3C">
            <w:pPr>
              <w:spacing w:after="0" w:line="240" w:lineRule="auto"/>
              <w:jc w:val="right"/>
            </w:pPr>
            <w:r w:rsidRPr="007A75AA">
              <w:rPr>
                <w:rFonts w:cs="Arial"/>
                <w:sz w:val="16"/>
                <w:szCs w:val="16"/>
              </w:rPr>
              <w:t>5,66</w:t>
            </w:r>
          </w:p>
        </w:tc>
        <w:tc>
          <w:tcPr>
            <w:tcW w:w="668" w:type="dxa"/>
            <w:shd w:val="clear" w:color="auto" w:fill="auto"/>
            <w:vAlign w:val="center"/>
          </w:tcPr>
          <w:p w14:paraId="75704C01" w14:textId="77777777" w:rsidR="00B27E3C" w:rsidRPr="007A75AA" w:rsidRDefault="00B27E3C" w:rsidP="00B27E3C">
            <w:pPr>
              <w:spacing w:after="0" w:line="240" w:lineRule="auto"/>
              <w:jc w:val="right"/>
              <w:rPr>
                <w:rFonts w:cs="Arial"/>
                <w:sz w:val="16"/>
                <w:szCs w:val="16"/>
              </w:rPr>
            </w:pPr>
            <w:r w:rsidRPr="007A75AA">
              <w:rPr>
                <w:rFonts w:cs="Arial"/>
                <w:sz w:val="16"/>
                <w:szCs w:val="16"/>
              </w:rPr>
              <w:t>2,83</w:t>
            </w:r>
          </w:p>
        </w:tc>
        <w:tc>
          <w:tcPr>
            <w:tcW w:w="663" w:type="dxa"/>
            <w:vAlign w:val="center"/>
          </w:tcPr>
          <w:p w14:paraId="0E5BBA38" w14:textId="364027E3" w:rsidR="00B27E3C" w:rsidRPr="007A75AA" w:rsidRDefault="00B27E3C" w:rsidP="00B27E3C">
            <w:pPr>
              <w:spacing w:after="0" w:line="240" w:lineRule="auto"/>
              <w:jc w:val="right"/>
              <w:rPr>
                <w:rFonts w:cs="Arial"/>
                <w:sz w:val="16"/>
                <w:szCs w:val="16"/>
              </w:rPr>
            </w:pPr>
            <w:r>
              <w:rPr>
                <w:rFonts w:cs="Arial"/>
                <w:sz w:val="16"/>
                <w:szCs w:val="16"/>
              </w:rPr>
              <w:t>2,46</w:t>
            </w:r>
          </w:p>
        </w:tc>
      </w:tr>
      <w:tr w:rsidR="00B27E3C" w:rsidRPr="007A75AA" w14:paraId="0D8A52CD" w14:textId="7003B654" w:rsidTr="008F6B9A">
        <w:trPr>
          <w:trHeight w:val="300"/>
        </w:trPr>
        <w:tc>
          <w:tcPr>
            <w:tcW w:w="2257" w:type="dxa"/>
            <w:tcBorders>
              <w:top w:val="nil"/>
              <w:left w:val="nil"/>
              <w:bottom w:val="nil"/>
              <w:right w:val="single" w:sz="4" w:space="0" w:color="auto"/>
            </w:tcBorders>
            <w:shd w:val="clear" w:color="auto" w:fill="auto"/>
            <w:vAlign w:val="center"/>
            <w:hideMark/>
          </w:tcPr>
          <w:p w14:paraId="30656DFF" w14:textId="77777777" w:rsidR="00B27E3C" w:rsidRPr="007A75AA" w:rsidRDefault="00B27E3C" w:rsidP="00B27E3C">
            <w:pPr>
              <w:spacing w:after="0" w:line="240" w:lineRule="auto"/>
              <w:ind w:firstLineChars="100" w:firstLine="160"/>
              <w:rPr>
                <w:rFonts w:cs="Arial"/>
                <w:sz w:val="16"/>
                <w:szCs w:val="16"/>
              </w:rPr>
            </w:pPr>
            <w:r w:rsidRPr="007A75AA">
              <w:rPr>
                <w:rFonts w:cs="Arial"/>
                <w:sz w:val="16"/>
                <w:szCs w:val="16"/>
              </w:rPr>
              <w:t>peněžitá pomoc v mateřství</w:t>
            </w:r>
          </w:p>
        </w:tc>
        <w:tc>
          <w:tcPr>
            <w:tcW w:w="673" w:type="dxa"/>
            <w:tcBorders>
              <w:top w:val="nil"/>
              <w:left w:val="nil"/>
              <w:bottom w:val="nil"/>
              <w:right w:val="nil"/>
            </w:tcBorders>
            <w:shd w:val="clear" w:color="auto" w:fill="auto"/>
            <w:noWrap/>
            <w:vAlign w:val="center"/>
            <w:hideMark/>
          </w:tcPr>
          <w:p w14:paraId="4566BC26" w14:textId="77777777" w:rsidR="00B27E3C" w:rsidRPr="007A75AA" w:rsidRDefault="00B27E3C" w:rsidP="00B27E3C">
            <w:pPr>
              <w:spacing w:after="0" w:line="240" w:lineRule="auto"/>
              <w:jc w:val="right"/>
              <w:rPr>
                <w:rFonts w:cs="Arial"/>
                <w:sz w:val="16"/>
                <w:szCs w:val="16"/>
              </w:rPr>
            </w:pPr>
            <w:r w:rsidRPr="007A75AA">
              <w:rPr>
                <w:rFonts w:cs="Arial"/>
                <w:sz w:val="16"/>
                <w:szCs w:val="16"/>
              </w:rPr>
              <w:t>7,26</w:t>
            </w:r>
          </w:p>
        </w:tc>
        <w:tc>
          <w:tcPr>
            <w:tcW w:w="673" w:type="dxa"/>
            <w:tcBorders>
              <w:top w:val="nil"/>
              <w:left w:val="nil"/>
              <w:bottom w:val="nil"/>
              <w:right w:val="nil"/>
            </w:tcBorders>
            <w:shd w:val="clear" w:color="auto" w:fill="auto"/>
            <w:noWrap/>
            <w:vAlign w:val="center"/>
            <w:hideMark/>
          </w:tcPr>
          <w:p w14:paraId="114CC943" w14:textId="77777777" w:rsidR="00B27E3C" w:rsidRPr="007A75AA" w:rsidRDefault="00B27E3C" w:rsidP="00B27E3C">
            <w:pPr>
              <w:spacing w:after="0" w:line="240" w:lineRule="auto"/>
              <w:jc w:val="right"/>
              <w:rPr>
                <w:rFonts w:cs="Arial"/>
                <w:sz w:val="16"/>
                <w:szCs w:val="16"/>
              </w:rPr>
            </w:pPr>
            <w:r w:rsidRPr="007A75AA">
              <w:rPr>
                <w:rFonts w:cs="Arial"/>
                <w:sz w:val="16"/>
                <w:szCs w:val="16"/>
              </w:rPr>
              <w:t>7,33</w:t>
            </w:r>
          </w:p>
        </w:tc>
        <w:tc>
          <w:tcPr>
            <w:tcW w:w="673" w:type="dxa"/>
            <w:tcBorders>
              <w:top w:val="nil"/>
              <w:left w:val="nil"/>
              <w:bottom w:val="nil"/>
              <w:right w:val="nil"/>
            </w:tcBorders>
            <w:shd w:val="clear" w:color="auto" w:fill="auto"/>
            <w:noWrap/>
            <w:vAlign w:val="center"/>
            <w:hideMark/>
          </w:tcPr>
          <w:p w14:paraId="49D1BF72" w14:textId="77777777" w:rsidR="00B27E3C" w:rsidRPr="007A75AA" w:rsidRDefault="00B27E3C" w:rsidP="00B27E3C">
            <w:pPr>
              <w:spacing w:after="0" w:line="240" w:lineRule="auto"/>
              <w:jc w:val="right"/>
              <w:rPr>
                <w:rFonts w:cs="Arial"/>
                <w:sz w:val="16"/>
                <w:szCs w:val="16"/>
              </w:rPr>
            </w:pPr>
            <w:r w:rsidRPr="007A75AA">
              <w:rPr>
                <w:rFonts w:cs="Arial"/>
                <w:sz w:val="16"/>
                <w:szCs w:val="16"/>
              </w:rPr>
              <w:t>7,61</w:t>
            </w:r>
          </w:p>
        </w:tc>
        <w:tc>
          <w:tcPr>
            <w:tcW w:w="673" w:type="dxa"/>
            <w:tcBorders>
              <w:top w:val="nil"/>
              <w:left w:val="nil"/>
              <w:bottom w:val="nil"/>
              <w:right w:val="nil"/>
            </w:tcBorders>
            <w:shd w:val="clear" w:color="auto" w:fill="auto"/>
            <w:noWrap/>
            <w:vAlign w:val="center"/>
            <w:hideMark/>
          </w:tcPr>
          <w:p w14:paraId="0EAA436C" w14:textId="77777777" w:rsidR="00B27E3C" w:rsidRPr="007A75AA" w:rsidRDefault="00B27E3C" w:rsidP="00B27E3C">
            <w:pPr>
              <w:spacing w:after="0" w:line="240" w:lineRule="auto"/>
              <w:jc w:val="right"/>
              <w:rPr>
                <w:rFonts w:cs="Arial"/>
                <w:sz w:val="16"/>
                <w:szCs w:val="16"/>
              </w:rPr>
            </w:pPr>
            <w:r w:rsidRPr="007A75AA">
              <w:rPr>
                <w:rFonts w:cs="Arial"/>
                <w:sz w:val="16"/>
                <w:szCs w:val="16"/>
              </w:rPr>
              <w:t>8,11</w:t>
            </w:r>
          </w:p>
        </w:tc>
        <w:tc>
          <w:tcPr>
            <w:tcW w:w="673" w:type="dxa"/>
            <w:tcBorders>
              <w:top w:val="nil"/>
              <w:left w:val="nil"/>
              <w:bottom w:val="nil"/>
              <w:right w:val="nil"/>
            </w:tcBorders>
            <w:shd w:val="clear" w:color="auto" w:fill="auto"/>
            <w:noWrap/>
            <w:vAlign w:val="center"/>
            <w:hideMark/>
          </w:tcPr>
          <w:p w14:paraId="34E932E5" w14:textId="77777777" w:rsidR="00B27E3C" w:rsidRPr="007A75AA" w:rsidRDefault="00B27E3C" w:rsidP="00B27E3C">
            <w:pPr>
              <w:spacing w:after="0" w:line="240" w:lineRule="auto"/>
              <w:jc w:val="right"/>
              <w:rPr>
                <w:rFonts w:cs="Arial"/>
                <w:color w:val="000000"/>
                <w:sz w:val="16"/>
                <w:szCs w:val="16"/>
              </w:rPr>
            </w:pPr>
            <w:r w:rsidRPr="007A75AA">
              <w:rPr>
                <w:rFonts w:cs="Arial"/>
                <w:color w:val="000000"/>
                <w:sz w:val="16"/>
                <w:szCs w:val="16"/>
              </w:rPr>
              <w:t>8,62</w:t>
            </w:r>
          </w:p>
        </w:tc>
        <w:tc>
          <w:tcPr>
            <w:tcW w:w="673" w:type="dxa"/>
            <w:tcBorders>
              <w:top w:val="nil"/>
              <w:left w:val="nil"/>
              <w:bottom w:val="nil"/>
              <w:right w:val="nil"/>
            </w:tcBorders>
            <w:shd w:val="clear" w:color="auto" w:fill="auto"/>
            <w:noWrap/>
            <w:vAlign w:val="center"/>
            <w:hideMark/>
          </w:tcPr>
          <w:p w14:paraId="7152388E" w14:textId="77777777" w:rsidR="00B27E3C" w:rsidRPr="007A75AA" w:rsidRDefault="00B27E3C" w:rsidP="00B27E3C">
            <w:pPr>
              <w:spacing w:after="0" w:line="240" w:lineRule="auto"/>
              <w:jc w:val="right"/>
              <w:rPr>
                <w:rFonts w:cs="Arial"/>
                <w:color w:val="000000"/>
                <w:sz w:val="16"/>
                <w:szCs w:val="16"/>
              </w:rPr>
            </w:pPr>
            <w:r w:rsidRPr="007A75AA">
              <w:rPr>
                <w:rFonts w:cs="Arial"/>
                <w:color w:val="000000"/>
                <w:sz w:val="16"/>
                <w:szCs w:val="16"/>
              </w:rPr>
              <w:t>9,40</w:t>
            </w:r>
          </w:p>
        </w:tc>
        <w:tc>
          <w:tcPr>
            <w:tcW w:w="673" w:type="dxa"/>
            <w:tcBorders>
              <w:top w:val="nil"/>
              <w:left w:val="nil"/>
              <w:bottom w:val="nil"/>
              <w:right w:val="nil"/>
            </w:tcBorders>
            <w:shd w:val="clear" w:color="auto" w:fill="auto"/>
            <w:noWrap/>
            <w:vAlign w:val="center"/>
            <w:hideMark/>
          </w:tcPr>
          <w:p w14:paraId="7A5096B8" w14:textId="77777777" w:rsidR="00B27E3C" w:rsidRPr="007A75AA" w:rsidRDefault="00B27E3C" w:rsidP="00B27E3C">
            <w:pPr>
              <w:spacing w:after="0" w:line="240" w:lineRule="auto"/>
              <w:jc w:val="right"/>
              <w:rPr>
                <w:rFonts w:cs="Arial"/>
                <w:color w:val="000000"/>
                <w:sz w:val="16"/>
                <w:szCs w:val="16"/>
              </w:rPr>
            </w:pPr>
            <w:r w:rsidRPr="007A75AA">
              <w:rPr>
                <w:rFonts w:cs="Arial"/>
                <w:color w:val="000000"/>
                <w:sz w:val="16"/>
                <w:szCs w:val="16"/>
              </w:rPr>
              <w:t>10,10</w:t>
            </w:r>
          </w:p>
        </w:tc>
        <w:tc>
          <w:tcPr>
            <w:tcW w:w="673" w:type="dxa"/>
            <w:tcBorders>
              <w:top w:val="nil"/>
              <w:left w:val="nil"/>
              <w:bottom w:val="nil"/>
              <w:right w:val="nil"/>
            </w:tcBorders>
            <w:shd w:val="clear" w:color="auto" w:fill="auto"/>
            <w:noWrap/>
            <w:vAlign w:val="center"/>
            <w:hideMark/>
          </w:tcPr>
          <w:p w14:paraId="00B309DB" w14:textId="77777777" w:rsidR="00B27E3C" w:rsidRPr="007A75AA" w:rsidRDefault="00B27E3C" w:rsidP="00B27E3C">
            <w:pPr>
              <w:spacing w:after="0" w:line="240" w:lineRule="auto"/>
              <w:jc w:val="right"/>
              <w:rPr>
                <w:rFonts w:cs="Arial"/>
                <w:color w:val="000000"/>
                <w:sz w:val="16"/>
                <w:szCs w:val="16"/>
              </w:rPr>
            </w:pPr>
            <w:r w:rsidRPr="007A75AA">
              <w:rPr>
                <w:rFonts w:cs="Arial"/>
                <w:color w:val="000000"/>
                <w:sz w:val="16"/>
                <w:szCs w:val="16"/>
              </w:rPr>
              <w:t>10,58</w:t>
            </w:r>
          </w:p>
        </w:tc>
        <w:tc>
          <w:tcPr>
            <w:tcW w:w="666" w:type="dxa"/>
            <w:vAlign w:val="center"/>
          </w:tcPr>
          <w:p w14:paraId="6F8DD785" w14:textId="77777777" w:rsidR="00B27E3C" w:rsidRPr="007A75AA" w:rsidRDefault="00B27E3C" w:rsidP="00B27E3C">
            <w:pPr>
              <w:spacing w:after="0" w:line="240" w:lineRule="auto"/>
              <w:jc w:val="right"/>
            </w:pPr>
            <w:r w:rsidRPr="007A75AA">
              <w:rPr>
                <w:rFonts w:cs="Arial"/>
                <w:color w:val="000000"/>
                <w:sz w:val="16"/>
                <w:szCs w:val="16"/>
              </w:rPr>
              <w:t>11,32</w:t>
            </w:r>
          </w:p>
        </w:tc>
        <w:tc>
          <w:tcPr>
            <w:tcW w:w="668" w:type="dxa"/>
            <w:shd w:val="clear" w:color="auto" w:fill="auto"/>
            <w:vAlign w:val="center"/>
          </w:tcPr>
          <w:p w14:paraId="2F91F5AA" w14:textId="77777777" w:rsidR="00B27E3C" w:rsidRPr="007A75AA" w:rsidRDefault="00B27E3C" w:rsidP="00B27E3C">
            <w:pPr>
              <w:spacing w:after="0" w:line="240" w:lineRule="auto"/>
              <w:jc w:val="right"/>
              <w:rPr>
                <w:rFonts w:cs="Arial"/>
                <w:sz w:val="16"/>
                <w:szCs w:val="16"/>
              </w:rPr>
            </w:pPr>
            <w:r w:rsidRPr="007A75AA">
              <w:rPr>
                <w:rFonts w:cs="Arial"/>
                <w:sz w:val="16"/>
                <w:szCs w:val="16"/>
              </w:rPr>
              <w:t>11,23</w:t>
            </w:r>
          </w:p>
        </w:tc>
        <w:tc>
          <w:tcPr>
            <w:tcW w:w="663" w:type="dxa"/>
            <w:vAlign w:val="center"/>
          </w:tcPr>
          <w:p w14:paraId="5976B95D" w14:textId="5647087B" w:rsidR="00B27E3C" w:rsidRPr="007A75AA" w:rsidRDefault="00B27E3C" w:rsidP="00B27E3C">
            <w:pPr>
              <w:spacing w:after="0" w:line="240" w:lineRule="auto"/>
              <w:jc w:val="right"/>
              <w:rPr>
                <w:rFonts w:cs="Arial"/>
                <w:sz w:val="16"/>
                <w:szCs w:val="16"/>
              </w:rPr>
            </w:pPr>
            <w:r>
              <w:rPr>
                <w:rFonts w:cs="Arial"/>
                <w:color w:val="000000"/>
                <w:sz w:val="16"/>
                <w:szCs w:val="16"/>
              </w:rPr>
              <w:t>10,50</w:t>
            </w:r>
          </w:p>
        </w:tc>
      </w:tr>
      <w:tr w:rsidR="00B27E3C" w:rsidRPr="007A75AA" w14:paraId="75E17072" w14:textId="3AB20093" w:rsidTr="008F6B9A">
        <w:trPr>
          <w:trHeight w:val="480"/>
        </w:trPr>
        <w:tc>
          <w:tcPr>
            <w:tcW w:w="2257" w:type="dxa"/>
            <w:tcBorders>
              <w:top w:val="nil"/>
              <w:left w:val="nil"/>
              <w:bottom w:val="nil"/>
              <w:right w:val="single" w:sz="4" w:space="0" w:color="auto"/>
            </w:tcBorders>
            <w:shd w:val="clear" w:color="auto" w:fill="auto"/>
            <w:vAlign w:val="center"/>
            <w:hideMark/>
          </w:tcPr>
          <w:p w14:paraId="0E97465C" w14:textId="77777777" w:rsidR="00B27E3C" w:rsidRPr="007A75AA" w:rsidRDefault="00B27E3C" w:rsidP="00B27E3C">
            <w:pPr>
              <w:spacing w:after="0" w:line="240" w:lineRule="auto"/>
              <w:ind w:firstLineChars="100" w:firstLine="160"/>
              <w:rPr>
                <w:rFonts w:cs="Arial"/>
                <w:sz w:val="16"/>
                <w:szCs w:val="16"/>
              </w:rPr>
            </w:pPr>
            <w:r w:rsidRPr="007A75AA">
              <w:rPr>
                <w:rFonts w:cs="Arial"/>
                <w:sz w:val="16"/>
                <w:szCs w:val="16"/>
              </w:rPr>
              <w:t xml:space="preserve">vyrovnávací příspěvek </w:t>
            </w:r>
            <w:r w:rsidRPr="007A75AA">
              <w:rPr>
                <w:rFonts w:cs="Arial"/>
                <w:sz w:val="16"/>
                <w:szCs w:val="16"/>
              </w:rPr>
              <w:br/>
              <w:t xml:space="preserve">    v těhotenství a mateřství</w:t>
            </w:r>
          </w:p>
        </w:tc>
        <w:tc>
          <w:tcPr>
            <w:tcW w:w="673" w:type="dxa"/>
            <w:tcBorders>
              <w:top w:val="nil"/>
              <w:left w:val="nil"/>
              <w:bottom w:val="nil"/>
              <w:right w:val="nil"/>
            </w:tcBorders>
            <w:shd w:val="clear" w:color="auto" w:fill="auto"/>
            <w:noWrap/>
            <w:vAlign w:val="center"/>
            <w:hideMark/>
          </w:tcPr>
          <w:p w14:paraId="42EBE5B9" w14:textId="77777777" w:rsidR="00B27E3C" w:rsidRPr="007A75AA" w:rsidRDefault="00B27E3C" w:rsidP="00B27E3C">
            <w:pPr>
              <w:spacing w:after="0" w:line="240" w:lineRule="auto"/>
              <w:jc w:val="right"/>
              <w:rPr>
                <w:rFonts w:cs="Arial"/>
                <w:sz w:val="16"/>
                <w:szCs w:val="16"/>
              </w:rPr>
            </w:pPr>
            <w:r w:rsidRPr="007A75AA">
              <w:rPr>
                <w:rFonts w:cs="Arial"/>
                <w:sz w:val="16"/>
                <w:szCs w:val="16"/>
              </w:rPr>
              <w:t>0,007</w:t>
            </w:r>
          </w:p>
        </w:tc>
        <w:tc>
          <w:tcPr>
            <w:tcW w:w="673" w:type="dxa"/>
            <w:tcBorders>
              <w:top w:val="nil"/>
              <w:left w:val="nil"/>
              <w:bottom w:val="nil"/>
              <w:right w:val="nil"/>
            </w:tcBorders>
            <w:shd w:val="clear" w:color="auto" w:fill="auto"/>
            <w:noWrap/>
            <w:vAlign w:val="center"/>
            <w:hideMark/>
          </w:tcPr>
          <w:p w14:paraId="6ED8BDC0" w14:textId="77777777" w:rsidR="00B27E3C" w:rsidRPr="007A75AA" w:rsidRDefault="00B27E3C" w:rsidP="00B27E3C">
            <w:pPr>
              <w:spacing w:after="0" w:line="240" w:lineRule="auto"/>
              <w:jc w:val="right"/>
              <w:rPr>
                <w:rFonts w:cs="Arial"/>
                <w:sz w:val="16"/>
                <w:szCs w:val="16"/>
              </w:rPr>
            </w:pPr>
            <w:r w:rsidRPr="007A75AA">
              <w:rPr>
                <w:rFonts w:cs="Arial"/>
                <w:sz w:val="16"/>
                <w:szCs w:val="16"/>
              </w:rPr>
              <w:t>0,009</w:t>
            </w:r>
          </w:p>
        </w:tc>
        <w:tc>
          <w:tcPr>
            <w:tcW w:w="673" w:type="dxa"/>
            <w:tcBorders>
              <w:top w:val="nil"/>
              <w:left w:val="nil"/>
              <w:bottom w:val="nil"/>
              <w:right w:val="nil"/>
            </w:tcBorders>
            <w:shd w:val="clear" w:color="auto" w:fill="auto"/>
            <w:noWrap/>
            <w:vAlign w:val="center"/>
            <w:hideMark/>
          </w:tcPr>
          <w:p w14:paraId="0BF45CE6" w14:textId="77777777" w:rsidR="00B27E3C" w:rsidRPr="007A75AA" w:rsidRDefault="00B27E3C" w:rsidP="00B27E3C">
            <w:pPr>
              <w:spacing w:after="0" w:line="240" w:lineRule="auto"/>
              <w:jc w:val="right"/>
              <w:rPr>
                <w:rFonts w:cs="Arial"/>
                <w:sz w:val="16"/>
                <w:szCs w:val="16"/>
              </w:rPr>
            </w:pPr>
            <w:r w:rsidRPr="007A75AA">
              <w:rPr>
                <w:rFonts w:cs="Arial"/>
                <w:sz w:val="16"/>
                <w:szCs w:val="16"/>
              </w:rPr>
              <w:t>0,009</w:t>
            </w:r>
          </w:p>
        </w:tc>
        <w:tc>
          <w:tcPr>
            <w:tcW w:w="673" w:type="dxa"/>
            <w:tcBorders>
              <w:top w:val="nil"/>
              <w:left w:val="nil"/>
              <w:bottom w:val="nil"/>
              <w:right w:val="nil"/>
            </w:tcBorders>
            <w:shd w:val="clear" w:color="auto" w:fill="auto"/>
            <w:noWrap/>
            <w:vAlign w:val="center"/>
            <w:hideMark/>
          </w:tcPr>
          <w:p w14:paraId="389C97A1" w14:textId="77777777" w:rsidR="00B27E3C" w:rsidRPr="007A75AA" w:rsidRDefault="00B27E3C" w:rsidP="00B27E3C">
            <w:pPr>
              <w:spacing w:after="0" w:line="240" w:lineRule="auto"/>
              <w:jc w:val="right"/>
              <w:rPr>
                <w:rFonts w:cs="Arial"/>
                <w:sz w:val="16"/>
                <w:szCs w:val="16"/>
              </w:rPr>
            </w:pPr>
            <w:r w:rsidRPr="007A75AA">
              <w:rPr>
                <w:rFonts w:cs="Arial"/>
                <w:sz w:val="16"/>
                <w:szCs w:val="16"/>
              </w:rPr>
              <w:t>0,009</w:t>
            </w:r>
          </w:p>
        </w:tc>
        <w:tc>
          <w:tcPr>
            <w:tcW w:w="673" w:type="dxa"/>
            <w:tcBorders>
              <w:top w:val="nil"/>
              <w:left w:val="nil"/>
              <w:bottom w:val="nil"/>
              <w:right w:val="nil"/>
            </w:tcBorders>
            <w:shd w:val="clear" w:color="auto" w:fill="auto"/>
            <w:noWrap/>
            <w:vAlign w:val="center"/>
            <w:hideMark/>
          </w:tcPr>
          <w:p w14:paraId="6A71DE8B" w14:textId="77777777" w:rsidR="00B27E3C" w:rsidRPr="007A75AA" w:rsidRDefault="00B27E3C" w:rsidP="00B27E3C">
            <w:pPr>
              <w:spacing w:after="0" w:line="240" w:lineRule="auto"/>
              <w:jc w:val="right"/>
              <w:rPr>
                <w:rFonts w:cs="Arial"/>
                <w:color w:val="000000"/>
                <w:sz w:val="16"/>
                <w:szCs w:val="16"/>
              </w:rPr>
            </w:pPr>
            <w:r w:rsidRPr="007A75AA">
              <w:rPr>
                <w:rFonts w:cs="Arial"/>
                <w:color w:val="000000"/>
                <w:sz w:val="16"/>
                <w:szCs w:val="16"/>
              </w:rPr>
              <w:t>0,008</w:t>
            </w:r>
          </w:p>
        </w:tc>
        <w:tc>
          <w:tcPr>
            <w:tcW w:w="673" w:type="dxa"/>
            <w:tcBorders>
              <w:top w:val="nil"/>
              <w:left w:val="nil"/>
              <w:bottom w:val="nil"/>
              <w:right w:val="nil"/>
            </w:tcBorders>
            <w:shd w:val="clear" w:color="auto" w:fill="auto"/>
            <w:noWrap/>
            <w:vAlign w:val="center"/>
            <w:hideMark/>
          </w:tcPr>
          <w:p w14:paraId="2D735948" w14:textId="77777777" w:rsidR="00B27E3C" w:rsidRPr="007A75AA" w:rsidRDefault="00B27E3C" w:rsidP="00B27E3C">
            <w:pPr>
              <w:spacing w:after="0" w:line="240" w:lineRule="auto"/>
              <w:jc w:val="right"/>
              <w:rPr>
                <w:rFonts w:cs="Arial"/>
                <w:color w:val="000000"/>
                <w:sz w:val="16"/>
                <w:szCs w:val="16"/>
              </w:rPr>
            </w:pPr>
            <w:r w:rsidRPr="007A75AA">
              <w:rPr>
                <w:rFonts w:cs="Arial"/>
                <w:color w:val="000000"/>
                <w:sz w:val="16"/>
                <w:szCs w:val="16"/>
              </w:rPr>
              <w:t>0,009</w:t>
            </w:r>
          </w:p>
        </w:tc>
        <w:tc>
          <w:tcPr>
            <w:tcW w:w="673" w:type="dxa"/>
            <w:tcBorders>
              <w:top w:val="nil"/>
              <w:left w:val="nil"/>
              <w:bottom w:val="nil"/>
              <w:right w:val="nil"/>
            </w:tcBorders>
            <w:shd w:val="clear" w:color="auto" w:fill="auto"/>
            <w:noWrap/>
            <w:vAlign w:val="center"/>
            <w:hideMark/>
          </w:tcPr>
          <w:p w14:paraId="3D34F061" w14:textId="77777777" w:rsidR="00B27E3C" w:rsidRPr="007A75AA" w:rsidRDefault="00B27E3C" w:rsidP="00B27E3C">
            <w:pPr>
              <w:spacing w:after="0" w:line="240" w:lineRule="auto"/>
              <w:jc w:val="right"/>
              <w:rPr>
                <w:rFonts w:cs="Arial"/>
                <w:color w:val="000000"/>
                <w:sz w:val="16"/>
                <w:szCs w:val="16"/>
              </w:rPr>
            </w:pPr>
            <w:r w:rsidRPr="007A75AA">
              <w:rPr>
                <w:rFonts w:cs="Arial"/>
                <w:color w:val="000000"/>
                <w:sz w:val="16"/>
                <w:szCs w:val="16"/>
              </w:rPr>
              <w:t>0,009</w:t>
            </w:r>
          </w:p>
        </w:tc>
        <w:tc>
          <w:tcPr>
            <w:tcW w:w="673" w:type="dxa"/>
            <w:tcBorders>
              <w:top w:val="nil"/>
              <w:left w:val="nil"/>
              <w:bottom w:val="nil"/>
              <w:right w:val="nil"/>
            </w:tcBorders>
            <w:shd w:val="clear" w:color="auto" w:fill="auto"/>
            <w:noWrap/>
            <w:vAlign w:val="center"/>
            <w:hideMark/>
          </w:tcPr>
          <w:p w14:paraId="32F68F2F" w14:textId="77777777" w:rsidR="00B27E3C" w:rsidRPr="007A75AA" w:rsidRDefault="00B27E3C" w:rsidP="00B27E3C">
            <w:pPr>
              <w:spacing w:after="0" w:line="240" w:lineRule="auto"/>
              <w:jc w:val="right"/>
              <w:rPr>
                <w:rFonts w:cs="Arial"/>
                <w:color w:val="000000"/>
                <w:sz w:val="16"/>
                <w:szCs w:val="16"/>
              </w:rPr>
            </w:pPr>
            <w:r w:rsidRPr="007A75AA">
              <w:rPr>
                <w:rFonts w:cs="Arial"/>
                <w:color w:val="000000"/>
                <w:sz w:val="16"/>
                <w:szCs w:val="16"/>
              </w:rPr>
              <w:t>0,007</w:t>
            </w:r>
          </w:p>
        </w:tc>
        <w:tc>
          <w:tcPr>
            <w:tcW w:w="666" w:type="dxa"/>
            <w:vAlign w:val="center"/>
          </w:tcPr>
          <w:p w14:paraId="37DFBEAA" w14:textId="77777777" w:rsidR="00B27E3C" w:rsidRPr="007A75AA" w:rsidRDefault="00B27E3C" w:rsidP="00B27E3C">
            <w:pPr>
              <w:spacing w:after="0" w:line="240" w:lineRule="auto"/>
              <w:jc w:val="right"/>
            </w:pPr>
            <w:r w:rsidRPr="007A75AA">
              <w:rPr>
                <w:rFonts w:cs="Arial"/>
                <w:color w:val="000000"/>
                <w:sz w:val="16"/>
                <w:szCs w:val="16"/>
              </w:rPr>
              <w:t>0,006</w:t>
            </w:r>
          </w:p>
        </w:tc>
        <w:tc>
          <w:tcPr>
            <w:tcW w:w="668" w:type="dxa"/>
            <w:shd w:val="clear" w:color="auto" w:fill="auto"/>
            <w:vAlign w:val="center"/>
          </w:tcPr>
          <w:p w14:paraId="1DA24944" w14:textId="77777777" w:rsidR="00B27E3C" w:rsidRPr="007A75AA" w:rsidRDefault="00B27E3C" w:rsidP="00B27E3C">
            <w:pPr>
              <w:spacing w:after="0" w:line="240" w:lineRule="auto"/>
              <w:jc w:val="right"/>
              <w:rPr>
                <w:rFonts w:cs="Arial"/>
                <w:sz w:val="16"/>
                <w:szCs w:val="16"/>
              </w:rPr>
            </w:pPr>
            <w:r w:rsidRPr="007A75AA">
              <w:rPr>
                <w:rFonts w:cs="Arial"/>
                <w:sz w:val="16"/>
                <w:szCs w:val="16"/>
              </w:rPr>
              <w:t>0,008</w:t>
            </w:r>
          </w:p>
        </w:tc>
        <w:tc>
          <w:tcPr>
            <w:tcW w:w="663" w:type="dxa"/>
            <w:vAlign w:val="center"/>
          </w:tcPr>
          <w:p w14:paraId="59CCCE6F" w14:textId="7E1D286D" w:rsidR="00B27E3C" w:rsidRPr="007A75AA" w:rsidRDefault="00B27E3C" w:rsidP="00B27E3C">
            <w:pPr>
              <w:spacing w:after="0" w:line="240" w:lineRule="auto"/>
              <w:jc w:val="right"/>
              <w:rPr>
                <w:rFonts w:cs="Arial"/>
                <w:sz w:val="16"/>
                <w:szCs w:val="16"/>
              </w:rPr>
            </w:pPr>
            <w:r>
              <w:rPr>
                <w:rFonts w:cs="Arial"/>
                <w:color w:val="000000"/>
                <w:sz w:val="16"/>
                <w:szCs w:val="16"/>
              </w:rPr>
              <w:t>0,007</w:t>
            </w:r>
          </w:p>
        </w:tc>
      </w:tr>
      <w:tr w:rsidR="00B27E3C" w:rsidRPr="007A75AA" w14:paraId="7022C67A" w14:textId="211859A9" w:rsidTr="008F6B9A">
        <w:trPr>
          <w:trHeight w:val="300"/>
        </w:trPr>
        <w:tc>
          <w:tcPr>
            <w:tcW w:w="2257" w:type="dxa"/>
            <w:tcBorders>
              <w:top w:val="nil"/>
              <w:left w:val="nil"/>
              <w:bottom w:val="nil"/>
              <w:right w:val="single" w:sz="4" w:space="0" w:color="auto"/>
            </w:tcBorders>
            <w:shd w:val="clear" w:color="auto" w:fill="auto"/>
            <w:vAlign w:val="center"/>
            <w:hideMark/>
          </w:tcPr>
          <w:p w14:paraId="64A3AED6" w14:textId="77777777" w:rsidR="00B27E3C" w:rsidRPr="007A75AA" w:rsidRDefault="00B27E3C" w:rsidP="00B27E3C">
            <w:pPr>
              <w:spacing w:after="0" w:line="240" w:lineRule="auto"/>
              <w:ind w:firstLineChars="100" w:firstLine="160"/>
              <w:rPr>
                <w:rFonts w:cs="Arial"/>
                <w:sz w:val="16"/>
                <w:szCs w:val="16"/>
              </w:rPr>
            </w:pPr>
            <w:r w:rsidRPr="007A75AA">
              <w:rPr>
                <w:rFonts w:cs="Arial"/>
                <w:sz w:val="16"/>
                <w:szCs w:val="16"/>
              </w:rPr>
              <w:t>otcovská poporodní péče</w:t>
            </w:r>
            <w:r w:rsidRPr="007A75AA">
              <w:rPr>
                <w:rFonts w:cs="Arial"/>
                <w:sz w:val="16"/>
                <w:szCs w:val="16"/>
                <w:vertAlign w:val="superscript"/>
              </w:rPr>
              <w:t>1)</w:t>
            </w:r>
          </w:p>
        </w:tc>
        <w:tc>
          <w:tcPr>
            <w:tcW w:w="673" w:type="dxa"/>
            <w:tcBorders>
              <w:top w:val="nil"/>
              <w:left w:val="nil"/>
              <w:bottom w:val="nil"/>
              <w:right w:val="nil"/>
            </w:tcBorders>
            <w:shd w:val="clear" w:color="auto" w:fill="auto"/>
            <w:noWrap/>
            <w:vAlign w:val="bottom"/>
            <w:hideMark/>
          </w:tcPr>
          <w:p w14:paraId="56977D09" w14:textId="77777777" w:rsidR="00B27E3C" w:rsidRPr="007A75AA" w:rsidRDefault="00B27E3C" w:rsidP="00B27E3C">
            <w:pPr>
              <w:spacing w:after="0" w:line="240" w:lineRule="auto"/>
              <w:jc w:val="right"/>
              <w:rPr>
                <w:rFonts w:ascii="Calibri" w:hAnsi="Calibri" w:cs="Calibri"/>
                <w:color w:val="000000"/>
                <w:sz w:val="22"/>
                <w:szCs w:val="22"/>
              </w:rPr>
            </w:pPr>
            <w:r w:rsidRPr="007A75AA">
              <w:rPr>
                <w:rFonts w:ascii="Calibri" w:hAnsi="Calibri" w:cs="Calibri"/>
                <w:color w:val="000000"/>
                <w:sz w:val="22"/>
                <w:szCs w:val="22"/>
              </w:rPr>
              <w:t>–</w:t>
            </w:r>
          </w:p>
        </w:tc>
        <w:tc>
          <w:tcPr>
            <w:tcW w:w="673" w:type="dxa"/>
            <w:tcBorders>
              <w:top w:val="nil"/>
              <w:left w:val="nil"/>
              <w:bottom w:val="nil"/>
              <w:right w:val="nil"/>
            </w:tcBorders>
            <w:shd w:val="clear" w:color="auto" w:fill="auto"/>
            <w:noWrap/>
            <w:vAlign w:val="bottom"/>
            <w:hideMark/>
          </w:tcPr>
          <w:p w14:paraId="0CA4B417" w14:textId="77777777" w:rsidR="00B27E3C" w:rsidRPr="007A75AA" w:rsidRDefault="00B27E3C" w:rsidP="00B27E3C">
            <w:pPr>
              <w:spacing w:after="0" w:line="240" w:lineRule="auto"/>
              <w:jc w:val="right"/>
              <w:rPr>
                <w:rFonts w:ascii="Calibri" w:hAnsi="Calibri" w:cs="Calibri"/>
                <w:color w:val="000000"/>
                <w:sz w:val="22"/>
                <w:szCs w:val="22"/>
              </w:rPr>
            </w:pPr>
            <w:r w:rsidRPr="007A75AA">
              <w:rPr>
                <w:rFonts w:ascii="Calibri" w:hAnsi="Calibri" w:cs="Calibri"/>
                <w:color w:val="000000"/>
                <w:sz w:val="22"/>
                <w:szCs w:val="22"/>
              </w:rPr>
              <w:t>–</w:t>
            </w:r>
          </w:p>
        </w:tc>
        <w:tc>
          <w:tcPr>
            <w:tcW w:w="673" w:type="dxa"/>
            <w:tcBorders>
              <w:top w:val="nil"/>
              <w:left w:val="nil"/>
              <w:bottom w:val="nil"/>
              <w:right w:val="nil"/>
            </w:tcBorders>
            <w:shd w:val="clear" w:color="auto" w:fill="auto"/>
            <w:noWrap/>
            <w:vAlign w:val="bottom"/>
            <w:hideMark/>
          </w:tcPr>
          <w:p w14:paraId="259D8676" w14:textId="77777777" w:rsidR="00B27E3C" w:rsidRPr="007A75AA" w:rsidRDefault="00B27E3C" w:rsidP="00B27E3C">
            <w:pPr>
              <w:spacing w:after="0" w:line="240" w:lineRule="auto"/>
              <w:jc w:val="right"/>
              <w:rPr>
                <w:rFonts w:ascii="Calibri" w:hAnsi="Calibri" w:cs="Calibri"/>
                <w:color w:val="000000"/>
                <w:sz w:val="22"/>
                <w:szCs w:val="22"/>
              </w:rPr>
            </w:pPr>
            <w:r w:rsidRPr="007A75AA">
              <w:rPr>
                <w:rFonts w:ascii="Calibri" w:hAnsi="Calibri" w:cs="Calibri"/>
                <w:color w:val="000000"/>
                <w:sz w:val="22"/>
                <w:szCs w:val="22"/>
              </w:rPr>
              <w:t>–</w:t>
            </w:r>
          </w:p>
        </w:tc>
        <w:tc>
          <w:tcPr>
            <w:tcW w:w="673" w:type="dxa"/>
            <w:tcBorders>
              <w:top w:val="nil"/>
              <w:left w:val="nil"/>
              <w:bottom w:val="nil"/>
              <w:right w:val="nil"/>
            </w:tcBorders>
            <w:shd w:val="clear" w:color="auto" w:fill="auto"/>
            <w:noWrap/>
            <w:vAlign w:val="bottom"/>
            <w:hideMark/>
          </w:tcPr>
          <w:p w14:paraId="273C27DF" w14:textId="77777777" w:rsidR="00B27E3C" w:rsidRPr="007A75AA" w:rsidRDefault="00B27E3C" w:rsidP="00B27E3C">
            <w:pPr>
              <w:spacing w:after="0" w:line="240" w:lineRule="auto"/>
              <w:jc w:val="right"/>
              <w:rPr>
                <w:rFonts w:ascii="Calibri" w:hAnsi="Calibri" w:cs="Calibri"/>
                <w:color w:val="000000"/>
                <w:sz w:val="22"/>
                <w:szCs w:val="22"/>
              </w:rPr>
            </w:pPr>
            <w:r w:rsidRPr="007A75AA">
              <w:rPr>
                <w:rFonts w:ascii="Calibri" w:hAnsi="Calibri" w:cs="Calibri"/>
                <w:color w:val="000000"/>
                <w:sz w:val="22"/>
                <w:szCs w:val="22"/>
              </w:rPr>
              <w:t>–</w:t>
            </w:r>
          </w:p>
        </w:tc>
        <w:tc>
          <w:tcPr>
            <w:tcW w:w="673" w:type="dxa"/>
            <w:tcBorders>
              <w:top w:val="nil"/>
              <w:left w:val="nil"/>
              <w:bottom w:val="nil"/>
              <w:right w:val="nil"/>
            </w:tcBorders>
            <w:shd w:val="clear" w:color="auto" w:fill="auto"/>
            <w:noWrap/>
            <w:vAlign w:val="bottom"/>
            <w:hideMark/>
          </w:tcPr>
          <w:p w14:paraId="49D26908" w14:textId="77777777" w:rsidR="00B27E3C" w:rsidRPr="007A75AA" w:rsidRDefault="00B27E3C" w:rsidP="00B27E3C">
            <w:pPr>
              <w:spacing w:after="0" w:line="240" w:lineRule="auto"/>
              <w:jc w:val="right"/>
              <w:rPr>
                <w:rFonts w:ascii="Calibri" w:hAnsi="Calibri" w:cs="Calibri"/>
                <w:color w:val="000000"/>
                <w:sz w:val="22"/>
                <w:szCs w:val="22"/>
              </w:rPr>
            </w:pPr>
            <w:r w:rsidRPr="007A75AA">
              <w:rPr>
                <w:rFonts w:ascii="Calibri" w:hAnsi="Calibri" w:cs="Calibri"/>
                <w:color w:val="000000"/>
                <w:sz w:val="22"/>
                <w:szCs w:val="22"/>
              </w:rPr>
              <w:t>–</w:t>
            </w:r>
          </w:p>
        </w:tc>
        <w:tc>
          <w:tcPr>
            <w:tcW w:w="673" w:type="dxa"/>
            <w:tcBorders>
              <w:top w:val="nil"/>
              <w:left w:val="nil"/>
              <w:bottom w:val="nil"/>
              <w:right w:val="nil"/>
            </w:tcBorders>
            <w:shd w:val="clear" w:color="auto" w:fill="auto"/>
            <w:noWrap/>
            <w:vAlign w:val="center"/>
            <w:hideMark/>
          </w:tcPr>
          <w:p w14:paraId="28143BA3" w14:textId="77777777" w:rsidR="00B27E3C" w:rsidRPr="007A75AA" w:rsidRDefault="00B27E3C" w:rsidP="00B27E3C">
            <w:pPr>
              <w:spacing w:after="0" w:line="240" w:lineRule="auto"/>
              <w:jc w:val="right"/>
              <w:rPr>
                <w:rFonts w:cs="Arial"/>
                <w:color w:val="000000"/>
                <w:sz w:val="16"/>
                <w:szCs w:val="16"/>
              </w:rPr>
            </w:pPr>
            <w:r w:rsidRPr="007A75AA">
              <w:rPr>
                <w:rFonts w:cs="Arial"/>
                <w:color w:val="000000"/>
                <w:sz w:val="16"/>
                <w:szCs w:val="16"/>
              </w:rPr>
              <w:t>0,221</w:t>
            </w:r>
          </w:p>
        </w:tc>
        <w:tc>
          <w:tcPr>
            <w:tcW w:w="673" w:type="dxa"/>
            <w:tcBorders>
              <w:top w:val="nil"/>
              <w:left w:val="nil"/>
              <w:bottom w:val="nil"/>
              <w:right w:val="nil"/>
            </w:tcBorders>
            <w:shd w:val="clear" w:color="auto" w:fill="auto"/>
            <w:noWrap/>
            <w:vAlign w:val="center"/>
            <w:hideMark/>
          </w:tcPr>
          <w:p w14:paraId="2B40ACFD" w14:textId="77777777" w:rsidR="00B27E3C" w:rsidRPr="007A75AA" w:rsidRDefault="00B27E3C" w:rsidP="00B27E3C">
            <w:pPr>
              <w:spacing w:after="0" w:line="240" w:lineRule="auto"/>
              <w:jc w:val="right"/>
              <w:rPr>
                <w:rFonts w:cs="Arial"/>
                <w:color w:val="000000"/>
                <w:sz w:val="16"/>
                <w:szCs w:val="16"/>
              </w:rPr>
            </w:pPr>
            <w:r w:rsidRPr="007A75AA">
              <w:rPr>
                <w:rFonts w:cs="Arial"/>
                <w:color w:val="000000"/>
                <w:sz w:val="16"/>
                <w:szCs w:val="16"/>
              </w:rPr>
              <w:t>0,273</w:t>
            </w:r>
          </w:p>
        </w:tc>
        <w:tc>
          <w:tcPr>
            <w:tcW w:w="673" w:type="dxa"/>
            <w:tcBorders>
              <w:top w:val="nil"/>
              <w:left w:val="nil"/>
              <w:bottom w:val="nil"/>
              <w:right w:val="nil"/>
            </w:tcBorders>
            <w:shd w:val="clear" w:color="auto" w:fill="auto"/>
            <w:noWrap/>
            <w:vAlign w:val="center"/>
            <w:hideMark/>
          </w:tcPr>
          <w:p w14:paraId="6B393867" w14:textId="77777777" w:rsidR="00B27E3C" w:rsidRPr="007A75AA" w:rsidRDefault="00B27E3C" w:rsidP="00B27E3C">
            <w:pPr>
              <w:spacing w:after="0" w:line="240" w:lineRule="auto"/>
              <w:jc w:val="right"/>
              <w:rPr>
                <w:rFonts w:cs="Arial"/>
                <w:color w:val="000000"/>
                <w:sz w:val="16"/>
                <w:szCs w:val="16"/>
              </w:rPr>
            </w:pPr>
            <w:r w:rsidRPr="007A75AA">
              <w:rPr>
                <w:rFonts w:cs="Arial"/>
                <w:color w:val="000000"/>
                <w:sz w:val="16"/>
                <w:szCs w:val="16"/>
              </w:rPr>
              <w:t>0,269</w:t>
            </w:r>
          </w:p>
        </w:tc>
        <w:tc>
          <w:tcPr>
            <w:tcW w:w="666" w:type="dxa"/>
            <w:vAlign w:val="center"/>
          </w:tcPr>
          <w:p w14:paraId="0D35C719" w14:textId="77777777" w:rsidR="00B27E3C" w:rsidRPr="007A75AA" w:rsidRDefault="00B27E3C" w:rsidP="00B27E3C">
            <w:pPr>
              <w:spacing w:after="0" w:line="240" w:lineRule="auto"/>
              <w:jc w:val="right"/>
            </w:pPr>
            <w:r w:rsidRPr="007A75AA">
              <w:rPr>
                <w:rFonts w:cs="Arial"/>
                <w:color w:val="000000"/>
                <w:sz w:val="16"/>
                <w:szCs w:val="16"/>
              </w:rPr>
              <w:t>0,291</w:t>
            </w:r>
          </w:p>
        </w:tc>
        <w:tc>
          <w:tcPr>
            <w:tcW w:w="668" w:type="dxa"/>
            <w:shd w:val="clear" w:color="auto" w:fill="auto"/>
            <w:vAlign w:val="center"/>
          </w:tcPr>
          <w:p w14:paraId="6323D156" w14:textId="77777777" w:rsidR="00B27E3C" w:rsidRPr="007A75AA" w:rsidRDefault="00B27E3C" w:rsidP="00B27E3C">
            <w:pPr>
              <w:spacing w:after="0" w:line="240" w:lineRule="auto"/>
              <w:jc w:val="right"/>
              <w:rPr>
                <w:rFonts w:cs="Arial"/>
                <w:sz w:val="16"/>
                <w:szCs w:val="16"/>
              </w:rPr>
            </w:pPr>
            <w:r w:rsidRPr="007A75AA">
              <w:rPr>
                <w:rFonts w:cs="Arial"/>
                <w:sz w:val="16"/>
                <w:szCs w:val="16"/>
              </w:rPr>
              <w:t>0,601</w:t>
            </w:r>
          </w:p>
        </w:tc>
        <w:tc>
          <w:tcPr>
            <w:tcW w:w="663" w:type="dxa"/>
            <w:vAlign w:val="center"/>
          </w:tcPr>
          <w:p w14:paraId="3E3459FF" w14:textId="3FA4E452" w:rsidR="00B27E3C" w:rsidRPr="007A75AA" w:rsidRDefault="00B27E3C" w:rsidP="00B27E3C">
            <w:pPr>
              <w:spacing w:after="0" w:line="240" w:lineRule="auto"/>
              <w:jc w:val="right"/>
              <w:rPr>
                <w:rFonts w:cs="Arial"/>
                <w:sz w:val="16"/>
                <w:szCs w:val="16"/>
              </w:rPr>
            </w:pPr>
            <w:r>
              <w:rPr>
                <w:rFonts w:cs="Arial"/>
                <w:color w:val="000000"/>
                <w:sz w:val="16"/>
                <w:szCs w:val="16"/>
              </w:rPr>
              <w:t>0,580</w:t>
            </w:r>
          </w:p>
        </w:tc>
      </w:tr>
      <w:tr w:rsidR="00B27E3C" w:rsidRPr="007A75AA" w14:paraId="62B4E4C0" w14:textId="796D6EEA" w:rsidTr="008F6B9A">
        <w:trPr>
          <w:trHeight w:val="300"/>
        </w:trPr>
        <w:tc>
          <w:tcPr>
            <w:tcW w:w="2257" w:type="dxa"/>
            <w:tcBorders>
              <w:top w:val="nil"/>
              <w:left w:val="nil"/>
              <w:bottom w:val="nil"/>
              <w:right w:val="single" w:sz="4" w:space="0" w:color="auto"/>
            </w:tcBorders>
            <w:shd w:val="clear" w:color="auto" w:fill="auto"/>
            <w:vAlign w:val="center"/>
            <w:hideMark/>
          </w:tcPr>
          <w:p w14:paraId="0125284A" w14:textId="77777777" w:rsidR="00B27E3C" w:rsidRPr="007A75AA" w:rsidRDefault="00B27E3C" w:rsidP="00B27E3C">
            <w:pPr>
              <w:spacing w:after="0" w:line="240" w:lineRule="auto"/>
              <w:ind w:firstLineChars="100" w:firstLine="160"/>
              <w:rPr>
                <w:rFonts w:cs="Arial"/>
                <w:sz w:val="16"/>
                <w:szCs w:val="16"/>
              </w:rPr>
            </w:pPr>
            <w:r w:rsidRPr="007A75AA">
              <w:rPr>
                <w:rFonts w:cs="Arial"/>
                <w:sz w:val="16"/>
                <w:szCs w:val="16"/>
              </w:rPr>
              <w:t>dlouhodobé ošetřovné</w:t>
            </w:r>
            <w:r w:rsidRPr="007A75AA">
              <w:rPr>
                <w:rFonts w:cs="Arial"/>
                <w:sz w:val="16"/>
                <w:szCs w:val="16"/>
                <w:vertAlign w:val="superscript"/>
              </w:rPr>
              <w:t>2)</w:t>
            </w:r>
          </w:p>
        </w:tc>
        <w:tc>
          <w:tcPr>
            <w:tcW w:w="673" w:type="dxa"/>
            <w:tcBorders>
              <w:top w:val="nil"/>
              <w:left w:val="nil"/>
              <w:bottom w:val="nil"/>
              <w:right w:val="nil"/>
            </w:tcBorders>
            <w:shd w:val="clear" w:color="auto" w:fill="auto"/>
            <w:noWrap/>
            <w:vAlign w:val="bottom"/>
            <w:hideMark/>
          </w:tcPr>
          <w:p w14:paraId="290792BB" w14:textId="77777777" w:rsidR="00B27E3C" w:rsidRPr="007A75AA" w:rsidRDefault="00B27E3C" w:rsidP="00B27E3C">
            <w:pPr>
              <w:spacing w:after="0" w:line="240" w:lineRule="auto"/>
              <w:jc w:val="right"/>
              <w:rPr>
                <w:rFonts w:ascii="Calibri" w:hAnsi="Calibri" w:cs="Calibri"/>
                <w:color w:val="000000"/>
                <w:sz w:val="22"/>
                <w:szCs w:val="22"/>
              </w:rPr>
            </w:pPr>
            <w:r w:rsidRPr="007A75AA">
              <w:rPr>
                <w:rFonts w:ascii="Calibri" w:hAnsi="Calibri" w:cs="Calibri"/>
                <w:color w:val="000000"/>
                <w:sz w:val="22"/>
                <w:szCs w:val="22"/>
              </w:rPr>
              <w:t>–</w:t>
            </w:r>
          </w:p>
        </w:tc>
        <w:tc>
          <w:tcPr>
            <w:tcW w:w="673" w:type="dxa"/>
            <w:tcBorders>
              <w:top w:val="nil"/>
              <w:left w:val="nil"/>
              <w:bottom w:val="nil"/>
              <w:right w:val="nil"/>
            </w:tcBorders>
            <w:shd w:val="clear" w:color="auto" w:fill="auto"/>
            <w:noWrap/>
            <w:vAlign w:val="bottom"/>
            <w:hideMark/>
          </w:tcPr>
          <w:p w14:paraId="2294EB16" w14:textId="77777777" w:rsidR="00B27E3C" w:rsidRPr="007A75AA" w:rsidRDefault="00B27E3C" w:rsidP="00B27E3C">
            <w:pPr>
              <w:spacing w:after="0" w:line="240" w:lineRule="auto"/>
              <w:jc w:val="right"/>
              <w:rPr>
                <w:rFonts w:ascii="Calibri" w:hAnsi="Calibri" w:cs="Calibri"/>
                <w:color w:val="000000"/>
                <w:sz w:val="22"/>
                <w:szCs w:val="22"/>
              </w:rPr>
            </w:pPr>
            <w:r w:rsidRPr="007A75AA">
              <w:rPr>
                <w:rFonts w:ascii="Calibri" w:hAnsi="Calibri" w:cs="Calibri"/>
                <w:color w:val="000000"/>
                <w:sz w:val="22"/>
                <w:szCs w:val="22"/>
              </w:rPr>
              <w:t>–</w:t>
            </w:r>
          </w:p>
        </w:tc>
        <w:tc>
          <w:tcPr>
            <w:tcW w:w="673" w:type="dxa"/>
            <w:tcBorders>
              <w:top w:val="nil"/>
              <w:left w:val="nil"/>
              <w:bottom w:val="nil"/>
              <w:right w:val="nil"/>
            </w:tcBorders>
            <w:shd w:val="clear" w:color="auto" w:fill="auto"/>
            <w:noWrap/>
            <w:vAlign w:val="bottom"/>
            <w:hideMark/>
          </w:tcPr>
          <w:p w14:paraId="460B7057" w14:textId="77777777" w:rsidR="00B27E3C" w:rsidRPr="007A75AA" w:rsidRDefault="00B27E3C" w:rsidP="00B27E3C">
            <w:pPr>
              <w:spacing w:after="0" w:line="240" w:lineRule="auto"/>
              <w:jc w:val="right"/>
              <w:rPr>
                <w:rFonts w:ascii="Calibri" w:hAnsi="Calibri" w:cs="Calibri"/>
                <w:color w:val="000000"/>
                <w:sz w:val="22"/>
                <w:szCs w:val="22"/>
              </w:rPr>
            </w:pPr>
            <w:r w:rsidRPr="007A75AA">
              <w:rPr>
                <w:rFonts w:ascii="Calibri" w:hAnsi="Calibri" w:cs="Calibri"/>
                <w:color w:val="000000"/>
                <w:sz w:val="22"/>
                <w:szCs w:val="22"/>
              </w:rPr>
              <w:t>–</w:t>
            </w:r>
          </w:p>
        </w:tc>
        <w:tc>
          <w:tcPr>
            <w:tcW w:w="673" w:type="dxa"/>
            <w:tcBorders>
              <w:top w:val="nil"/>
              <w:left w:val="nil"/>
              <w:bottom w:val="nil"/>
              <w:right w:val="nil"/>
            </w:tcBorders>
            <w:shd w:val="clear" w:color="auto" w:fill="auto"/>
            <w:noWrap/>
            <w:vAlign w:val="bottom"/>
            <w:hideMark/>
          </w:tcPr>
          <w:p w14:paraId="3FE1846C" w14:textId="77777777" w:rsidR="00B27E3C" w:rsidRPr="007A75AA" w:rsidRDefault="00B27E3C" w:rsidP="00B27E3C">
            <w:pPr>
              <w:spacing w:after="0" w:line="240" w:lineRule="auto"/>
              <w:jc w:val="right"/>
              <w:rPr>
                <w:rFonts w:ascii="Calibri" w:hAnsi="Calibri" w:cs="Calibri"/>
                <w:color w:val="000000"/>
                <w:sz w:val="22"/>
                <w:szCs w:val="22"/>
              </w:rPr>
            </w:pPr>
            <w:r w:rsidRPr="007A75AA">
              <w:rPr>
                <w:rFonts w:ascii="Calibri" w:hAnsi="Calibri" w:cs="Calibri"/>
                <w:color w:val="000000"/>
                <w:sz w:val="22"/>
                <w:szCs w:val="22"/>
              </w:rPr>
              <w:t>–</w:t>
            </w:r>
          </w:p>
        </w:tc>
        <w:tc>
          <w:tcPr>
            <w:tcW w:w="673" w:type="dxa"/>
            <w:tcBorders>
              <w:top w:val="nil"/>
              <w:left w:val="nil"/>
              <w:bottom w:val="nil"/>
              <w:right w:val="nil"/>
            </w:tcBorders>
            <w:shd w:val="clear" w:color="auto" w:fill="auto"/>
            <w:noWrap/>
            <w:vAlign w:val="bottom"/>
            <w:hideMark/>
          </w:tcPr>
          <w:p w14:paraId="49A1F80E" w14:textId="77777777" w:rsidR="00B27E3C" w:rsidRPr="007A75AA" w:rsidRDefault="00B27E3C" w:rsidP="00B27E3C">
            <w:pPr>
              <w:spacing w:after="0" w:line="240" w:lineRule="auto"/>
              <w:jc w:val="right"/>
              <w:rPr>
                <w:rFonts w:ascii="Calibri" w:hAnsi="Calibri" w:cs="Calibri"/>
                <w:color w:val="000000"/>
                <w:sz w:val="22"/>
                <w:szCs w:val="22"/>
              </w:rPr>
            </w:pPr>
            <w:r w:rsidRPr="007A75AA">
              <w:rPr>
                <w:rFonts w:ascii="Calibri" w:hAnsi="Calibri" w:cs="Calibri"/>
                <w:color w:val="000000"/>
                <w:sz w:val="22"/>
                <w:szCs w:val="22"/>
              </w:rPr>
              <w:t>–</w:t>
            </w:r>
          </w:p>
        </w:tc>
        <w:tc>
          <w:tcPr>
            <w:tcW w:w="673" w:type="dxa"/>
            <w:tcBorders>
              <w:top w:val="nil"/>
              <w:left w:val="nil"/>
              <w:bottom w:val="nil"/>
              <w:right w:val="nil"/>
            </w:tcBorders>
            <w:shd w:val="clear" w:color="auto" w:fill="auto"/>
            <w:noWrap/>
            <w:vAlign w:val="center"/>
            <w:hideMark/>
          </w:tcPr>
          <w:p w14:paraId="65B5FC3D" w14:textId="77777777" w:rsidR="00B27E3C" w:rsidRPr="007A75AA" w:rsidRDefault="00B27E3C" w:rsidP="00B27E3C">
            <w:pPr>
              <w:spacing w:after="0" w:line="240" w:lineRule="auto"/>
              <w:jc w:val="right"/>
              <w:rPr>
                <w:rFonts w:cs="Arial"/>
                <w:color w:val="000000"/>
                <w:sz w:val="16"/>
                <w:szCs w:val="16"/>
              </w:rPr>
            </w:pPr>
            <w:r w:rsidRPr="007A75AA">
              <w:rPr>
                <w:rFonts w:cs="Arial"/>
                <w:color w:val="000000"/>
                <w:sz w:val="16"/>
                <w:szCs w:val="16"/>
              </w:rPr>
              <w:t>0,032</w:t>
            </w:r>
          </w:p>
        </w:tc>
        <w:tc>
          <w:tcPr>
            <w:tcW w:w="673" w:type="dxa"/>
            <w:tcBorders>
              <w:top w:val="nil"/>
              <w:left w:val="nil"/>
              <w:bottom w:val="nil"/>
              <w:right w:val="nil"/>
            </w:tcBorders>
            <w:shd w:val="clear" w:color="auto" w:fill="auto"/>
            <w:noWrap/>
            <w:vAlign w:val="center"/>
            <w:hideMark/>
          </w:tcPr>
          <w:p w14:paraId="119A911F" w14:textId="77777777" w:rsidR="00B27E3C" w:rsidRPr="007A75AA" w:rsidRDefault="00B27E3C" w:rsidP="00B27E3C">
            <w:pPr>
              <w:spacing w:after="0" w:line="240" w:lineRule="auto"/>
              <w:jc w:val="right"/>
              <w:rPr>
                <w:rFonts w:cs="Arial"/>
                <w:color w:val="000000"/>
                <w:sz w:val="16"/>
                <w:szCs w:val="16"/>
              </w:rPr>
            </w:pPr>
            <w:r w:rsidRPr="007A75AA">
              <w:rPr>
                <w:rFonts w:cs="Arial"/>
                <w:color w:val="000000"/>
                <w:sz w:val="16"/>
                <w:szCs w:val="16"/>
              </w:rPr>
              <w:t>0,110</w:t>
            </w:r>
          </w:p>
        </w:tc>
        <w:tc>
          <w:tcPr>
            <w:tcW w:w="673" w:type="dxa"/>
            <w:tcBorders>
              <w:top w:val="nil"/>
              <w:left w:val="nil"/>
              <w:bottom w:val="nil"/>
              <w:right w:val="nil"/>
            </w:tcBorders>
            <w:shd w:val="clear" w:color="auto" w:fill="auto"/>
            <w:noWrap/>
            <w:vAlign w:val="center"/>
            <w:hideMark/>
          </w:tcPr>
          <w:p w14:paraId="71BE0762" w14:textId="77777777" w:rsidR="00B27E3C" w:rsidRPr="007A75AA" w:rsidRDefault="00B27E3C" w:rsidP="00B27E3C">
            <w:pPr>
              <w:spacing w:after="0" w:line="240" w:lineRule="auto"/>
              <w:jc w:val="right"/>
              <w:rPr>
                <w:rFonts w:cs="Arial"/>
                <w:color w:val="000000"/>
                <w:sz w:val="16"/>
                <w:szCs w:val="16"/>
              </w:rPr>
            </w:pPr>
            <w:r w:rsidRPr="007A75AA">
              <w:rPr>
                <w:rFonts w:cs="Arial"/>
                <w:color w:val="000000"/>
                <w:sz w:val="16"/>
                <w:szCs w:val="16"/>
              </w:rPr>
              <w:t>0,138</w:t>
            </w:r>
          </w:p>
        </w:tc>
        <w:tc>
          <w:tcPr>
            <w:tcW w:w="666" w:type="dxa"/>
            <w:vAlign w:val="center"/>
          </w:tcPr>
          <w:p w14:paraId="222E327D" w14:textId="77777777" w:rsidR="00B27E3C" w:rsidRPr="007A75AA" w:rsidRDefault="00B27E3C" w:rsidP="00B27E3C">
            <w:pPr>
              <w:spacing w:after="0" w:line="240" w:lineRule="auto"/>
              <w:jc w:val="right"/>
            </w:pPr>
            <w:r w:rsidRPr="007A75AA">
              <w:rPr>
                <w:rFonts w:cs="Arial"/>
                <w:color w:val="000000"/>
                <w:sz w:val="16"/>
                <w:szCs w:val="16"/>
              </w:rPr>
              <w:t>0,157</w:t>
            </w:r>
          </w:p>
        </w:tc>
        <w:tc>
          <w:tcPr>
            <w:tcW w:w="668" w:type="dxa"/>
            <w:shd w:val="clear" w:color="auto" w:fill="auto"/>
            <w:vAlign w:val="center"/>
          </w:tcPr>
          <w:p w14:paraId="6153B0DC" w14:textId="77777777" w:rsidR="00B27E3C" w:rsidRPr="007A75AA" w:rsidRDefault="00B27E3C" w:rsidP="00B27E3C">
            <w:pPr>
              <w:spacing w:after="0" w:line="240" w:lineRule="auto"/>
              <w:jc w:val="right"/>
              <w:rPr>
                <w:rFonts w:cs="Arial"/>
                <w:sz w:val="16"/>
                <w:szCs w:val="16"/>
              </w:rPr>
            </w:pPr>
            <w:r w:rsidRPr="007A75AA">
              <w:rPr>
                <w:rFonts w:cs="Arial"/>
                <w:sz w:val="16"/>
                <w:szCs w:val="16"/>
              </w:rPr>
              <w:t>0,207</w:t>
            </w:r>
          </w:p>
        </w:tc>
        <w:tc>
          <w:tcPr>
            <w:tcW w:w="663" w:type="dxa"/>
            <w:vAlign w:val="center"/>
          </w:tcPr>
          <w:p w14:paraId="7644FAB2" w14:textId="33D7E80B" w:rsidR="00B27E3C" w:rsidRPr="007A75AA" w:rsidRDefault="00B27E3C" w:rsidP="00B27E3C">
            <w:pPr>
              <w:spacing w:after="0" w:line="240" w:lineRule="auto"/>
              <w:jc w:val="right"/>
              <w:rPr>
                <w:rFonts w:cs="Arial"/>
                <w:sz w:val="16"/>
                <w:szCs w:val="16"/>
              </w:rPr>
            </w:pPr>
            <w:r>
              <w:rPr>
                <w:rFonts w:cs="Arial"/>
                <w:color w:val="000000"/>
                <w:sz w:val="16"/>
                <w:szCs w:val="16"/>
              </w:rPr>
              <w:t>0,220</w:t>
            </w:r>
          </w:p>
        </w:tc>
      </w:tr>
    </w:tbl>
    <w:p w14:paraId="50B88B1E" w14:textId="77777777" w:rsidR="00B27E3C" w:rsidRPr="007A75AA" w:rsidRDefault="00B27E3C" w:rsidP="00B27E3C">
      <w:pPr>
        <w:spacing w:after="0"/>
        <w:rPr>
          <w:rFonts w:cs="Arial"/>
          <w:color w:val="000000"/>
          <w:sz w:val="16"/>
          <w:szCs w:val="16"/>
          <w:vertAlign w:val="superscript"/>
        </w:rPr>
      </w:pPr>
    </w:p>
    <w:p w14:paraId="52BDD0EB" w14:textId="77777777" w:rsidR="00B27E3C" w:rsidRPr="007A75AA" w:rsidRDefault="00B27E3C" w:rsidP="00B27E3C">
      <w:pPr>
        <w:spacing w:after="0"/>
        <w:rPr>
          <w:rFonts w:cs="Arial"/>
          <w:szCs w:val="20"/>
        </w:rPr>
      </w:pPr>
      <w:r w:rsidRPr="007A75AA">
        <w:rPr>
          <w:rFonts w:cs="Arial"/>
          <w:color w:val="000000"/>
          <w:sz w:val="16"/>
          <w:szCs w:val="16"/>
          <w:vertAlign w:val="superscript"/>
        </w:rPr>
        <w:t xml:space="preserve">1) </w:t>
      </w:r>
      <w:r w:rsidRPr="007A75AA">
        <w:rPr>
          <w:rFonts w:cs="Arial"/>
          <w:color w:val="000000"/>
          <w:sz w:val="16"/>
          <w:szCs w:val="16"/>
        </w:rPr>
        <w:t xml:space="preserve">Zavedení dávky otcovské poporodní péče, tzv. „otcovská“ – účinnost od 1. února 2018. </w:t>
      </w:r>
      <w:r w:rsidRPr="007A75AA">
        <w:rPr>
          <w:rFonts w:cs="Arial"/>
          <w:color w:val="000000"/>
          <w:sz w:val="16"/>
          <w:szCs w:val="16"/>
        </w:rPr>
        <w:br/>
      </w:r>
      <w:r w:rsidRPr="007A75AA">
        <w:rPr>
          <w:rFonts w:cs="Arial"/>
          <w:color w:val="000000"/>
          <w:sz w:val="16"/>
          <w:szCs w:val="16"/>
          <w:vertAlign w:val="superscript"/>
        </w:rPr>
        <w:t>2)</w:t>
      </w:r>
      <w:r w:rsidRPr="007A75AA">
        <w:rPr>
          <w:rFonts w:cs="Arial"/>
          <w:color w:val="000000"/>
          <w:sz w:val="16"/>
          <w:szCs w:val="16"/>
        </w:rPr>
        <w:t xml:space="preserve"> Zavedení dávky dlouhodobé ošetřovné – účinnost od 1. června 2018.</w:t>
      </w:r>
    </w:p>
    <w:p w14:paraId="5704AB19" w14:textId="77777777" w:rsidR="00B27E3C" w:rsidRPr="007A75AA" w:rsidRDefault="00B27E3C" w:rsidP="00B27E3C">
      <w:pPr>
        <w:spacing w:after="120"/>
        <w:jc w:val="both"/>
      </w:pPr>
      <w:r w:rsidRPr="007A75AA">
        <w:rPr>
          <w:rFonts w:cs="Arial"/>
          <w:sz w:val="16"/>
          <w:szCs w:val="16"/>
        </w:rPr>
        <w:t>– pomlčka značí, že se jev nevyskytoval</w:t>
      </w:r>
    </w:p>
    <w:p w14:paraId="6924D537" w14:textId="77777777" w:rsidR="00B27E3C" w:rsidRPr="007A75AA" w:rsidRDefault="00B27E3C" w:rsidP="00B27E3C">
      <w:pPr>
        <w:spacing w:before="120" w:after="120"/>
        <w:rPr>
          <w:sz w:val="16"/>
        </w:rPr>
      </w:pPr>
      <w:r w:rsidRPr="007A75AA">
        <w:rPr>
          <w:sz w:val="16"/>
        </w:rPr>
        <w:t>Zdroj: ČSSZ</w:t>
      </w:r>
    </w:p>
    <w:p w14:paraId="4EA36934" w14:textId="210F9D52" w:rsidR="00B366D0" w:rsidRPr="00390BF5" w:rsidRDefault="00B366D0" w:rsidP="00B366D0">
      <w:pPr>
        <w:spacing w:before="120" w:after="120"/>
        <w:jc w:val="both"/>
        <w:rPr>
          <w:rFonts w:cs="Arial"/>
          <w:szCs w:val="16"/>
        </w:rPr>
      </w:pPr>
      <w:r w:rsidRPr="00251BF8">
        <w:rPr>
          <w:rFonts w:cs="Arial"/>
          <w:szCs w:val="16"/>
        </w:rPr>
        <w:t>Od roku 2013 výdaje na nemocenské až do roku 2021</w:t>
      </w:r>
      <w:r w:rsidR="00344573">
        <w:rPr>
          <w:rFonts w:cs="Arial"/>
          <w:szCs w:val="16"/>
        </w:rPr>
        <w:t xml:space="preserve"> nepřetržitě</w:t>
      </w:r>
      <w:r w:rsidRPr="00251BF8">
        <w:rPr>
          <w:rFonts w:cs="Arial"/>
          <w:szCs w:val="16"/>
        </w:rPr>
        <w:t xml:space="preserve"> rostly. O rok později nastal mírný pokles</w:t>
      </w:r>
      <w:r w:rsidR="00390BF5" w:rsidRPr="00251BF8">
        <w:rPr>
          <w:rFonts w:cs="Arial"/>
          <w:szCs w:val="16"/>
        </w:rPr>
        <w:t>, který pokračoval i v následujícím roce</w:t>
      </w:r>
      <w:r w:rsidRPr="00251BF8">
        <w:rPr>
          <w:rFonts w:cs="Arial"/>
          <w:szCs w:val="16"/>
        </w:rPr>
        <w:t xml:space="preserve">. Oproti </w:t>
      </w:r>
      <w:r w:rsidR="00390BF5" w:rsidRPr="00251BF8">
        <w:rPr>
          <w:rFonts w:cs="Arial"/>
          <w:szCs w:val="16"/>
        </w:rPr>
        <w:t>roku</w:t>
      </w:r>
      <w:r w:rsidRPr="00251BF8">
        <w:rPr>
          <w:rFonts w:cs="Arial"/>
          <w:szCs w:val="16"/>
        </w:rPr>
        <w:t xml:space="preserve"> 2019, tj. období před pandemií, se však výdaje v </w:t>
      </w:r>
      <w:r w:rsidR="00390BF5" w:rsidRPr="00251BF8">
        <w:rPr>
          <w:rFonts w:cs="Arial"/>
          <w:szCs w:val="16"/>
        </w:rPr>
        <w:t>roce</w:t>
      </w:r>
      <w:r w:rsidRPr="00251BF8">
        <w:rPr>
          <w:rFonts w:cs="Arial"/>
          <w:szCs w:val="16"/>
        </w:rPr>
        <w:t xml:space="preserve"> 2023 zvýšily o </w:t>
      </w:r>
      <w:r w:rsidR="00390BF5" w:rsidRPr="00251BF8">
        <w:rPr>
          <w:rFonts w:cs="Arial"/>
          <w:szCs w:val="16"/>
        </w:rPr>
        <w:t>5</w:t>
      </w:r>
      <w:r w:rsidRPr="00251BF8">
        <w:rPr>
          <w:rFonts w:cs="Arial"/>
          <w:szCs w:val="16"/>
        </w:rPr>
        <w:t xml:space="preserve"> mld. Kč, téměř o </w:t>
      </w:r>
      <w:r w:rsidR="00390BF5" w:rsidRPr="00251BF8">
        <w:rPr>
          <w:rFonts w:cs="Arial"/>
          <w:szCs w:val="16"/>
        </w:rPr>
        <w:t>pě</w:t>
      </w:r>
      <w:r w:rsidRPr="00251BF8">
        <w:rPr>
          <w:rFonts w:cs="Arial"/>
          <w:szCs w:val="16"/>
        </w:rPr>
        <w:t>tinu. Z</w:t>
      </w:r>
      <w:r w:rsidR="00390BF5" w:rsidRPr="00251BF8">
        <w:rPr>
          <w:rFonts w:cs="Arial"/>
          <w:szCs w:val="16"/>
        </w:rPr>
        <w:t xml:space="preserve">a uplynulou dekádu </w:t>
      </w:r>
      <w:r w:rsidRPr="00251BF8">
        <w:rPr>
          <w:rFonts w:cs="Arial"/>
          <w:szCs w:val="16"/>
        </w:rPr>
        <w:t xml:space="preserve">výdaje vzrostly o </w:t>
      </w:r>
      <w:r w:rsidR="00390BF5" w:rsidRPr="00251BF8">
        <w:rPr>
          <w:rFonts w:cs="Arial"/>
          <w:szCs w:val="16"/>
        </w:rPr>
        <w:t>20</w:t>
      </w:r>
      <w:r w:rsidRPr="00251BF8">
        <w:rPr>
          <w:rFonts w:cs="Arial"/>
          <w:szCs w:val="16"/>
        </w:rPr>
        <w:t xml:space="preserve"> mld. Kč</w:t>
      </w:r>
      <w:r w:rsidR="00390BF5" w:rsidRPr="00251BF8">
        <w:rPr>
          <w:rFonts w:cs="Arial"/>
          <w:szCs w:val="16"/>
        </w:rPr>
        <w:t xml:space="preserve"> (2,6krát)</w:t>
      </w:r>
      <w:r w:rsidRPr="00251BF8">
        <w:rPr>
          <w:rFonts w:cs="Arial"/>
          <w:szCs w:val="16"/>
        </w:rPr>
        <w:t>.</w:t>
      </w:r>
    </w:p>
    <w:p w14:paraId="6E07CD2D" w14:textId="5AED96B0" w:rsidR="00344573" w:rsidRDefault="00B366D0" w:rsidP="00B366D0">
      <w:pPr>
        <w:spacing w:before="120" w:after="120"/>
        <w:jc w:val="both"/>
      </w:pPr>
      <w:r w:rsidRPr="00390BF5">
        <w:t xml:space="preserve">Podrobnější informace k výdajům na nemocenské a dalším dávkám, které jsou poskytovány ze systému nemocenského pojištění, </w:t>
      </w:r>
      <w:r w:rsidR="001F5ECC">
        <w:t>jsou k dispozici</w:t>
      </w:r>
      <w:r w:rsidR="001F5ECC" w:rsidRPr="00390BF5">
        <w:t xml:space="preserve"> </w:t>
      </w:r>
      <w:r w:rsidRPr="00390BF5">
        <w:t xml:space="preserve">na internetových stránkách MPSV v  </w:t>
      </w:r>
      <w:hyperlink r:id="rId35" w:history="1">
        <w:r w:rsidRPr="00390BF5">
          <w:rPr>
            <w:rStyle w:val="Hypertextovodkaz"/>
          </w:rPr>
          <w:t>Analýze vývoje nemocenského pojištění</w:t>
        </w:r>
      </w:hyperlink>
      <w:r w:rsidRPr="00390BF5">
        <w:t>.</w:t>
      </w:r>
    </w:p>
    <w:p w14:paraId="67BAC363" w14:textId="77777777" w:rsidR="00344573" w:rsidRDefault="00344573">
      <w:pPr>
        <w:spacing w:after="0" w:line="240" w:lineRule="auto"/>
      </w:pPr>
      <w:r>
        <w:br w:type="page"/>
      </w:r>
    </w:p>
    <w:p w14:paraId="141A5640" w14:textId="77777777" w:rsidR="00B366D0" w:rsidRPr="00B366D0" w:rsidRDefault="00B366D0" w:rsidP="00B366D0">
      <w:pPr>
        <w:spacing w:after="0" w:line="240" w:lineRule="auto"/>
        <w:rPr>
          <w:rFonts w:cs="Arial"/>
          <w:b/>
          <w:bCs/>
          <w:color w:val="000000"/>
          <w:szCs w:val="20"/>
        </w:rPr>
      </w:pPr>
      <w:r w:rsidRPr="00B366D0">
        <w:rPr>
          <w:rFonts w:cs="Arial"/>
          <w:b/>
          <w:bCs/>
          <w:color w:val="000000"/>
          <w:szCs w:val="20"/>
        </w:rPr>
        <w:lastRenderedPageBreak/>
        <w:t>Graf 4.1: Výdaje na nemocenské a průměrné výdaje na jednoho pojištěnce, 2013–2023</w:t>
      </w:r>
    </w:p>
    <w:p w14:paraId="6B22B90F" w14:textId="12A9BD01" w:rsidR="00B27E3C" w:rsidRDefault="00344573" w:rsidP="00C20328">
      <w:pPr>
        <w:spacing w:before="120"/>
        <w:rPr>
          <w:sz w:val="16"/>
        </w:rPr>
      </w:pPr>
      <w:r>
        <w:rPr>
          <w:noProof/>
        </w:rPr>
        <w:drawing>
          <wp:inline distT="0" distB="0" distL="0" distR="0" wp14:anchorId="14C48AA2" wp14:editId="560C2851">
            <wp:extent cx="6120130" cy="2916555"/>
            <wp:effectExtent l="0" t="0" r="13970" b="17145"/>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D934191" w14:textId="01AA3DF6" w:rsidR="008F6B9A" w:rsidRDefault="00B366D0" w:rsidP="00B366D0">
      <w:pPr>
        <w:spacing w:before="120" w:after="120"/>
        <w:rPr>
          <w:sz w:val="16"/>
        </w:rPr>
      </w:pPr>
      <w:r w:rsidRPr="007A75AA">
        <w:rPr>
          <w:sz w:val="16"/>
        </w:rPr>
        <w:t>Zdroj: ČSSZ</w:t>
      </w:r>
    </w:p>
    <w:p w14:paraId="7B17AC21" w14:textId="54D03952" w:rsidR="008F6B9A" w:rsidRDefault="008F6B9A">
      <w:pPr>
        <w:spacing w:after="0" w:line="240" w:lineRule="auto"/>
        <w:rPr>
          <w:sz w:val="16"/>
        </w:rPr>
      </w:pPr>
    </w:p>
    <w:p w14:paraId="50757D93" w14:textId="77777777" w:rsidR="008F6B9A" w:rsidRPr="00B83BF4" w:rsidRDefault="008F6B9A" w:rsidP="003E1B21">
      <w:pPr>
        <w:pStyle w:val="Nadpis3"/>
        <w:numPr>
          <w:ilvl w:val="1"/>
          <w:numId w:val="31"/>
        </w:numPr>
        <w:spacing w:after="120"/>
        <w:ind w:left="284" w:hanging="284"/>
      </w:pPr>
      <w:bookmarkStart w:id="35" w:name="_Toc54262806"/>
      <w:bookmarkStart w:id="36" w:name="_Toc149295407"/>
      <w:bookmarkStart w:id="37" w:name="_Toc167965230"/>
      <w:r w:rsidRPr="00B83BF4">
        <w:t>Pracovní úrazy</w:t>
      </w:r>
      <w:bookmarkEnd w:id="35"/>
      <w:bookmarkEnd w:id="36"/>
      <w:bookmarkEnd w:id="37"/>
    </w:p>
    <w:p w14:paraId="465F55DB" w14:textId="77777777" w:rsidR="008F6B9A" w:rsidRPr="00781A5F" w:rsidRDefault="008F6B9A" w:rsidP="008F6B9A">
      <w:pPr>
        <w:spacing w:after="120"/>
        <w:jc w:val="both"/>
      </w:pPr>
      <w:r w:rsidRPr="00781A5F">
        <w:t xml:space="preserve">V oblasti pracovní úrazovosti ukládá česká i evropská legislativa zaměstnavatelům řadu povinností souvisejících s evidencí, hlášením a objasněním příčin a okolností vzniku každého pracovního úrazu. </w:t>
      </w:r>
    </w:p>
    <w:p w14:paraId="526D8A26" w14:textId="77777777" w:rsidR="008F6B9A" w:rsidRPr="00781A5F" w:rsidRDefault="008F6B9A" w:rsidP="008F6B9A">
      <w:pPr>
        <w:pStyle w:val="Box1"/>
        <w:spacing w:before="120" w:after="120"/>
        <w:ind w:left="0"/>
        <w:contextualSpacing w:val="0"/>
        <w:jc w:val="both"/>
        <w:rPr>
          <w:i/>
        </w:rPr>
      </w:pPr>
      <w:r w:rsidRPr="00781A5F">
        <w:rPr>
          <w:b/>
          <w:i/>
        </w:rPr>
        <w:t xml:space="preserve">Pracovní úraz </w:t>
      </w:r>
      <w:r w:rsidRPr="00781A5F">
        <w:rPr>
          <w:i/>
        </w:rPr>
        <w:t>– pracovním úrazem se rozumí poškození zdraví nebo smrt zaměstnance, došlo-li k nim nezávisle na jeho vůli krátkodobým, náhlým a násilným působením zevních vlivů při plnění pracovních úkolů nebo v přímé souvislosti s ním (viz § 271k odst. 1 až 3 zákona č. 262/2006 Sb., zákoník práce, ve znění pozdějších předpisů).</w:t>
      </w:r>
    </w:p>
    <w:p w14:paraId="4F59BA9B" w14:textId="77777777" w:rsidR="008F6B9A" w:rsidRPr="00781A5F" w:rsidRDefault="008F6B9A" w:rsidP="008F6B9A">
      <w:pPr>
        <w:pStyle w:val="Box1"/>
        <w:spacing w:before="120" w:after="120"/>
        <w:ind w:left="0"/>
        <w:contextualSpacing w:val="0"/>
        <w:jc w:val="both"/>
        <w:rPr>
          <w:b/>
          <w:i/>
        </w:rPr>
      </w:pPr>
      <w:r w:rsidRPr="00781A5F">
        <w:rPr>
          <w:b/>
          <w:i/>
        </w:rPr>
        <w:t>Smrtelný pracovní úraz</w:t>
      </w:r>
      <w:r w:rsidRPr="00781A5F">
        <w:rPr>
          <w:i/>
        </w:rPr>
        <w:t xml:space="preserve"> – je takové poškození zdraví, na jehož následky úrazem postižený zaměstnanec nejpozději do 1 roku zemřel.</w:t>
      </w:r>
    </w:p>
    <w:p w14:paraId="4058AE3D" w14:textId="77777777" w:rsidR="008F6B9A" w:rsidRPr="00781A5F" w:rsidRDefault="008F6B9A" w:rsidP="008F6B9A">
      <w:pPr>
        <w:pStyle w:val="Box1"/>
        <w:spacing w:before="120" w:after="120"/>
        <w:ind w:left="0"/>
        <w:contextualSpacing w:val="0"/>
        <w:jc w:val="both"/>
        <w:rPr>
          <w:b/>
          <w:i/>
        </w:rPr>
      </w:pPr>
      <w:r w:rsidRPr="00781A5F">
        <w:rPr>
          <w:b/>
          <w:i/>
        </w:rPr>
        <w:t>Závažný pracovní úraz</w:t>
      </w:r>
      <w:r w:rsidRPr="00781A5F">
        <w:rPr>
          <w:i/>
        </w:rPr>
        <w:t xml:space="preserve"> – je takové poškození zdraví, trvá-li hospitalizace úrazem postiženého zaměstnance déle než 5 dnů.</w:t>
      </w:r>
    </w:p>
    <w:p w14:paraId="25214383" w14:textId="77777777" w:rsidR="008F6B9A" w:rsidRPr="00781A5F" w:rsidRDefault="008F6B9A" w:rsidP="008F6B9A">
      <w:pPr>
        <w:pStyle w:val="Box1"/>
        <w:spacing w:before="120" w:after="120"/>
        <w:ind w:left="0"/>
        <w:contextualSpacing w:val="0"/>
        <w:jc w:val="both"/>
        <w:rPr>
          <w:i/>
        </w:rPr>
      </w:pPr>
      <w:r w:rsidRPr="00781A5F">
        <w:rPr>
          <w:b/>
          <w:i/>
        </w:rPr>
        <w:t xml:space="preserve">Pracovní úraz s pracovní neschopností delší než 3 dny </w:t>
      </w:r>
      <w:r w:rsidRPr="00781A5F">
        <w:rPr>
          <w:i/>
        </w:rPr>
        <w:t>– ukazatel zahrnuje případy pracovních úrazů, které měly za následek dočasnou pracovní neschopnost delší než tři kalendářní dny. Do těchto tří dnů se nezapočítává den, ve kterém k úrazu došlo.</w:t>
      </w:r>
    </w:p>
    <w:p w14:paraId="0827BAE8" w14:textId="77777777" w:rsidR="008F6B9A" w:rsidRPr="00781A5F" w:rsidRDefault="008F6B9A" w:rsidP="008F6B9A">
      <w:pPr>
        <w:spacing w:before="120" w:after="120"/>
        <w:jc w:val="both"/>
      </w:pPr>
      <w:r w:rsidRPr="00781A5F">
        <w:t>Ohlášení pracovního úrazu místně příslušnému Oblastnímu inspektorátu práce (OIP) podléhá smrtelný pracovní úraz a pracovní úraz s hospitalizací delší než 5 dnů (tzv. závažný pracovní úraz) nebo lze-li vzhledem k povaze zranění takovou dobu hospitalizace předpokládat. Vyhotovit záznam o úrazu (vč. případného hlášení změn) a zaslat jej na místně příslušný OIP je zaměstnavatel povinen i u pracovního úrazu s pracovní neschopností delší než 3 dny. V závislosti na druhu a okolnostech vzniku pracovního úrazu se pracovní úraz ohlašuje a záznam o něm se zasílá ještě na další stanovené orgány a instituce. Evidenci všech úrazů, tedy i takových, kterými nebyla způsobena pracovní neschopnost nebo jimi byla způsobena pracovní neschopnost nepřesahující 3 kalendářní dny, je zaměstnavatel povinen vést v knize úrazů.</w:t>
      </w:r>
    </w:p>
    <w:p w14:paraId="773A003D" w14:textId="78EBAC2A" w:rsidR="008F6B9A" w:rsidRPr="00251BF8" w:rsidRDefault="008F6B9A" w:rsidP="008F6B9A">
      <w:pPr>
        <w:spacing w:before="120" w:after="120"/>
        <w:jc w:val="both"/>
        <w:rPr>
          <w:rFonts w:cs="Arial"/>
        </w:rPr>
      </w:pPr>
      <w:r w:rsidRPr="00251BF8">
        <w:rPr>
          <w:rFonts w:cs="Arial"/>
        </w:rPr>
        <w:t>V </w:t>
      </w:r>
      <w:r w:rsidR="00087E71" w:rsidRPr="00251BF8">
        <w:rPr>
          <w:rFonts w:cs="Arial"/>
        </w:rPr>
        <w:t>roce</w:t>
      </w:r>
      <w:r w:rsidRPr="00251BF8">
        <w:rPr>
          <w:rFonts w:cs="Arial"/>
        </w:rPr>
        <w:t xml:space="preserve"> 2020 se i vlivem uzavření některých podniků a větší míry práce z domova událo nejméně pracovních úrazů za posledních 10 let. </w:t>
      </w:r>
      <w:r w:rsidRPr="00251BF8">
        <w:rPr>
          <w:bCs/>
        </w:rPr>
        <w:t>Absolutní počet nově hlášených případů dočasné pracovní neschopnosti (DPN)</w:t>
      </w:r>
      <w:r w:rsidRPr="00251BF8">
        <w:rPr>
          <w:rFonts w:cs="Arial"/>
        </w:rPr>
        <w:t xml:space="preserve"> pro pracovní úraz po propadu v </w:t>
      </w:r>
      <w:r w:rsidR="00087E71" w:rsidRPr="00251BF8">
        <w:rPr>
          <w:rFonts w:cs="Arial"/>
        </w:rPr>
        <w:t>roce</w:t>
      </w:r>
      <w:r w:rsidRPr="00251BF8">
        <w:rPr>
          <w:rFonts w:cs="Arial"/>
        </w:rPr>
        <w:t xml:space="preserve"> 2020 vzrostl z</w:t>
      </w:r>
      <w:r w:rsidR="00087E71" w:rsidRPr="00251BF8">
        <w:rPr>
          <w:rFonts w:cs="Arial"/>
        </w:rPr>
        <w:t>e 41 358</w:t>
      </w:r>
      <w:r w:rsidRPr="00251BF8">
        <w:rPr>
          <w:rFonts w:cs="Arial"/>
        </w:rPr>
        <w:t xml:space="preserve"> případů na </w:t>
      </w:r>
      <w:r w:rsidR="00087E71" w:rsidRPr="00251BF8">
        <w:rPr>
          <w:rFonts w:cs="Arial"/>
        </w:rPr>
        <w:t>44 933</w:t>
      </w:r>
      <w:r w:rsidRPr="00251BF8">
        <w:rPr>
          <w:rFonts w:cs="Arial"/>
        </w:rPr>
        <w:t xml:space="preserve"> případů v </w:t>
      </w:r>
      <w:r w:rsidR="00087E71" w:rsidRPr="00251BF8">
        <w:rPr>
          <w:rFonts w:cs="Arial"/>
        </w:rPr>
        <w:t>roce</w:t>
      </w:r>
      <w:r w:rsidRPr="00251BF8">
        <w:rPr>
          <w:rFonts w:cs="Arial"/>
        </w:rPr>
        <w:t xml:space="preserve"> 2021 (tj. o </w:t>
      </w:r>
      <w:r w:rsidR="00087E71" w:rsidRPr="00251BF8">
        <w:rPr>
          <w:rFonts w:cs="Arial"/>
        </w:rPr>
        <w:t>8</w:t>
      </w:r>
      <w:r w:rsidR="00DD5A0D" w:rsidRPr="00251BF8">
        <w:rPr>
          <w:rFonts w:cs="Arial"/>
        </w:rPr>
        <w:t xml:space="preserve"> </w:t>
      </w:r>
      <w:r w:rsidRPr="00251BF8">
        <w:rPr>
          <w:rFonts w:cs="Arial"/>
        </w:rPr>
        <w:t>%) a vrátil se tak na hodnoty z období před pandemií. Od té doby se v </w:t>
      </w:r>
      <w:r w:rsidR="00087E71" w:rsidRPr="00251BF8">
        <w:rPr>
          <w:rFonts w:cs="Arial"/>
        </w:rPr>
        <w:t>roce</w:t>
      </w:r>
      <w:r w:rsidRPr="00251BF8">
        <w:rPr>
          <w:rFonts w:cs="Arial"/>
        </w:rPr>
        <w:t xml:space="preserve"> 2022 i 2023 počet mírně snižoval na </w:t>
      </w:r>
      <w:r w:rsidR="00087E71" w:rsidRPr="00251BF8">
        <w:rPr>
          <w:rFonts w:cs="Arial"/>
        </w:rPr>
        <w:t>43 476</w:t>
      </w:r>
      <w:r w:rsidRPr="00251BF8">
        <w:rPr>
          <w:rFonts w:cs="Arial"/>
        </w:rPr>
        <w:t xml:space="preserve"> pracovních úrazů </w:t>
      </w:r>
      <w:r w:rsidR="00F27218">
        <w:rPr>
          <w:rFonts w:cs="Arial"/>
        </w:rPr>
        <w:t xml:space="preserve">s pracovní neschopností </w:t>
      </w:r>
      <w:r w:rsidRPr="00251BF8">
        <w:rPr>
          <w:rFonts w:cs="Arial"/>
        </w:rPr>
        <w:t>v </w:t>
      </w:r>
      <w:r w:rsidR="00087E71" w:rsidRPr="00251BF8">
        <w:rPr>
          <w:rFonts w:cs="Arial"/>
        </w:rPr>
        <w:t>roce</w:t>
      </w:r>
      <w:r w:rsidRPr="00251BF8">
        <w:rPr>
          <w:rFonts w:cs="Arial"/>
        </w:rPr>
        <w:t xml:space="preserve"> 2023. Z tohoto celkového počtu bylo </w:t>
      </w:r>
      <w:r w:rsidR="00087E71" w:rsidRPr="00251BF8">
        <w:rPr>
          <w:rFonts w:cs="Arial"/>
        </w:rPr>
        <w:t xml:space="preserve">42 500 případů </w:t>
      </w:r>
      <w:r w:rsidR="00087E71" w:rsidRPr="00251BF8">
        <w:rPr>
          <w:rFonts w:cs="Arial"/>
        </w:rPr>
        <w:lastRenderedPageBreak/>
        <w:t>(98</w:t>
      </w:r>
      <w:r w:rsidRPr="00251BF8">
        <w:rPr>
          <w:rFonts w:cs="Arial"/>
        </w:rPr>
        <w:t xml:space="preserve"> %) </w:t>
      </w:r>
      <w:r w:rsidRPr="00251BF8">
        <w:rPr>
          <w:rFonts w:cs="Arial"/>
          <w:b/>
        </w:rPr>
        <w:t>pracovních úrazů s pracovní neschopností delší než 3 kalendářní dny</w:t>
      </w:r>
      <w:r w:rsidRPr="00251BF8">
        <w:rPr>
          <w:rFonts w:cs="Arial"/>
        </w:rPr>
        <w:t xml:space="preserve"> (tedy těch, které podléhají povinnosti vyhotovit záznam o úrazu a zaslat jej OIP).</w:t>
      </w:r>
    </w:p>
    <w:p w14:paraId="07281994" w14:textId="14B85D6C" w:rsidR="00C8357C" w:rsidRPr="00251BF8" w:rsidRDefault="008F6B9A" w:rsidP="008F6B9A">
      <w:pPr>
        <w:spacing w:before="120" w:after="120"/>
        <w:jc w:val="both"/>
      </w:pPr>
      <w:r w:rsidRPr="00251BF8">
        <w:rPr>
          <w:rFonts w:cs="Arial"/>
        </w:rPr>
        <w:t xml:space="preserve">V pracovní úrazovosti je dlouhodobě patrný rozdíl mezi </w:t>
      </w:r>
      <w:r w:rsidRPr="00251BF8">
        <w:rPr>
          <w:rFonts w:cs="Arial"/>
          <w:b/>
        </w:rPr>
        <w:t>pohlavími</w:t>
      </w:r>
      <w:r w:rsidRPr="00251BF8">
        <w:rPr>
          <w:rFonts w:cs="Arial"/>
        </w:rPr>
        <w:t>, muži zde výrazně dominují. Z celkového počtu pracovních úrazů připadaly v </w:t>
      </w:r>
      <w:r w:rsidR="00087E71" w:rsidRPr="00251BF8">
        <w:rPr>
          <w:rFonts w:cs="Arial"/>
        </w:rPr>
        <w:t>roce</w:t>
      </w:r>
      <w:r w:rsidRPr="00251BF8">
        <w:rPr>
          <w:rFonts w:cs="Arial"/>
        </w:rPr>
        <w:t xml:space="preserve"> 2023 na muže dvě třetiny (66 %), což je </w:t>
      </w:r>
      <w:r w:rsidRPr="00251BF8">
        <w:rPr>
          <w:rFonts w:cs="Arial"/>
          <w:b/>
        </w:rPr>
        <w:t>dáno</w:t>
      </w:r>
      <w:r w:rsidRPr="00251BF8">
        <w:rPr>
          <w:rFonts w:cs="Arial"/>
        </w:rPr>
        <w:t xml:space="preserve"> především</w:t>
      </w:r>
      <w:r w:rsidRPr="00251BF8">
        <w:rPr>
          <w:rFonts w:cs="Arial"/>
          <w:b/>
        </w:rPr>
        <w:t> odlišnou strukturou zaměstnanosti žen a mužů</w:t>
      </w:r>
      <w:r w:rsidRPr="00251BF8">
        <w:rPr>
          <w:rFonts w:cs="Arial"/>
        </w:rPr>
        <w:t xml:space="preserve">. V odvětvích rizikovějších na pracovní úrazy jako je např. </w:t>
      </w:r>
      <w:r w:rsidRPr="00251BF8">
        <w:t>T</w:t>
      </w:r>
      <w:r w:rsidRPr="00251BF8">
        <w:rPr>
          <w:rFonts w:cs="Arial"/>
        </w:rPr>
        <w:t>ěžba a dobývání, Zpracovatelský průmysl, S</w:t>
      </w:r>
      <w:r w:rsidRPr="00251BF8">
        <w:t xml:space="preserve">tavebnictví, Doprava a skladování </w:t>
      </w:r>
      <w:r w:rsidRPr="00251BF8">
        <w:rPr>
          <w:bCs/>
        </w:rPr>
        <w:t xml:space="preserve">či Zemědělství, lesnictví, rybářství </w:t>
      </w:r>
      <w:r w:rsidRPr="00251BF8">
        <w:t>mezi zaměstnan</w:t>
      </w:r>
      <w:r w:rsidR="002B6CB3">
        <w:t>ými</w:t>
      </w:r>
      <w:r w:rsidRPr="00251BF8">
        <w:t xml:space="preserve"> převládají muži. Ještě výraznější rozdíl hodnot mezi pohlavími lze vidět u smrtelných pracovních úrazů. V </w:t>
      </w:r>
      <w:r w:rsidR="00087E71" w:rsidRPr="00251BF8">
        <w:t>roce</w:t>
      </w:r>
      <w:r w:rsidR="00DD5A0D" w:rsidRPr="00251BF8">
        <w:t xml:space="preserve"> 2023 se z celkových 77 smrtelných pracovních úrazů</w:t>
      </w:r>
      <w:r w:rsidRPr="00251BF8">
        <w:t xml:space="preserve"> </w:t>
      </w:r>
      <w:r w:rsidR="00C8357C" w:rsidRPr="00251BF8">
        <w:t>73</w:t>
      </w:r>
      <w:r w:rsidR="00087E71" w:rsidRPr="00251BF8">
        <w:t xml:space="preserve"> </w:t>
      </w:r>
      <w:r w:rsidR="00DD5A0D" w:rsidRPr="00251BF8">
        <w:t xml:space="preserve">přihodilo mužům. </w:t>
      </w:r>
      <w:r w:rsidRPr="00251BF8">
        <w:t xml:space="preserve">Oproti </w:t>
      </w:r>
      <w:r w:rsidR="00087E71" w:rsidRPr="00251BF8">
        <w:t>předchozímu roku</w:t>
      </w:r>
      <w:r w:rsidRPr="00251BF8">
        <w:t xml:space="preserve"> byl počet smrtelných pracovních úrazů o </w:t>
      </w:r>
      <w:r w:rsidR="00C8357C" w:rsidRPr="00251BF8">
        <w:t>11 nižší</w:t>
      </w:r>
      <w:r w:rsidRPr="00251BF8">
        <w:t xml:space="preserve">, tedy již zmíněných </w:t>
      </w:r>
      <w:r w:rsidR="00C8357C" w:rsidRPr="00251BF8">
        <w:t>77</w:t>
      </w:r>
      <w:r w:rsidRPr="00251BF8">
        <w:t xml:space="preserve">. To je o </w:t>
      </w:r>
      <w:r w:rsidR="00C8357C" w:rsidRPr="00251BF8">
        <w:t>54</w:t>
      </w:r>
      <w:r w:rsidRPr="00251BF8">
        <w:t xml:space="preserve"> méně než </w:t>
      </w:r>
      <w:r w:rsidR="00087E71" w:rsidRPr="00251BF8">
        <w:t>v roce</w:t>
      </w:r>
      <w:r w:rsidRPr="00251BF8">
        <w:t xml:space="preserve"> 20</w:t>
      </w:r>
      <w:r w:rsidR="00C8357C" w:rsidRPr="00251BF8">
        <w:t>15</w:t>
      </w:r>
      <w:r w:rsidRPr="00251BF8">
        <w:t>, kdy došlo vůbec k nejvíce smrtelným pracovním úrazům za posledních 10 let.</w:t>
      </w:r>
      <w:r w:rsidR="00344573">
        <w:t xml:space="preserve"> Rovněž se snížil počet závažných pracovních úrazů, které si vyžádaly alespoň 5denní hospitalizaci. Zatímco v roce 2013 se jejich počet blížil 1 400, v roce 2023 jich bylo zaznamenáno téměř o polovinu (46 %) méně, konkrétně 732. Dá se předpokládat</w:t>
      </w:r>
      <w:r w:rsidR="00425613">
        <w:t xml:space="preserve"> souvislost s preferováním ambulantní léčby (tam</w:t>
      </w:r>
      <w:r w:rsidR="00047B6D">
        <w:t>,</w:t>
      </w:r>
      <w:r w:rsidR="00425613">
        <w:t xml:space="preserve"> kde to povaha úrazu dovolí) </w:t>
      </w:r>
      <w:r w:rsidR="002B6CB3">
        <w:t>před</w:t>
      </w:r>
      <w:r w:rsidR="00425613">
        <w:t xml:space="preserve"> dlouhodobou hospitalizací.</w:t>
      </w:r>
    </w:p>
    <w:p w14:paraId="0DC3D105" w14:textId="1894789A" w:rsidR="00C8357C" w:rsidRPr="00251BF8" w:rsidRDefault="00C8357C" w:rsidP="00C8357C">
      <w:pPr>
        <w:spacing w:before="120" w:after="120"/>
        <w:jc w:val="both"/>
        <w:rPr>
          <w:rFonts w:cs="Arial"/>
        </w:rPr>
      </w:pPr>
      <w:r w:rsidRPr="00251BF8">
        <w:rPr>
          <w:rFonts w:cs="Arial"/>
        </w:rPr>
        <w:t xml:space="preserve">Nadále </w:t>
      </w:r>
      <w:r w:rsidR="002B6CB3">
        <w:rPr>
          <w:rFonts w:cs="Arial"/>
        </w:rPr>
        <w:t xml:space="preserve">bude </w:t>
      </w:r>
      <w:r w:rsidRPr="00251BF8">
        <w:rPr>
          <w:rFonts w:cs="Arial"/>
        </w:rPr>
        <w:t xml:space="preserve">v této kapitole </w:t>
      </w:r>
      <w:r w:rsidRPr="002B6CB3">
        <w:rPr>
          <w:rFonts w:cs="Arial"/>
        </w:rPr>
        <w:t>věnov</w:t>
      </w:r>
      <w:r w:rsidR="002B6CB3" w:rsidRPr="002B6CB3">
        <w:rPr>
          <w:rFonts w:cs="Arial"/>
        </w:rPr>
        <w:t>ána pozornost</w:t>
      </w:r>
      <w:r w:rsidRPr="00251BF8">
        <w:rPr>
          <w:rFonts w:cs="Arial"/>
          <w:b/>
        </w:rPr>
        <w:t xml:space="preserve"> pracovním úrazům s pracovní neschopností delší než 3 kalendářní dny</w:t>
      </w:r>
      <w:r w:rsidRPr="00251BF8">
        <w:rPr>
          <w:rFonts w:cs="Arial"/>
        </w:rPr>
        <w:t>.</w:t>
      </w:r>
    </w:p>
    <w:p w14:paraId="313F40F0" w14:textId="7C7E1FE2" w:rsidR="00C8357C" w:rsidRDefault="00C8357C" w:rsidP="00C8357C">
      <w:pPr>
        <w:spacing w:before="120" w:after="120"/>
        <w:jc w:val="both"/>
      </w:pPr>
      <w:r w:rsidRPr="00251BF8">
        <w:rPr>
          <w:rFonts w:cs="Arial"/>
          <w:bCs/>
          <w:color w:val="000000"/>
          <w:szCs w:val="20"/>
        </w:rPr>
        <w:t xml:space="preserve">V absolutním vyjádření </w:t>
      </w:r>
      <w:r w:rsidRPr="00251BF8">
        <w:rPr>
          <w:rFonts w:cs="Arial"/>
          <w:b/>
          <w:bCs/>
          <w:color w:val="000000"/>
          <w:szCs w:val="20"/>
        </w:rPr>
        <w:t>nejvíce pracovních úrazů</w:t>
      </w:r>
      <w:r w:rsidRPr="00251BF8">
        <w:rPr>
          <w:rFonts w:cs="Arial"/>
          <w:bCs/>
          <w:color w:val="000000"/>
          <w:szCs w:val="20"/>
        </w:rPr>
        <w:t xml:space="preserve"> s DPN delší než 3 dny se v roce 2023 událo </w:t>
      </w:r>
      <w:r w:rsidRPr="00251BF8">
        <w:rPr>
          <w:rFonts w:cs="Arial"/>
          <w:b/>
          <w:bCs/>
          <w:color w:val="000000"/>
          <w:szCs w:val="20"/>
        </w:rPr>
        <w:t>ve Zpracovatelském průmyslu</w:t>
      </w:r>
      <w:r w:rsidRPr="00251BF8">
        <w:rPr>
          <w:rFonts w:cs="Arial"/>
          <w:bCs/>
          <w:color w:val="000000"/>
          <w:szCs w:val="20"/>
        </w:rPr>
        <w:t xml:space="preserve"> (15 650 případů), následují odvětví Velkoobchod a maloobchod, opravy a údržba motorových vozidel (5 069) a Doprava a skladování (4 119). Pokud však zohledníme zaměstnanost v jednotlivých odvětvích a míru zastoupení jednotlivých sekcí, je vhodné použít </w:t>
      </w:r>
      <w:r w:rsidRPr="00251BF8">
        <w:rPr>
          <w:rFonts w:cs="Arial"/>
          <w:b/>
          <w:bCs/>
          <w:color w:val="000000"/>
          <w:szCs w:val="20"/>
        </w:rPr>
        <w:t>relativní ukazatel</w:t>
      </w:r>
      <w:r w:rsidRPr="00251BF8">
        <w:rPr>
          <w:rFonts w:cs="Arial"/>
          <w:bCs/>
          <w:color w:val="000000"/>
          <w:szCs w:val="20"/>
        </w:rPr>
        <w:t xml:space="preserve"> vztažený na 100 tis. pojištěnců. </w:t>
      </w:r>
      <w:r w:rsidRPr="00251BF8">
        <w:rPr>
          <w:rFonts w:cs="Arial"/>
          <w:b/>
          <w:bCs/>
          <w:color w:val="000000"/>
          <w:szCs w:val="20"/>
        </w:rPr>
        <w:t>Nejrizikovějším</w:t>
      </w:r>
      <w:r w:rsidRPr="00251BF8">
        <w:rPr>
          <w:rFonts w:cs="Arial"/>
          <w:bCs/>
          <w:color w:val="000000"/>
          <w:szCs w:val="20"/>
        </w:rPr>
        <w:t xml:space="preserve"> odvětvím je pak </w:t>
      </w:r>
      <w:r w:rsidRPr="00251BF8">
        <w:rPr>
          <w:rFonts w:cs="Arial"/>
          <w:b/>
          <w:bCs/>
          <w:color w:val="000000"/>
          <w:szCs w:val="20"/>
        </w:rPr>
        <w:t>Zemědělství, lesnictví, rybářství</w:t>
      </w:r>
      <w:r w:rsidRPr="00251BF8">
        <w:rPr>
          <w:rFonts w:cs="Arial"/>
          <w:bCs/>
          <w:color w:val="000000"/>
          <w:szCs w:val="20"/>
        </w:rPr>
        <w:t xml:space="preserve"> (</w:t>
      </w:r>
      <w:r w:rsidR="00F27218" w:rsidRPr="00251BF8">
        <w:rPr>
          <w:rFonts w:cs="Arial"/>
          <w:bCs/>
          <w:color w:val="000000"/>
          <w:szCs w:val="20"/>
        </w:rPr>
        <w:t>2</w:t>
      </w:r>
      <w:r w:rsidR="00F27218">
        <w:rPr>
          <w:rFonts w:cs="Arial"/>
          <w:bCs/>
          <w:color w:val="000000"/>
          <w:szCs w:val="20"/>
        </w:rPr>
        <w:t> </w:t>
      </w:r>
      <w:r w:rsidRPr="00251BF8">
        <w:rPr>
          <w:rFonts w:cs="Arial"/>
          <w:bCs/>
          <w:color w:val="000000"/>
          <w:szCs w:val="20"/>
        </w:rPr>
        <w:t>270 pracovních úrazů na 100 tis. pojištěnců), dále s odstupem odvětví Zásobování vodou, činnosti související s odpady a sanacemi (</w:t>
      </w:r>
      <w:r w:rsidR="00F27218" w:rsidRPr="00251BF8">
        <w:rPr>
          <w:rFonts w:cs="Arial"/>
          <w:bCs/>
          <w:color w:val="000000"/>
          <w:szCs w:val="20"/>
        </w:rPr>
        <w:t>1</w:t>
      </w:r>
      <w:r w:rsidR="00F27218">
        <w:rPr>
          <w:rFonts w:cs="Arial"/>
          <w:bCs/>
          <w:color w:val="000000"/>
          <w:szCs w:val="20"/>
        </w:rPr>
        <w:t> </w:t>
      </w:r>
      <w:r w:rsidRPr="00251BF8">
        <w:rPr>
          <w:rFonts w:cs="Arial"/>
          <w:bCs/>
          <w:color w:val="000000"/>
          <w:szCs w:val="20"/>
        </w:rPr>
        <w:t>966), Těžba a dobývání (</w:t>
      </w:r>
      <w:r w:rsidR="00F27218" w:rsidRPr="00251BF8">
        <w:rPr>
          <w:rFonts w:cs="Arial"/>
          <w:bCs/>
          <w:color w:val="000000"/>
          <w:szCs w:val="20"/>
        </w:rPr>
        <w:t>1</w:t>
      </w:r>
      <w:r w:rsidR="00F27218">
        <w:rPr>
          <w:rFonts w:cs="Arial"/>
          <w:bCs/>
          <w:color w:val="000000"/>
          <w:szCs w:val="20"/>
        </w:rPr>
        <w:t> </w:t>
      </w:r>
      <w:r w:rsidRPr="00251BF8">
        <w:rPr>
          <w:rFonts w:cs="Arial"/>
          <w:bCs/>
          <w:color w:val="000000"/>
          <w:szCs w:val="20"/>
        </w:rPr>
        <w:t>779), Doprava a skladování (</w:t>
      </w:r>
      <w:r w:rsidR="00F27218" w:rsidRPr="00251BF8">
        <w:rPr>
          <w:rFonts w:cs="Arial"/>
          <w:bCs/>
          <w:color w:val="000000"/>
          <w:szCs w:val="20"/>
        </w:rPr>
        <w:t>1</w:t>
      </w:r>
      <w:r w:rsidR="00F27218">
        <w:rPr>
          <w:rFonts w:cs="Arial"/>
          <w:bCs/>
          <w:color w:val="000000"/>
          <w:szCs w:val="20"/>
        </w:rPr>
        <w:t> </w:t>
      </w:r>
      <w:r w:rsidRPr="00251BF8">
        <w:rPr>
          <w:rFonts w:cs="Arial"/>
          <w:bCs/>
          <w:color w:val="000000"/>
          <w:szCs w:val="20"/>
        </w:rPr>
        <w:t xml:space="preserve">402) a teprve poté následuje Zpracovatelský průmysl (1 329). Průměrně na 100 tis. </w:t>
      </w:r>
      <w:proofErr w:type="spellStart"/>
      <w:r w:rsidRPr="00251BF8">
        <w:rPr>
          <w:rFonts w:cs="Arial"/>
          <w:bCs/>
          <w:color w:val="000000"/>
          <w:szCs w:val="20"/>
        </w:rPr>
        <w:t>nemocensky</w:t>
      </w:r>
      <w:proofErr w:type="spellEnd"/>
      <w:r w:rsidRPr="00251BF8">
        <w:rPr>
          <w:rFonts w:cs="Arial"/>
          <w:bCs/>
          <w:color w:val="000000"/>
          <w:szCs w:val="20"/>
        </w:rPr>
        <w:t xml:space="preserve"> pojištěných připadalo 892 pracovních úrazů s pracovní neschopností delší než 3 dny. Nejméně rizikovými se jeví odvětví Peněžnictví a pojišťovnictví s 83 a Informační a komunikační činnosti s 90 pracovními úrazy, které si vyžádaly 3denní a delší pracovní neschopnost, v přepočtu na 100 tis. pojištěnců.</w:t>
      </w:r>
    </w:p>
    <w:p w14:paraId="26EA5E59" w14:textId="49461C66" w:rsidR="008F6B9A" w:rsidRDefault="008F6B9A" w:rsidP="008F6B9A">
      <w:pPr>
        <w:spacing w:after="0" w:line="240" w:lineRule="auto"/>
        <w:rPr>
          <w:rFonts w:cs="Arial"/>
          <w:b/>
          <w:bCs/>
          <w:color w:val="000000"/>
          <w:szCs w:val="20"/>
        </w:rPr>
      </w:pPr>
      <w:r w:rsidRPr="008F6B9A">
        <w:rPr>
          <w:rFonts w:cs="Arial"/>
          <w:b/>
          <w:bCs/>
          <w:color w:val="000000"/>
          <w:szCs w:val="20"/>
        </w:rPr>
        <w:t>Tab. 5.1: Pracovní úrazy podle závažnosti a pohlaví, 2013–2023</w:t>
      </w:r>
    </w:p>
    <w:tbl>
      <w:tblPr>
        <w:tblW w:w="9589" w:type="dxa"/>
        <w:tblCellMar>
          <w:left w:w="70" w:type="dxa"/>
          <w:right w:w="70" w:type="dxa"/>
        </w:tblCellMar>
        <w:tblLook w:val="04A0" w:firstRow="1" w:lastRow="0" w:firstColumn="1" w:lastColumn="0" w:noHBand="0" w:noVBand="1"/>
      </w:tblPr>
      <w:tblGrid>
        <w:gridCol w:w="1077"/>
        <w:gridCol w:w="710"/>
        <w:gridCol w:w="709"/>
        <w:gridCol w:w="709"/>
        <w:gridCol w:w="710"/>
        <w:gridCol w:w="709"/>
        <w:gridCol w:w="709"/>
        <w:gridCol w:w="710"/>
        <w:gridCol w:w="709"/>
        <w:gridCol w:w="709"/>
        <w:gridCol w:w="710"/>
        <w:gridCol w:w="709"/>
        <w:gridCol w:w="709"/>
      </w:tblGrid>
      <w:tr w:rsidR="00087E71" w:rsidRPr="0032233B" w14:paraId="46135FE1" w14:textId="77777777" w:rsidTr="00B33613">
        <w:trPr>
          <w:trHeight w:val="920"/>
        </w:trPr>
        <w:tc>
          <w:tcPr>
            <w:tcW w:w="1077" w:type="dxa"/>
            <w:vMerge w:val="restart"/>
            <w:tcBorders>
              <w:top w:val="single" w:sz="4" w:space="0" w:color="auto"/>
              <w:left w:val="nil"/>
              <w:bottom w:val="single" w:sz="4" w:space="0" w:color="auto"/>
              <w:right w:val="single" w:sz="4" w:space="0" w:color="auto"/>
            </w:tcBorders>
            <w:shd w:val="clear" w:color="000000" w:fill="F5DADD"/>
            <w:vAlign w:val="center"/>
            <w:hideMark/>
          </w:tcPr>
          <w:p w14:paraId="30532188" w14:textId="0CFED25E" w:rsidR="00087E71" w:rsidRPr="0032233B" w:rsidRDefault="00087E71" w:rsidP="00B33613">
            <w:pPr>
              <w:spacing w:after="0" w:line="240" w:lineRule="auto"/>
              <w:jc w:val="center"/>
              <w:rPr>
                <w:rFonts w:cs="Arial"/>
                <w:color w:val="000000"/>
                <w:sz w:val="16"/>
                <w:szCs w:val="16"/>
              </w:rPr>
            </w:pPr>
            <w:r>
              <w:rPr>
                <w:rFonts w:cs="Arial"/>
                <w:color w:val="000000"/>
                <w:sz w:val="16"/>
                <w:szCs w:val="16"/>
              </w:rPr>
              <w:t>Rok</w:t>
            </w:r>
          </w:p>
        </w:tc>
        <w:tc>
          <w:tcPr>
            <w:tcW w:w="2128" w:type="dxa"/>
            <w:gridSpan w:val="3"/>
            <w:tcBorders>
              <w:top w:val="single" w:sz="4" w:space="0" w:color="auto"/>
              <w:left w:val="single" w:sz="4" w:space="0" w:color="auto"/>
              <w:right w:val="single" w:sz="4" w:space="0" w:color="000000"/>
            </w:tcBorders>
            <w:shd w:val="clear" w:color="000000" w:fill="F5DADD"/>
            <w:vAlign w:val="center"/>
            <w:hideMark/>
          </w:tcPr>
          <w:p w14:paraId="003A3853" w14:textId="77777777" w:rsidR="00087E71" w:rsidRPr="0032233B" w:rsidRDefault="00087E71" w:rsidP="00B33613">
            <w:pPr>
              <w:spacing w:after="0" w:line="240" w:lineRule="auto"/>
              <w:jc w:val="center"/>
              <w:rPr>
                <w:rFonts w:cs="Arial"/>
                <w:color w:val="000000"/>
                <w:sz w:val="16"/>
                <w:szCs w:val="16"/>
              </w:rPr>
            </w:pPr>
            <w:r w:rsidRPr="0032233B">
              <w:rPr>
                <w:rFonts w:cs="Arial"/>
                <w:color w:val="000000"/>
                <w:sz w:val="16"/>
                <w:szCs w:val="16"/>
              </w:rPr>
              <w:t xml:space="preserve">Počet pracovních úrazů </w:t>
            </w:r>
          </w:p>
          <w:p w14:paraId="548F7A6E" w14:textId="77777777" w:rsidR="00087E71" w:rsidRPr="0032233B" w:rsidRDefault="00087E71" w:rsidP="00B33613">
            <w:pPr>
              <w:spacing w:after="0" w:line="240" w:lineRule="auto"/>
              <w:jc w:val="center"/>
              <w:rPr>
                <w:rFonts w:cs="Arial"/>
                <w:color w:val="000000"/>
                <w:sz w:val="16"/>
                <w:szCs w:val="16"/>
              </w:rPr>
            </w:pPr>
            <w:r w:rsidRPr="0032233B">
              <w:rPr>
                <w:rFonts w:cs="Arial"/>
                <w:color w:val="000000"/>
                <w:sz w:val="16"/>
                <w:szCs w:val="16"/>
              </w:rPr>
              <w:t xml:space="preserve">s pracovní neschopností </w:t>
            </w:r>
          </w:p>
        </w:tc>
        <w:tc>
          <w:tcPr>
            <w:tcW w:w="2128" w:type="dxa"/>
            <w:gridSpan w:val="3"/>
            <w:tcBorders>
              <w:top w:val="single" w:sz="4" w:space="0" w:color="auto"/>
              <w:left w:val="single" w:sz="4" w:space="0" w:color="auto"/>
              <w:right w:val="single" w:sz="4" w:space="0" w:color="000000"/>
            </w:tcBorders>
            <w:shd w:val="clear" w:color="000000" w:fill="F5DADD"/>
            <w:vAlign w:val="center"/>
            <w:hideMark/>
          </w:tcPr>
          <w:p w14:paraId="1F58A33C" w14:textId="77777777" w:rsidR="00087E71" w:rsidRPr="0032233B" w:rsidRDefault="00087E71" w:rsidP="00B33613">
            <w:pPr>
              <w:spacing w:after="0" w:line="240" w:lineRule="auto"/>
              <w:jc w:val="center"/>
              <w:rPr>
                <w:rFonts w:cs="Arial"/>
                <w:color w:val="000000"/>
                <w:sz w:val="16"/>
                <w:szCs w:val="16"/>
              </w:rPr>
            </w:pPr>
            <w:r w:rsidRPr="0032233B">
              <w:rPr>
                <w:rFonts w:cs="Arial"/>
                <w:color w:val="000000"/>
                <w:sz w:val="16"/>
                <w:szCs w:val="16"/>
              </w:rPr>
              <w:t xml:space="preserve">Počet pracovních úrazů </w:t>
            </w:r>
          </w:p>
          <w:p w14:paraId="267AEB6C" w14:textId="77777777" w:rsidR="00087E71" w:rsidRPr="0032233B" w:rsidRDefault="00087E71" w:rsidP="00B33613">
            <w:pPr>
              <w:spacing w:after="0" w:line="240" w:lineRule="auto"/>
              <w:jc w:val="center"/>
              <w:rPr>
                <w:rFonts w:cs="Arial"/>
                <w:color w:val="000000"/>
                <w:sz w:val="16"/>
                <w:szCs w:val="16"/>
              </w:rPr>
            </w:pPr>
            <w:r w:rsidRPr="0032233B">
              <w:rPr>
                <w:rFonts w:cs="Arial"/>
                <w:color w:val="000000"/>
                <w:sz w:val="16"/>
                <w:szCs w:val="16"/>
              </w:rPr>
              <w:t>s pracovní neschopností delší než 3 dny</w:t>
            </w:r>
          </w:p>
        </w:tc>
        <w:tc>
          <w:tcPr>
            <w:tcW w:w="2128" w:type="dxa"/>
            <w:gridSpan w:val="3"/>
            <w:tcBorders>
              <w:top w:val="single" w:sz="4" w:space="0" w:color="auto"/>
              <w:left w:val="single" w:sz="4" w:space="0" w:color="auto"/>
              <w:right w:val="nil"/>
            </w:tcBorders>
            <w:shd w:val="clear" w:color="000000" w:fill="F5DADD"/>
            <w:vAlign w:val="center"/>
            <w:hideMark/>
          </w:tcPr>
          <w:p w14:paraId="492AF206" w14:textId="77777777" w:rsidR="00DD5A0D" w:rsidRPr="0032233B" w:rsidRDefault="00DD5A0D" w:rsidP="00DD5A0D">
            <w:pPr>
              <w:spacing w:after="0" w:line="240" w:lineRule="auto"/>
              <w:jc w:val="center"/>
              <w:rPr>
                <w:rFonts w:cs="Arial"/>
                <w:sz w:val="16"/>
                <w:szCs w:val="16"/>
              </w:rPr>
            </w:pPr>
            <w:r w:rsidRPr="0032233B">
              <w:rPr>
                <w:rFonts w:cs="Arial"/>
                <w:sz w:val="16"/>
                <w:szCs w:val="16"/>
              </w:rPr>
              <w:t xml:space="preserve">Počet závažných pracovních úrazů </w:t>
            </w:r>
          </w:p>
          <w:p w14:paraId="54A651AB" w14:textId="0F93A8AC" w:rsidR="00087E71" w:rsidRPr="0032233B" w:rsidRDefault="00DD5A0D" w:rsidP="00DD5A0D">
            <w:pPr>
              <w:spacing w:after="0" w:line="240" w:lineRule="auto"/>
              <w:jc w:val="center"/>
              <w:rPr>
                <w:rFonts w:cs="Arial"/>
                <w:color w:val="000000"/>
                <w:sz w:val="16"/>
                <w:szCs w:val="16"/>
              </w:rPr>
            </w:pPr>
            <w:r w:rsidRPr="0032233B">
              <w:rPr>
                <w:rFonts w:cs="Arial"/>
                <w:sz w:val="16"/>
                <w:szCs w:val="16"/>
              </w:rPr>
              <w:t>s hospitalizací nad 5 dnů</w:t>
            </w:r>
          </w:p>
        </w:tc>
        <w:tc>
          <w:tcPr>
            <w:tcW w:w="2128" w:type="dxa"/>
            <w:gridSpan w:val="3"/>
            <w:tcBorders>
              <w:top w:val="single" w:sz="4" w:space="0" w:color="auto"/>
              <w:left w:val="single" w:sz="4" w:space="0" w:color="auto"/>
              <w:right w:val="nil"/>
            </w:tcBorders>
            <w:shd w:val="clear" w:color="000000" w:fill="F5DADD"/>
            <w:vAlign w:val="center"/>
          </w:tcPr>
          <w:p w14:paraId="60419D7B" w14:textId="1C0BB064" w:rsidR="00087E71" w:rsidRPr="0032233B" w:rsidRDefault="00DD5A0D" w:rsidP="00B33613">
            <w:pPr>
              <w:spacing w:after="0" w:line="240" w:lineRule="auto"/>
              <w:jc w:val="center"/>
              <w:rPr>
                <w:rFonts w:cs="Arial"/>
                <w:sz w:val="16"/>
                <w:szCs w:val="16"/>
              </w:rPr>
            </w:pPr>
            <w:r w:rsidRPr="0032233B">
              <w:rPr>
                <w:rFonts w:cs="Arial"/>
                <w:color w:val="000000"/>
                <w:sz w:val="16"/>
                <w:szCs w:val="16"/>
              </w:rPr>
              <w:t>Počet smrtelných pracovních úrazů</w:t>
            </w:r>
          </w:p>
          <w:p w14:paraId="50436F58" w14:textId="77777777" w:rsidR="00087E71" w:rsidRPr="0032233B" w:rsidRDefault="00087E71" w:rsidP="00B33613">
            <w:pPr>
              <w:spacing w:after="0" w:line="240" w:lineRule="auto"/>
              <w:jc w:val="center"/>
              <w:rPr>
                <w:rFonts w:cs="Arial"/>
                <w:sz w:val="16"/>
                <w:szCs w:val="16"/>
              </w:rPr>
            </w:pPr>
          </w:p>
        </w:tc>
      </w:tr>
      <w:tr w:rsidR="00087E71" w:rsidRPr="0032233B" w14:paraId="6CED73D6" w14:textId="77777777" w:rsidTr="00B33613">
        <w:trPr>
          <w:trHeight w:val="300"/>
        </w:trPr>
        <w:tc>
          <w:tcPr>
            <w:tcW w:w="1077" w:type="dxa"/>
            <w:vMerge/>
            <w:tcBorders>
              <w:top w:val="single" w:sz="4" w:space="0" w:color="auto"/>
              <w:left w:val="nil"/>
              <w:bottom w:val="single" w:sz="4" w:space="0" w:color="auto"/>
              <w:right w:val="single" w:sz="4" w:space="0" w:color="auto"/>
            </w:tcBorders>
            <w:vAlign w:val="center"/>
            <w:hideMark/>
          </w:tcPr>
          <w:p w14:paraId="70521D91" w14:textId="77777777" w:rsidR="00087E71" w:rsidRPr="0032233B" w:rsidRDefault="00087E71" w:rsidP="00B33613">
            <w:pPr>
              <w:spacing w:after="0" w:line="240" w:lineRule="auto"/>
              <w:rPr>
                <w:rFonts w:cs="Arial"/>
                <w:color w:val="000000"/>
                <w:sz w:val="16"/>
                <w:szCs w:val="16"/>
              </w:rPr>
            </w:pPr>
          </w:p>
        </w:tc>
        <w:tc>
          <w:tcPr>
            <w:tcW w:w="710" w:type="dxa"/>
            <w:vMerge w:val="restart"/>
            <w:tcBorders>
              <w:top w:val="single" w:sz="4" w:space="0" w:color="auto"/>
              <w:left w:val="single" w:sz="4" w:space="0" w:color="auto"/>
              <w:bottom w:val="single" w:sz="4" w:space="0" w:color="auto"/>
              <w:right w:val="single" w:sz="4" w:space="0" w:color="auto"/>
            </w:tcBorders>
            <w:shd w:val="clear" w:color="000000" w:fill="F5DADD"/>
            <w:vAlign w:val="center"/>
            <w:hideMark/>
          </w:tcPr>
          <w:p w14:paraId="194533EC" w14:textId="77777777" w:rsidR="00087E71" w:rsidRPr="0032233B" w:rsidRDefault="00087E71" w:rsidP="00B33613">
            <w:pPr>
              <w:spacing w:after="0" w:line="240" w:lineRule="auto"/>
              <w:jc w:val="center"/>
              <w:rPr>
                <w:rFonts w:cs="Arial"/>
                <w:b/>
                <w:color w:val="000000"/>
                <w:sz w:val="16"/>
                <w:szCs w:val="16"/>
              </w:rPr>
            </w:pPr>
            <w:r w:rsidRPr="0032233B">
              <w:rPr>
                <w:rFonts w:cs="Arial"/>
                <w:b/>
                <w:color w:val="000000"/>
                <w:sz w:val="16"/>
                <w:szCs w:val="16"/>
              </w:rPr>
              <w:t>Celkem</w:t>
            </w:r>
          </w:p>
        </w:tc>
        <w:tc>
          <w:tcPr>
            <w:tcW w:w="1418" w:type="dxa"/>
            <w:gridSpan w:val="2"/>
            <w:tcBorders>
              <w:top w:val="single" w:sz="4" w:space="0" w:color="auto"/>
              <w:left w:val="nil"/>
              <w:bottom w:val="single" w:sz="4" w:space="0" w:color="auto"/>
              <w:right w:val="single" w:sz="4" w:space="0" w:color="auto"/>
            </w:tcBorders>
            <w:shd w:val="clear" w:color="000000" w:fill="F5DADD"/>
            <w:vAlign w:val="center"/>
            <w:hideMark/>
          </w:tcPr>
          <w:p w14:paraId="0EE59C1C" w14:textId="77777777" w:rsidR="00087E71" w:rsidRPr="0032233B" w:rsidRDefault="00087E71" w:rsidP="00B33613">
            <w:pPr>
              <w:spacing w:after="0" w:line="240" w:lineRule="auto"/>
              <w:jc w:val="center"/>
              <w:rPr>
                <w:rFonts w:cs="Arial"/>
                <w:color w:val="000000"/>
                <w:sz w:val="16"/>
                <w:szCs w:val="16"/>
              </w:rPr>
            </w:pPr>
            <w:r w:rsidRPr="0032233B">
              <w:rPr>
                <w:rFonts w:cs="Arial"/>
                <w:color w:val="000000"/>
                <w:sz w:val="16"/>
                <w:szCs w:val="16"/>
              </w:rPr>
              <w:t>podle pohlaví</w:t>
            </w:r>
          </w:p>
        </w:tc>
        <w:tc>
          <w:tcPr>
            <w:tcW w:w="710" w:type="dxa"/>
            <w:vMerge w:val="restart"/>
            <w:tcBorders>
              <w:top w:val="single" w:sz="4" w:space="0" w:color="auto"/>
              <w:left w:val="single" w:sz="4" w:space="0" w:color="auto"/>
              <w:bottom w:val="single" w:sz="4" w:space="0" w:color="auto"/>
              <w:right w:val="single" w:sz="4" w:space="0" w:color="auto"/>
            </w:tcBorders>
            <w:shd w:val="clear" w:color="000000" w:fill="F5DADD"/>
            <w:vAlign w:val="center"/>
            <w:hideMark/>
          </w:tcPr>
          <w:p w14:paraId="19A29A91" w14:textId="77777777" w:rsidR="00087E71" w:rsidRPr="0032233B" w:rsidRDefault="00087E71" w:rsidP="00B33613">
            <w:pPr>
              <w:spacing w:after="0" w:line="240" w:lineRule="auto"/>
              <w:jc w:val="center"/>
              <w:rPr>
                <w:rFonts w:cs="Arial"/>
                <w:b/>
                <w:color w:val="000000"/>
                <w:sz w:val="16"/>
                <w:szCs w:val="16"/>
              </w:rPr>
            </w:pPr>
            <w:r w:rsidRPr="0032233B">
              <w:rPr>
                <w:rFonts w:cs="Arial"/>
                <w:b/>
                <w:color w:val="000000"/>
                <w:sz w:val="16"/>
                <w:szCs w:val="16"/>
              </w:rPr>
              <w:t>Celkem</w:t>
            </w:r>
          </w:p>
        </w:tc>
        <w:tc>
          <w:tcPr>
            <w:tcW w:w="1418" w:type="dxa"/>
            <w:gridSpan w:val="2"/>
            <w:tcBorders>
              <w:top w:val="single" w:sz="4" w:space="0" w:color="auto"/>
              <w:left w:val="nil"/>
              <w:bottom w:val="single" w:sz="4" w:space="0" w:color="auto"/>
              <w:right w:val="single" w:sz="4" w:space="0" w:color="auto"/>
            </w:tcBorders>
            <w:shd w:val="clear" w:color="000000" w:fill="F5DADD"/>
            <w:vAlign w:val="center"/>
            <w:hideMark/>
          </w:tcPr>
          <w:p w14:paraId="0E106F97" w14:textId="77777777" w:rsidR="00087E71" w:rsidRPr="0032233B" w:rsidRDefault="00087E71" w:rsidP="00B33613">
            <w:pPr>
              <w:spacing w:after="0" w:line="240" w:lineRule="auto"/>
              <w:jc w:val="center"/>
              <w:rPr>
                <w:rFonts w:cs="Arial"/>
                <w:color w:val="000000"/>
                <w:sz w:val="16"/>
                <w:szCs w:val="16"/>
              </w:rPr>
            </w:pPr>
            <w:r w:rsidRPr="0032233B">
              <w:rPr>
                <w:rFonts w:cs="Arial"/>
                <w:color w:val="000000"/>
                <w:sz w:val="16"/>
                <w:szCs w:val="16"/>
              </w:rPr>
              <w:t>podle pohlaví</w:t>
            </w:r>
          </w:p>
        </w:tc>
        <w:tc>
          <w:tcPr>
            <w:tcW w:w="710" w:type="dxa"/>
            <w:vMerge w:val="restart"/>
            <w:tcBorders>
              <w:top w:val="single" w:sz="4" w:space="0" w:color="auto"/>
              <w:left w:val="single" w:sz="4" w:space="0" w:color="auto"/>
              <w:right w:val="single" w:sz="4" w:space="0" w:color="auto"/>
            </w:tcBorders>
            <w:shd w:val="clear" w:color="000000" w:fill="F5DADD"/>
            <w:vAlign w:val="center"/>
            <w:hideMark/>
          </w:tcPr>
          <w:p w14:paraId="2795AF33" w14:textId="77777777" w:rsidR="00087E71" w:rsidRPr="0032233B" w:rsidRDefault="00087E71" w:rsidP="00B33613">
            <w:pPr>
              <w:spacing w:after="0" w:line="240" w:lineRule="auto"/>
              <w:jc w:val="center"/>
              <w:rPr>
                <w:rFonts w:cs="Arial"/>
                <w:b/>
                <w:color w:val="000000"/>
                <w:sz w:val="16"/>
                <w:szCs w:val="16"/>
              </w:rPr>
            </w:pPr>
            <w:r w:rsidRPr="0032233B">
              <w:rPr>
                <w:rFonts w:cs="Arial"/>
                <w:b/>
                <w:color w:val="000000"/>
                <w:sz w:val="16"/>
                <w:szCs w:val="16"/>
              </w:rPr>
              <w:t>Celkem</w:t>
            </w:r>
          </w:p>
        </w:tc>
        <w:tc>
          <w:tcPr>
            <w:tcW w:w="1418" w:type="dxa"/>
            <w:gridSpan w:val="2"/>
            <w:tcBorders>
              <w:top w:val="single" w:sz="4" w:space="0" w:color="auto"/>
              <w:left w:val="nil"/>
              <w:bottom w:val="single" w:sz="4" w:space="0" w:color="auto"/>
              <w:right w:val="single" w:sz="4" w:space="0" w:color="auto"/>
            </w:tcBorders>
            <w:shd w:val="clear" w:color="000000" w:fill="F5DADD"/>
            <w:vAlign w:val="center"/>
            <w:hideMark/>
          </w:tcPr>
          <w:p w14:paraId="346F0BF9" w14:textId="77777777" w:rsidR="00087E71" w:rsidRPr="0032233B" w:rsidRDefault="00087E71" w:rsidP="00B33613">
            <w:pPr>
              <w:spacing w:after="0" w:line="240" w:lineRule="auto"/>
              <w:jc w:val="center"/>
              <w:rPr>
                <w:rFonts w:cs="Arial"/>
                <w:color w:val="000000"/>
                <w:sz w:val="16"/>
                <w:szCs w:val="16"/>
              </w:rPr>
            </w:pPr>
            <w:r w:rsidRPr="0032233B">
              <w:rPr>
                <w:rFonts w:cs="Arial"/>
                <w:color w:val="000000"/>
                <w:sz w:val="16"/>
                <w:szCs w:val="16"/>
              </w:rPr>
              <w:t>podle pohlaví</w:t>
            </w:r>
          </w:p>
        </w:tc>
        <w:tc>
          <w:tcPr>
            <w:tcW w:w="710" w:type="dxa"/>
            <w:vMerge w:val="restart"/>
            <w:tcBorders>
              <w:top w:val="single" w:sz="4" w:space="0" w:color="auto"/>
              <w:left w:val="single" w:sz="4" w:space="0" w:color="auto"/>
              <w:right w:val="single" w:sz="4" w:space="0" w:color="auto"/>
            </w:tcBorders>
            <w:shd w:val="clear" w:color="000000" w:fill="F5DADD"/>
            <w:vAlign w:val="center"/>
          </w:tcPr>
          <w:p w14:paraId="232B1E22" w14:textId="77777777" w:rsidR="00087E71" w:rsidRPr="0032233B" w:rsidRDefault="00087E71" w:rsidP="00B33613">
            <w:pPr>
              <w:spacing w:after="0" w:line="240" w:lineRule="auto"/>
              <w:jc w:val="center"/>
              <w:rPr>
                <w:rFonts w:cs="Arial"/>
                <w:b/>
                <w:color w:val="000000"/>
                <w:sz w:val="16"/>
                <w:szCs w:val="16"/>
              </w:rPr>
            </w:pPr>
            <w:r w:rsidRPr="0032233B">
              <w:rPr>
                <w:rFonts w:cs="Arial"/>
                <w:b/>
                <w:color w:val="000000"/>
                <w:sz w:val="16"/>
                <w:szCs w:val="16"/>
              </w:rPr>
              <w:t>Celkem</w:t>
            </w:r>
          </w:p>
        </w:tc>
        <w:tc>
          <w:tcPr>
            <w:tcW w:w="1418" w:type="dxa"/>
            <w:gridSpan w:val="2"/>
            <w:tcBorders>
              <w:top w:val="single" w:sz="4" w:space="0" w:color="auto"/>
              <w:left w:val="single" w:sz="4" w:space="0" w:color="auto"/>
              <w:bottom w:val="single" w:sz="4" w:space="0" w:color="auto"/>
            </w:tcBorders>
            <w:shd w:val="clear" w:color="000000" w:fill="F5DADD"/>
            <w:vAlign w:val="center"/>
          </w:tcPr>
          <w:p w14:paraId="482FCD8D" w14:textId="77777777" w:rsidR="00087E71" w:rsidRPr="0032233B" w:rsidRDefault="00087E71" w:rsidP="00B33613">
            <w:pPr>
              <w:spacing w:after="0" w:line="240" w:lineRule="auto"/>
              <w:jc w:val="center"/>
              <w:rPr>
                <w:rFonts w:cs="Arial"/>
                <w:color w:val="000000"/>
                <w:sz w:val="16"/>
                <w:szCs w:val="16"/>
              </w:rPr>
            </w:pPr>
            <w:r w:rsidRPr="0032233B">
              <w:rPr>
                <w:rFonts w:cs="Arial"/>
                <w:color w:val="000000"/>
                <w:sz w:val="16"/>
                <w:szCs w:val="16"/>
              </w:rPr>
              <w:t>podle pohlaví</w:t>
            </w:r>
          </w:p>
        </w:tc>
      </w:tr>
      <w:tr w:rsidR="00087E71" w:rsidRPr="0032233B" w14:paraId="05CA80C1" w14:textId="77777777" w:rsidTr="00B33613">
        <w:trPr>
          <w:trHeight w:val="300"/>
        </w:trPr>
        <w:tc>
          <w:tcPr>
            <w:tcW w:w="1077" w:type="dxa"/>
            <w:vMerge/>
            <w:tcBorders>
              <w:top w:val="single" w:sz="4" w:space="0" w:color="auto"/>
              <w:left w:val="nil"/>
              <w:bottom w:val="single" w:sz="4" w:space="0" w:color="auto"/>
              <w:right w:val="single" w:sz="4" w:space="0" w:color="auto"/>
            </w:tcBorders>
            <w:vAlign w:val="center"/>
            <w:hideMark/>
          </w:tcPr>
          <w:p w14:paraId="6C81BBDF" w14:textId="77777777" w:rsidR="00087E71" w:rsidRPr="0032233B" w:rsidRDefault="00087E71" w:rsidP="00B33613">
            <w:pPr>
              <w:spacing w:after="0" w:line="240" w:lineRule="auto"/>
              <w:rPr>
                <w:rFonts w:cs="Arial"/>
                <w:color w:val="000000"/>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8113FD7" w14:textId="77777777" w:rsidR="00087E71" w:rsidRPr="0032233B" w:rsidRDefault="00087E71" w:rsidP="00B33613">
            <w:pPr>
              <w:spacing w:after="0" w:line="240" w:lineRule="auto"/>
              <w:rPr>
                <w:rFonts w:cs="Arial"/>
                <w:color w:val="000000"/>
                <w:sz w:val="16"/>
                <w:szCs w:val="16"/>
              </w:rPr>
            </w:pPr>
          </w:p>
        </w:tc>
        <w:tc>
          <w:tcPr>
            <w:tcW w:w="709" w:type="dxa"/>
            <w:tcBorders>
              <w:top w:val="nil"/>
              <w:left w:val="nil"/>
              <w:bottom w:val="single" w:sz="4" w:space="0" w:color="auto"/>
              <w:right w:val="single" w:sz="4" w:space="0" w:color="auto"/>
            </w:tcBorders>
            <w:shd w:val="clear" w:color="000000" w:fill="F5DADD"/>
            <w:vAlign w:val="center"/>
            <w:hideMark/>
          </w:tcPr>
          <w:p w14:paraId="58CAEF40" w14:textId="77777777" w:rsidR="00087E71" w:rsidRPr="0032233B" w:rsidRDefault="00087E71" w:rsidP="00B33613">
            <w:pPr>
              <w:spacing w:after="0" w:line="240" w:lineRule="auto"/>
              <w:jc w:val="center"/>
              <w:rPr>
                <w:rFonts w:cs="Arial"/>
                <w:color w:val="000000"/>
                <w:sz w:val="16"/>
                <w:szCs w:val="16"/>
              </w:rPr>
            </w:pPr>
            <w:r w:rsidRPr="0032233B">
              <w:rPr>
                <w:rFonts w:cs="Arial"/>
                <w:color w:val="000000"/>
                <w:sz w:val="16"/>
                <w:szCs w:val="16"/>
              </w:rPr>
              <w:t>muži</w:t>
            </w:r>
          </w:p>
        </w:tc>
        <w:tc>
          <w:tcPr>
            <w:tcW w:w="709" w:type="dxa"/>
            <w:tcBorders>
              <w:top w:val="nil"/>
              <w:left w:val="nil"/>
              <w:bottom w:val="single" w:sz="4" w:space="0" w:color="auto"/>
              <w:right w:val="single" w:sz="4" w:space="0" w:color="auto"/>
            </w:tcBorders>
            <w:shd w:val="clear" w:color="000000" w:fill="F5DADD"/>
            <w:vAlign w:val="center"/>
            <w:hideMark/>
          </w:tcPr>
          <w:p w14:paraId="7C494369" w14:textId="77777777" w:rsidR="00087E71" w:rsidRPr="0032233B" w:rsidRDefault="00087E71" w:rsidP="00B33613">
            <w:pPr>
              <w:spacing w:after="0" w:line="240" w:lineRule="auto"/>
              <w:jc w:val="center"/>
              <w:rPr>
                <w:rFonts w:cs="Arial"/>
                <w:color w:val="000000"/>
                <w:sz w:val="16"/>
                <w:szCs w:val="16"/>
              </w:rPr>
            </w:pPr>
            <w:r w:rsidRPr="0032233B">
              <w:rPr>
                <w:rFonts w:cs="Arial"/>
                <w:color w:val="000000"/>
                <w:sz w:val="16"/>
                <w:szCs w:val="16"/>
              </w:rPr>
              <w:t>ženy</w:t>
            </w:r>
          </w:p>
        </w:tc>
        <w:tc>
          <w:tcPr>
            <w:tcW w:w="710" w:type="dxa"/>
            <w:vMerge/>
            <w:tcBorders>
              <w:left w:val="single" w:sz="4" w:space="0" w:color="auto"/>
              <w:bottom w:val="single" w:sz="4" w:space="0" w:color="auto"/>
              <w:right w:val="single" w:sz="4" w:space="0" w:color="auto"/>
            </w:tcBorders>
            <w:vAlign w:val="center"/>
            <w:hideMark/>
          </w:tcPr>
          <w:p w14:paraId="21AC1932" w14:textId="77777777" w:rsidR="00087E71" w:rsidRPr="0032233B" w:rsidRDefault="00087E71" w:rsidP="00B33613">
            <w:pPr>
              <w:spacing w:after="0" w:line="240" w:lineRule="auto"/>
              <w:rPr>
                <w:rFonts w:cs="Arial"/>
                <w:color w:val="000000"/>
                <w:sz w:val="16"/>
                <w:szCs w:val="16"/>
              </w:rPr>
            </w:pPr>
          </w:p>
        </w:tc>
        <w:tc>
          <w:tcPr>
            <w:tcW w:w="709" w:type="dxa"/>
            <w:tcBorders>
              <w:top w:val="nil"/>
              <w:left w:val="nil"/>
              <w:bottom w:val="single" w:sz="4" w:space="0" w:color="auto"/>
              <w:right w:val="single" w:sz="4" w:space="0" w:color="auto"/>
            </w:tcBorders>
            <w:shd w:val="clear" w:color="000000" w:fill="F5DADD"/>
            <w:vAlign w:val="center"/>
            <w:hideMark/>
          </w:tcPr>
          <w:p w14:paraId="624F44FD" w14:textId="77777777" w:rsidR="00087E71" w:rsidRPr="0032233B" w:rsidRDefault="00087E71" w:rsidP="00B33613">
            <w:pPr>
              <w:spacing w:after="0" w:line="240" w:lineRule="auto"/>
              <w:jc w:val="center"/>
              <w:rPr>
                <w:rFonts w:cs="Arial"/>
                <w:color w:val="000000"/>
                <w:sz w:val="16"/>
                <w:szCs w:val="16"/>
              </w:rPr>
            </w:pPr>
            <w:r w:rsidRPr="0032233B">
              <w:rPr>
                <w:rFonts w:cs="Arial"/>
                <w:color w:val="000000"/>
                <w:sz w:val="16"/>
                <w:szCs w:val="16"/>
              </w:rPr>
              <w:t>muži</w:t>
            </w:r>
          </w:p>
        </w:tc>
        <w:tc>
          <w:tcPr>
            <w:tcW w:w="709" w:type="dxa"/>
            <w:tcBorders>
              <w:top w:val="nil"/>
              <w:left w:val="nil"/>
              <w:bottom w:val="single" w:sz="4" w:space="0" w:color="auto"/>
              <w:right w:val="single" w:sz="4" w:space="0" w:color="auto"/>
            </w:tcBorders>
            <w:shd w:val="clear" w:color="000000" w:fill="F5DADD"/>
            <w:vAlign w:val="center"/>
            <w:hideMark/>
          </w:tcPr>
          <w:p w14:paraId="16169619" w14:textId="77777777" w:rsidR="00087E71" w:rsidRPr="0032233B" w:rsidRDefault="00087E71" w:rsidP="00B33613">
            <w:pPr>
              <w:spacing w:after="0" w:line="240" w:lineRule="auto"/>
              <w:jc w:val="center"/>
              <w:rPr>
                <w:rFonts w:cs="Arial"/>
                <w:color w:val="000000"/>
                <w:sz w:val="16"/>
                <w:szCs w:val="16"/>
              </w:rPr>
            </w:pPr>
            <w:r w:rsidRPr="0032233B">
              <w:rPr>
                <w:rFonts w:cs="Arial"/>
                <w:color w:val="000000"/>
                <w:sz w:val="16"/>
                <w:szCs w:val="16"/>
              </w:rPr>
              <w:t>ženy</w:t>
            </w:r>
          </w:p>
        </w:tc>
        <w:tc>
          <w:tcPr>
            <w:tcW w:w="710" w:type="dxa"/>
            <w:vMerge/>
            <w:tcBorders>
              <w:left w:val="single" w:sz="4" w:space="0" w:color="auto"/>
              <w:bottom w:val="single" w:sz="4" w:space="0" w:color="auto"/>
              <w:right w:val="single" w:sz="4" w:space="0" w:color="auto"/>
            </w:tcBorders>
            <w:vAlign w:val="center"/>
            <w:hideMark/>
          </w:tcPr>
          <w:p w14:paraId="7B88FE0B" w14:textId="77777777" w:rsidR="00087E71" w:rsidRPr="0032233B" w:rsidRDefault="00087E71" w:rsidP="00B33613">
            <w:pPr>
              <w:spacing w:after="0" w:line="240" w:lineRule="auto"/>
              <w:rPr>
                <w:rFonts w:cs="Arial"/>
                <w:color w:val="000000"/>
                <w:sz w:val="16"/>
                <w:szCs w:val="16"/>
              </w:rPr>
            </w:pPr>
          </w:p>
        </w:tc>
        <w:tc>
          <w:tcPr>
            <w:tcW w:w="709" w:type="dxa"/>
            <w:tcBorders>
              <w:top w:val="nil"/>
              <w:left w:val="nil"/>
              <w:bottom w:val="single" w:sz="4" w:space="0" w:color="auto"/>
              <w:right w:val="single" w:sz="4" w:space="0" w:color="auto"/>
            </w:tcBorders>
            <w:shd w:val="clear" w:color="000000" w:fill="F5DADD"/>
            <w:vAlign w:val="center"/>
            <w:hideMark/>
          </w:tcPr>
          <w:p w14:paraId="5186D857" w14:textId="77777777" w:rsidR="00087E71" w:rsidRPr="0032233B" w:rsidRDefault="00087E71" w:rsidP="00B33613">
            <w:pPr>
              <w:spacing w:after="0" w:line="240" w:lineRule="auto"/>
              <w:jc w:val="center"/>
              <w:rPr>
                <w:rFonts w:cs="Arial"/>
                <w:color w:val="000000"/>
                <w:sz w:val="16"/>
                <w:szCs w:val="16"/>
              </w:rPr>
            </w:pPr>
            <w:r w:rsidRPr="0032233B">
              <w:rPr>
                <w:rFonts w:cs="Arial"/>
                <w:color w:val="000000"/>
                <w:sz w:val="16"/>
                <w:szCs w:val="16"/>
              </w:rPr>
              <w:t>muži</w:t>
            </w:r>
          </w:p>
        </w:tc>
        <w:tc>
          <w:tcPr>
            <w:tcW w:w="709" w:type="dxa"/>
            <w:tcBorders>
              <w:top w:val="nil"/>
              <w:left w:val="nil"/>
              <w:bottom w:val="single" w:sz="4" w:space="0" w:color="auto"/>
              <w:right w:val="single" w:sz="4" w:space="0" w:color="auto"/>
            </w:tcBorders>
            <w:shd w:val="clear" w:color="000000" w:fill="F5DADD"/>
            <w:vAlign w:val="center"/>
            <w:hideMark/>
          </w:tcPr>
          <w:p w14:paraId="3D26749F" w14:textId="77777777" w:rsidR="00087E71" w:rsidRPr="0032233B" w:rsidRDefault="00087E71" w:rsidP="00B33613">
            <w:pPr>
              <w:spacing w:after="0" w:line="240" w:lineRule="auto"/>
              <w:jc w:val="center"/>
              <w:rPr>
                <w:rFonts w:cs="Arial"/>
                <w:color w:val="000000"/>
                <w:sz w:val="16"/>
                <w:szCs w:val="16"/>
              </w:rPr>
            </w:pPr>
            <w:r w:rsidRPr="0032233B">
              <w:rPr>
                <w:rFonts w:cs="Arial"/>
                <w:color w:val="000000"/>
                <w:sz w:val="16"/>
                <w:szCs w:val="16"/>
              </w:rPr>
              <w:t>ženy</w:t>
            </w:r>
          </w:p>
        </w:tc>
        <w:tc>
          <w:tcPr>
            <w:tcW w:w="710" w:type="dxa"/>
            <w:vMerge/>
            <w:tcBorders>
              <w:left w:val="single" w:sz="4" w:space="0" w:color="auto"/>
              <w:bottom w:val="single" w:sz="4" w:space="0" w:color="auto"/>
              <w:right w:val="single" w:sz="4" w:space="0" w:color="auto"/>
            </w:tcBorders>
            <w:shd w:val="clear" w:color="000000" w:fill="F5DADD"/>
          </w:tcPr>
          <w:p w14:paraId="0754CAA3" w14:textId="77777777" w:rsidR="00087E71" w:rsidRPr="0032233B" w:rsidRDefault="00087E71" w:rsidP="00B33613">
            <w:pPr>
              <w:spacing w:after="0" w:line="240" w:lineRule="auto"/>
              <w:jc w:val="center"/>
              <w:rPr>
                <w:rFonts w:cs="Arial"/>
                <w:color w:val="000000"/>
                <w:sz w:val="16"/>
                <w:szCs w:val="16"/>
              </w:rPr>
            </w:pPr>
          </w:p>
        </w:tc>
        <w:tc>
          <w:tcPr>
            <w:tcW w:w="709" w:type="dxa"/>
            <w:tcBorders>
              <w:top w:val="nil"/>
              <w:left w:val="single" w:sz="4" w:space="0" w:color="auto"/>
              <w:bottom w:val="single" w:sz="4" w:space="0" w:color="auto"/>
              <w:right w:val="single" w:sz="4" w:space="0" w:color="auto"/>
            </w:tcBorders>
            <w:shd w:val="clear" w:color="000000" w:fill="F5DADD"/>
            <w:vAlign w:val="center"/>
          </w:tcPr>
          <w:p w14:paraId="5AEE7EA5" w14:textId="77777777" w:rsidR="00087E71" w:rsidRPr="0032233B" w:rsidRDefault="00087E71" w:rsidP="00B33613">
            <w:pPr>
              <w:spacing w:after="0" w:line="240" w:lineRule="auto"/>
              <w:jc w:val="center"/>
              <w:rPr>
                <w:rFonts w:cs="Arial"/>
                <w:color w:val="000000"/>
                <w:sz w:val="16"/>
                <w:szCs w:val="16"/>
              </w:rPr>
            </w:pPr>
            <w:r w:rsidRPr="0032233B">
              <w:rPr>
                <w:rFonts w:cs="Arial"/>
                <w:color w:val="000000"/>
                <w:sz w:val="16"/>
                <w:szCs w:val="16"/>
              </w:rPr>
              <w:t>muži</w:t>
            </w:r>
          </w:p>
        </w:tc>
        <w:tc>
          <w:tcPr>
            <w:tcW w:w="709" w:type="dxa"/>
            <w:tcBorders>
              <w:top w:val="nil"/>
              <w:left w:val="single" w:sz="4" w:space="0" w:color="auto"/>
              <w:bottom w:val="single" w:sz="4" w:space="0" w:color="auto"/>
              <w:right w:val="nil"/>
            </w:tcBorders>
            <w:shd w:val="clear" w:color="000000" w:fill="F5DADD"/>
            <w:vAlign w:val="center"/>
          </w:tcPr>
          <w:p w14:paraId="0A7D58F6" w14:textId="77777777" w:rsidR="00087E71" w:rsidRPr="0032233B" w:rsidRDefault="00087E71" w:rsidP="00B33613">
            <w:pPr>
              <w:spacing w:after="0" w:line="240" w:lineRule="auto"/>
              <w:jc w:val="center"/>
              <w:rPr>
                <w:rFonts w:cs="Arial"/>
                <w:color w:val="000000"/>
                <w:sz w:val="16"/>
                <w:szCs w:val="16"/>
              </w:rPr>
            </w:pPr>
            <w:r w:rsidRPr="0032233B">
              <w:rPr>
                <w:rFonts w:cs="Arial"/>
                <w:color w:val="000000"/>
                <w:sz w:val="16"/>
                <w:szCs w:val="16"/>
              </w:rPr>
              <w:t>ženy</w:t>
            </w:r>
          </w:p>
        </w:tc>
      </w:tr>
      <w:tr w:rsidR="00087E71" w:rsidRPr="0032233B" w14:paraId="49DB2AB4" w14:textId="77777777" w:rsidTr="00087E71">
        <w:trPr>
          <w:trHeight w:val="300"/>
        </w:trPr>
        <w:tc>
          <w:tcPr>
            <w:tcW w:w="1077" w:type="dxa"/>
            <w:tcBorders>
              <w:top w:val="nil"/>
              <w:left w:val="nil"/>
              <w:bottom w:val="nil"/>
              <w:right w:val="single" w:sz="4" w:space="0" w:color="auto"/>
            </w:tcBorders>
            <w:shd w:val="clear" w:color="auto" w:fill="auto"/>
            <w:vAlign w:val="center"/>
            <w:hideMark/>
          </w:tcPr>
          <w:p w14:paraId="44BA261C" w14:textId="0BA55A98" w:rsidR="00087E71" w:rsidRPr="0032233B" w:rsidRDefault="00087E71" w:rsidP="00087E71">
            <w:pPr>
              <w:spacing w:after="0" w:line="240" w:lineRule="auto"/>
              <w:jc w:val="center"/>
              <w:rPr>
                <w:rFonts w:cs="Arial"/>
                <w:color w:val="000000"/>
                <w:sz w:val="16"/>
                <w:szCs w:val="16"/>
              </w:rPr>
            </w:pPr>
            <w:r>
              <w:rPr>
                <w:rFonts w:cs="Arial"/>
                <w:color w:val="000000"/>
                <w:sz w:val="16"/>
                <w:szCs w:val="16"/>
              </w:rPr>
              <w:t>2013</w:t>
            </w:r>
          </w:p>
        </w:tc>
        <w:tc>
          <w:tcPr>
            <w:tcW w:w="710" w:type="dxa"/>
            <w:tcBorders>
              <w:top w:val="nil"/>
              <w:left w:val="nil"/>
              <w:bottom w:val="nil"/>
              <w:right w:val="nil"/>
            </w:tcBorders>
            <w:shd w:val="clear" w:color="auto" w:fill="auto"/>
            <w:noWrap/>
            <w:vAlign w:val="center"/>
            <w:hideMark/>
          </w:tcPr>
          <w:p w14:paraId="3454CA47" w14:textId="1744932B" w:rsidR="00087E71" w:rsidRPr="0032233B" w:rsidRDefault="00087E71" w:rsidP="00087E71">
            <w:pPr>
              <w:spacing w:after="0" w:line="240" w:lineRule="auto"/>
              <w:jc w:val="right"/>
              <w:rPr>
                <w:rFonts w:cs="Arial"/>
                <w:color w:val="000000"/>
                <w:sz w:val="16"/>
                <w:szCs w:val="16"/>
              </w:rPr>
            </w:pPr>
            <w:r>
              <w:rPr>
                <w:rFonts w:cs="Arial"/>
                <w:color w:val="000000"/>
                <w:sz w:val="16"/>
                <w:szCs w:val="16"/>
              </w:rPr>
              <w:t>42 927</w:t>
            </w:r>
          </w:p>
        </w:tc>
        <w:tc>
          <w:tcPr>
            <w:tcW w:w="709" w:type="dxa"/>
            <w:tcBorders>
              <w:top w:val="nil"/>
              <w:left w:val="nil"/>
              <w:bottom w:val="nil"/>
              <w:right w:val="nil"/>
            </w:tcBorders>
            <w:shd w:val="clear" w:color="auto" w:fill="auto"/>
            <w:noWrap/>
            <w:vAlign w:val="center"/>
            <w:hideMark/>
          </w:tcPr>
          <w:p w14:paraId="33E0D1EC" w14:textId="5E680425" w:rsidR="00087E71" w:rsidRPr="0032233B" w:rsidRDefault="00087E71" w:rsidP="00087E71">
            <w:pPr>
              <w:spacing w:after="0" w:line="240" w:lineRule="auto"/>
              <w:jc w:val="right"/>
              <w:rPr>
                <w:rFonts w:cs="Arial"/>
                <w:color w:val="000000"/>
                <w:sz w:val="16"/>
                <w:szCs w:val="16"/>
              </w:rPr>
            </w:pPr>
            <w:r>
              <w:rPr>
                <w:rFonts w:cs="Arial"/>
                <w:color w:val="000000"/>
                <w:sz w:val="16"/>
                <w:szCs w:val="16"/>
              </w:rPr>
              <w:t>30 418</w:t>
            </w:r>
          </w:p>
        </w:tc>
        <w:tc>
          <w:tcPr>
            <w:tcW w:w="709" w:type="dxa"/>
            <w:tcBorders>
              <w:top w:val="nil"/>
              <w:left w:val="nil"/>
              <w:bottom w:val="nil"/>
              <w:right w:val="single" w:sz="4" w:space="0" w:color="auto"/>
            </w:tcBorders>
            <w:shd w:val="clear" w:color="auto" w:fill="auto"/>
            <w:noWrap/>
            <w:vAlign w:val="center"/>
            <w:hideMark/>
          </w:tcPr>
          <w:p w14:paraId="52E21330" w14:textId="13DEDFC3" w:rsidR="00087E71" w:rsidRPr="0032233B" w:rsidRDefault="00087E71" w:rsidP="00087E71">
            <w:pPr>
              <w:spacing w:after="0" w:line="240" w:lineRule="auto"/>
              <w:jc w:val="right"/>
              <w:rPr>
                <w:rFonts w:cs="Arial"/>
                <w:color w:val="000000"/>
                <w:sz w:val="16"/>
                <w:szCs w:val="16"/>
              </w:rPr>
            </w:pPr>
            <w:r>
              <w:rPr>
                <w:rFonts w:cs="Arial"/>
                <w:color w:val="000000"/>
                <w:sz w:val="16"/>
                <w:szCs w:val="16"/>
              </w:rPr>
              <w:t>12 509</w:t>
            </w:r>
          </w:p>
        </w:tc>
        <w:tc>
          <w:tcPr>
            <w:tcW w:w="710" w:type="dxa"/>
            <w:tcBorders>
              <w:top w:val="nil"/>
              <w:left w:val="nil"/>
              <w:bottom w:val="nil"/>
              <w:right w:val="nil"/>
            </w:tcBorders>
            <w:shd w:val="clear" w:color="auto" w:fill="auto"/>
            <w:noWrap/>
            <w:vAlign w:val="center"/>
            <w:hideMark/>
          </w:tcPr>
          <w:p w14:paraId="46070B14" w14:textId="36E214C6" w:rsidR="00087E71" w:rsidRPr="0032233B" w:rsidRDefault="00087E71" w:rsidP="00087E71">
            <w:pPr>
              <w:spacing w:after="0" w:line="240" w:lineRule="auto"/>
              <w:jc w:val="right"/>
              <w:rPr>
                <w:rFonts w:cs="Arial"/>
                <w:color w:val="000000"/>
                <w:sz w:val="16"/>
                <w:szCs w:val="16"/>
              </w:rPr>
            </w:pPr>
            <w:r>
              <w:rPr>
                <w:rFonts w:cs="Arial"/>
                <w:color w:val="000000"/>
                <w:sz w:val="16"/>
                <w:szCs w:val="16"/>
              </w:rPr>
              <w:t>42 355</w:t>
            </w:r>
          </w:p>
        </w:tc>
        <w:tc>
          <w:tcPr>
            <w:tcW w:w="709" w:type="dxa"/>
            <w:tcBorders>
              <w:top w:val="nil"/>
              <w:left w:val="nil"/>
              <w:bottom w:val="nil"/>
              <w:right w:val="nil"/>
            </w:tcBorders>
            <w:shd w:val="clear" w:color="auto" w:fill="auto"/>
            <w:vAlign w:val="center"/>
            <w:hideMark/>
          </w:tcPr>
          <w:p w14:paraId="1740D4A9" w14:textId="32D77C50" w:rsidR="00087E71" w:rsidRPr="0032233B" w:rsidRDefault="00087E71" w:rsidP="00087E71">
            <w:pPr>
              <w:spacing w:after="0" w:line="240" w:lineRule="auto"/>
              <w:jc w:val="right"/>
              <w:rPr>
                <w:rFonts w:cs="Arial"/>
                <w:color w:val="000000"/>
                <w:sz w:val="16"/>
                <w:szCs w:val="16"/>
              </w:rPr>
            </w:pPr>
            <w:r>
              <w:rPr>
                <w:rFonts w:cs="Arial"/>
                <w:color w:val="000000"/>
                <w:sz w:val="16"/>
                <w:szCs w:val="16"/>
              </w:rPr>
              <w:t>29 955</w:t>
            </w:r>
          </w:p>
        </w:tc>
        <w:tc>
          <w:tcPr>
            <w:tcW w:w="709" w:type="dxa"/>
            <w:tcBorders>
              <w:top w:val="nil"/>
              <w:left w:val="nil"/>
              <w:bottom w:val="nil"/>
              <w:right w:val="single" w:sz="4" w:space="0" w:color="auto"/>
            </w:tcBorders>
            <w:shd w:val="clear" w:color="auto" w:fill="auto"/>
            <w:vAlign w:val="center"/>
            <w:hideMark/>
          </w:tcPr>
          <w:p w14:paraId="2D2B1B6E" w14:textId="2693622A" w:rsidR="00087E71" w:rsidRPr="0032233B" w:rsidRDefault="00087E71" w:rsidP="00087E71">
            <w:pPr>
              <w:spacing w:after="0" w:line="240" w:lineRule="auto"/>
              <w:jc w:val="right"/>
              <w:rPr>
                <w:rFonts w:cs="Arial"/>
                <w:color w:val="000000"/>
                <w:sz w:val="16"/>
                <w:szCs w:val="16"/>
              </w:rPr>
            </w:pPr>
            <w:r>
              <w:rPr>
                <w:rFonts w:cs="Arial"/>
                <w:color w:val="000000"/>
                <w:sz w:val="16"/>
                <w:szCs w:val="16"/>
              </w:rPr>
              <w:t>12 400</w:t>
            </w:r>
          </w:p>
        </w:tc>
        <w:tc>
          <w:tcPr>
            <w:tcW w:w="710" w:type="dxa"/>
            <w:tcBorders>
              <w:top w:val="nil"/>
              <w:left w:val="nil"/>
              <w:bottom w:val="nil"/>
              <w:right w:val="nil"/>
            </w:tcBorders>
            <w:shd w:val="clear" w:color="auto" w:fill="auto"/>
            <w:vAlign w:val="center"/>
            <w:hideMark/>
          </w:tcPr>
          <w:p w14:paraId="69C8221A" w14:textId="7C1F9B95" w:rsidR="00087E71" w:rsidRPr="0032233B" w:rsidRDefault="00087E71" w:rsidP="00087E71">
            <w:pPr>
              <w:spacing w:after="0" w:line="240" w:lineRule="auto"/>
              <w:jc w:val="right"/>
              <w:rPr>
                <w:rFonts w:cs="Arial"/>
                <w:color w:val="000000"/>
                <w:sz w:val="16"/>
                <w:szCs w:val="16"/>
              </w:rPr>
            </w:pPr>
            <w:r>
              <w:rPr>
                <w:rFonts w:cs="Arial"/>
                <w:color w:val="000000"/>
                <w:sz w:val="16"/>
                <w:szCs w:val="16"/>
              </w:rPr>
              <w:t>1 367</w:t>
            </w:r>
          </w:p>
        </w:tc>
        <w:tc>
          <w:tcPr>
            <w:tcW w:w="709" w:type="dxa"/>
            <w:tcBorders>
              <w:top w:val="nil"/>
              <w:left w:val="nil"/>
              <w:bottom w:val="nil"/>
              <w:right w:val="nil"/>
            </w:tcBorders>
            <w:shd w:val="clear" w:color="auto" w:fill="auto"/>
            <w:vAlign w:val="center"/>
            <w:hideMark/>
          </w:tcPr>
          <w:p w14:paraId="3DD122CD" w14:textId="2519C074" w:rsidR="00087E71" w:rsidRPr="0032233B" w:rsidRDefault="00087E71" w:rsidP="00087E71">
            <w:pPr>
              <w:spacing w:after="0" w:line="240" w:lineRule="auto"/>
              <w:jc w:val="right"/>
              <w:rPr>
                <w:rFonts w:cs="Arial"/>
                <w:color w:val="000000"/>
                <w:sz w:val="16"/>
                <w:szCs w:val="16"/>
              </w:rPr>
            </w:pPr>
            <w:r>
              <w:rPr>
                <w:rFonts w:cs="Arial"/>
                <w:color w:val="000000"/>
                <w:sz w:val="16"/>
                <w:szCs w:val="16"/>
              </w:rPr>
              <w:t>1 107</w:t>
            </w:r>
          </w:p>
        </w:tc>
        <w:tc>
          <w:tcPr>
            <w:tcW w:w="709" w:type="dxa"/>
            <w:tcBorders>
              <w:top w:val="nil"/>
              <w:left w:val="nil"/>
              <w:bottom w:val="nil"/>
              <w:right w:val="single" w:sz="4" w:space="0" w:color="auto"/>
            </w:tcBorders>
            <w:shd w:val="clear" w:color="auto" w:fill="auto"/>
            <w:vAlign w:val="center"/>
            <w:hideMark/>
          </w:tcPr>
          <w:p w14:paraId="1B30E6C5" w14:textId="552CC643" w:rsidR="00087E71" w:rsidRPr="0032233B" w:rsidRDefault="00087E71" w:rsidP="00087E71">
            <w:pPr>
              <w:spacing w:after="0" w:line="240" w:lineRule="auto"/>
              <w:jc w:val="right"/>
              <w:rPr>
                <w:rFonts w:cs="Arial"/>
                <w:color w:val="000000"/>
                <w:sz w:val="16"/>
                <w:szCs w:val="16"/>
              </w:rPr>
            </w:pPr>
            <w:r>
              <w:rPr>
                <w:rFonts w:cs="Arial"/>
                <w:color w:val="000000"/>
                <w:sz w:val="16"/>
                <w:szCs w:val="16"/>
              </w:rPr>
              <w:t>260</w:t>
            </w:r>
          </w:p>
        </w:tc>
        <w:tc>
          <w:tcPr>
            <w:tcW w:w="710" w:type="dxa"/>
            <w:tcBorders>
              <w:top w:val="nil"/>
              <w:left w:val="single" w:sz="4" w:space="0" w:color="auto"/>
              <w:bottom w:val="nil"/>
              <w:right w:val="nil"/>
            </w:tcBorders>
            <w:vAlign w:val="center"/>
          </w:tcPr>
          <w:p w14:paraId="3E11D44E" w14:textId="0066E254" w:rsidR="00087E71" w:rsidRPr="0032233B" w:rsidRDefault="00087E71" w:rsidP="00087E71">
            <w:pPr>
              <w:spacing w:after="0" w:line="240" w:lineRule="auto"/>
              <w:jc w:val="right"/>
              <w:rPr>
                <w:rFonts w:cs="Arial"/>
                <w:sz w:val="16"/>
                <w:szCs w:val="16"/>
              </w:rPr>
            </w:pPr>
            <w:r>
              <w:rPr>
                <w:rFonts w:cs="Arial"/>
                <w:color w:val="000000"/>
                <w:sz w:val="16"/>
                <w:szCs w:val="16"/>
              </w:rPr>
              <w:t>113</w:t>
            </w:r>
          </w:p>
        </w:tc>
        <w:tc>
          <w:tcPr>
            <w:tcW w:w="709" w:type="dxa"/>
            <w:tcBorders>
              <w:top w:val="nil"/>
              <w:left w:val="nil"/>
              <w:bottom w:val="nil"/>
              <w:right w:val="nil"/>
            </w:tcBorders>
            <w:vAlign w:val="center"/>
          </w:tcPr>
          <w:p w14:paraId="4D0A8BC7" w14:textId="158C9376" w:rsidR="00087E71" w:rsidRPr="0032233B" w:rsidRDefault="00087E71" w:rsidP="00087E71">
            <w:pPr>
              <w:spacing w:after="0" w:line="240" w:lineRule="auto"/>
              <w:jc w:val="right"/>
              <w:rPr>
                <w:rFonts w:cs="Arial"/>
                <w:sz w:val="16"/>
                <w:szCs w:val="16"/>
              </w:rPr>
            </w:pPr>
            <w:r>
              <w:rPr>
                <w:rFonts w:cs="Arial"/>
                <w:color w:val="000000"/>
                <w:sz w:val="16"/>
                <w:szCs w:val="16"/>
              </w:rPr>
              <w:t>106</w:t>
            </w:r>
          </w:p>
        </w:tc>
        <w:tc>
          <w:tcPr>
            <w:tcW w:w="709" w:type="dxa"/>
            <w:tcBorders>
              <w:top w:val="nil"/>
              <w:left w:val="nil"/>
              <w:bottom w:val="nil"/>
              <w:right w:val="nil"/>
            </w:tcBorders>
            <w:vAlign w:val="center"/>
          </w:tcPr>
          <w:p w14:paraId="28A12A29" w14:textId="5ACBC32F" w:rsidR="00087E71" w:rsidRPr="0032233B" w:rsidRDefault="00087E71" w:rsidP="00087E71">
            <w:pPr>
              <w:spacing w:after="0" w:line="240" w:lineRule="auto"/>
              <w:jc w:val="right"/>
              <w:rPr>
                <w:rFonts w:cs="Arial"/>
                <w:sz w:val="16"/>
                <w:szCs w:val="16"/>
              </w:rPr>
            </w:pPr>
            <w:r>
              <w:rPr>
                <w:rFonts w:cs="Arial"/>
                <w:color w:val="000000"/>
                <w:sz w:val="16"/>
                <w:szCs w:val="16"/>
              </w:rPr>
              <w:t>7</w:t>
            </w:r>
          </w:p>
        </w:tc>
      </w:tr>
      <w:tr w:rsidR="00087E71" w:rsidRPr="0032233B" w14:paraId="2E45C3FD" w14:textId="77777777" w:rsidTr="00087E71">
        <w:trPr>
          <w:trHeight w:val="300"/>
        </w:trPr>
        <w:tc>
          <w:tcPr>
            <w:tcW w:w="1077" w:type="dxa"/>
            <w:tcBorders>
              <w:top w:val="nil"/>
              <w:left w:val="nil"/>
              <w:bottom w:val="nil"/>
              <w:right w:val="single" w:sz="4" w:space="0" w:color="auto"/>
            </w:tcBorders>
            <w:shd w:val="clear" w:color="auto" w:fill="auto"/>
            <w:vAlign w:val="center"/>
            <w:hideMark/>
          </w:tcPr>
          <w:p w14:paraId="780223FD" w14:textId="1A407CAD" w:rsidR="00087E71" w:rsidRPr="0032233B" w:rsidRDefault="00087E71" w:rsidP="00087E71">
            <w:pPr>
              <w:spacing w:after="0" w:line="240" w:lineRule="auto"/>
              <w:jc w:val="center"/>
              <w:rPr>
                <w:rFonts w:cs="Arial"/>
                <w:color w:val="000000"/>
                <w:sz w:val="16"/>
                <w:szCs w:val="16"/>
              </w:rPr>
            </w:pPr>
            <w:r>
              <w:rPr>
                <w:rFonts w:cs="Arial"/>
                <w:color w:val="000000"/>
                <w:sz w:val="16"/>
                <w:szCs w:val="16"/>
              </w:rPr>
              <w:t>2014</w:t>
            </w:r>
          </w:p>
        </w:tc>
        <w:tc>
          <w:tcPr>
            <w:tcW w:w="710" w:type="dxa"/>
            <w:tcBorders>
              <w:top w:val="nil"/>
              <w:left w:val="nil"/>
              <w:bottom w:val="nil"/>
              <w:right w:val="nil"/>
            </w:tcBorders>
            <w:shd w:val="clear" w:color="auto" w:fill="auto"/>
            <w:noWrap/>
            <w:vAlign w:val="center"/>
            <w:hideMark/>
          </w:tcPr>
          <w:p w14:paraId="052B90A2" w14:textId="70BE15EF" w:rsidR="00087E71" w:rsidRPr="0032233B" w:rsidRDefault="00087E71" w:rsidP="00087E71">
            <w:pPr>
              <w:spacing w:after="0" w:line="240" w:lineRule="auto"/>
              <w:jc w:val="right"/>
              <w:rPr>
                <w:rFonts w:cs="Arial"/>
                <w:color w:val="000000"/>
                <w:sz w:val="16"/>
                <w:szCs w:val="16"/>
              </w:rPr>
            </w:pPr>
            <w:r>
              <w:rPr>
                <w:rFonts w:cs="Arial"/>
                <w:color w:val="000000"/>
                <w:sz w:val="16"/>
                <w:szCs w:val="16"/>
              </w:rPr>
              <w:t>45 058</w:t>
            </w:r>
          </w:p>
        </w:tc>
        <w:tc>
          <w:tcPr>
            <w:tcW w:w="709" w:type="dxa"/>
            <w:tcBorders>
              <w:top w:val="nil"/>
              <w:left w:val="nil"/>
              <w:bottom w:val="nil"/>
              <w:right w:val="nil"/>
            </w:tcBorders>
            <w:shd w:val="clear" w:color="auto" w:fill="auto"/>
            <w:noWrap/>
            <w:vAlign w:val="center"/>
            <w:hideMark/>
          </w:tcPr>
          <w:p w14:paraId="735843BB" w14:textId="3D508DBE" w:rsidR="00087E71" w:rsidRPr="0032233B" w:rsidRDefault="00087E71" w:rsidP="00087E71">
            <w:pPr>
              <w:spacing w:after="0" w:line="240" w:lineRule="auto"/>
              <w:jc w:val="right"/>
              <w:rPr>
                <w:rFonts w:cs="Arial"/>
                <w:color w:val="000000"/>
                <w:sz w:val="16"/>
                <w:szCs w:val="16"/>
              </w:rPr>
            </w:pPr>
            <w:r>
              <w:rPr>
                <w:rFonts w:cs="Arial"/>
                <w:color w:val="000000"/>
                <w:sz w:val="16"/>
                <w:szCs w:val="16"/>
              </w:rPr>
              <w:t>31 737</w:t>
            </w:r>
          </w:p>
        </w:tc>
        <w:tc>
          <w:tcPr>
            <w:tcW w:w="709" w:type="dxa"/>
            <w:tcBorders>
              <w:top w:val="nil"/>
              <w:left w:val="nil"/>
              <w:bottom w:val="nil"/>
              <w:right w:val="single" w:sz="4" w:space="0" w:color="auto"/>
            </w:tcBorders>
            <w:shd w:val="clear" w:color="auto" w:fill="auto"/>
            <w:noWrap/>
            <w:vAlign w:val="center"/>
            <w:hideMark/>
          </w:tcPr>
          <w:p w14:paraId="1C2B5592" w14:textId="673C36EB" w:rsidR="00087E71" w:rsidRPr="0032233B" w:rsidRDefault="00087E71" w:rsidP="00087E71">
            <w:pPr>
              <w:spacing w:after="0" w:line="240" w:lineRule="auto"/>
              <w:jc w:val="right"/>
              <w:rPr>
                <w:rFonts w:cs="Arial"/>
                <w:color w:val="000000"/>
                <w:sz w:val="16"/>
                <w:szCs w:val="16"/>
              </w:rPr>
            </w:pPr>
            <w:r>
              <w:rPr>
                <w:rFonts w:cs="Arial"/>
                <w:color w:val="000000"/>
                <w:sz w:val="16"/>
                <w:szCs w:val="16"/>
              </w:rPr>
              <w:t>13 321</w:t>
            </w:r>
          </w:p>
        </w:tc>
        <w:tc>
          <w:tcPr>
            <w:tcW w:w="710" w:type="dxa"/>
            <w:tcBorders>
              <w:top w:val="nil"/>
              <w:left w:val="nil"/>
              <w:bottom w:val="nil"/>
              <w:right w:val="nil"/>
            </w:tcBorders>
            <w:shd w:val="clear" w:color="auto" w:fill="auto"/>
            <w:noWrap/>
            <w:vAlign w:val="center"/>
            <w:hideMark/>
          </w:tcPr>
          <w:p w14:paraId="457E8699" w14:textId="6B40D042" w:rsidR="00087E71" w:rsidRPr="0032233B" w:rsidRDefault="00087E71" w:rsidP="00087E71">
            <w:pPr>
              <w:spacing w:after="0" w:line="240" w:lineRule="auto"/>
              <w:jc w:val="right"/>
              <w:rPr>
                <w:rFonts w:cs="Arial"/>
                <w:color w:val="000000"/>
                <w:sz w:val="16"/>
                <w:szCs w:val="16"/>
              </w:rPr>
            </w:pPr>
            <w:r>
              <w:rPr>
                <w:rFonts w:cs="Arial"/>
                <w:color w:val="000000"/>
                <w:sz w:val="16"/>
                <w:szCs w:val="16"/>
              </w:rPr>
              <w:t>44 301</w:t>
            </w:r>
          </w:p>
        </w:tc>
        <w:tc>
          <w:tcPr>
            <w:tcW w:w="709" w:type="dxa"/>
            <w:tcBorders>
              <w:top w:val="nil"/>
              <w:left w:val="nil"/>
              <w:bottom w:val="nil"/>
              <w:right w:val="nil"/>
            </w:tcBorders>
            <w:shd w:val="clear" w:color="auto" w:fill="auto"/>
            <w:vAlign w:val="center"/>
            <w:hideMark/>
          </w:tcPr>
          <w:p w14:paraId="21FE7D24" w14:textId="17ACFAAA" w:rsidR="00087E71" w:rsidRPr="0032233B" w:rsidRDefault="00087E71" w:rsidP="00087E71">
            <w:pPr>
              <w:spacing w:after="0" w:line="240" w:lineRule="auto"/>
              <w:jc w:val="right"/>
              <w:rPr>
                <w:rFonts w:cs="Arial"/>
                <w:color w:val="000000"/>
                <w:sz w:val="16"/>
                <w:szCs w:val="16"/>
              </w:rPr>
            </w:pPr>
            <w:r>
              <w:rPr>
                <w:rFonts w:cs="Arial"/>
                <w:color w:val="000000"/>
                <w:sz w:val="16"/>
                <w:szCs w:val="16"/>
              </w:rPr>
              <w:t>31 188</w:t>
            </w:r>
          </w:p>
        </w:tc>
        <w:tc>
          <w:tcPr>
            <w:tcW w:w="709" w:type="dxa"/>
            <w:tcBorders>
              <w:top w:val="nil"/>
              <w:left w:val="nil"/>
              <w:bottom w:val="nil"/>
              <w:right w:val="single" w:sz="4" w:space="0" w:color="auto"/>
            </w:tcBorders>
            <w:shd w:val="clear" w:color="auto" w:fill="auto"/>
            <w:vAlign w:val="center"/>
            <w:hideMark/>
          </w:tcPr>
          <w:p w14:paraId="3B139496" w14:textId="76A7F413" w:rsidR="00087E71" w:rsidRPr="0032233B" w:rsidRDefault="00087E71" w:rsidP="00087E71">
            <w:pPr>
              <w:spacing w:after="0" w:line="240" w:lineRule="auto"/>
              <w:jc w:val="right"/>
              <w:rPr>
                <w:rFonts w:cs="Arial"/>
                <w:color w:val="000000"/>
                <w:sz w:val="16"/>
                <w:szCs w:val="16"/>
              </w:rPr>
            </w:pPr>
            <w:r>
              <w:rPr>
                <w:rFonts w:cs="Arial"/>
                <w:color w:val="000000"/>
                <w:sz w:val="16"/>
                <w:szCs w:val="16"/>
              </w:rPr>
              <w:t>13 113</w:t>
            </w:r>
          </w:p>
        </w:tc>
        <w:tc>
          <w:tcPr>
            <w:tcW w:w="710" w:type="dxa"/>
            <w:tcBorders>
              <w:top w:val="nil"/>
              <w:left w:val="nil"/>
              <w:bottom w:val="nil"/>
              <w:right w:val="nil"/>
            </w:tcBorders>
            <w:shd w:val="clear" w:color="auto" w:fill="auto"/>
            <w:vAlign w:val="center"/>
            <w:hideMark/>
          </w:tcPr>
          <w:p w14:paraId="79381568" w14:textId="7D92B76B" w:rsidR="00087E71" w:rsidRPr="0032233B" w:rsidRDefault="00087E71" w:rsidP="00087E71">
            <w:pPr>
              <w:spacing w:after="0" w:line="240" w:lineRule="auto"/>
              <w:jc w:val="right"/>
              <w:rPr>
                <w:rFonts w:cs="Arial"/>
                <w:color w:val="000000"/>
                <w:sz w:val="16"/>
                <w:szCs w:val="16"/>
              </w:rPr>
            </w:pPr>
            <w:r>
              <w:rPr>
                <w:rFonts w:cs="Arial"/>
                <w:color w:val="000000"/>
                <w:sz w:val="16"/>
                <w:szCs w:val="16"/>
              </w:rPr>
              <w:t>1 394</w:t>
            </w:r>
          </w:p>
        </w:tc>
        <w:tc>
          <w:tcPr>
            <w:tcW w:w="709" w:type="dxa"/>
            <w:tcBorders>
              <w:top w:val="nil"/>
              <w:left w:val="nil"/>
              <w:bottom w:val="nil"/>
              <w:right w:val="nil"/>
            </w:tcBorders>
            <w:shd w:val="clear" w:color="auto" w:fill="auto"/>
            <w:vAlign w:val="center"/>
            <w:hideMark/>
          </w:tcPr>
          <w:p w14:paraId="779A2B97" w14:textId="3697BAB7" w:rsidR="00087E71" w:rsidRPr="0032233B" w:rsidRDefault="00087E71" w:rsidP="00087E71">
            <w:pPr>
              <w:spacing w:after="0" w:line="240" w:lineRule="auto"/>
              <w:jc w:val="right"/>
              <w:rPr>
                <w:rFonts w:cs="Arial"/>
                <w:color w:val="000000"/>
                <w:sz w:val="16"/>
                <w:szCs w:val="16"/>
              </w:rPr>
            </w:pPr>
            <w:r>
              <w:rPr>
                <w:rFonts w:cs="Arial"/>
                <w:color w:val="000000"/>
                <w:sz w:val="16"/>
                <w:szCs w:val="16"/>
              </w:rPr>
              <w:t>1 130</w:t>
            </w:r>
          </w:p>
        </w:tc>
        <w:tc>
          <w:tcPr>
            <w:tcW w:w="709" w:type="dxa"/>
            <w:tcBorders>
              <w:top w:val="nil"/>
              <w:left w:val="nil"/>
              <w:bottom w:val="nil"/>
              <w:right w:val="single" w:sz="4" w:space="0" w:color="auto"/>
            </w:tcBorders>
            <w:shd w:val="clear" w:color="auto" w:fill="auto"/>
            <w:vAlign w:val="center"/>
            <w:hideMark/>
          </w:tcPr>
          <w:p w14:paraId="708746F3" w14:textId="1AB13D81" w:rsidR="00087E71" w:rsidRPr="0032233B" w:rsidRDefault="00087E71" w:rsidP="00087E71">
            <w:pPr>
              <w:spacing w:after="0" w:line="240" w:lineRule="auto"/>
              <w:jc w:val="right"/>
              <w:rPr>
                <w:rFonts w:cs="Arial"/>
                <w:color w:val="000000"/>
                <w:sz w:val="16"/>
                <w:szCs w:val="16"/>
              </w:rPr>
            </w:pPr>
            <w:r>
              <w:rPr>
                <w:rFonts w:cs="Arial"/>
                <w:color w:val="000000"/>
                <w:sz w:val="16"/>
                <w:szCs w:val="16"/>
              </w:rPr>
              <w:t>264</w:t>
            </w:r>
          </w:p>
        </w:tc>
        <w:tc>
          <w:tcPr>
            <w:tcW w:w="710" w:type="dxa"/>
            <w:tcBorders>
              <w:top w:val="nil"/>
              <w:left w:val="single" w:sz="4" w:space="0" w:color="auto"/>
              <w:bottom w:val="nil"/>
              <w:right w:val="nil"/>
            </w:tcBorders>
            <w:vAlign w:val="center"/>
          </w:tcPr>
          <w:p w14:paraId="10B9C54D" w14:textId="0C940073" w:rsidR="00087E71" w:rsidRPr="0032233B" w:rsidRDefault="00087E71" w:rsidP="00087E71">
            <w:pPr>
              <w:spacing w:after="0" w:line="240" w:lineRule="auto"/>
              <w:jc w:val="right"/>
              <w:rPr>
                <w:rFonts w:cs="Arial"/>
                <w:sz w:val="16"/>
                <w:szCs w:val="16"/>
              </w:rPr>
            </w:pPr>
            <w:r>
              <w:rPr>
                <w:rFonts w:cs="Arial"/>
                <w:color w:val="000000"/>
                <w:sz w:val="16"/>
                <w:szCs w:val="16"/>
              </w:rPr>
              <w:t>117</w:t>
            </w:r>
          </w:p>
        </w:tc>
        <w:tc>
          <w:tcPr>
            <w:tcW w:w="709" w:type="dxa"/>
            <w:tcBorders>
              <w:top w:val="nil"/>
              <w:left w:val="nil"/>
              <w:bottom w:val="nil"/>
              <w:right w:val="nil"/>
            </w:tcBorders>
            <w:vAlign w:val="center"/>
          </w:tcPr>
          <w:p w14:paraId="41D2D98A" w14:textId="0A14A8C1" w:rsidR="00087E71" w:rsidRPr="0032233B" w:rsidRDefault="00087E71" w:rsidP="00087E71">
            <w:pPr>
              <w:spacing w:after="0" w:line="240" w:lineRule="auto"/>
              <w:jc w:val="right"/>
              <w:rPr>
                <w:rFonts w:cs="Arial"/>
                <w:sz w:val="16"/>
                <w:szCs w:val="16"/>
              </w:rPr>
            </w:pPr>
            <w:r>
              <w:rPr>
                <w:rFonts w:cs="Arial"/>
                <w:color w:val="000000"/>
                <w:sz w:val="16"/>
                <w:szCs w:val="16"/>
              </w:rPr>
              <w:t>115</w:t>
            </w:r>
          </w:p>
        </w:tc>
        <w:tc>
          <w:tcPr>
            <w:tcW w:w="709" w:type="dxa"/>
            <w:tcBorders>
              <w:top w:val="nil"/>
              <w:left w:val="nil"/>
              <w:bottom w:val="nil"/>
              <w:right w:val="nil"/>
            </w:tcBorders>
            <w:vAlign w:val="center"/>
          </w:tcPr>
          <w:p w14:paraId="50F0504F" w14:textId="2B2D05BC" w:rsidR="00087E71" w:rsidRPr="0032233B" w:rsidRDefault="00087E71" w:rsidP="00087E71">
            <w:pPr>
              <w:spacing w:after="0" w:line="240" w:lineRule="auto"/>
              <w:jc w:val="right"/>
              <w:rPr>
                <w:rFonts w:cs="Arial"/>
                <w:sz w:val="16"/>
                <w:szCs w:val="16"/>
              </w:rPr>
            </w:pPr>
            <w:r>
              <w:rPr>
                <w:rFonts w:cs="Arial"/>
                <w:color w:val="000000"/>
                <w:sz w:val="16"/>
                <w:szCs w:val="16"/>
              </w:rPr>
              <w:t>2</w:t>
            </w:r>
          </w:p>
        </w:tc>
      </w:tr>
      <w:tr w:rsidR="00087E71" w:rsidRPr="0032233B" w14:paraId="42A49878" w14:textId="77777777" w:rsidTr="00087E71">
        <w:trPr>
          <w:trHeight w:val="300"/>
        </w:trPr>
        <w:tc>
          <w:tcPr>
            <w:tcW w:w="1077" w:type="dxa"/>
            <w:tcBorders>
              <w:top w:val="nil"/>
              <w:left w:val="nil"/>
              <w:bottom w:val="nil"/>
              <w:right w:val="single" w:sz="4" w:space="0" w:color="auto"/>
            </w:tcBorders>
            <w:shd w:val="clear" w:color="auto" w:fill="auto"/>
            <w:vAlign w:val="center"/>
            <w:hideMark/>
          </w:tcPr>
          <w:p w14:paraId="457C79DB" w14:textId="696F1EDB" w:rsidR="00087E71" w:rsidRPr="0032233B" w:rsidRDefault="00087E71" w:rsidP="00087E71">
            <w:pPr>
              <w:spacing w:after="0" w:line="240" w:lineRule="auto"/>
              <w:jc w:val="center"/>
              <w:rPr>
                <w:rFonts w:cs="Arial"/>
                <w:color w:val="000000"/>
                <w:sz w:val="16"/>
                <w:szCs w:val="16"/>
              </w:rPr>
            </w:pPr>
            <w:r>
              <w:rPr>
                <w:rFonts w:cs="Arial"/>
                <w:color w:val="000000"/>
                <w:sz w:val="16"/>
                <w:szCs w:val="16"/>
              </w:rPr>
              <w:t>2015</w:t>
            </w:r>
          </w:p>
        </w:tc>
        <w:tc>
          <w:tcPr>
            <w:tcW w:w="710" w:type="dxa"/>
            <w:tcBorders>
              <w:top w:val="nil"/>
              <w:left w:val="nil"/>
              <w:bottom w:val="nil"/>
              <w:right w:val="nil"/>
            </w:tcBorders>
            <w:shd w:val="clear" w:color="auto" w:fill="auto"/>
            <w:noWrap/>
            <w:vAlign w:val="center"/>
            <w:hideMark/>
          </w:tcPr>
          <w:p w14:paraId="535BA232" w14:textId="79BE1694" w:rsidR="00087E71" w:rsidRPr="0032233B" w:rsidRDefault="00087E71" w:rsidP="00087E71">
            <w:pPr>
              <w:spacing w:after="0" w:line="240" w:lineRule="auto"/>
              <w:jc w:val="right"/>
              <w:rPr>
                <w:rFonts w:cs="Arial"/>
                <w:color w:val="000000"/>
                <w:sz w:val="16"/>
                <w:szCs w:val="16"/>
              </w:rPr>
            </w:pPr>
            <w:r>
              <w:rPr>
                <w:rFonts w:cs="Arial"/>
                <w:color w:val="000000"/>
                <w:sz w:val="16"/>
                <w:szCs w:val="16"/>
              </w:rPr>
              <w:t>46 331</w:t>
            </w:r>
          </w:p>
        </w:tc>
        <w:tc>
          <w:tcPr>
            <w:tcW w:w="709" w:type="dxa"/>
            <w:tcBorders>
              <w:top w:val="nil"/>
              <w:left w:val="nil"/>
              <w:bottom w:val="nil"/>
              <w:right w:val="nil"/>
            </w:tcBorders>
            <w:shd w:val="clear" w:color="auto" w:fill="auto"/>
            <w:noWrap/>
            <w:vAlign w:val="center"/>
            <w:hideMark/>
          </w:tcPr>
          <w:p w14:paraId="7D6A379F" w14:textId="071BCFB9" w:rsidR="00087E71" w:rsidRPr="0032233B" w:rsidRDefault="00087E71" w:rsidP="00087E71">
            <w:pPr>
              <w:spacing w:after="0" w:line="240" w:lineRule="auto"/>
              <w:jc w:val="right"/>
              <w:rPr>
                <w:rFonts w:cs="Arial"/>
                <w:color w:val="000000"/>
                <w:sz w:val="16"/>
                <w:szCs w:val="16"/>
              </w:rPr>
            </w:pPr>
            <w:r>
              <w:rPr>
                <w:rFonts w:cs="Arial"/>
                <w:color w:val="000000"/>
                <w:sz w:val="16"/>
                <w:szCs w:val="16"/>
              </w:rPr>
              <w:t>32 117</w:t>
            </w:r>
          </w:p>
        </w:tc>
        <w:tc>
          <w:tcPr>
            <w:tcW w:w="709" w:type="dxa"/>
            <w:tcBorders>
              <w:top w:val="nil"/>
              <w:left w:val="nil"/>
              <w:bottom w:val="nil"/>
              <w:right w:val="single" w:sz="4" w:space="0" w:color="auto"/>
            </w:tcBorders>
            <w:shd w:val="clear" w:color="auto" w:fill="auto"/>
            <w:noWrap/>
            <w:vAlign w:val="center"/>
            <w:hideMark/>
          </w:tcPr>
          <w:p w14:paraId="6EE4B855" w14:textId="062232C7" w:rsidR="00087E71" w:rsidRPr="0032233B" w:rsidRDefault="00087E71" w:rsidP="00087E71">
            <w:pPr>
              <w:spacing w:after="0" w:line="240" w:lineRule="auto"/>
              <w:jc w:val="right"/>
              <w:rPr>
                <w:rFonts w:cs="Arial"/>
                <w:color w:val="000000"/>
                <w:sz w:val="16"/>
                <w:szCs w:val="16"/>
              </w:rPr>
            </w:pPr>
            <w:r>
              <w:rPr>
                <w:rFonts w:cs="Arial"/>
                <w:color w:val="000000"/>
                <w:sz w:val="16"/>
                <w:szCs w:val="16"/>
              </w:rPr>
              <w:t>14 214</w:t>
            </w:r>
          </w:p>
        </w:tc>
        <w:tc>
          <w:tcPr>
            <w:tcW w:w="710" w:type="dxa"/>
            <w:tcBorders>
              <w:top w:val="nil"/>
              <w:left w:val="nil"/>
              <w:bottom w:val="nil"/>
              <w:right w:val="nil"/>
            </w:tcBorders>
            <w:shd w:val="clear" w:color="auto" w:fill="auto"/>
            <w:noWrap/>
            <w:vAlign w:val="center"/>
            <w:hideMark/>
          </w:tcPr>
          <w:p w14:paraId="57809288" w14:textId="25AB1AEC" w:rsidR="00087E71" w:rsidRPr="0032233B" w:rsidRDefault="00087E71" w:rsidP="00087E71">
            <w:pPr>
              <w:spacing w:after="0" w:line="240" w:lineRule="auto"/>
              <w:jc w:val="right"/>
              <w:rPr>
                <w:rFonts w:cs="Arial"/>
                <w:color w:val="000000"/>
                <w:sz w:val="16"/>
                <w:szCs w:val="16"/>
              </w:rPr>
            </w:pPr>
            <w:r>
              <w:rPr>
                <w:rFonts w:cs="Arial"/>
                <w:color w:val="000000"/>
                <w:sz w:val="16"/>
                <w:szCs w:val="16"/>
              </w:rPr>
              <w:t>45 621</w:t>
            </w:r>
          </w:p>
        </w:tc>
        <w:tc>
          <w:tcPr>
            <w:tcW w:w="709" w:type="dxa"/>
            <w:tcBorders>
              <w:top w:val="nil"/>
              <w:left w:val="nil"/>
              <w:bottom w:val="nil"/>
              <w:right w:val="nil"/>
            </w:tcBorders>
            <w:shd w:val="clear" w:color="auto" w:fill="auto"/>
            <w:vAlign w:val="center"/>
            <w:hideMark/>
          </w:tcPr>
          <w:p w14:paraId="7A825CC5" w14:textId="6E77284A" w:rsidR="00087E71" w:rsidRPr="0032233B" w:rsidRDefault="00087E71" w:rsidP="00087E71">
            <w:pPr>
              <w:spacing w:after="0" w:line="240" w:lineRule="auto"/>
              <w:jc w:val="right"/>
              <w:rPr>
                <w:rFonts w:cs="Arial"/>
                <w:color w:val="000000"/>
                <w:sz w:val="16"/>
                <w:szCs w:val="16"/>
              </w:rPr>
            </w:pPr>
            <w:r>
              <w:rPr>
                <w:rFonts w:cs="Arial"/>
                <w:color w:val="000000"/>
                <w:sz w:val="16"/>
                <w:szCs w:val="16"/>
              </w:rPr>
              <w:t>31 605</w:t>
            </w:r>
          </w:p>
        </w:tc>
        <w:tc>
          <w:tcPr>
            <w:tcW w:w="709" w:type="dxa"/>
            <w:tcBorders>
              <w:top w:val="nil"/>
              <w:left w:val="nil"/>
              <w:bottom w:val="nil"/>
              <w:right w:val="single" w:sz="4" w:space="0" w:color="auto"/>
            </w:tcBorders>
            <w:shd w:val="clear" w:color="auto" w:fill="auto"/>
            <w:vAlign w:val="center"/>
            <w:hideMark/>
          </w:tcPr>
          <w:p w14:paraId="762DEAF2" w14:textId="0F4BA39B" w:rsidR="00087E71" w:rsidRPr="0032233B" w:rsidRDefault="00087E71" w:rsidP="00087E71">
            <w:pPr>
              <w:spacing w:after="0" w:line="240" w:lineRule="auto"/>
              <w:jc w:val="right"/>
              <w:rPr>
                <w:rFonts w:cs="Arial"/>
                <w:color w:val="000000"/>
                <w:sz w:val="16"/>
                <w:szCs w:val="16"/>
              </w:rPr>
            </w:pPr>
            <w:r>
              <w:rPr>
                <w:rFonts w:cs="Arial"/>
                <w:color w:val="000000"/>
                <w:sz w:val="16"/>
                <w:szCs w:val="16"/>
              </w:rPr>
              <w:t>14 016</w:t>
            </w:r>
          </w:p>
        </w:tc>
        <w:tc>
          <w:tcPr>
            <w:tcW w:w="710" w:type="dxa"/>
            <w:tcBorders>
              <w:top w:val="nil"/>
              <w:left w:val="nil"/>
              <w:bottom w:val="nil"/>
              <w:right w:val="nil"/>
            </w:tcBorders>
            <w:shd w:val="clear" w:color="auto" w:fill="auto"/>
            <w:vAlign w:val="center"/>
            <w:hideMark/>
          </w:tcPr>
          <w:p w14:paraId="5A9B5001" w14:textId="448FF423" w:rsidR="00087E71" w:rsidRPr="0032233B" w:rsidRDefault="00087E71" w:rsidP="00087E71">
            <w:pPr>
              <w:spacing w:after="0" w:line="240" w:lineRule="auto"/>
              <w:jc w:val="right"/>
              <w:rPr>
                <w:rFonts w:cs="Arial"/>
                <w:color w:val="000000"/>
                <w:sz w:val="16"/>
                <w:szCs w:val="16"/>
              </w:rPr>
            </w:pPr>
            <w:r>
              <w:rPr>
                <w:rFonts w:cs="Arial"/>
                <w:color w:val="000000"/>
                <w:sz w:val="16"/>
                <w:szCs w:val="16"/>
              </w:rPr>
              <w:t>1 311</w:t>
            </w:r>
          </w:p>
        </w:tc>
        <w:tc>
          <w:tcPr>
            <w:tcW w:w="709" w:type="dxa"/>
            <w:tcBorders>
              <w:top w:val="nil"/>
              <w:left w:val="nil"/>
              <w:bottom w:val="nil"/>
              <w:right w:val="nil"/>
            </w:tcBorders>
            <w:shd w:val="clear" w:color="auto" w:fill="auto"/>
            <w:vAlign w:val="center"/>
            <w:hideMark/>
          </w:tcPr>
          <w:p w14:paraId="13592D94" w14:textId="49CE157B" w:rsidR="00087E71" w:rsidRPr="0032233B" w:rsidRDefault="00087E71" w:rsidP="00087E71">
            <w:pPr>
              <w:spacing w:after="0" w:line="240" w:lineRule="auto"/>
              <w:jc w:val="right"/>
              <w:rPr>
                <w:rFonts w:cs="Arial"/>
                <w:color w:val="000000"/>
                <w:sz w:val="16"/>
                <w:szCs w:val="16"/>
              </w:rPr>
            </w:pPr>
            <w:r>
              <w:rPr>
                <w:rFonts w:cs="Arial"/>
                <w:color w:val="000000"/>
                <w:sz w:val="16"/>
                <w:szCs w:val="16"/>
              </w:rPr>
              <w:t>1 087</w:t>
            </w:r>
          </w:p>
        </w:tc>
        <w:tc>
          <w:tcPr>
            <w:tcW w:w="709" w:type="dxa"/>
            <w:tcBorders>
              <w:top w:val="nil"/>
              <w:left w:val="nil"/>
              <w:bottom w:val="nil"/>
              <w:right w:val="single" w:sz="4" w:space="0" w:color="auto"/>
            </w:tcBorders>
            <w:shd w:val="clear" w:color="auto" w:fill="auto"/>
            <w:vAlign w:val="center"/>
            <w:hideMark/>
          </w:tcPr>
          <w:p w14:paraId="5F3639DD" w14:textId="5CD1131C" w:rsidR="00087E71" w:rsidRPr="0032233B" w:rsidRDefault="00087E71" w:rsidP="00087E71">
            <w:pPr>
              <w:spacing w:after="0" w:line="240" w:lineRule="auto"/>
              <w:jc w:val="right"/>
              <w:rPr>
                <w:rFonts w:cs="Arial"/>
                <w:color w:val="000000"/>
                <w:sz w:val="16"/>
                <w:szCs w:val="16"/>
              </w:rPr>
            </w:pPr>
            <w:r>
              <w:rPr>
                <w:rFonts w:cs="Arial"/>
                <w:color w:val="000000"/>
                <w:sz w:val="16"/>
                <w:szCs w:val="16"/>
              </w:rPr>
              <w:t>224</w:t>
            </w:r>
          </w:p>
        </w:tc>
        <w:tc>
          <w:tcPr>
            <w:tcW w:w="710" w:type="dxa"/>
            <w:tcBorders>
              <w:top w:val="nil"/>
              <w:left w:val="single" w:sz="4" w:space="0" w:color="auto"/>
              <w:bottom w:val="nil"/>
              <w:right w:val="nil"/>
            </w:tcBorders>
            <w:vAlign w:val="center"/>
          </w:tcPr>
          <w:p w14:paraId="3E56CED8" w14:textId="62B3C60D" w:rsidR="00087E71" w:rsidRPr="0032233B" w:rsidRDefault="00087E71" w:rsidP="00087E71">
            <w:pPr>
              <w:spacing w:after="0" w:line="240" w:lineRule="auto"/>
              <w:jc w:val="right"/>
              <w:rPr>
                <w:rFonts w:cs="Arial"/>
                <w:sz w:val="16"/>
                <w:szCs w:val="16"/>
              </w:rPr>
            </w:pPr>
            <w:r>
              <w:rPr>
                <w:rFonts w:cs="Arial"/>
                <w:color w:val="000000"/>
                <w:sz w:val="16"/>
                <w:szCs w:val="16"/>
              </w:rPr>
              <w:t>131</w:t>
            </w:r>
          </w:p>
        </w:tc>
        <w:tc>
          <w:tcPr>
            <w:tcW w:w="709" w:type="dxa"/>
            <w:tcBorders>
              <w:top w:val="nil"/>
              <w:left w:val="nil"/>
              <w:bottom w:val="nil"/>
              <w:right w:val="nil"/>
            </w:tcBorders>
            <w:vAlign w:val="center"/>
          </w:tcPr>
          <w:p w14:paraId="2349FC1A" w14:textId="1951DC1C" w:rsidR="00087E71" w:rsidRPr="0032233B" w:rsidRDefault="00087E71" w:rsidP="00087E71">
            <w:pPr>
              <w:spacing w:after="0" w:line="240" w:lineRule="auto"/>
              <w:jc w:val="right"/>
              <w:rPr>
                <w:rFonts w:cs="Arial"/>
                <w:sz w:val="16"/>
                <w:szCs w:val="16"/>
              </w:rPr>
            </w:pPr>
            <w:r>
              <w:rPr>
                <w:rFonts w:cs="Arial"/>
                <w:color w:val="000000"/>
                <w:sz w:val="16"/>
                <w:szCs w:val="16"/>
              </w:rPr>
              <w:t>120</w:t>
            </w:r>
          </w:p>
        </w:tc>
        <w:tc>
          <w:tcPr>
            <w:tcW w:w="709" w:type="dxa"/>
            <w:tcBorders>
              <w:top w:val="nil"/>
              <w:left w:val="nil"/>
              <w:bottom w:val="nil"/>
              <w:right w:val="nil"/>
            </w:tcBorders>
            <w:vAlign w:val="center"/>
          </w:tcPr>
          <w:p w14:paraId="68593DCC" w14:textId="686B6E4B" w:rsidR="00087E71" w:rsidRPr="0032233B" w:rsidRDefault="00087E71" w:rsidP="00087E71">
            <w:pPr>
              <w:spacing w:after="0" w:line="240" w:lineRule="auto"/>
              <w:jc w:val="right"/>
              <w:rPr>
                <w:rFonts w:cs="Arial"/>
                <w:sz w:val="16"/>
                <w:szCs w:val="16"/>
              </w:rPr>
            </w:pPr>
            <w:r>
              <w:rPr>
                <w:rFonts w:cs="Arial"/>
                <w:color w:val="000000"/>
                <w:sz w:val="16"/>
                <w:szCs w:val="16"/>
              </w:rPr>
              <w:t>11</w:t>
            </w:r>
          </w:p>
        </w:tc>
      </w:tr>
      <w:tr w:rsidR="00087E71" w:rsidRPr="0032233B" w14:paraId="159DE76D" w14:textId="77777777" w:rsidTr="00087E71">
        <w:trPr>
          <w:trHeight w:val="300"/>
        </w:trPr>
        <w:tc>
          <w:tcPr>
            <w:tcW w:w="1077" w:type="dxa"/>
            <w:tcBorders>
              <w:top w:val="nil"/>
              <w:left w:val="nil"/>
              <w:bottom w:val="nil"/>
              <w:right w:val="single" w:sz="4" w:space="0" w:color="auto"/>
            </w:tcBorders>
            <w:shd w:val="clear" w:color="auto" w:fill="auto"/>
            <w:vAlign w:val="center"/>
            <w:hideMark/>
          </w:tcPr>
          <w:p w14:paraId="3F7A19DF" w14:textId="658D4DDE" w:rsidR="00087E71" w:rsidRPr="0032233B" w:rsidRDefault="00087E71" w:rsidP="00087E71">
            <w:pPr>
              <w:spacing w:after="0" w:line="240" w:lineRule="auto"/>
              <w:jc w:val="center"/>
              <w:rPr>
                <w:rFonts w:cs="Arial"/>
                <w:color w:val="000000"/>
                <w:sz w:val="16"/>
                <w:szCs w:val="16"/>
              </w:rPr>
            </w:pPr>
            <w:r>
              <w:rPr>
                <w:rFonts w:cs="Arial"/>
                <w:color w:val="000000"/>
                <w:sz w:val="16"/>
                <w:szCs w:val="16"/>
              </w:rPr>
              <w:t>2016</w:t>
            </w:r>
          </w:p>
        </w:tc>
        <w:tc>
          <w:tcPr>
            <w:tcW w:w="710" w:type="dxa"/>
            <w:tcBorders>
              <w:top w:val="nil"/>
              <w:left w:val="nil"/>
              <w:bottom w:val="nil"/>
              <w:right w:val="nil"/>
            </w:tcBorders>
            <w:shd w:val="clear" w:color="auto" w:fill="auto"/>
            <w:vAlign w:val="center"/>
            <w:hideMark/>
          </w:tcPr>
          <w:p w14:paraId="4A3F5787" w14:textId="5812BA8F" w:rsidR="00087E71" w:rsidRPr="0032233B" w:rsidRDefault="00087E71" w:rsidP="00087E71">
            <w:pPr>
              <w:spacing w:after="0" w:line="240" w:lineRule="auto"/>
              <w:jc w:val="right"/>
              <w:rPr>
                <w:rFonts w:cs="Arial"/>
                <w:color w:val="000000"/>
                <w:sz w:val="16"/>
                <w:szCs w:val="16"/>
              </w:rPr>
            </w:pPr>
            <w:r>
              <w:rPr>
                <w:rFonts w:cs="Arial"/>
                <w:color w:val="000000"/>
                <w:sz w:val="16"/>
                <w:szCs w:val="16"/>
              </w:rPr>
              <w:t>47 379</w:t>
            </w:r>
          </w:p>
        </w:tc>
        <w:tc>
          <w:tcPr>
            <w:tcW w:w="709" w:type="dxa"/>
            <w:tcBorders>
              <w:top w:val="nil"/>
              <w:left w:val="nil"/>
              <w:bottom w:val="nil"/>
              <w:right w:val="nil"/>
            </w:tcBorders>
            <w:shd w:val="clear" w:color="auto" w:fill="auto"/>
            <w:noWrap/>
            <w:vAlign w:val="center"/>
            <w:hideMark/>
          </w:tcPr>
          <w:p w14:paraId="7B0DB5DF" w14:textId="4E376028" w:rsidR="00087E71" w:rsidRPr="0032233B" w:rsidRDefault="00087E71" w:rsidP="00087E71">
            <w:pPr>
              <w:spacing w:after="0" w:line="240" w:lineRule="auto"/>
              <w:jc w:val="right"/>
              <w:rPr>
                <w:rFonts w:cs="Arial"/>
                <w:color w:val="000000"/>
                <w:sz w:val="16"/>
                <w:szCs w:val="16"/>
              </w:rPr>
            </w:pPr>
            <w:r>
              <w:rPr>
                <w:rFonts w:cs="Arial"/>
                <w:color w:val="000000"/>
                <w:sz w:val="16"/>
                <w:szCs w:val="16"/>
              </w:rPr>
              <w:t>32 592</w:t>
            </w:r>
          </w:p>
        </w:tc>
        <w:tc>
          <w:tcPr>
            <w:tcW w:w="709" w:type="dxa"/>
            <w:tcBorders>
              <w:top w:val="nil"/>
              <w:left w:val="nil"/>
              <w:bottom w:val="nil"/>
              <w:right w:val="single" w:sz="4" w:space="0" w:color="auto"/>
            </w:tcBorders>
            <w:shd w:val="clear" w:color="auto" w:fill="auto"/>
            <w:noWrap/>
            <w:vAlign w:val="center"/>
            <w:hideMark/>
          </w:tcPr>
          <w:p w14:paraId="5807386D" w14:textId="28F91F34" w:rsidR="00087E71" w:rsidRPr="0032233B" w:rsidRDefault="00087E71" w:rsidP="00087E71">
            <w:pPr>
              <w:spacing w:after="0" w:line="240" w:lineRule="auto"/>
              <w:jc w:val="right"/>
              <w:rPr>
                <w:rFonts w:cs="Arial"/>
                <w:color w:val="000000"/>
                <w:sz w:val="16"/>
                <w:szCs w:val="16"/>
              </w:rPr>
            </w:pPr>
            <w:r>
              <w:rPr>
                <w:rFonts w:cs="Arial"/>
                <w:color w:val="000000"/>
                <w:sz w:val="16"/>
                <w:szCs w:val="16"/>
              </w:rPr>
              <w:t>14 787</w:t>
            </w:r>
          </w:p>
        </w:tc>
        <w:tc>
          <w:tcPr>
            <w:tcW w:w="710" w:type="dxa"/>
            <w:tcBorders>
              <w:top w:val="nil"/>
              <w:left w:val="nil"/>
              <w:bottom w:val="nil"/>
              <w:right w:val="nil"/>
            </w:tcBorders>
            <w:shd w:val="clear" w:color="auto" w:fill="auto"/>
            <w:noWrap/>
            <w:vAlign w:val="center"/>
            <w:hideMark/>
          </w:tcPr>
          <w:p w14:paraId="280C96B9" w14:textId="35D0F868" w:rsidR="00087E71" w:rsidRPr="0032233B" w:rsidRDefault="00087E71" w:rsidP="00087E71">
            <w:pPr>
              <w:spacing w:after="0" w:line="240" w:lineRule="auto"/>
              <w:jc w:val="right"/>
              <w:rPr>
                <w:rFonts w:cs="Arial"/>
                <w:color w:val="000000"/>
                <w:sz w:val="16"/>
                <w:szCs w:val="16"/>
              </w:rPr>
            </w:pPr>
            <w:r>
              <w:rPr>
                <w:rFonts w:cs="Arial"/>
                <w:color w:val="000000"/>
                <w:sz w:val="16"/>
                <w:szCs w:val="16"/>
              </w:rPr>
              <w:t>46 713</w:t>
            </w:r>
          </w:p>
        </w:tc>
        <w:tc>
          <w:tcPr>
            <w:tcW w:w="709" w:type="dxa"/>
            <w:tcBorders>
              <w:top w:val="nil"/>
              <w:left w:val="nil"/>
              <w:bottom w:val="nil"/>
              <w:right w:val="nil"/>
            </w:tcBorders>
            <w:shd w:val="clear" w:color="auto" w:fill="auto"/>
            <w:vAlign w:val="center"/>
            <w:hideMark/>
          </w:tcPr>
          <w:p w14:paraId="05FF0AFB" w14:textId="3B4645A5" w:rsidR="00087E71" w:rsidRPr="0032233B" w:rsidRDefault="00087E71" w:rsidP="00087E71">
            <w:pPr>
              <w:spacing w:after="0" w:line="240" w:lineRule="auto"/>
              <w:jc w:val="right"/>
              <w:rPr>
                <w:rFonts w:cs="Arial"/>
                <w:color w:val="000000"/>
                <w:sz w:val="16"/>
                <w:szCs w:val="16"/>
              </w:rPr>
            </w:pPr>
            <w:r>
              <w:rPr>
                <w:rFonts w:cs="Arial"/>
                <w:color w:val="000000"/>
                <w:sz w:val="16"/>
                <w:szCs w:val="16"/>
              </w:rPr>
              <w:t>32 102</w:t>
            </w:r>
          </w:p>
        </w:tc>
        <w:tc>
          <w:tcPr>
            <w:tcW w:w="709" w:type="dxa"/>
            <w:tcBorders>
              <w:top w:val="nil"/>
              <w:left w:val="nil"/>
              <w:bottom w:val="nil"/>
              <w:right w:val="single" w:sz="4" w:space="0" w:color="auto"/>
            </w:tcBorders>
            <w:shd w:val="clear" w:color="auto" w:fill="auto"/>
            <w:vAlign w:val="center"/>
            <w:hideMark/>
          </w:tcPr>
          <w:p w14:paraId="2454F582" w14:textId="6F7BB873" w:rsidR="00087E71" w:rsidRPr="0032233B" w:rsidRDefault="00087E71" w:rsidP="00087E71">
            <w:pPr>
              <w:spacing w:after="0" w:line="240" w:lineRule="auto"/>
              <w:jc w:val="right"/>
              <w:rPr>
                <w:rFonts w:cs="Arial"/>
                <w:color w:val="000000"/>
                <w:sz w:val="16"/>
                <w:szCs w:val="16"/>
              </w:rPr>
            </w:pPr>
            <w:r>
              <w:rPr>
                <w:rFonts w:cs="Arial"/>
                <w:color w:val="000000"/>
                <w:sz w:val="16"/>
                <w:szCs w:val="16"/>
              </w:rPr>
              <w:t>14 611</w:t>
            </w:r>
          </w:p>
        </w:tc>
        <w:tc>
          <w:tcPr>
            <w:tcW w:w="710" w:type="dxa"/>
            <w:tcBorders>
              <w:top w:val="nil"/>
              <w:left w:val="nil"/>
              <w:bottom w:val="nil"/>
              <w:right w:val="nil"/>
            </w:tcBorders>
            <w:shd w:val="clear" w:color="auto" w:fill="auto"/>
            <w:vAlign w:val="center"/>
            <w:hideMark/>
          </w:tcPr>
          <w:p w14:paraId="6A5B4A26" w14:textId="171F6AA0" w:rsidR="00087E71" w:rsidRPr="0032233B" w:rsidRDefault="00087E71" w:rsidP="00087E71">
            <w:pPr>
              <w:spacing w:after="0" w:line="240" w:lineRule="auto"/>
              <w:jc w:val="right"/>
              <w:rPr>
                <w:rFonts w:cs="Arial"/>
                <w:color w:val="000000"/>
                <w:sz w:val="16"/>
                <w:szCs w:val="16"/>
              </w:rPr>
            </w:pPr>
            <w:r>
              <w:rPr>
                <w:rFonts w:cs="Arial"/>
                <w:color w:val="000000"/>
                <w:sz w:val="16"/>
                <w:szCs w:val="16"/>
              </w:rPr>
              <w:t>1 315</w:t>
            </w:r>
          </w:p>
        </w:tc>
        <w:tc>
          <w:tcPr>
            <w:tcW w:w="709" w:type="dxa"/>
            <w:tcBorders>
              <w:top w:val="nil"/>
              <w:left w:val="nil"/>
              <w:bottom w:val="nil"/>
              <w:right w:val="nil"/>
            </w:tcBorders>
            <w:shd w:val="clear" w:color="auto" w:fill="auto"/>
            <w:vAlign w:val="center"/>
            <w:hideMark/>
          </w:tcPr>
          <w:p w14:paraId="4B389069" w14:textId="5A21E0D2" w:rsidR="00087E71" w:rsidRPr="0032233B" w:rsidRDefault="00087E71" w:rsidP="00087E71">
            <w:pPr>
              <w:spacing w:after="0" w:line="240" w:lineRule="auto"/>
              <w:jc w:val="right"/>
              <w:rPr>
                <w:rFonts w:cs="Arial"/>
                <w:color w:val="000000"/>
                <w:sz w:val="16"/>
                <w:szCs w:val="16"/>
              </w:rPr>
            </w:pPr>
            <w:r>
              <w:rPr>
                <w:rFonts w:cs="Arial"/>
                <w:color w:val="000000"/>
                <w:sz w:val="16"/>
                <w:szCs w:val="16"/>
              </w:rPr>
              <w:t>1 088</w:t>
            </w:r>
          </w:p>
        </w:tc>
        <w:tc>
          <w:tcPr>
            <w:tcW w:w="709" w:type="dxa"/>
            <w:tcBorders>
              <w:top w:val="nil"/>
              <w:left w:val="nil"/>
              <w:bottom w:val="nil"/>
              <w:right w:val="single" w:sz="4" w:space="0" w:color="auto"/>
            </w:tcBorders>
            <w:shd w:val="clear" w:color="auto" w:fill="auto"/>
            <w:vAlign w:val="center"/>
            <w:hideMark/>
          </w:tcPr>
          <w:p w14:paraId="5408E89B" w14:textId="76981EEA" w:rsidR="00087E71" w:rsidRPr="0032233B" w:rsidRDefault="00087E71" w:rsidP="00087E71">
            <w:pPr>
              <w:spacing w:after="0" w:line="240" w:lineRule="auto"/>
              <w:jc w:val="right"/>
              <w:rPr>
                <w:rFonts w:cs="Arial"/>
                <w:color w:val="000000"/>
                <w:sz w:val="16"/>
                <w:szCs w:val="16"/>
              </w:rPr>
            </w:pPr>
            <w:r>
              <w:rPr>
                <w:rFonts w:cs="Arial"/>
                <w:color w:val="000000"/>
                <w:sz w:val="16"/>
                <w:szCs w:val="16"/>
              </w:rPr>
              <w:t>227</w:t>
            </w:r>
          </w:p>
        </w:tc>
        <w:tc>
          <w:tcPr>
            <w:tcW w:w="710" w:type="dxa"/>
            <w:tcBorders>
              <w:top w:val="nil"/>
              <w:left w:val="single" w:sz="4" w:space="0" w:color="auto"/>
              <w:bottom w:val="nil"/>
              <w:right w:val="nil"/>
            </w:tcBorders>
            <w:vAlign w:val="center"/>
          </w:tcPr>
          <w:p w14:paraId="74D061B0" w14:textId="6A2B356F" w:rsidR="00087E71" w:rsidRPr="0032233B" w:rsidRDefault="00087E71" w:rsidP="00087E71">
            <w:pPr>
              <w:spacing w:after="0" w:line="240" w:lineRule="auto"/>
              <w:jc w:val="right"/>
              <w:rPr>
                <w:rFonts w:cs="Arial"/>
                <w:sz w:val="16"/>
                <w:szCs w:val="16"/>
              </w:rPr>
            </w:pPr>
            <w:r>
              <w:rPr>
                <w:rFonts w:cs="Arial"/>
                <w:color w:val="000000"/>
                <w:sz w:val="16"/>
                <w:szCs w:val="16"/>
              </w:rPr>
              <w:t>104</w:t>
            </w:r>
          </w:p>
        </w:tc>
        <w:tc>
          <w:tcPr>
            <w:tcW w:w="709" w:type="dxa"/>
            <w:tcBorders>
              <w:top w:val="nil"/>
              <w:left w:val="nil"/>
              <w:bottom w:val="nil"/>
              <w:right w:val="nil"/>
            </w:tcBorders>
            <w:vAlign w:val="center"/>
          </w:tcPr>
          <w:p w14:paraId="7940A5E7" w14:textId="24414EC8" w:rsidR="00087E71" w:rsidRPr="0032233B" w:rsidRDefault="00087E71" w:rsidP="00087E71">
            <w:pPr>
              <w:spacing w:after="0" w:line="240" w:lineRule="auto"/>
              <w:jc w:val="right"/>
              <w:rPr>
                <w:rFonts w:cs="Arial"/>
                <w:sz w:val="16"/>
                <w:szCs w:val="16"/>
              </w:rPr>
            </w:pPr>
            <w:r>
              <w:rPr>
                <w:rFonts w:cs="Arial"/>
                <w:color w:val="000000"/>
                <w:sz w:val="16"/>
                <w:szCs w:val="16"/>
              </w:rPr>
              <w:t>101</w:t>
            </w:r>
          </w:p>
        </w:tc>
        <w:tc>
          <w:tcPr>
            <w:tcW w:w="709" w:type="dxa"/>
            <w:tcBorders>
              <w:top w:val="nil"/>
              <w:left w:val="nil"/>
              <w:bottom w:val="nil"/>
              <w:right w:val="nil"/>
            </w:tcBorders>
            <w:vAlign w:val="center"/>
          </w:tcPr>
          <w:p w14:paraId="4029909F" w14:textId="3354D1B7" w:rsidR="00087E71" w:rsidRPr="0032233B" w:rsidRDefault="00087E71" w:rsidP="00087E71">
            <w:pPr>
              <w:spacing w:after="0" w:line="240" w:lineRule="auto"/>
              <w:jc w:val="right"/>
              <w:rPr>
                <w:rFonts w:cs="Arial"/>
                <w:sz w:val="16"/>
                <w:szCs w:val="16"/>
              </w:rPr>
            </w:pPr>
            <w:r>
              <w:rPr>
                <w:rFonts w:cs="Arial"/>
                <w:color w:val="000000"/>
                <w:sz w:val="16"/>
                <w:szCs w:val="16"/>
              </w:rPr>
              <w:t>3</w:t>
            </w:r>
          </w:p>
        </w:tc>
      </w:tr>
      <w:tr w:rsidR="00087E71" w:rsidRPr="0032233B" w14:paraId="311FFD2C" w14:textId="77777777" w:rsidTr="00087E71">
        <w:trPr>
          <w:trHeight w:val="300"/>
        </w:trPr>
        <w:tc>
          <w:tcPr>
            <w:tcW w:w="1077" w:type="dxa"/>
            <w:tcBorders>
              <w:top w:val="nil"/>
              <w:left w:val="nil"/>
              <w:bottom w:val="nil"/>
              <w:right w:val="single" w:sz="4" w:space="0" w:color="auto"/>
            </w:tcBorders>
            <w:shd w:val="clear" w:color="auto" w:fill="auto"/>
            <w:vAlign w:val="center"/>
            <w:hideMark/>
          </w:tcPr>
          <w:p w14:paraId="65C3F4E5" w14:textId="4F2E9503" w:rsidR="00087E71" w:rsidRPr="0032233B" w:rsidRDefault="00087E71" w:rsidP="00087E71">
            <w:pPr>
              <w:spacing w:after="0" w:line="240" w:lineRule="auto"/>
              <w:jc w:val="center"/>
              <w:rPr>
                <w:rFonts w:cs="Arial"/>
                <w:color w:val="000000"/>
                <w:sz w:val="16"/>
                <w:szCs w:val="16"/>
              </w:rPr>
            </w:pPr>
            <w:r>
              <w:rPr>
                <w:rFonts w:cs="Arial"/>
                <w:color w:val="000000"/>
                <w:sz w:val="16"/>
                <w:szCs w:val="16"/>
              </w:rPr>
              <w:t>2017</w:t>
            </w:r>
          </w:p>
        </w:tc>
        <w:tc>
          <w:tcPr>
            <w:tcW w:w="710" w:type="dxa"/>
            <w:tcBorders>
              <w:top w:val="nil"/>
              <w:left w:val="nil"/>
              <w:bottom w:val="nil"/>
              <w:right w:val="nil"/>
            </w:tcBorders>
            <w:shd w:val="clear" w:color="auto" w:fill="auto"/>
            <w:noWrap/>
            <w:vAlign w:val="center"/>
            <w:hideMark/>
          </w:tcPr>
          <w:p w14:paraId="2996ED27" w14:textId="21D2E14B" w:rsidR="00087E71" w:rsidRPr="0032233B" w:rsidRDefault="00087E71" w:rsidP="00087E71">
            <w:pPr>
              <w:spacing w:after="0" w:line="240" w:lineRule="auto"/>
              <w:jc w:val="right"/>
              <w:rPr>
                <w:rFonts w:cs="Arial"/>
                <w:color w:val="000000"/>
                <w:sz w:val="16"/>
                <w:szCs w:val="16"/>
              </w:rPr>
            </w:pPr>
            <w:r>
              <w:rPr>
                <w:rFonts w:cs="Arial"/>
                <w:color w:val="000000"/>
                <w:sz w:val="16"/>
                <w:szCs w:val="16"/>
              </w:rPr>
              <w:t>47 491</w:t>
            </w:r>
          </w:p>
        </w:tc>
        <w:tc>
          <w:tcPr>
            <w:tcW w:w="709" w:type="dxa"/>
            <w:tcBorders>
              <w:top w:val="nil"/>
              <w:left w:val="nil"/>
              <w:bottom w:val="nil"/>
              <w:right w:val="nil"/>
            </w:tcBorders>
            <w:shd w:val="clear" w:color="auto" w:fill="auto"/>
            <w:noWrap/>
            <w:vAlign w:val="center"/>
            <w:hideMark/>
          </w:tcPr>
          <w:p w14:paraId="1E14C397" w14:textId="1EA8DE31" w:rsidR="00087E71" w:rsidRPr="0032233B" w:rsidRDefault="00087E71" w:rsidP="00087E71">
            <w:pPr>
              <w:spacing w:after="0" w:line="240" w:lineRule="auto"/>
              <w:jc w:val="right"/>
              <w:rPr>
                <w:rFonts w:cs="Arial"/>
                <w:color w:val="000000"/>
                <w:sz w:val="16"/>
                <w:szCs w:val="16"/>
              </w:rPr>
            </w:pPr>
            <w:r>
              <w:rPr>
                <w:rFonts w:cs="Arial"/>
                <w:color w:val="000000"/>
                <w:sz w:val="16"/>
                <w:szCs w:val="16"/>
              </w:rPr>
              <w:t>32 575</w:t>
            </w:r>
          </w:p>
        </w:tc>
        <w:tc>
          <w:tcPr>
            <w:tcW w:w="709" w:type="dxa"/>
            <w:tcBorders>
              <w:top w:val="nil"/>
              <w:left w:val="nil"/>
              <w:bottom w:val="nil"/>
              <w:right w:val="single" w:sz="4" w:space="0" w:color="auto"/>
            </w:tcBorders>
            <w:shd w:val="clear" w:color="auto" w:fill="auto"/>
            <w:noWrap/>
            <w:vAlign w:val="center"/>
            <w:hideMark/>
          </w:tcPr>
          <w:p w14:paraId="1DA04A34" w14:textId="4CFEF122" w:rsidR="00087E71" w:rsidRPr="0032233B" w:rsidRDefault="00087E71" w:rsidP="00087E71">
            <w:pPr>
              <w:spacing w:after="0" w:line="240" w:lineRule="auto"/>
              <w:jc w:val="right"/>
              <w:rPr>
                <w:rFonts w:cs="Arial"/>
                <w:color w:val="000000"/>
                <w:sz w:val="16"/>
                <w:szCs w:val="16"/>
              </w:rPr>
            </w:pPr>
            <w:r>
              <w:rPr>
                <w:rFonts w:cs="Arial"/>
                <w:color w:val="000000"/>
                <w:sz w:val="16"/>
                <w:szCs w:val="16"/>
              </w:rPr>
              <w:t>14 916</w:t>
            </w:r>
          </w:p>
        </w:tc>
        <w:tc>
          <w:tcPr>
            <w:tcW w:w="710" w:type="dxa"/>
            <w:tcBorders>
              <w:top w:val="nil"/>
              <w:left w:val="nil"/>
              <w:bottom w:val="nil"/>
              <w:right w:val="nil"/>
            </w:tcBorders>
            <w:shd w:val="clear" w:color="auto" w:fill="auto"/>
            <w:noWrap/>
            <w:vAlign w:val="center"/>
            <w:hideMark/>
          </w:tcPr>
          <w:p w14:paraId="294B7845" w14:textId="19072529" w:rsidR="00087E71" w:rsidRPr="0032233B" w:rsidRDefault="00087E71" w:rsidP="00087E71">
            <w:pPr>
              <w:spacing w:after="0" w:line="240" w:lineRule="auto"/>
              <w:jc w:val="right"/>
              <w:rPr>
                <w:rFonts w:cs="Arial"/>
                <w:color w:val="000000"/>
                <w:sz w:val="16"/>
                <w:szCs w:val="16"/>
              </w:rPr>
            </w:pPr>
            <w:r>
              <w:rPr>
                <w:rFonts w:cs="Arial"/>
                <w:color w:val="000000"/>
                <w:sz w:val="16"/>
                <w:szCs w:val="16"/>
              </w:rPr>
              <w:t>46 870</w:t>
            </w:r>
          </w:p>
        </w:tc>
        <w:tc>
          <w:tcPr>
            <w:tcW w:w="709" w:type="dxa"/>
            <w:tcBorders>
              <w:top w:val="nil"/>
              <w:left w:val="nil"/>
              <w:bottom w:val="nil"/>
              <w:right w:val="nil"/>
            </w:tcBorders>
            <w:shd w:val="clear" w:color="auto" w:fill="auto"/>
            <w:vAlign w:val="center"/>
            <w:hideMark/>
          </w:tcPr>
          <w:p w14:paraId="4F51BE91" w14:textId="46DEFCF0" w:rsidR="00087E71" w:rsidRPr="0032233B" w:rsidRDefault="00087E71" w:rsidP="00087E71">
            <w:pPr>
              <w:spacing w:after="0" w:line="240" w:lineRule="auto"/>
              <w:jc w:val="right"/>
              <w:rPr>
                <w:rFonts w:cs="Arial"/>
                <w:color w:val="000000"/>
                <w:sz w:val="16"/>
                <w:szCs w:val="16"/>
              </w:rPr>
            </w:pPr>
            <w:r>
              <w:rPr>
                <w:rFonts w:cs="Arial"/>
                <w:color w:val="000000"/>
                <w:sz w:val="16"/>
                <w:szCs w:val="16"/>
              </w:rPr>
              <w:t>32 120</w:t>
            </w:r>
          </w:p>
        </w:tc>
        <w:tc>
          <w:tcPr>
            <w:tcW w:w="709" w:type="dxa"/>
            <w:tcBorders>
              <w:top w:val="nil"/>
              <w:left w:val="nil"/>
              <w:bottom w:val="nil"/>
              <w:right w:val="single" w:sz="4" w:space="0" w:color="auto"/>
            </w:tcBorders>
            <w:shd w:val="clear" w:color="auto" w:fill="auto"/>
            <w:vAlign w:val="center"/>
            <w:hideMark/>
          </w:tcPr>
          <w:p w14:paraId="0E088FCE" w14:textId="06E0C556" w:rsidR="00087E71" w:rsidRPr="0032233B" w:rsidRDefault="00087E71" w:rsidP="00087E71">
            <w:pPr>
              <w:spacing w:after="0" w:line="240" w:lineRule="auto"/>
              <w:jc w:val="right"/>
              <w:rPr>
                <w:rFonts w:cs="Arial"/>
                <w:color w:val="000000"/>
                <w:sz w:val="16"/>
                <w:szCs w:val="16"/>
              </w:rPr>
            </w:pPr>
            <w:r>
              <w:rPr>
                <w:rFonts w:cs="Arial"/>
                <w:color w:val="000000"/>
                <w:sz w:val="16"/>
                <w:szCs w:val="16"/>
              </w:rPr>
              <w:t>14 750</w:t>
            </w:r>
          </w:p>
        </w:tc>
        <w:tc>
          <w:tcPr>
            <w:tcW w:w="710" w:type="dxa"/>
            <w:tcBorders>
              <w:top w:val="nil"/>
              <w:left w:val="nil"/>
              <w:bottom w:val="nil"/>
              <w:right w:val="nil"/>
            </w:tcBorders>
            <w:shd w:val="clear" w:color="auto" w:fill="auto"/>
            <w:vAlign w:val="center"/>
            <w:hideMark/>
          </w:tcPr>
          <w:p w14:paraId="79817E1E" w14:textId="11BD99DD" w:rsidR="00087E71" w:rsidRPr="0032233B" w:rsidRDefault="00087E71" w:rsidP="00087E71">
            <w:pPr>
              <w:spacing w:after="0" w:line="240" w:lineRule="auto"/>
              <w:jc w:val="right"/>
              <w:rPr>
                <w:rFonts w:cs="Arial"/>
                <w:color w:val="000000"/>
                <w:sz w:val="16"/>
                <w:szCs w:val="16"/>
              </w:rPr>
            </w:pPr>
            <w:r>
              <w:rPr>
                <w:rFonts w:cs="Arial"/>
                <w:color w:val="000000"/>
                <w:sz w:val="16"/>
                <w:szCs w:val="16"/>
              </w:rPr>
              <w:t>1 146</w:t>
            </w:r>
          </w:p>
        </w:tc>
        <w:tc>
          <w:tcPr>
            <w:tcW w:w="709" w:type="dxa"/>
            <w:tcBorders>
              <w:top w:val="nil"/>
              <w:left w:val="nil"/>
              <w:bottom w:val="nil"/>
              <w:right w:val="nil"/>
            </w:tcBorders>
            <w:shd w:val="clear" w:color="auto" w:fill="auto"/>
            <w:vAlign w:val="center"/>
            <w:hideMark/>
          </w:tcPr>
          <w:p w14:paraId="77D02C26" w14:textId="5A0571B6" w:rsidR="00087E71" w:rsidRPr="0032233B" w:rsidRDefault="00087E71" w:rsidP="00087E71">
            <w:pPr>
              <w:spacing w:after="0" w:line="240" w:lineRule="auto"/>
              <w:jc w:val="right"/>
              <w:rPr>
                <w:rFonts w:cs="Arial"/>
                <w:color w:val="000000"/>
                <w:sz w:val="16"/>
                <w:szCs w:val="16"/>
              </w:rPr>
            </w:pPr>
            <w:r>
              <w:rPr>
                <w:rFonts w:cs="Arial"/>
                <w:color w:val="000000"/>
                <w:sz w:val="16"/>
                <w:szCs w:val="16"/>
              </w:rPr>
              <w:t>964</w:t>
            </w:r>
          </w:p>
        </w:tc>
        <w:tc>
          <w:tcPr>
            <w:tcW w:w="709" w:type="dxa"/>
            <w:tcBorders>
              <w:top w:val="nil"/>
              <w:left w:val="nil"/>
              <w:bottom w:val="nil"/>
              <w:right w:val="single" w:sz="4" w:space="0" w:color="auto"/>
            </w:tcBorders>
            <w:shd w:val="clear" w:color="auto" w:fill="auto"/>
            <w:vAlign w:val="center"/>
            <w:hideMark/>
          </w:tcPr>
          <w:p w14:paraId="083A9356" w14:textId="7372923C" w:rsidR="00087E71" w:rsidRPr="0032233B" w:rsidRDefault="00087E71" w:rsidP="00087E71">
            <w:pPr>
              <w:spacing w:after="0" w:line="240" w:lineRule="auto"/>
              <w:jc w:val="right"/>
              <w:rPr>
                <w:rFonts w:cs="Arial"/>
                <w:color w:val="000000"/>
                <w:sz w:val="16"/>
                <w:szCs w:val="16"/>
              </w:rPr>
            </w:pPr>
            <w:r>
              <w:rPr>
                <w:rFonts w:cs="Arial"/>
                <w:color w:val="000000"/>
                <w:sz w:val="16"/>
                <w:szCs w:val="16"/>
              </w:rPr>
              <w:t>182</w:t>
            </w:r>
          </w:p>
        </w:tc>
        <w:tc>
          <w:tcPr>
            <w:tcW w:w="710" w:type="dxa"/>
            <w:tcBorders>
              <w:top w:val="nil"/>
              <w:left w:val="single" w:sz="4" w:space="0" w:color="auto"/>
              <w:bottom w:val="nil"/>
              <w:right w:val="nil"/>
            </w:tcBorders>
            <w:vAlign w:val="center"/>
          </w:tcPr>
          <w:p w14:paraId="4A330283" w14:textId="5F06B38A" w:rsidR="00087E71" w:rsidRPr="0032233B" w:rsidRDefault="00087E71" w:rsidP="00087E71">
            <w:pPr>
              <w:spacing w:after="0" w:line="240" w:lineRule="auto"/>
              <w:jc w:val="right"/>
              <w:rPr>
                <w:rFonts w:cs="Arial"/>
                <w:sz w:val="16"/>
                <w:szCs w:val="16"/>
              </w:rPr>
            </w:pPr>
            <w:r>
              <w:rPr>
                <w:rFonts w:cs="Arial"/>
                <w:color w:val="000000"/>
                <w:sz w:val="16"/>
                <w:szCs w:val="16"/>
              </w:rPr>
              <w:t>95</w:t>
            </w:r>
          </w:p>
        </w:tc>
        <w:tc>
          <w:tcPr>
            <w:tcW w:w="709" w:type="dxa"/>
            <w:tcBorders>
              <w:top w:val="nil"/>
              <w:left w:val="nil"/>
              <w:bottom w:val="nil"/>
              <w:right w:val="nil"/>
            </w:tcBorders>
            <w:vAlign w:val="center"/>
          </w:tcPr>
          <w:p w14:paraId="21F4453E" w14:textId="0BE7D73A" w:rsidR="00087E71" w:rsidRPr="0032233B" w:rsidRDefault="00087E71" w:rsidP="00087E71">
            <w:pPr>
              <w:spacing w:after="0" w:line="240" w:lineRule="auto"/>
              <w:jc w:val="right"/>
              <w:rPr>
                <w:rFonts w:cs="Arial"/>
                <w:sz w:val="16"/>
                <w:szCs w:val="16"/>
              </w:rPr>
            </w:pPr>
            <w:r>
              <w:rPr>
                <w:rFonts w:cs="Arial"/>
                <w:color w:val="000000"/>
                <w:sz w:val="16"/>
                <w:szCs w:val="16"/>
              </w:rPr>
              <w:t>91</w:t>
            </w:r>
          </w:p>
        </w:tc>
        <w:tc>
          <w:tcPr>
            <w:tcW w:w="709" w:type="dxa"/>
            <w:tcBorders>
              <w:top w:val="nil"/>
              <w:left w:val="nil"/>
              <w:bottom w:val="nil"/>
              <w:right w:val="nil"/>
            </w:tcBorders>
            <w:vAlign w:val="center"/>
          </w:tcPr>
          <w:p w14:paraId="33111359" w14:textId="0BDDBFE3" w:rsidR="00087E71" w:rsidRPr="0032233B" w:rsidRDefault="00087E71" w:rsidP="00087E71">
            <w:pPr>
              <w:spacing w:after="0" w:line="240" w:lineRule="auto"/>
              <w:jc w:val="right"/>
              <w:rPr>
                <w:rFonts w:cs="Arial"/>
                <w:sz w:val="16"/>
                <w:szCs w:val="16"/>
              </w:rPr>
            </w:pPr>
            <w:r>
              <w:rPr>
                <w:rFonts w:cs="Arial"/>
                <w:color w:val="000000"/>
                <w:sz w:val="16"/>
                <w:szCs w:val="16"/>
              </w:rPr>
              <w:t>4</w:t>
            </w:r>
          </w:p>
        </w:tc>
      </w:tr>
      <w:tr w:rsidR="00087E71" w:rsidRPr="0032233B" w14:paraId="0DCA772B" w14:textId="77777777" w:rsidTr="00087E71">
        <w:trPr>
          <w:trHeight w:val="300"/>
        </w:trPr>
        <w:tc>
          <w:tcPr>
            <w:tcW w:w="1077" w:type="dxa"/>
            <w:tcBorders>
              <w:top w:val="nil"/>
              <w:left w:val="nil"/>
              <w:bottom w:val="nil"/>
              <w:right w:val="single" w:sz="4" w:space="0" w:color="auto"/>
            </w:tcBorders>
            <w:shd w:val="clear" w:color="auto" w:fill="auto"/>
            <w:vAlign w:val="center"/>
            <w:hideMark/>
          </w:tcPr>
          <w:p w14:paraId="33405189" w14:textId="726301DE" w:rsidR="00087E71" w:rsidRPr="0032233B" w:rsidRDefault="00087E71" w:rsidP="00087E71">
            <w:pPr>
              <w:spacing w:after="0" w:line="240" w:lineRule="auto"/>
              <w:jc w:val="center"/>
              <w:rPr>
                <w:rFonts w:cs="Arial"/>
                <w:color w:val="000000"/>
                <w:sz w:val="16"/>
                <w:szCs w:val="16"/>
              </w:rPr>
            </w:pPr>
            <w:r>
              <w:rPr>
                <w:rFonts w:cs="Arial"/>
                <w:color w:val="000000"/>
                <w:sz w:val="16"/>
                <w:szCs w:val="16"/>
              </w:rPr>
              <w:t>2018</w:t>
            </w:r>
          </w:p>
        </w:tc>
        <w:tc>
          <w:tcPr>
            <w:tcW w:w="710" w:type="dxa"/>
            <w:tcBorders>
              <w:top w:val="nil"/>
              <w:left w:val="nil"/>
              <w:bottom w:val="nil"/>
              <w:right w:val="nil"/>
            </w:tcBorders>
            <w:shd w:val="clear" w:color="auto" w:fill="auto"/>
            <w:noWrap/>
            <w:vAlign w:val="center"/>
            <w:hideMark/>
          </w:tcPr>
          <w:p w14:paraId="4584B25C" w14:textId="7CD2794A" w:rsidR="00087E71" w:rsidRPr="0032233B" w:rsidRDefault="00087E71" w:rsidP="00087E71">
            <w:pPr>
              <w:spacing w:after="0" w:line="240" w:lineRule="auto"/>
              <w:jc w:val="right"/>
              <w:rPr>
                <w:rFonts w:cs="Arial"/>
                <w:color w:val="000000"/>
                <w:sz w:val="16"/>
                <w:szCs w:val="16"/>
              </w:rPr>
            </w:pPr>
            <w:r>
              <w:rPr>
                <w:rFonts w:cs="Arial"/>
                <w:color w:val="000000"/>
                <w:sz w:val="16"/>
                <w:szCs w:val="16"/>
              </w:rPr>
              <w:t>46 223</w:t>
            </w:r>
          </w:p>
        </w:tc>
        <w:tc>
          <w:tcPr>
            <w:tcW w:w="709" w:type="dxa"/>
            <w:tcBorders>
              <w:top w:val="nil"/>
              <w:left w:val="nil"/>
              <w:bottom w:val="nil"/>
              <w:right w:val="nil"/>
            </w:tcBorders>
            <w:shd w:val="clear" w:color="auto" w:fill="auto"/>
            <w:noWrap/>
            <w:vAlign w:val="center"/>
            <w:hideMark/>
          </w:tcPr>
          <w:p w14:paraId="0EBB591A" w14:textId="325793BD" w:rsidR="00087E71" w:rsidRPr="0032233B" w:rsidRDefault="00087E71" w:rsidP="00087E71">
            <w:pPr>
              <w:spacing w:after="0" w:line="240" w:lineRule="auto"/>
              <w:jc w:val="right"/>
              <w:rPr>
                <w:rFonts w:cs="Arial"/>
                <w:color w:val="000000"/>
                <w:sz w:val="16"/>
                <w:szCs w:val="16"/>
              </w:rPr>
            </w:pPr>
            <w:r>
              <w:rPr>
                <w:rFonts w:cs="Arial"/>
                <w:color w:val="000000"/>
                <w:sz w:val="16"/>
                <w:szCs w:val="16"/>
              </w:rPr>
              <w:t>31 340</w:t>
            </w:r>
          </w:p>
        </w:tc>
        <w:tc>
          <w:tcPr>
            <w:tcW w:w="709" w:type="dxa"/>
            <w:tcBorders>
              <w:top w:val="nil"/>
              <w:left w:val="nil"/>
              <w:bottom w:val="nil"/>
              <w:right w:val="single" w:sz="4" w:space="0" w:color="auto"/>
            </w:tcBorders>
            <w:shd w:val="clear" w:color="auto" w:fill="auto"/>
            <w:noWrap/>
            <w:vAlign w:val="center"/>
            <w:hideMark/>
          </w:tcPr>
          <w:p w14:paraId="44560094" w14:textId="6CE43557" w:rsidR="00087E71" w:rsidRPr="0032233B" w:rsidRDefault="00087E71" w:rsidP="00087E71">
            <w:pPr>
              <w:spacing w:after="0" w:line="240" w:lineRule="auto"/>
              <w:jc w:val="right"/>
              <w:rPr>
                <w:rFonts w:cs="Arial"/>
                <w:color w:val="000000"/>
                <w:sz w:val="16"/>
                <w:szCs w:val="16"/>
              </w:rPr>
            </w:pPr>
            <w:r>
              <w:rPr>
                <w:rFonts w:cs="Arial"/>
                <w:color w:val="000000"/>
                <w:sz w:val="16"/>
                <w:szCs w:val="16"/>
              </w:rPr>
              <w:t>14 883</w:t>
            </w:r>
          </w:p>
        </w:tc>
        <w:tc>
          <w:tcPr>
            <w:tcW w:w="710" w:type="dxa"/>
            <w:tcBorders>
              <w:top w:val="nil"/>
              <w:left w:val="nil"/>
              <w:bottom w:val="nil"/>
              <w:right w:val="nil"/>
            </w:tcBorders>
            <w:shd w:val="clear" w:color="auto" w:fill="auto"/>
            <w:noWrap/>
            <w:vAlign w:val="center"/>
            <w:hideMark/>
          </w:tcPr>
          <w:p w14:paraId="32610835" w14:textId="527744B6" w:rsidR="00087E71" w:rsidRPr="0032233B" w:rsidRDefault="00087E71" w:rsidP="00087E71">
            <w:pPr>
              <w:spacing w:after="0" w:line="240" w:lineRule="auto"/>
              <w:jc w:val="right"/>
              <w:rPr>
                <w:rFonts w:cs="Arial"/>
                <w:color w:val="000000"/>
                <w:sz w:val="16"/>
                <w:szCs w:val="16"/>
              </w:rPr>
            </w:pPr>
            <w:r>
              <w:rPr>
                <w:rFonts w:cs="Arial"/>
                <w:color w:val="000000"/>
                <w:sz w:val="16"/>
                <w:szCs w:val="16"/>
              </w:rPr>
              <w:t>45 666</w:t>
            </w:r>
          </w:p>
        </w:tc>
        <w:tc>
          <w:tcPr>
            <w:tcW w:w="709" w:type="dxa"/>
            <w:tcBorders>
              <w:top w:val="nil"/>
              <w:left w:val="nil"/>
              <w:bottom w:val="nil"/>
              <w:right w:val="nil"/>
            </w:tcBorders>
            <w:shd w:val="clear" w:color="auto" w:fill="auto"/>
            <w:vAlign w:val="center"/>
            <w:hideMark/>
          </w:tcPr>
          <w:p w14:paraId="4F8495F2" w14:textId="788A34E7" w:rsidR="00087E71" w:rsidRPr="0032233B" w:rsidRDefault="00087E71" w:rsidP="00087E71">
            <w:pPr>
              <w:spacing w:after="0" w:line="240" w:lineRule="auto"/>
              <w:jc w:val="right"/>
              <w:rPr>
                <w:rFonts w:cs="Arial"/>
                <w:color w:val="000000"/>
                <w:sz w:val="16"/>
                <w:szCs w:val="16"/>
              </w:rPr>
            </w:pPr>
            <w:r>
              <w:rPr>
                <w:rFonts w:cs="Arial"/>
                <w:color w:val="000000"/>
                <w:sz w:val="16"/>
                <w:szCs w:val="16"/>
              </w:rPr>
              <w:t>30 947</w:t>
            </w:r>
          </w:p>
        </w:tc>
        <w:tc>
          <w:tcPr>
            <w:tcW w:w="709" w:type="dxa"/>
            <w:tcBorders>
              <w:top w:val="nil"/>
              <w:left w:val="nil"/>
              <w:bottom w:val="nil"/>
              <w:right w:val="single" w:sz="4" w:space="0" w:color="auto"/>
            </w:tcBorders>
            <w:shd w:val="clear" w:color="auto" w:fill="auto"/>
            <w:vAlign w:val="center"/>
            <w:hideMark/>
          </w:tcPr>
          <w:p w14:paraId="2C7943B3" w14:textId="044BA15D" w:rsidR="00087E71" w:rsidRPr="0032233B" w:rsidRDefault="00087E71" w:rsidP="00087E71">
            <w:pPr>
              <w:spacing w:after="0" w:line="240" w:lineRule="auto"/>
              <w:jc w:val="right"/>
              <w:rPr>
                <w:rFonts w:cs="Arial"/>
                <w:color w:val="000000"/>
                <w:sz w:val="16"/>
                <w:szCs w:val="16"/>
              </w:rPr>
            </w:pPr>
            <w:r>
              <w:rPr>
                <w:rFonts w:cs="Arial"/>
                <w:color w:val="000000"/>
                <w:sz w:val="16"/>
                <w:szCs w:val="16"/>
              </w:rPr>
              <w:t>14 719</w:t>
            </w:r>
          </w:p>
        </w:tc>
        <w:tc>
          <w:tcPr>
            <w:tcW w:w="710" w:type="dxa"/>
            <w:tcBorders>
              <w:top w:val="nil"/>
              <w:left w:val="nil"/>
              <w:bottom w:val="nil"/>
              <w:right w:val="nil"/>
            </w:tcBorders>
            <w:shd w:val="clear" w:color="auto" w:fill="auto"/>
            <w:vAlign w:val="center"/>
            <w:hideMark/>
          </w:tcPr>
          <w:p w14:paraId="4326FB40" w14:textId="3A153474" w:rsidR="00087E71" w:rsidRPr="0032233B" w:rsidRDefault="00087E71" w:rsidP="00087E71">
            <w:pPr>
              <w:spacing w:after="0" w:line="240" w:lineRule="auto"/>
              <w:jc w:val="right"/>
              <w:rPr>
                <w:rFonts w:cs="Arial"/>
                <w:color w:val="000000"/>
                <w:sz w:val="16"/>
                <w:szCs w:val="16"/>
              </w:rPr>
            </w:pPr>
            <w:r>
              <w:rPr>
                <w:rFonts w:cs="Arial"/>
                <w:color w:val="000000"/>
                <w:sz w:val="16"/>
                <w:szCs w:val="16"/>
              </w:rPr>
              <w:t>1 148</w:t>
            </w:r>
          </w:p>
        </w:tc>
        <w:tc>
          <w:tcPr>
            <w:tcW w:w="709" w:type="dxa"/>
            <w:tcBorders>
              <w:top w:val="nil"/>
              <w:left w:val="nil"/>
              <w:bottom w:val="nil"/>
              <w:right w:val="nil"/>
            </w:tcBorders>
            <w:shd w:val="clear" w:color="auto" w:fill="auto"/>
            <w:vAlign w:val="center"/>
            <w:hideMark/>
          </w:tcPr>
          <w:p w14:paraId="49819C31" w14:textId="01A5FE97" w:rsidR="00087E71" w:rsidRPr="0032233B" w:rsidRDefault="00087E71" w:rsidP="00087E71">
            <w:pPr>
              <w:spacing w:after="0" w:line="240" w:lineRule="auto"/>
              <w:jc w:val="right"/>
              <w:rPr>
                <w:rFonts w:cs="Arial"/>
                <w:color w:val="000000"/>
                <w:sz w:val="16"/>
                <w:szCs w:val="16"/>
              </w:rPr>
            </w:pPr>
            <w:r>
              <w:rPr>
                <w:rFonts w:cs="Arial"/>
                <w:color w:val="000000"/>
                <w:sz w:val="16"/>
                <w:szCs w:val="16"/>
              </w:rPr>
              <w:t>933</w:t>
            </w:r>
          </w:p>
        </w:tc>
        <w:tc>
          <w:tcPr>
            <w:tcW w:w="709" w:type="dxa"/>
            <w:tcBorders>
              <w:top w:val="nil"/>
              <w:left w:val="nil"/>
              <w:bottom w:val="nil"/>
              <w:right w:val="single" w:sz="4" w:space="0" w:color="auto"/>
            </w:tcBorders>
            <w:shd w:val="clear" w:color="auto" w:fill="auto"/>
            <w:vAlign w:val="center"/>
            <w:hideMark/>
          </w:tcPr>
          <w:p w14:paraId="0C51EAC1" w14:textId="0F27A1B8" w:rsidR="00087E71" w:rsidRPr="0032233B" w:rsidRDefault="00087E71" w:rsidP="00087E71">
            <w:pPr>
              <w:spacing w:after="0" w:line="240" w:lineRule="auto"/>
              <w:jc w:val="right"/>
              <w:rPr>
                <w:rFonts w:cs="Arial"/>
                <w:color w:val="000000"/>
                <w:sz w:val="16"/>
                <w:szCs w:val="16"/>
              </w:rPr>
            </w:pPr>
            <w:r>
              <w:rPr>
                <w:rFonts w:cs="Arial"/>
                <w:color w:val="000000"/>
                <w:sz w:val="16"/>
                <w:szCs w:val="16"/>
              </w:rPr>
              <w:t>215</w:t>
            </w:r>
          </w:p>
        </w:tc>
        <w:tc>
          <w:tcPr>
            <w:tcW w:w="710" w:type="dxa"/>
            <w:tcBorders>
              <w:top w:val="nil"/>
              <w:left w:val="single" w:sz="4" w:space="0" w:color="auto"/>
              <w:bottom w:val="nil"/>
              <w:right w:val="nil"/>
            </w:tcBorders>
            <w:vAlign w:val="center"/>
          </w:tcPr>
          <w:p w14:paraId="3DA7B79E" w14:textId="3B8EA1A6" w:rsidR="00087E71" w:rsidRPr="0032233B" w:rsidRDefault="00087E71" w:rsidP="00087E71">
            <w:pPr>
              <w:spacing w:after="0" w:line="240" w:lineRule="auto"/>
              <w:jc w:val="right"/>
              <w:rPr>
                <w:rFonts w:cs="Arial"/>
                <w:sz w:val="16"/>
                <w:szCs w:val="16"/>
              </w:rPr>
            </w:pPr>
            <w:r>
              <w:rPr>
                <w:rFonts w:cs="Arial"/>
                <w:color w:val="000000"/>
                <w:sz w:val="16"/>
                <w:szCs w:val="16"/>
              </w:rPr>
              <w:t>123</w:t>
            </w:r>
          </w:p>
        </w:tc>
        <w:tc>
          <w:tcPr>
            <w:tcW w:w="709" w:type="dxa"/>
            <w:tcBorders>
              <w:top w:val="nil"/>
              <w:left w:val="nil"/>
              <w:bottom w:val="nil"/>
              <w:right w:val="nil"/>
            </w:tcBorders>
            <w:vAlign w:val="center"/>
          </w:tcPr>
          <w:p w14:paraId="663C0981" w14:textId="405ED690" w:rsidR="00087E71" w:rsidRPr="0032233B" w:rsidRDefault="00087E71" w:rsidP="00087E71">
            <w:pPr>
              <w:spacing w:after="0" w:line="240" w:lineRule="auto"/>
              <w:jc w:val="right"/>
              <w:rPr>
                <w:rFonts w:cs="Arial"/>
                <w:sz w:val="16"/>
                <w:szCs w:val="16"/>
              </w:rPr>
            </w:pPr>
            <w:r>
              <w:rPr>
                <w:rFonts w:cs="Arial"/>
                <w:color w:val="000000"/>
                <w:sz w:val="16"/>
                <w:szCs w:val="16"/>
              </w:rPr>
              <w:t>117</w:t>
            </w:r>
          </w:p>
        </w:tc>
        <w:tc>
          <w:tcPr>
            <w:tcW w:w="709" w:type="dxa"/>
            <w:tcBorders>
              <w:top w:val="nil"/>
              <w:left w:val="nil"/>
              <w:bottom w:val="nil"/>
              <w:right w:val="nil"/>
            </w:tcBorders>
            <w:vAlign w:val="center"/>
          </w:tcPr>
          <w:p w14:paraId="2845834A" w14:textId="49A1F9C1" w:rsidR="00087E71" w:rsidRPr="0032233B" w:rsidRDefault="00087E71" w:rsidP="00087E71">
            <w:pPr>
              <w:spacing w:after="0" w:line="240" w:lineRule="auto"/>
              <w:jc w:val="right"/>
              <w:rPr>
                <w:rFonts w:cs="Arial"/>
                <w:sz w:val="16"/>
                <w:szCs w:val="16"/>
              </w:rPr>
            </w:pPr>
            <w:r>
              <w:rPr>
                <w:rFonts w:cs="Arial"/>
                <w:color w:val="000000"/>
                <w:sz w:val="16"/>
                <w:szCs w:val="16"/>
              </w:rPr>
              <w:t>6</w:t>
            </w:r>
          </w:p>
        </w:tc>
      </w:tr>
      <w:tr w:rsidR="00087E71" w:rsidRPr="0032233B" w14:paraId="269F3CA8" w14:textId="77777777" w:rsidTr="00087E71">
        <w:trPr>
          <w:trHeight w:val="300"/>
        </w:trPr>
        <w:tc>
          <w:tcPr>
            <w:tcW w:w="1077" w:type="dxa"/>
            <w:tcBorders>
              <w:top w:val="nil"/>
              <w:left w:val="nil"/>
              <w:bottom w:val="nil"/>
              <w:right w:val="single" w:sz="4" w:space="0" w:color="auto"/>
            </w:tcBorders>
            <w:shd w:val="clear" w:color="auto" w:fill="auto"/>
            <w:vAlign w:val="center"/>
            <w:hideMark/>
          </w:tcPr>
          <w:p w14:paraId="2B4A5276" w14:textId="5BAB5122" w:rsidR="00087E71" w:rsidRPr="0032233B" w:rsidRDefault="00087E71" w:rsidP="00087E71">
            <w:pPr>
              <w:spacing w:after="0" w:line="240" w:lineRule="auto"/>
              <w:jc w:val="center"/>
              <w:rPr>
                <w:rFonts w:cs="Arial"/>
                <w:color w:val="000000"/>
                <w:sz w:val="16"/>
                <w:szCs w:val="16"/>
              </w:rPr>
            </w:pPr>
            <w:r>
              <w:rPr>
                <w:rFonts w:cs="Arial"/>
                <w:color w:val="000000"/>
                <w:sz w:val="16"/>
                <w:szCs w:val="16"/>
              </w:rPr>
              <w:t>2019</w:t>
            </w:r>
          </w:p>
        </w:tc>
        <w:tc>
          <w:tcPr>
            <w:tcW w:w="710" w:type="dxa"/>
            <w:tcBorders>
              <w:top w:val="nil"/>
              <w:left w:val="nil"/>
              <w:bottom w:val="nil"/>
              <w:right w:val="nil"/>
            </w:tcBorders>
            <w:shd w:val="clear" w:color="auto" w:fill="auto"/>
            <w:vAlign w:val="center"/>
            <w:hideMark/>
          </w:tcPr>
          <w:p w14:paraId="5D4A484A" w14:textId="02413986" w:rsidR="00087E71" w:rsidRPr="0032233B" w:rsidRDefault="00087E71" w:rsidP="00087E71">
            <w:pPr>
              <w:spacing w:after="0" w:line="240" w:lineRule="auto"/>
              <w:jc w:val="right"/>
              <w:rPr>
                <w:rFonts w:cs="Arial"/>
                <w:color w:val="000000"/>
                <w:sz w:val="16"/>
                <w:szCs w:val="16"/>
              </w:rPr>
            </w:pPr>
            <w:r>
              <w:rPr>
                <w:rFonts w:cs="Arial"/>
                <w:color w:val="000000"/>
                <w:sz w:val="16"/>
                <w:szCs w:val="16"/>
              </w:rPr>
              <w:t>44 552</w:t>
            </w:r>
          </w:p>
        </w:tc>
        <w:tc>
          <w:tcPr>
            <w:tcW w:w="709" w:type="dxa"/>
            <w:tcBorders>
              <w:top w:val="nil"/>
              <w:left w:val="nil"/>
              <w:bottom w:val="nil"/>
              <w:right w:val="nil"/>
            </w:tcBorders>
            <w:shd w:val="clear" w:color="auto" w:fill="auto"/>
            <w:noWrap/>
            <w:vAlign w:val="center"/>
            <w:hideMark/>
          </w:tcPr>
          <w:p w14:paraId="05C42D68" w14:textId="4507CF73" w:rsidR="00087E71" w:rsidRPr="0032233B" w:rsidRDefault="00087E71" w:rsidP="00087E71">
            <w:pPr>
              <w:spacing w:after="0" w:line="240" w:lineRule="auto"/>
              <w:jc w:val="right"/>
              <w:rPr>
                <w:rFonts w:cs="Arial"/>
                <w:color w:val="000000"/>
                <w:sz w:val="16"/>
                <w:szCs w:val="16"/>
              </w:rPr>
            </w:pPr>
            <w:r>
              <w:rPr>
                <w:rFonts w:cs="Arial"/>
                <w:color w:val="000000"/>
                <w:sz w:val="16"/>
                <w:szCs w:val="16"/>
              </w:rPr>
              <w:t>30 068</w:t>
            </w:r>
          </w:p>
        </w:tc>
        <w:tc>
          <w:tcPr>
            <w:tcW w:w="709" w:type="dxa"/>
            <w:tcBorders>
              <w:top w:val="nil"/>
              <w:left w:val="nil"/>
              <w:bottom w:val="nil"/>
              <w:right w:val="single" w:sz="4" w:space="0" w:color="auto"/>
            </w:tcBorders>
            <w:shd w:val="clear" w:color="auto" w:fill="auto"/>
            <w:noWrap/>
            <w:vAlign w:val="center"/>
            <w:hideMark/>
          </w:tcPr>
          <w:p w14:paraId="520E9F2F" w14:textId="548382CD" w:rsidR="00087E71" w:rsidRPr="0032233B" w:rsidRDefault="00087E71" w:rsidP="00087E71">
            <w:pPr>
              <w:spacing w:after="0" w:line="240" w:lineRule="auto"/>
              <w:jc w:val="right"/>
              <w:rPr>
                <w:rFonts w:cs="Arial"/>
                <w:color w:val="000000"/>
                <w:sz w:val="16"/>
                <w:szCs w:val="16"/>
              </w:rPr>
            </w:pPr>
            <w:r>
              <w:rPr>
                <w:rFonts w:cs="Arial"/>
                <w:color w:val="000000"/>
                <w:sz w:val="16"/>
                <w:szCs w:val="16"/>
              </w:rPr>
              <w:t>14 484</w:t>
            </w:r>
          </w:p>
        </w:tc>
        <w:tc>
          <w:tcPr>
            <w:tcW w:w="710" w:type="dxa"/>
            <w:tcBorders>
              <w:top w:val="nil"/>
              <w:left w:val="nil"/>
              <w:bottom w:val="nil"/>
              <w:right w:val="nil"/>
            </w:tcBorders>
            <w:shd w:val="clear" w:color="auto" w:fill="auto"/>
            <w:noWrap/>
            <w:vAlign w:val="center"/>
            <w:hideMark/>
          </w:tcPr>
          <w:p w14:paraId="15FDB4F4" w14:textId="64606D60" w:rsidR="00087E71" w:rsidRPr="0032233B" w:rsidRDefault="00087E71" w:rsidP="00087E71">
            <w:pPr>
              <w:spacing w:after="0" w:line="240" w:lineRule="auto"/>
              <w:jc w:val="right"/>
              <w:rPr>
                <w:rFonts w:cs="Arial"/>
                <w:color w:val="000000"/>
                <w:sz w:val="16"/>
                <w:szCs w:val="16"/>
              </w:rPr>
            </w:pPr>
            <w:r>
              <w:rPr>
                <w:rFonts w:cs="Arial"/>
                <w:color w:val="000000"/>
                <w:sz w:val="16"/>
                <w:szCs w:val="16"/>
              </w:rPr>
              <w:t>43 959</w:t>
            </w:r>
          </w:p>
        </w:tc>
        <w:tc>
          <w:tcPr>
            <w:tcW w:w="709" w:type="dxa"/>
            <w:tcBorders>
              <w:top w:val="nil"/>
              <w:left w:val="nil"/>
              <w:bottom w:val="nil"/>
              <w:right w:val="nil"/>
            </w:tcBorders>
            <w:shd w:val="clear" w:color="auto" w:fill="auto"/>
            <w:vAlign w:val="center"/>
            <w:hideMark/>
          </w:tcPr>
          <w:p w14:paraId="4113B72D" w14:textId="559BD731" w:rsidR="00087E71" w:rsidRPr="0032233B" w:rsidRDefault="00087E71" w:rsidP="00087E71">
            <w:pPr>
              <w:spacing w:after="0" w:line="240" w:lineRule="auto"/>
              <w:jc w:val="right"/>
              <w:rPr>
                <w:rFonts w:cs="Arial"/>
                <w:color w:val="000000"/>
                <w:sz w:val="16"/>
                <w:szCs w:val="16"/>
              </w:rPr>
            </w:pPr>
            <w:r>
              <w:rPr>
                <w:rFonts w:cs="Arial"/>
                <w:color w:val="000000"/>
                <w:sz w:val="16"/>
                <w:szCs w:val="16"/>
              </w:rPr>
              <w:t>29 663</w:t>
            </w:r>
          </w:p>
        </w:tc>
        <w:tc>
          <w:tcPr>
            <w:tcW w:w="709" w:type="dxa"/>
            <w:tcBorders>
              <w:top w:val="nil"/>
              <w:left w:val="nil"/>
              <w:bottom w:val="nil"/>
              <w:right w:val="single" w:sz="4" w:space="0" w:color="auto"/>
            </w:tcBorders>
            <w:shd w:val="clear" w:color="auto" w:fill="auto"/>
            <w:vAlign w:val="center"/>
            <w:hideMark/>
          </w:tcPr>
          <w:p w14:paraId="2C671E94" w14:textId="1DAA2ED5" w:rsidR="00087E71" w:rsidRPr="0032233B" w:rsidRDefault="00087E71" w:rsidP="00087E71">
            <w:pPr>
              <w:spacing w:after="0" w:line="240" w:lineRule="auto"/>
              <w:jc w:val="right"/>
              <w:rPr>
                <w:rFonts w:cs="Arial"/>
                <w:color w:val="000000"/>
                <w:sz w:val="16"/>
                <w:szCs w:val="16"/>
              </w:rPr>
            </w:pPr>
            <w:r>
              <w:rPr>
                <w:rFonts w:cs="Arial"/>
                <w:color w:val="000000"/>
                <w:sz w:val="16"/>
                <w:szCs w:val="16"/>
              </w:rPr>
              <w:t>14 296</w:t>
            </w:r>
          </w:p>
        </w:tc>
        <w:tc>
          <w:tcPr>
            <w:tcW w:w="710" w:type="dxa"/>
            <w:tcBorders>
              <w:top w:val="nil"/>
              <w:left w:val="nil"/>
              <w:bottom w:val="nil"/>
              <w:right w:val="nil"/>
            </w:tcBorders>
            <w:shd w:val="clear" w:color="auto" w:fill="auto"/>
            <w:vAlign w:val="center"/>
            <w:hideMark/>
          </w:tcPr>
          <w:p w14:paraId="0B0CD675" w14:textId="5BF4F583" w:rsidR="00087E71" w:rsidRPr="0032233B" w:rsidRDefault="00087E71" w:rsidP="00087E71">
            <w:pPr>
              <w:spacing w:after="0" w:line="240" w:lineRule="auto"/>
              <w:jc w:val="right"/>
              <w:rPr>
                <w:rFonts w:cs="Arial"/>
                <w:color w:val="000000"/>
                <w:sz w:val="16"/>
                <w:szCs w:val="16"/>
              </w:rPr>
            </w:pPr>
            <w:r>
              <w:rPr>
                <w:rFonts w:cs="Arial"/>
                <w:color w:val="000000"/>
                <w:sz w:val="16"/>
                <w:szCs w:val="16"/>
              </w:rPr>
              <w:t>1 007</w:t>
            </w:r>
          </w:p>
        </w:tc>
        <w:tc>
          <w:tcPr>
            <w:tcW w:w="709" w:type="dxa"/>
            <w:tcBorders>
              <w:top w:val="nil"/>
              <w:left w:val="nil"/>
              <w:bottom w:val="nil"/>
              <w:right w:val="nil"/>
            </w:tcBorders>
            <w:shd w:val="clear" w:color="auto" w:fill="auto"/>
            <w:vAlign w:val="center"/>
            <w:hideMark/>
          </w:tcPr>
          <w:p w14:paraId="068BECF2" w14:textId="20F0E7A9" w:rsidR="00087E71" w:rsidRPr="0032233B" w:rsidRDefault="00087E71" w:rsidP="00087E71">
            <w:pPr>
              <w:spacing w:after="0" w:line="240" w:lineRule="auto"/>
              <w:jc w:val="right"/>
              <w:rPr>
                <w:rFonts w:cs="Arial"/>
                <w:color w:val="000000"/>
                <w:sz w:val="16"/>
                <w:szCs w:val="16"/>
              </w:rPr>
            </w:pPr>
            <w:r>
              <w:rPr>
                <w:rFonts w:cs="Arial"/>
                <w:color w:val="000000"/>
                <w:sz w:val="16"/>
                <w:szCs w:val="16"/>
              </w:rPr>
              <w:t>820</w:t>
            </w:r>
          </w:p>
        </w:tc>
        <w:tc>
          <w:tcPr>
            <w:tcW w:w="709" w:type="dxa"/>
            <w:tcBorders>
              <w:top w:val="nil"/>
              <w:left w:val="nil"/>
              <w:bottom w:val="nil"/>
              <w:right w:val="single" w:sz="4" w:space="0" w:color="auto"/>
            </w:tcBorders>
            <w:shd w:val="clear" w:color="auto" w:fill="auto"/>
            <w:vAlign w:val="center"/>
            <w:hideMark/>
          </w:tcPr>
          <w:p w14:paraId="410DBA5C" w14:textId="2DE625EF" w:rsidR="00087E71" w:rsidRPr="0032233B" w:rsidRDefault="00087E71" w:rsidP="00087E71">
            <w:pPr>
              <w:spacing w:after="0" w:line="240" w:lineRule="auto"/>
              <w:jc w:val="right"/>
              <w:rPr>
                <w:rFonts w:cs="Arial"/>
                <w:color w:val="000000"/>
                <w:sz w:val="16"/>
                <w:szCs w:val="16"/>
              </w:rPr>
            </w:pPr>
            <w:r>
              <w:rPr>
                <w:rFonts w:cs="Arial"/>
                <w:color w:val="000000"/>
                <w:sz w:val="16"/>
                <w:szCs w:val="16"/>
              </w:rPr>
              <w:t>187</w:t>
            </w:r>
          </w:p>
        </w:tc>
        <w:tc>
          <w:tcPr>
            <w:tcW w:w="710" w:type="dxa"/>
            <w:tcBorders>
              <w:top w:val="nil"/>
              <w:left w:val="single" w:sz="4" w:space="0" w:color="auto"/>
              <w:bottom w:val="nil"/>
              <w:right w:val="nil"/>
            </w:tcBorders>
            <w:vAlign w:val="center"/>
          </w:tcPr>
          <w:p w14:paraId="46B328F9" w14:textId="425942D6" w:rsidR="00087E71" w:rsidRPr="0032233B" w:rsidRDefault="00087E71" w:rsidP="00087E71">
            <w:pPr>
              <w:spacing w:after="0" w:line="240" w:lineRule="auto"/>
              <w:jc w:val="right"/>
              <w:rPr>
                <w:rFonts w:cs="Arial"/>
                <w:sz w:val="16"/>
                <w:szCs w:val="16"/>
              </w:rPr>
            </w:pPr>
            <w:r>
              <w:rPr>
                <w:rFonts w:cs="Arial"/>
                <w:color w:val="000000"/>
                <w:sz w:val="16"/>
                <w:szCs w:val="16"/>
              </w:rPr>
              <w:t>92</w:t>
            </w:r>
          </w:p>
        </w:tc>
        <w:tc>
          <w:tcPr>
            <w:tcW w:w="709" w:type="dxa"/>
            <w:tcBorders>
              <w:top w:val="nil"/>
              <w:left w:val="nil"/>
              <w:bottom w:val="nil"/>
              <w:right w:val="nil"/>
            </w:tcBorders>
            <w:vAlign w:val="center"/>
          </w:tcPr>
          <w:p w14:paraId="6237B238" w14:textId="60FD189C" w:rsidR="00087E71" w:rsidRPr="0032233B" w:rsidRDefault="00087E71" w:rsidP="00087E71">
            <w:pPr>
              <w:spacing w:after="0" w:line="240" w:lineRule="auto"/>
              <w:jc w:val="right"/>
              <w:rPr>
                <w:rFonts w:cs="Arial"/>
                <w:sz w:val="16"/>
                <w:szCs w:val="16"/>
              </w:rPr>
            </w:pPr>
            <w:r>
              <w:rPr>
                <w:rFonts w:cs="Arial"/>
                <w:color w:val="000000"/>
                <w:sz w:val="16"/>
                <w:szCs w:val="16"/>
              </w:rPr>
              <w:t>87</w:t>
            </w:r>
          </w:p>
        </w:tc>
        <w:tc>
          <w:tcPr>
            <w:tcW w:w="709" w:type="dxa"/>
            <w:tcBorders>
              <w:top w:val="nil"/>
              <w:left w:val="nil"/>
              <w:bottom w:val="nil"/>
              <w:right w:val="nil"/>
            </w:tcBorders>
            <w:vAlign w:val="center"/>
          </w:tcPr>
          <w:p w14:paraId="0DBCFF6A" w14:textId="4429BCAC" w:rsidR="00087E71" w:rsidRPr="0032233B" w:rsidRDefault="00087E71" w:rsidP="00087E71">
            <w:pPr>
              <w:spacing w:after="0" w:line="240" w:lineRule="auto"/>
              <w:jc w:val="right"/>
              <w:rPr>
                <w:rFonts w:cs="Arial"/>
                <w:sz w:val="16"/>
                <w:szCs w:val="16"/>
              </w:rPr>
            </w:pPr>
            <w:r>
              <w:rPr>
                <w:rFonts w:cs="Arial"/>
                <w:color w:val="000000"/>
                <w:sz w:val="16"/>
                <w:szCs w:val="16"/>
              </w:rPr>
              <w:t>5</w:t>
            </w:r>
          </w:p>
        </w:tc>
      </w:tr>
      <w:tr w:rsidR="00087E71" w:rsidRPr="0032233B" w14:paraId="2A86405B" w14:textId="77777777" w:rsidTr="00087E71">
        <w:trPr>
          <w:trHeight w:val="300"/>
        </w:trPr>
        <w:tc>
          <w:tcPr>
            <w:tcW w:w="1077" w:type="dxa"/>
            <w:tcBorders>
              <w:top w:val="nil"/>
              <w:left w:val="nil"/>
              <w:bottom w:val="nil"/>
              <w:right w:val="single" w:sz="4" w:space="0" w:color="auto"/>
            </w:tcBorders>
            <w:shd w:val="clear" w:color="auto" w:fill="auto"/>
            <w:vAlign w:val="center"/>
            <w:hideMark/>
          </w:tcPr>
          <w:p w14:paraId="45E6C6E2" w14:textId="4BF94341" w:rsidR="00087E71" w:rsidRPr="0032233B" w:rsidRDefault="00087E71" w:rsidP="00087E71">
            <w:pPr>
              <w:spacing w:after="0" w:line="240" w:lineRule="auto"/>
              <w:jc w:val="center"/>
              <w:rPr>
                <w:rFonts w:cs="Arial"/>
                <w:color w:val="000000"/>
                <w:sz w:val="16"/>
                <w:szCs w:val="16"/>
              </w:rPr>
            </w:pPr>
            <w:r>
              <w:rPr>
                <w:rFonts w:cs="Arial"/>
                <w:color w:val="000000"/>
                <w:sz w:val="16"/>
                <w:szCs w:val="16"/>
              </w:rPr>
              <w:t>2020</w:t>
            </w:r>
          </w:p>
        </w:tc>
        <w:tc>
          <w:tcPr>
            <w:tcW w:w="710" w:type="dxa"/>
            <w:tcBorders>
              <w:top w:val="nil"/>
              <w:left w:val="nil"/>
              <w:bottom w:val="nil"/>
              <w:right w:val="nil"/>
            </w:tcBorders>
            <w:shd w:val="clear" w:color="auto" w:fill="auto"/>
            <w:noWrap/>
            <w:vAlign w:val="center"/>
            <w:hideMark/>
          </w:tcPr>
          <w:p w14:paraId="41689B60" w14:textId="79C988B4" w:rsidR="00087E71" w:rsidRPr="0032233B" w:rsidRDefault="00087E71" w:rsidP="00087E71">
            <w:pPr>
              <w:spacing w:after="0" w:line="240" w:lineRule="auto"/>
              <w:jc w:val="right"/>
              <w:rPr>
                <w:rFonts w:cs="Arial"/>
                <w:color w:val="000000"/>
                <w:sz w:val="16"/>
                <w:szCs w:val="16"/>
              </w:rPr>
            </w:pPr>
            <w:r>
              <w:rPr>
                <w:rFonts w:cs="Arial"/>
                <w:color w:val="000000"/>
                <w:sz w:val="16"/>
                <w:szCs w:val="16"/>
              </w:rPr>
              <w:t>41 358</w:t>
            </w:r>
          </w:p>
        </w:tc>
        <w:tc>
          <w:tcPr>
            <w:tcW w:w="709" w:type="dxa"/>
            <w:tcBorders>
              <w:top w:val="nil"/>
              <w:left w:val="nil"/>
              <w:bottom w:val="nil"/>
              <w:right w:val="nil"/>
            </w:tcBorders>
            <w:shd w:val="clear" w:color="auto" w:fill="auto"/>
            <w:vAlign w:val="center"/>
            <w:hideMark/>
          </w:tcPr>
          <w:p w14:paraId="651D9275" w14:textId="4551B7D9" w:rsidR="00087E71" w:rsidRPr="0032233B" w:rsidRDefault="00087E71" w:rsidP="00087E71">
            <w:pPr>
              <w:spacing w:after="0" w:line="240" w:lineRule="auto"/>
              <w:jc w:val="right"/>
              <w:rPr>
                <w:rFonts w:cs="Arial"/>
                <w:color w:val="000000"/>
                <w:sz w:val="16"/>
                <w:szCs w:val="16"/>
              </w:rPr>
            </w:pPr>
            <w:r>
              <w:rPr>
                <w:rFonts w:cs="Arial"/>
                <w:color w:val="000000"/>
                <w:sz w:val="16"/>
                <w:szCs w:val="16"/>
              </w:rPr>
              <w:t>28 681</w:t>
            </w:r>
          </w:p>
        </w:tc>
        <w:tc>
          <w:tcPr>
            <w:tcW w:w="709" w:type="dxa"/>
            <w:tcBorders>
              <w:top w:val="nil"/>
              <w:left w:val="nil"/>
              <w:bottom w:val="nil"/>
              <w:right w:val="single" w:sz="4" w:space="0" w:color="auto"/>
            </w:tcBorders>
            <w:shd w:val="clear" w:color="auto" w:fill="auto"/>
            <w:vAlign w:val="center"/>
            <w:hideMark/>
          </w:tcPr>
          <w:p w14:paraId="3A887183" w14:textId="02A83857" w:rsidR="00087E71" w:rsidRPr="0032233B" w:rsidRDefault="00087E71" w:rsidP="00087E71">
            <w:pPr>
              <w:spacing w:after="0" w:line="240" w:lineRule="auto"/>
              <w:jc w:val="right"/>
              <w:rPr>
                <w:rFonts w:cs="Arial"/>
                <w:color w:val="000000"/>
                <w:sz w:val="16"/>
                <w:szCs w:val="16"/>
              </w:rPr>
            </w:pPr>
            <w:r>
              <w:rPr>
                <w:rFonts w:cs="Arial"/>
                <w:color w:val="000000"/>
                <w:sz w:val="16"/>
                <w:szCs w:val="16"/>
              </w:rPr>
              <w:t>12 677</w:t>
            </w:r>
          </w:p>
        </w:tc>
        <w:tc>
          <w:tcPr>
            <w:tcW w:w="710" w:type="dxa"/>
            <w:tcBorders>
              <w:top w:val="nil"/>
              <w:left w:val="nil"/>
              <w:bottom w:val="nil"/>
              <w:right w:val="nil"/>
            </w:tcBorders>
            <w:shd w:val="clear" w:color="auto" w:fill="auto"/>
            <w:noWrap/>
            <w:vAlign w:val="center"/>
            <w:hideMark/>
          </w:tcPr>
          <w:p w14:paraId="1F7794B8" w14:textId="53232C7A" w:rsidR="00087E71" w:rsidRPr="0032233B" w:rsidRDefault="00087E71" w:rsidP="00087E71">
            <w:pPr>
              <w:spacing w:after="0" w:line="240" w:lineRule="auto"/>
              <w:jc w:val="right"/>
              <w:rPr>
                <w:rFonts w:cs="Arial"/>
                <w:color w:val="000000"/>
                <w:sz w:val="16"/>
                <w:szCs w:val="16"/>
              </w:rPr>
            </w:pPr>
            <w:r>
              <w:rPr>
                <w:rFonts w:cs="Arial"/>
                <w:color w:val="000000"/>
                <w:sz w:val="16"/>
                <w:szCs w:val="16"/>
              </w:rPr>
              <w:t>40 569</w:t>
            </w:r>
          </w:p>
        </w:tc>
        <w:tc>
          <w:tcPr>
            <w:tcW w:w="709" w:type="dxa"/>
            <w:tcBorders>
              <w:top w:val="nil"/>
              <w:left w:val="nil"/>
              <w:bottom w:val="nil"/>
              <w:right w:val="nil"/>
            </w:tcBorders>
            <w:shd w:val="clear" w:color="auto" w:fill="auto"/>
            <w:vAlign w:val="center"/>
            <w:hideMark/>
          </w:tcPr>
          <w:p w14:paraId="4991206C" w14:textId="288449AA" w:rsidR="00087E71" w:rsidRPr="0032233B" w:rsidRDefault="00087E71" w:rsidP="00087E71">
            <w:pPr>
              <w:spacing w:after="0" w:line="240" w:lineRule="auto"/>
              <w:jc w:val="right"/>
              <w:rPr>
                <w:rFonts w:cs="Arial"/>
                <w:color w:val="000000"/>
                <w:sz w:val="16"/>
                <w:szCs w:val="16"/>
              </w:rPr>
            </w:pPr>
            <w:r>
              <w:rPr>
                <w:rFonts w:cs="Arial"/>
                <w:color w:val="000000"/>
                <w:sz w:val="16"/>
                <w:szCs w:val="16"/>
              </w:rPr>
              <w:t>28 104</w:t>
            </w:r>
          </w:p>
        </w:tc>
        <w:tc>
          <w:tcPr>
            <w:tcW w:w="709" w:type="dxa"/>
            <w:tcBorders>
              <w:top w:val="nil"/>
              <w:left w:val="nil"/>
              <w:bottom w:val="nil"/>
              <w:right w:val="single" w:sz="4" w:space="0" w:color="auto"/>
            </w:tcBorders>
            <w:shd w:val="clear" w:color="auto" w:fill="auto"/>
            <w:vAlign w:val="center"/>
            <w:hideMark/>
          </w:tcPr>
          <w:p w14:paraId="5F95B74F" w14:textId="18AE5C8F" w:rsidR="00087E71" w:rsidRPr="0032233B" w:rsidRDefault="00087E71" w:rsidP="00087E71">
            <w:pPr>
              <w:spacing w:after="0" w:line="240" w:lineRule="auto"/>
              <w:jc w:val="right"/>
              <w:rPr>
                <w:rFonts w:cs="Arial"/>
                <w:color w:val="000000"/>
                <w:sz w:val="16"/>
                <w:szCs w:val="16"/>
              </w:rPr>
            </w:pPr>
            <w:r>
              <w:rPr>
                <w:rFonts w:cs="Arial"/>
                <w:color w:val="000000"/>
                <w:sz w:val="16"/>
                <w:szCs w:val="16"/>
              </w:rPr>
              <w:t>12 465</w:t>
            </w:r>
          </w:p>
        </w:tc>
        <w:tc>
          <w:tcPr>
            <w:tcW w:w="710" w:type="dxa"/>
            <w:tcBorders>
              <w:top w:val="nil"/>
              <w:left w:val="nil"/>
              <w:bottom w:val="nil"/>
              <w:right w:val="nil"/>
            </w:tcBorders>
            <w:shd w:val="clear" w:color="auto" w:fill="auto"/>
            <w:vAlign w:val="center"/>
            <w:hideMark/>
          </w:tcPr>
          <w:p w14:paraId="0DA63701" w14:textId="48800625" w:rsidR="00087E71" w:rsidRPr="0032233B" w:rsidRDefault="00087E71" w:rsidP="00087E71">
            <w:pPr>
              <w:spacing w:after="0" w:line="240" w:lineRule="auto"/>
              <w:jc w:val="right"/>
              <w:rPr>
                <w:rFonts w:cs="Arial"/>
                <w:color w:val="000000"/>
                <w:sz w:val="16"/>
                <w:szCs w:val="16"/>
              </w:rPr>
            </w:pPr>
            <w:r>
              <w:rPr>
                <w:rFonts w:cs="Arial"/>
                <w:color w:val="000000"/>
                <w:sz w:val="16"/>
                <w:szCs w:val="16"/>
              </w:rPr>
              <w:t>830</w:t>
            </w:r>
          </w:p>
        </w:tc>
        <w:tc>
          <w:tcPr>
            <w:tcW w:w="709" w:type="dxa"/>
            <w:tcBorders>
              <w:top w:val="nil"/>
              <w:left w:val="nil"/>
              <w:bottom w:val="nil"/>
              <w:right w:val="nil"/>
            </w:tcBorders>
            <w:shd w:val="clear" w:color="auto" w:fill="auto"/>
            <w:vAlign w:val="center"/>
            <w:hideMark/>
          </w:tcPr>
          <w:p w14:paraId="3C98EB05" w14:textId="18606FB1" w:rsidR="00087E71" w:rsidRPr="0032233B" w:rsidRDefault="00087E71" w:rsidP="00087E71">
            <w:pPr>
              <w:spacing w:after="0" w:line="240" w:lineRule="auto"/>
              <w:jc w:val="right"/>
              <w:rPr>
                <w:rFonts w:cs="Arial"/>
                <w:color w:val="000000"/>
                <w:sz w:val="16"/>
                <w:szCs w:val="16"/>
              </w:rPr>
            </w:pPr>
            <w:r>
              <w:rPr>
                <w:rFonts w:cs="Arial"/>
                <w:color w:val="000000"/>
                <w:sz w:val="16"/>
                <w:szCs w:val="16"/>
              </w:rPr>
              <w:t>693</w:t>
            </w:r>
          </w:p>
        </w:tc>
        <w:tc>
          <w:tcPr>
            <w:tcW w:w="709" w:type="dxa"/>
            <w:tcBorders>
              <w:top w:val="nil"/>
              <w:left w:val="nil"/>
              <w:bottom w:val="nil"/>
              <w:right w:val="single" w:sz="4" w:space="0" w:color="auto"/>
            </w:tcBorders>
            <w:shd w:val="clear" w:color="auto" w:fill="auto"/>
            <w:vAlign w:val="center"/>
            <w:hideMark/>
          </w:tcPr>
          <w:p w14:paraId="517CE77F" w14:textId="721479C1" w:rsidR="00087E71" w:rsidRPr="0032233B" w:rsidRDefault="00087E71" w:rsidP="00087E71">
            <w:pPr>
              <w:spacing w:after="0" w:line="240" w:lineRule="auto"/>
              <w:jc w:val="right"/>
              <w:rPr>
                <w:rFonts w:cs="Arial"/>
                <w:color w:val="000000"/>
                <w:sz w:val="16"/>
                <w:szCs w:val="16"/>
              </w:rPr>
            </w:pPr>
            <w:r>
              <w:rPr>
                <w:rFonts w:cs="Arial"/>
                <w:color w:val="000000"/>
                <w:sz w:val="16"/>
                <w:szCs w:val="16"/>
              </w:rPr>
              <w:t>137</w:t>
            </w:r>
          </w:p>
        </w:tc>
        <w:tc>
          <w:tcPr>
            <w:tcW w:w="710" w:type="dxa"/>
            <w:tcBorders>
              <w:top w:val="nil"/>
              <w:left w:val="single" w:sz="4" w:space="0" w:color="auto"/>
              <w:bottom w:val="nil"/>
              <w:right w:val="nil"/>
            </w:tcBorders>
            <w:vAlign w:val="center"/>
          </w:tcPr>
          <w:p w14:paraId="3FC9D452" w14:textId="27CC7D4C" w:rsidR="00087E71" w:rsidRPr="0032233B" w:rsidRDefault="00087E71" w:rsidP="00087E71">
            <w:pPr>
              <w:spacing w:after="0" w:line="240" w:lineRule="auto"/>
              <w:jc w:val="right"/>
              <w:rPr>
                <w:rFonts w:cs="Arial"/>
                <w:sz w:val="16"/>
                <w:szCs w:val="16"/>
              </w:rPr>
            </w:pPr>
            <w:r>
              <w:rPr>
                <w:rFonts w:cs="Arial"/>
                <w:color w:val="000000"/>
                <w:sz w:val="16"/>
                <w:szCs w:val="16"/>
              </w:rPr>
              <w:t>108</w:t>
            </w:r>
          </w:p>
        </w:tc>
        <w:tc>
          <w:tcPr>
            <w:tcW w:w="709" w:type="dxa"/>
            <w:tcBorders>
              <w:top w:val="nil"/>
              <w:left w:val="nil"/>
              <w:bottom w:val="nil"/>
              <w:right w:val="nil"/>
            </w:tcBorders>
            <w:vAlign w:val="center"/>
          </w:tcPr>
          <w:p w14:paraId="3CE317D2" w14:textId="036A62A4" w:rsidR="00087E71" w:rsidRPr="0032233B" w:rsidRDefault="00087E71" w:rsidP="00087E71">
            <w:pPr>
              <w:spacing w:after="0" w:line="240" w:lineRule="auto"/>
              <w:jc w:val="right"/>
              <w:rPr>
                <w:rFonts w:cs="Arial"/>
                <w:sz w:val="16"/>
                <w:szCs w:val="16"/>
              </w:rPr>
            </w:pPr>
            <w:r>
              <w:rPr>
                <w:rFonts w:cs="Arial"/>
                <w:color w:val="000000"/>
                <w:sz w:val="16"/>
                <w:szCs w:val="16"/>
              </w:rPr>
              <w:t>105</w:t>
            </w:r>
          </w:p>
        </w:tc>
        <w:tc>
          <w:tcPr>
            <w:tcW w:w="709" w:type="dxa"/>
            <w:tcBorders>
              <w:top w:val="nil"/>
              <w:left w:val="nil"/>
              <w:bottom w:val="nil"/>
              <w:right w:val="nil"/>
            </w:tcBorders>
            <w:vAlign w:val="center"/>
          </w:tcPr>
          <w:p w14:paraId="6F159872" w14:textId="545E4647" w:rsidR="00087E71" w:rsidRPr="0032233B" w:rsidRDefault="00087E71" w:rsidP="00087E71">
            <w:pPr>
              <w:spacing w:after="0" w:line="240" w:lineRule="auto"/>
              <w:jc w:val="right"/>
              <w:rPr>
                <w:rFonts w:cs="Arial"/>
                <w:sz w:val="16"/>
                <w:szCs w:val="16"/>
              </w:rPr>
            </w:pPr>
            <w:r>
              <w:rPr>
                <w:rFonts w:cs="Arial"/>
                <w:color w:val="000000"/>
                <w:sz w:val="16"/>
                <w:szCs w:val="16"/>
              </w:rPr>
              <w:t>3</w:t>
            </w:r>
          </w:p>
        </w:tc>
      </w:tr>
      <w:tr w:rsidR="00087E71" w:rsidRPr="0032233B" w14:paraId="34285C8D" w14:textId="77777777" w:rsidTr="00087E71">
        <w:trPr>
          <w:trHeight w:val="300"/>
        </w:trPr>
        <w:tc>
          <w:tcPr>
            <w:tcW w:w="1077" w:type="dxa"/>
            <w:tcBorders>
              <w:top w:val="nil"/>
              <w:left w:val="nil"/>
              <w:bottom w:val="nil"/>
              <w:right w:val="single" w:sz="4" w:space="0" w:color="auto"/>
            </w:tcBorders>
            <w:shd w:val="clear" w:color="auto" w:fill="auto"/>
            <w:vAlign w:val="center"/>
            <w:hideMark/>
          </w:tcPr>
          <w:p w14:paraId="7B5FAF1C" w14:textId="02E2A106" w:rsidR="00087E71" w:rsidRPr="0032233B" w:rsidRDefault="00087E71" w:rsidP="00087E71">
            <w:pPr>
              <w:spacing w:after="0" w:line="240" w:lineRule="auto"/>
              <w:jc w:val="center"/>
              <w:rPr>
                <w:rFonts w:cs="Arial"/>
                <w:color w:val="000000"/>
                <w:sz w:val="16"/>
                <w:szCs w:val="16"/>
              </w:rPr>
            </w:pPr>
            <w:r>
              <w:rPr>
                <w:rFonts w:cs="Arial"/>
                <w:color w:val="000000"/>
                <w:sz w:val="16"/>
                <w:szCs w:val="16"/>
              </w:rPr>
              <w:t>2021</w:t>
            </w:r>
          </w:p>
        </w:tc>
        <w:tc>
          <w:tcPr>
            <w:tcW w:w="710" w:type="dxa"/>
            <w:tcBorders>
              <w:top w:val="nil"/>
              <w:left w:val="nil"/>
              <w:bottom w:val="nil"/>
              <w:right w:val="nil"/>
            </w:tcBorders>
            <w:shd w:val="clear" w:color="auto" w:fill="auto"/>
            <w:noWrap/>
            <w:vAlign w:val="center"/>
            <w:hideMark/>
          </w:tcPr>
          <w:p w14:paraId="20CDAD06" w14:textId="294EE90D" w:rsidR="00087E71" w:rsidRPr="0032233B" w:rsidRDefault="00087E71" w:rsidP="00087E71">
            <w:pPr>
              <w:spacing w:after="0" w:line="240" w:lineRule="auto"/>
              <w:jc w:val="right"/>
              <w:rPr>
                <w:rFonts w:cs="Arial"/>
                <w:color w:val="000000"/>
                <w:sz w:val="16"/>
                <w:szCs w:val="16"/>
              </w:rPr>
            </w:pPr>
            <w:r>
              <w:rPr>
                <w:rFonts w:cs="Arial"/>
                <w:color w:val="000000"/>
                <w:sz w:val="16"/>
                <w:szCs w:val="16"/>
              </w:rPr>
              <w:t>44 933</w:t>
            </w:r>
          </w:p>
        </w:tc>
        <w:tc>
          <w:tcPr>
            <w:tcW w:w="709" w:type="dxa"/>
            <w:tcBorders>
              <w:top w:val="nil"/>
              <w:left w:val="nil"/>
              <w:bottom w:val="nil"/>
              <w:right w:val="nil"/>
            </w:tcBorders>
            <w:shd w:val="clear" w:color="auto" w:fill="auto"/>
            <w:vAlign w:val="center"/>
            <w:hideMark/>
          </w:tcPr>
          <w:p w14:paraId="0D738FBB" w14:textId="25830400" w:rsidR="00087E71" w:rsidRPr="0032233B" w:rsidRDefault="00087E71" w:rsidP="00087E71">
            <w:pPr>
              <w:spacing w:after="0" w:line="240" w:lineRule="auto"/>
              <w:jc w:val="right"/>
              <w:rPr>
                <w:rFonts w:cs="Arial"/>
                <w:color w:val="000000"/>
                <w:sz w:val="16"/>
                <w:szCs w:val="16"/>
              </w:rPr>
            </w:pPr>
            <w:r>
              <w:rPr>
                <w:rFonts w:cs="Arial"/>
                <w:color w:val="000000"/>
                <w:sz w:val="16"/>
                <w:szCs w:val="16"/>
              </w:rPr>
              <w:t>31 115</w:t>
            </w:r>
          </w:p>
        </w:tc>
        <w:tc>
          <w:tcPr>
            <w:tcW w:w="709" w:type="dxa"/>
            <w:tcBorders>
              <w:top w:val="nil"/>
              <w:left w:val="nil"/>
              <w:bottom w:val="nil"/>
              <w:right w:val="single" w:sz="4" w:space="0" w:color="auto"/>
            </w:tcBorders>
            <w:shd w:val="clear" w:color="auto" w:fill="auto"/>
            <w:vAlign w:val="center"/>
            <w:hideMark/>
          </w:tcPr>
          <w:p w14:paraId="255DB687" w14:textId="7F283690" w:rsidR="00087E71" w:rsidRPr="0032233B" w:rsidRDefault="00087E71" w:rsidP="00087E71">
            <w:pPr>
              <w:spacing w:after="0" w:line="240" w:lineRule="auto"/>
              <w:jc w:val="right"/>
              <w:rPr>
                <w:rFonts w:cs="Arial"/>
                <w:color w:val="000000"/>
                <w:sz w:val="16"/>
                <w:szCs w:val="16"/>
              </w:rPr>
            </w:pPr>
            <w:r>
              <w:rPr>
                <w:rFonts w:cs="Arial"/>
                <w:color w:val="000000"/>
                <w:sz w:val="16"/>
                <w:szCs w:val="16"/>
              </w:rPr>
              <w:t>13 818</w:t>
            </w:r>
          </w:p>
        </w:tc>
        <w:tc>
          <w:tcPr>
            <w:tcW w:w="710" w:type="dxa"/>
            <w:tcBorders>
              <w:top w:val="nil"/>
              <w:left w:val="nil"/>
              <w:bottom w:val="nil"/>
              <w:right w:val="nil"/>
            </w:tcBorders>
            <w:shd w:val="clear" w:color="auto" w:fill="auto"/>
            <w:noWrap/>
            <w:vAlign w:val="center"/>
            <w:hideMark/>
          </w:tcPr>
          <w:p w14:paraId="1730185C" w14:textId="65C8C9C6" w:rsidR="00087E71" w:rsidRPr="0032233B" w:rsidRDefault="00087E71" w:rsidP="00087E71">
            <w:pPr>
              <w:spacing w:after="0" w:line="240" w:lineRule="auto"/>
              <w:jc w:val="right"/>
              <w:rPr>
                <w:rFonts w:cs="Arial"/>
                <w:color w:val="000000"/>
                <w:sz w:val="16"/>
                <w:szCs w:val="16"/>
              </w:rPr>
            </w:pPr>
            <w:r>
              <w:rPr>
                <w:rFonts w:cs="Arial"/>
                <w:color w:val="000000"/>
                <w:sz w:val="16"/>
                <w:szCs w:val="16"/>
              </w:rPr>
              <w:t>43 980</w:t>
            </w:r>
          </w:p>
        </w:tc>
        <w:tc>
          <w:tcPr>
            <w:tcW w:w="709" w:type="dxa"/>
            <w:tcBorders>
              <w:top w:val="nil"/>
              <w:left w:val="nil"/>
              <w:bottom w:val="nil"/>
              <w:right w:val="nil"/>
            </w:tcBorders>
            <w:shd w:val="clear" w:color="auto" w:fill="auto"/>
            <w:vAlign w:val="center"/>
            <w:hideMark/>
          </w:tcPr>
          <w:p w14:paraId="2B23478E" w14:textId="6B4AEC5C" w:rsidR="00087E71" w:rsidRPr="0032233B" w:rsidRDefault="00087E71" w:rsidP="00087E71">
            <w:pPr>
              <w:spacing w:after="0" w:line="240" w:lineRule="auto"/>
              <w:jc w:val="right"/>
              <w:rPr>
                <w:rFonts w:cs="Arial"/>
                <w:color w:val="000000"/>
                <w:sz w:val="16"/>
                <w:szCs w:val="16"/>
              </w:rPr>
            </w:pPr>
            <w:r>
              <w:rPr>
                <w:rFonts w:cs="Arial"/>
                <w:color w:val="000000"/>
                <w:sz w:val="16"/>
                <w:szCs w:val="16"/>
              </w:rPr>
              <w:t>30 411</w:t>
            </w:r>
          </w:p>
        </w:tc>
        <w:tc>
          <w:tcPr>
            <w:tcW w:w="709" w:type="dxa"/>
            <w:tcBorders>
              <w:top w:val="nil"/>
              <w:left w:val="nil"/>
              <w:bottom w:val="nil"/>
              <w:right w:val="single" w:sz="4" w:space="0" w:color="auto"/>
            </w:tcBorders>
            <w:shd w:val="clear" w:color="auto" w:fill="auto"/>
            <w:vAlign w:val="center"/>
            <w:hideMark/>
          </w:tcPr>
          <w:p w14:paraId="037CED07" w14:textId="0E1E8FD0" w:rsidR="00087E71" w:rsidRPr="0032233B" w:rsidRDefault="00087E71" w:rsidP="00087E71">
            <w:pPr>
              <w:spacing w:after="0" w:line="240" w:lineRule="auto"/>
              <w:jc w:val="right"/>
              <w:rPr>
                <w:rFonts w:cs="Arial"/>
                <w:color w:val="000000"/>
                <w:sz w:val="16"/>
                <w:szCs w:val="16"/>
              </w:rPr>
            </w:pPr>
            <w:r>
              <w:rPr>
                <w:rFonts w:cs="Arial"/>
                <w:color w:val="000000"/>
                <w:sz w:val="16"/>
                <w:szCs w:val="16"/>
              </w:rPr>
              <w:t>13 569</w:t>
            </w:r>
          </w:p>
        </w:tc>
        <w:tc>
          <w:tcPr>
            <w:tcW w:w="710" w:type="dxa"/>
            <w:tcBorders>
              <w:top w:val="nil"/>
              <w:left w:val="nil"/>
              <w:bottom w:val="nil"/>
              <w:right w:val="nil"/>
            </w:tcBorders>
            <w:shd w:val="clear" w:color="auto" w:fill="auto"/>
            <w:vAlign w:val="center"/>
            <w:hideMark/>
          </w:tcPr>
          <w:p w14:paraId="6A9DE23C" w14:textId="5264C9EB" w:rsidR="00087E71" w:rsidRPr="0032233B" w:rsidRDefault="00087E71" w:rsidP="00087E71">
            <w:pPr>
              <w:spacing w:after="0" w:line="240" w:lineRule="auto"/>
              <w:jc w:val="right"/>
              <w:rPr>
                <w:rFonts w:cs="Arial"/>
                <w:color w:val="000000"/>
                <w:sz w:val="16"/>
                <w:szCs w:val="16"/>
              </w:rPr>
            </w:pPr>
            <w:r>
              <w:rPr>
                <w:rFonts w:cs="Arial"/>
                <w:color w:val="000000"/>
                <w:sz w:val="16"/>
                <w:szCs w:val="16"/>
              </w:rPr>
              <w:t>788</w:t>
            </w:r>
          </w:p>
        </w:tc>
        <w:tc>
          <w:tcPr>
            <w:tcW w:w="709" w:type="dxa"/>
            <w:tcBorders>
              <w:top w:val="nil"/>
              <w:left w:val="nil"/>
              <w:bottom w:val="nil"/>
              <w:right w:val="nil"/>
            </w:tcBorders>
            <w:shd w:val="clear" w:color="auto" w:fill="auto"/>
            <w:vAlign w:val="center"/>
            <w:hideMark/>
          </w:tcPr>
          <w:p w14:paraId="45FCF695" w14:textId="2F52BEE2" w:rsidR="00087E71" w:rsidRPr="0032233B" w:rsidRDefault="00087E71" w:rsidP="00087E71">
            <w:pPr>
              <w:spacing w:after="0" w:line="240" w:lineRule="auto"/>
              <w:jc w:val="right"/>
              <w:rPr>
                <w:rFonts w:cs="Arial"/>
                <w:color w:val="000000"/>
                <w:sz w:val="16"/>
                <w:szCs w:val="16"/>
              </w:rPr>
            </w:pPr>
            <w:r>
              <w:rPr>
                <w:rFonts w:cs="Arial"/>
                <w:color w:val="000000"/>
                <w:sz w:val="16"/>
                <w:szCs w:val="16"/>
              </w:rPr>
              <w:t>652</w:t>
            </w:r>
          </w:p>
        </w:tc>
        <w:tc>
          <w:tcPr>
            <w:tcW w:w="709" w:type="dxa"/>
            <w:tcBorders>
              <w:top w:val="nil"/>
              <w:left w:val="nil"/>
              <w:bottom w:val="nil"/>
              <w:right w:val="single" w:sz="4" w:space="0" w:color="auto"/>
            </w:tcBorders>
            <w:shd w:val="clear" w:color="auto" w:fill="auto"/>
            <w:vAlign w:val="center"/>
            <w:hideMark/>
          </w:tcPr>
          <w:p w14:paraId="148C835B" w14:textId="6A9C17B4" w:rsidR="00087E71" w:rsidRPr="0032233B" w:rsidRDefault="00087E71" w:rsidP="00087E71">
            <w:pPr>
              <w:spacing w:after="0" w:line="240" w:lineRule="auto"/>
              <w:jc w:val="right"/>
              <w:rPr>
                <w:rFonts w:cs="Arial"/>
                <w:color w:val="000000"/>
                <w:sz w:val="16"/>
                <w:szCs w:val="16"/>
              </w:rPr>
            </w:pPr>
            <w:r>
              <w:rPr>
                <w:rFonts w:cs="Arial"/>
                <w:color w:val="000000"/>
                <w:sz w:val="16"/>
                <w:szCs w:val="16"/>
              </w:rPr>
              <w:t>136</w:t>
            </w:r>
          </w:p>
        </w:tc>
        <w:tc>
          <w:tcPr>
            <w:tcW w:w="710" w:type="dxa"/>
            <w:tcBorders>
              <w:top w:val="nil"/>
              <w:left w:val="single" w:sz="4" w:space="0" w:color="auto"/>
              <w:bottom w:val="nil"/>
              <w:right w:val="nil"/>
            </w:tcBorders>
            <w:vAlign w:val="center"/>
          </w:tcPr>
          <w:p w14:paraId="6D97E9A3" w14:textId="7F9E7A1D" w:rsidR="00087E71" w:rsidRPr="0032233B" w:rsidRDefault="00087E71" w:rsidP="00087E71">
            <w:pPr>
              <w:spacing w:after="0" w:line="240" w:lineRule="auto"/>
              <w:jc w:val="right"/>
              <w:rPr>
                <w:rFonts w:cs="Arial"/>
                <w:color w:val="000000"/>
                <w:sz w:val="16"/>
                <w:szCs w:val="16"/>
              </w:rPr>
            </w:pPr>
            <w:r>
              <w:rPr>
                <w:rFonts w:cs="Arial"/>
                <w:color w:val="000000"/>
                <w:sz w:val="16"/>
                <w:szCs w:val="16"/>
              </w:rPr>
              <w:t>88</w:t>
            </w:r>
          </w:p>
        </w:tc>
        <w:tc>
          <w:tcPr>
            <w:tcW w:w="709" w:type="dxa"/>
            <w:tcBorders>
              <w:top w:val="nil"/>
              <w:left w:val="nil"/>
              <w:bottom w:val="nil"/>
              <w:right w:val="nil"/>
            </w:tcBorders>
            <w:vAlign w:val="center"/>
          </w:tcPr>
          <w:p w14:paraId="77EAF92A" w14:textId="3E8CE05C" w:rsidR="00087E71" w:rsidRPr="0032233B" w:rsidRDefault="00087E71" w:rsidP="00087E71">
            <w:pPr>
              <w:spacing w:after="0" w:line="240" w:lineRule="auto"/>
              <w:jc w:val="right"/>
              <w:rPr>
                <w:rFonts w:cs="Arial"/>
                <w:color w:val="000000"/>
                <w:sz w:val="16"/>
                <w:szCs w:val="16"/>
              </w:rPr>
            </w:pPr>
            <w:r>
              <w:rPr>
                <w:rFonts w:cs="Arial"/>
                <w:color w:val="000000"/>
                <w:sz w:val="16"/>
                <w:szCs w:val="16"/>
              </w:rPr>
              <w:t>82</w:t>
            </w:r>
          </w:p>
        </w:tc>
        <w:tc>
          <w:tcPr>
            <w:tcW w:w="709" w:type="dxa"/>
            <w:tcBorders>
              <w:top w:val="nil"/>
              <w:left w:val="nil"/>
              <w:bottom w:val="nil"/>
              <w:right w:val="nil"/>
            </w:tcBorders>
            <w:vAlign w:val="center"/>
          </w:tcPr>
          <w:p w14:paraId="0C65B047" w14:textId="2345D1CB" w:rsidR="00087E71" w:rsidRPr="0032233B" w:rsidRDefault="00087E71" w:rsidP="00087E71">
            <w:pPr>
              <w:spacing w:after="0" w:line="240" w:lineRule="auto"/>
              <w:jc w:val="right"/>
              <w:rPr>
                <w:rFonts w:cs="Arial"/>
                <w:color w:val="000000"/>
                <w:sz w:val="16"/>
                <w:szCs w:val="16"/>
              </w:rPr>
            </w:pPr>
            <w:r>
              <w:rPr>
                <w:rFonts w:cs="Arial"/>
                <w:color w:val="000000"/>
                <w:sz w:val="16"/>
                <w:szCs w:val="16"/>
              </w:rPr>
              <w:t>6</w:t>
            </w:r>
          </w:p>
        </w:tc>
      </w:tr>
      <w:tr w:rsidR="00087E71" w:rsidRPr="0032233B" w14:paraId="3B3AB923" w14:textId="77777777" w:rsidTr="00087E71">
        <w:trPr>
          <w:trHeight w:val="300"/>
        </w:trPr>
        <w:tc>
          <w:tcPr>
            <w:tcW w:w="1077" w:type="dxa"/>
            <w:tcBorders>
              <w:top w:val="nil"/>
              <w:left w:val="nil"/>
              <w:bottom w:val="nil"/>
              <w:right w:val="single" w:sz="4" w:space="0" w:color="auto"/>
            </w:tcBorders>
            <w:shd w:val="clear" w:color="auto" w:fill="auto"/>
            <w:vAlign w:val="center"/>
            <w:hideMark/>
          </w:tcPr>
          <w:p w14:paraId="0B734F03" w14:textId="0FA813A7" w:rsidR="00087E71" w:rsidRPr="0032233B" w:rsidRDefault="00087E71" w:rsidP="00087E71">
            <w:pPr>
              <w:spacing w:after="0" w:line="240" w:lineRule="auto"/>
              <w:jc w:val="center"/>
              <w:rPr>
                <w:rFonts w:cs="Arial"/>
                <w:color w:val="000000"/>
                <w:sz w:val="16"/>
                <w:szCs w:val="16"/>
              </w:rPr>
            </w:pPr>
            <w:r>
              <w:rPr>
                <w:rFonts w:cs="Arial"/>
                <w:color w:val="000000"/>
                <w:sz w:val="16"/>
                <w:szCs w:val="16"/>
              </w:rPr>
              <w:t>2022</w:t>
            </w:r>
          </w:p>
        </w:tc>
        <w:tc>
          <w:tcPr>
            <w:tcW w:w="710" w:type="dxa"/>
            <w:tcBorders>
              <w:top w:val="nil"/>
              <w:left w:val="nil"/>
              <w:bottom w:val="nil"/>
              <w:right w:val="nil"/>
            </w:tcBorders>
            <w:shd w:val="clear" w:color="auto" w:fill="auto"/>
            <w:noWrap/>
            <w:vAlign w:val="center"/>
            <w:hideMark/>
          </w:tcPr>
          <w:p w14:paraId="61AAEBFF" w14:textId="2223FA4D" w:rsidR="00087E71" w:rsidRPr="0032233B" w:rsidRDefault="00087E71" w:rsidP="00087E71">
            <w:pPr>
              <w:spacing w:after="0" w:line="240" w:lineRule="auto"/>
              <w:jc w:val="right"/>
              <w:rPr>
                <w:rFonts w:cs="Arial"/>
                <w:color w:val="000000"/>
                <w:sz w:val="16"/>
                <w:szCs w:val="16"/>
              </w:rPr>
            </w:pPr>
            <w:r>
              <w:rPr>
                <w:rFonts w:cs="Arial"/>
                <w:color w:val="000000"/>
                <w:sz w:val="16"/>
                <w:szCs w:val="16"/>
              </w:rPr>
              <w:t>44 608</w:t>
            </w:r>
          </w:p>
        </w:tc>
        <w:tc>
          <w:tcPr>
            <w:tcW w:w="709" w:type="dxa"/>
            <w:tcBorders>
              <w:top w:val="nil"/>
              <w:left w:val="nil"/>
              <w:bottom w:val="nil"/>
              <w:right w:val="nil"/>
            </w:tcBorders>
            <w:shd w:val="clear" w:color="auto" w:fill="auto"/>
            <w:vAlign w:val="center"/>
            <w:hideMark/>
          </w:tcPr>
          <w:p w14:paraId="752C8188" w14:textId="73075B33" w:rsidR="00087E71" w:rsidRPr="0032233B" w:rsidRDefault="00087E71" w:rsidP="00087E71">
            <w:pPr>
              <w:spacing w:after="0" w:line="240" w:lineRule="auto"/>
              <w:jc w:val="right"/>
              <w:rPr>
                <w:rFonts w:cs="Arial"/>
                <w:color w:val="000000"/>
                <w:sz w:val="16"/>
                <w:szCs w:val="16"/>
              </w:rPr>
            </w:pPr>
            <w:r>
              <w:rPr>
                <w:rFonts w:cs="Arial"/>
                <w:color w:val="000000"/>
                <w:sz w:val="16"/>
                <w:szCs w:val="16"/>
              </w:rPr>
              <w:t>29 904</w:t>
            </w:r>
          </w:p>
        </w:tc>
        <w:tc>
          <w:tcPr>
            <w:tcW w:w="709" w:type="dxa"/>
            <w:tcBorders>
              <w:top w:val="nil"/>
              <w:left w:val="nil"/>
              <w:bottom w:val="nil"/>
              <w:right w:val="single" w:sz="4" w:space="0" w:color="auto"/>
            </w:tcBorders>
            <w:shd w:val="clear" w:color="auto" w:fill="auto"/>
            <w:vAlign w:val="center"/>
            <w:hideMark/>
          </w:tcPr>
          <w:p w14:paraId="47722DD3" w14:textId="26409B52" w:rsidR="00087E71" w:rsidRPr="0032233B" w:rsidRDefault="00087E71" w:rsidP="00087E71">
            <w:pPr>
              <w:spacing w:after="0" w:line="240" w:lineRule="auto"/>
              <w:jc w:val="right"/>
              <w:rPr>
                <w:rFonts w:cs="Arial"/>
                <w:color w:val="000000"/>
                <w:sz w:val="16"/>
                <w:szCs w:val="16"/>
              </w:rPr>
            </w:pPr>
            <w:r>
              <w:rPr>
                <w:rFonts w:cs="Arial"/>
                <w:color w:val="000000"/>
                <w:sz w:val="16"/>
                <w:szCs w:val="16"/>
              </w:rPr>
              <w:t>14 704</w:t>
            </w:r>
          </w:p>
        </w:tc>
        <w:tc>
          <w:tcPr>
            <w:tcW w:w="710" w:type="dxa"/>
            <w:tcBorders>
              <w:top w:val="nil"/>
              <w:left w:val="nil"/>
              <w:bottom w:val="nil"/>
              <w:right w:val="nil"/>
            </w:tcBorders>
            <w:shd w:val="clear" w:color="auto" w:fill="auto"/>
            <w:noWrap/>
            <w:vAlign w:val="center"/>
            <w:hideMark/>
          </w:tcPr>
          <w:p w14:paraId="0254D564" w14:textId="0B0F454A" w:rsidR="00087E71" w:rsidRPr="0032233B" w:rsidRDefault="00087E71" w:rsidP="00087E71">
            <w:pPr>
              <w:spacing w:after="0" w:line="240" w:lineRule="auto"/>
              <w:jc w:val="right"/>
              <w:rPr>
                <w:rFonts w:cs="Arial"/>
                <w:color w:val="000000"/>
                <w:sz w:val="16"/>
                <w:szCs w:val="16"/>
              </w:rPr>
            </w:pPr>
            <w:r>
              <w:rPr>
                <w:rFonts w:cs="Arial"/>
                <w:color w:val="000000"/>
                <w:sz w:val="16"/>
                <w:szCs w:val="16"/>
              </w:rPr>
              <w:t>43 561</w:t>
            </w:r>
          </w:p>
        </w:tc>
        <w:tc>
          <w:tcPr>
            <w:tcW w:w="709" w:type="dxa"/>
            <w:tcBorders>
              <w:top w:val="nil"/>
              <w:left w:val="nil"/>
              <w:bottom w:val="nil"/>
              <w:right w:val="nil"/>
            </w:tcBorders>
            <w:shd w:val="clear" w:color="auto" w:fill="auto"/>
            <w:vAlign w:val="center"/>
            <w:hideMark/>
          </w:tcPr>
          <w:p w14:paraId="0B8B19B9" w14:textId="6B83A043" w:rsidR="00087E71" w:rsidRPr="0032233B" w:rsidRDefault="00087E71" w:rsidP="00087E71">
            <w:pPr>
              <w:spacing w:after="0" w:line="240" w:lineRule="auto"/>
              <w:jc w:val="right"/>
              <w:rPr>
                <w:rFonts w:cs="Arial"/>
                <w:color w:val="000000"/>
                <w:sz w:val="16"/>
                <w:szCs w:val="16"/>
              </w:rPr>
            </w:pPr>
            <w:r>
              <w:rPr>
                <w:rFonts w:cs="Arial"/>
                <w:color w:val="000000"/>
                <w:sz w:val="16"/>
                <w:szCs w:val="16"/>
              </w:rPr>
              <w:t>29 140</w:t>
            </w:r>
          </w:p>
        </w:tc>
        <w:tc>
          <w:tcPr>
            <w:tcW w:w="709" w:type="dxa"/>
            <w:tcBorders>
              <w:top w:val="nil"/>
              <w:left w:val="nil"/>
              <w:bottom w:val="nil"/>
              <w:right w:val="single" w:sz="4" w:space="0" w:color="auto"/>
            </w:tcBorders>
            <w:shd w:val="clear" w:color="auto" w:fill="auto"/>
            <w:vAlign w:val="center"/>
            <w:hideMark/>
          </w:tcPr>
          <w:p w14:paraId="7266911E" w14:textId="547233E2" w:rsidR="00087E71" w:rsidRPr="0032233B" w:rsidRDefault="00087E71" w:rsidP="00087E71">
            <w:pPr>
              <w:spacing w:after="0" w:line="240" w:lineRule="auto"/>
              <w:jc w:val="right"/>
              <w:rPr>
                <w:rFonts w:cs="Arial"/>
                <w:color w:val="000000"/>
                <w:sz w:val="16"/>
                <w:szCs w:val="16"/>
              </w:rPr>
            </w:pPr>
            <w:r>
              <w:rPr>
                <w:rFonts w:cs="Arial"/>
                <w:color w:val="000000"/>
                <w:sz w:val="16"/>
                <w:szCs w:val="16"/>
              </w:rPr>
              <w:t>14 421</w:t>
            </w:r>
          </w:p>
        </w:tc>
        <w:tc>
          <w:tcPr>
            <w:tcW w:w="710" w:type="dxa"/>
            <w:tcBorders>
              <w:top w:val="nil"/>
              <w:left w:val="nil"/>
              <w:bottom w:val="nil"/>
              <w:right w:val="nil"/>
            </w:tcBorders>
            <w:shd w:val="clear" w:color="auto" w:fill="auto"/>
            <w:vAlign w:val="center"/>
            <w:hideMark/>
          </w:tcPr>
          <w:p w14:paraId="63DA2499" w14:textId="13B5DFF6" w:rsidR="00087E71" w:rsidRPr="0032233B" w:rsidRDefault="00087E71" w:rsidP="00087E71">
            <w:pPr>
              <w:spacing w:after="0" w:line="240" w:lineRule="auto"/>
              <w:jc w:val="right"/>
              <w:rPr>
                <w:rFonts w:cs="Arial"/>
                <w:color w:val="000000"/>
                <w:sz w:val="16"/>
                <w:szCs w:val="16"/>
              </w:rPr>
            </w:pPr>
            <w:r>
              <w:rPr>
                <w:rFonts w:cs="Arial"/>
                <w:color w:val="000000"/>
                <w:sz w:val="16"/>
                <w:szCs w:val="16"/>
              </w:rPr>
              <w:t>797</w:t>
            </w:r>
          </w:p>
        </w:tc>
        <w:tc>
          <w:tcPr>
            <w:tcW w:w="709" w:type="dxa"/>
            <w:tcBorders>
              <w:top w:val="nil"/>
              <w:left w:val="nil"/>
              <w:bottom w:val="nil"/>
              <w:right w:val="nil"/>
            </w:tcBorders>
            <w:shd w:val="clear" w:color="auto" w:fill="auto"/>
            <w:vAlign w:val="center"/>
            <w:hideMark/>
          </w:tcPr>
          <w:p w14:paraId="42BAE41D" w14:textId="7770BD79" w:rsidR="00087E71" w:rsidRPr="00087E71" w:rsidRDefault="00087E71" w:rsidP="00087E71">
            <w:pPr>
              <w:spacing w:after="0" w:line="240" w:lineRule="auto"/>
              <w:jc w:val="right"/>
              <w:rPr>
                <w:rFonts w:cs="Arial"/>
                <w:color w:val="000000"/>
                <w:sz w:val="16"/>
                <w:szCs w:val="16"/>
              </w:rPr>
            </w:pPr>
            <w:r w:rsidRPr="00087E71">
              <w:rPr>
                <w:rFonts w:cs="Arial"/>
                <w:color w:val="000000"/>
                <w:sz w:val="16"/>
                <w:szCs w:val="22"/>
              </w:rPr>
              <w:t>640</w:t>
            </w:r>
          </w:p>
        </w:tc>
        <w:tc>
          <w:tcPr>
            <w:tcW w:w="709" w:type="dxa"/>
            <w:tcBorders>
              <w:top w:val="nil"/>
              <w:left w:val="nil"/>
              <w:bottom w:val="nil"/>
              <w:right w:val="single" w:sz="4" w:space="0" w:color="auto"/>
            </w:tcBorders>
            <w:shd w:val="clear" w:color="auto" w:fill="auto"/>
            <w:vAlign w:val="center"/>
            <w:hideMark/>
          </w:tcPr>
          <w:p w14:paraId="16CE00E8" w14:textId="1BEE84E3" w:rsidR="00087E71" w:rsidRPr="0032233B" w:rsidRDefault="00087E71" w:rsidP="00087E71">
            <w:pPr>
              <w:spacing w:after="0" w:line="240" w:lineRule="auto"/>
              <w:jc w:val="right"/>
              <w:rPr>
                <w:rFonts w:cs="Arial"/>
                <w:color w:val="000000"/>
                <w:sz w:val="16"/>
                <w:szCs w:val="16"/>
              </w:rPr>
            </w:pPr>
            <w:r>
              <w:rPr>
                <w:rFonts w:cs="Arial"/>
                <w:color w:val="000000"/>
                <w:sz w:val="16"/>
                <w:szCs w:val="16"/>
              </w:rPr>
              <w:t>157</w:t>
            </w:r>
          </w:p>
        </w:tc>
        <w:tc>
          <w:tcPr>
            <w:tcW w:w="710" w:type="dxa"/>
            <w:tcBorders>
              <w:top w:val="nil"/>
              <w:left w:val="single" w:sz="4" w:space="0" w:color="auto"/>
              <w:bottom w:val="nil"/>
              <w:right w:val="nil"/>
            </w:tcBorders>
            <w:vAlign w:val="center"/>
          </w:tcPr>
          <w:p w14:paraId="78058BFC" w14:textId="6CCDA58E" w:rsidR="00087E71" w:rsidRPr="0032233B" w:rsidRDefault="00087E71" w:rsidP="00087E71">
            <w:pPr>
              <w:spacing w:after="0" w:line="240" w:lineRule="auto"/>
              <w:jc w:val="right"/>
              <w:rPr>
                <w:rFonts w:cs="Arial"/>
                <w:color w:val="000000"/>
                <w:sz w:val="16"/>
                <w:szCs w:val="16"/>
              </w:rPr>
            </w:pPr>
            <w:r>
              <w:rPr>
                <w:rFonts w:cs="Arial"/>
                <w:color w:val="000000"/>
                <w:sz w:val="16"/>
                <w:szCs w:val="16"/>
              </w:rPr>
              <w:t>88</w:t>
            </w:r>
          </w:p>
        </w:tc>
        <w:tc>
          <w:tcPr>
            <w:tcW w:w="709" w:type="dxa"/>
            <w:tcBorders>
              <w:top w:val="nil"/>
              <w:left w:val="nil"/>
              <w:bottom w:val="nil"/>
              <w:right w:val="nil"/>
            </w:tcBorders>
            <w:vAlign w:val="center"/>
          </w:tcPr>
          <w:p w14:paraId="07D83C3C" w14:textId="673CDCE4" w:rsidR="00087E71" w:rsidRPr="0032233B" w:rsidRDefault="00087E71" w:rsidP="00087E71">
            <w:pPr>
              <w:spacing w:after="0" w:line="240" w:lineRule="auto"/>
              <w:jc w:val="right"/>
              <w:rPr>
                <w:rFonts w:cs="Arial"/>
                <w:color w:val="000000"/>
                <w:sz w:val="16"/>
                <w:szCs w:val="16"/>
              </w:rPr>
            </w:pPr>
            <w:r>
              <w:rPr>
                <w:rFonts w:cs="Arial"/>
                <w:color w:val="000000"/>
                <w:sz w:val="16"/>
                <w:szCs w:val="16"/>
              </w:rPr>
              <w:t>83</w:t>
            </w:r>
          </w:p>
        </w:tc>
        <w:tc>
          <w:tcPr>
            <w:tcW w:w="709" w:type="dxa"/>
            <w:tcBorders>
              <w:top w:val="nil"/>
              <w:left w:val="nil"/>
              <w:bottom w:val="nil"/>
              <w:right w:val="nil"/>
            </w:tcBorders>
            <w:vAlign w:val="center"/>
          </w:tcPr>
          <w:p w14:paraId="0D8B7CAD" w14:textId="19CDA1DA" w:rsidR="00087E71" w:rsidRPr="0032233B" w:rsidRDefault="00087E71" w:rsidP="00087E71">
            <w:pPr>
              <w:spacing w:after="0" w:line="240" w:lineRule="auto"/>
              <w:jc w:val="right"/>
              <w:rPr>
                <w:rFonts w:cs="Arial"/>
                <w:color w:val="000000"/>
                <w:sz w:val="16"/>
                <w:szCs w:val="16"/>
              </w:rPr>
            </w:pPr>
            <w:r>
              <w:rPr>
                <w:rFonts w:cs="Arial"/>
                <w:color w:val="000000"/>
                <w:sz w:val="16"/>
                <w:szCs w:val="16"/>
              </w:rPr>
              <w:t>5</w:t>
            </w:r>
          </w:p>
        </w:tc>
      </w:tr>
      <w:tr w:rsidR="00C8357C" w:rsidRPr="0032233B" w14:paraId="3251B069" w14:textId="77777777" w:rsidTr="00C8357C">
        <w:trPr>
          <w:trHeight w:val="300"/>
        </w:trPr>
        <w:tc>
          <w:tcPr>
            <w:tcW w:w="1077" w:type="dxa"/>
            <w:tcBorders>
              <w:top w:val="nil"/>
              <w:left w:val="nil"/>
              <w:bottom w:val="nil"/>
              <w:right w:val="single" w:sz="4" w:space="0" w:color="auto"/>
            </w:tcBorders>
            <w:shd w:val="clear" w:color="auto" w:fill="auto"/>
            <w:vAlign w:val="center"/>
          </w:tcPr>
          <w:p w14:paraId="56DD47B5" w14:textId="6A83E905" w:rsidR="00C8357C" w:rsidRPr="0032233B" w:rsidRDefault="00C8357C" w:rsidP="00C8357C">
            <w:pPr>
              <w:spacing w:after="0" w:line="240" w:lineRule="auto"/>
              <w:jc w:val="center"/>
              <w:rPr>
                <w:rFonts w:cs="Arial"/>
                <w:sz w:val="16"/>
                <w:szCs w:val="16"/>
              </w:rPr>
            </w:pPr>
            <w:r>
              <w:rPr>
                <w:rFonts w:cs="Arial"/>
                <w:color w:val="000000"/>
                <w:sz w:val="16"/>
                <w:szCs w:val="16"/>
              </w:rPr>
              <w:t>2023</w:t>
            </w:r>
          </w:p>
        </w:tc>
        <w:tc>
          <w:tcPr>
            <w:tcW w:w="710" w:type="dxa"/>
            <w:tcBorders>
              <w:top w:val="nil"/>
              <w:left w:val="nil"/>
              <w:bottom w:val="nil"/>
              <w:right w:val="nil"/>
            </w:tcBorders>
            <w:shd w:val="clear" w:color="auto" w:fill="auto"/>
            <w:noWrap/>
            <w:vAlign w:val="center"/>
          </w:tcPr>
          <w:p w14:paraId="0214DC59" w14:textId="54E6F0AB" w:rsidR="00C8357C" w:rsidRPr="0032233B" w:rsidRDefault="00C8357C" w:rsidP="00C8357C">
            <w:pPr>
              <w:spacing w:after="0" w:line="240" w:lineRule="auto"/>
              <w:jc w:val="right"/>
              <w:rPr>
                <w:rFonts w:cs="Arial"/>
                <w:sz w:val="16"/>
                <w:szCs w:val="16"/>
              </w:rPr>
            </w:pPr>
            <w:r>
              <w:rPr>
                <w:rFonts w:cs="Arial"/>
                <w:color w:val="000000"/>
                <w:sz w:val="16"/>
                <w:szCs w:val="16"/>
              </w:rPr>
              <w:t>43 476</w:t>
            </w:r>
          </w:p>
        </w:tc>
        <w:tc>
          <w:tcPr>
            <w:tcW w:w="709" w:type="dxa"/>
            <w:tcBorders>
              <w:top w:val="nil"/>
              <w:left w:val="nil"/>
              <w:bottom w:val="nil"/>
              <w:right w:val="nil"/>
            </w:tcBorders>
            <w:shd w:val="clear" w:color="auto" w:fill="auto"/>
            <w:vAlign w:val="center"/>
          </w:tcPr>
          <w:p w14:paraId="755603E4" w14:textId="66D7D1B6" w:rsidR="00C8357C" w:rsidRPr="0032233B" w:rsidRDefault="00C8357C" w:rsidP="00C8357C">
            <w:pPr>
              <w:spacing w:after="0" w:line="240" w:lineRule="auto"/>
              <w:jc w:val="right"/>
              <w:rPr>
                <w:rFonts w:cs="Arial"/>
                <w:sz w:val="16"/>
                <w:szCs w:val="16"/>
              </w:rPr>
            </w:pPr>
            <w:r>
              <w:rPr>
                <w:rFonts w:cs="Arial"/>
                <w:color w:val="000000"/>
                <w:sz w:val="16"/>
                <w:szCs w:val="16"/>
              </w:rPr>
              <w:t>28 549</w:t>
            </w:r>
          </w:p>
        </w:tc>
        <w:tc>
          <w:tcPr>
            <w:tcW w:w="709" w:type="dxa"/>
            <w:tcBorders>
              <w:top w:val="nil"/>
              <w:left w:val="nil"/>
              <w:bottom w:val="nil"/>
              <w:right w:val="single" w:sz="4" w:space="0" w:color="auto"/>
            </w:tcBorders>
            <w:shd w:val="clear" w:color="auto" w:fill="auto"/>
            <w:vAlign w:val="center"/>
          </w:tcPr>
          <w:p w14:paraId="7FE03F8E" w14:textId="716F610D" w:rsidR="00C8357C" w:rsidRPr="0032233B" w:rsidRDefault="00C8357C" w:rsidP="00C8357C">
            <w:pPr>
              <w:spacing w:after="0" w:line="240" w:lineRule="auto"/>
              <w:jc w:val="right"/>
              <w:rPr>
                <w:rFonts w:cs="Arial"/>
                <w:sz w:val="16"/>
                <w:szCs w:val="16"/>
              </w:rPr>
            </w:pPr>
            <w:r>
              <w:rPr>
                <w:rFonts w:cs="Arial"/>
                <w:color w:val="000000"/>
                <w:sz w:val="16"/>
                <w:szCs w:val="16"/>
              </w:rPr>
              <w:t>14 927</w:t>
            </w:r>
          </w:p>
        </w:tc>
        <w:tc>
          <w:tcPr>
            <w:tcW w:w="710" w:type="dxa"/>
            <w:tcBorders>
              <w:top w:val="nil"/>
              <w:left w:val="nil"/>
              <w:bottom w:val="nil"/>
              <w:right w:val="nil"/>
            </w:tcBorders>
            <w:shd w:val="clear" w:color="auto" w:fill="auto"/>
            <w:noWrap/>
            <w:vAlign w:val="center"/>
          </w:tcPr>
          <w:p w14:paraId="58F339EC" w14:textId="517DB5AD" w:rsidR="00C8357C" w:rsidRPr="0032233B" w:rsidRDefault="00C8357C" w:rsidP="00C8357C">
            <w:pPr>
              <w:spacing w:after="0" w:line="240" w:lineRule="auto"/>
              <w:jc w:val="right"/>
              <w:rPr>
                <w:rFonts w:cs="Arial"/>
                <w:sz w:val="16"/>
                <w:szCs w:val="16"/>
              </w:rPr>
            </w:pPr>
            <w:r>
              <w:rPr>
                <w:rFonts w:cs="Arial"/>
                <w:color w:val="000000"/>
                <w:sz w:val="16"/>
                <w:szCs w:val="16"/>
              </w:rPr>
              <w:t>42 500</w:t>
            </w:r>
          </w:p>
        </w:tc>
        <w:tc>
          <w:tcPr>
            <w:tcW w:w="709" w:type="dxa"/>
            <w:tcBorders>
              <w:top w:val="nil"/>
              <w:left w:val="nil"/>
              <w:bottom w:val="nil"/>
              <w:right w:val="nil"/>
            </w:tcBorders>
            <w:shd w:val="clear" w:color="auto" w:fill="auto"/>
            <w:vAlign w:val="center"/>
          </w:tcPr>
          <w:p w14:paraId="0601FF02" w14:textId="10344E42" w:rsidR="00C8357C" w:rsidRPr="0032233B" w:rsidRDefault="00C8357C" w:rsidP="00C8357C">
            <w:pPr>
              <w:spacing w:after="0" w:line="240" w:lineRule="auto"/>
              <w:jc w:val="right"/>
              <w:rPr>
                <w:rFonts w:cs="Arial"/>
                <w:sz w:val="16"/>
                <w:szCs w:val="16"/>
              </w:rPr>
            </w:pPr>
            <w:r>
              <w:rPr>
                <w:rFonts w:cs="Arial"/>
                <w:color w:val="000000"/>
                <w:sz w:val="16"/>
                <w:szCs w:val="16"/>
              </w:rPr>
              <w:t>27 873</w:t>
            </w:r>
          </w:p>
        </w:tc>
        <w:tc>
          <w:tcPr>
            <w:tcW w:w="709" w:type="dxa"/>
            <w:tcBorders>
              <w:top w:val="nil"/>
              <w:left w:val="nil"/>
              <w:bottom w:val="nil"/>
              <w:right w:val="single" w:sz="4" w:space="0" w:color="auto"/>
            </w:tcBorders>
            <w:shd w:val="clear" w:color="auto" w:fill="auto"/>
            <w:vAlign w:val="center"/>
          </w:tcPr>
          <w:p w14:paraId="15A0B543" w14:textId="55C3288B" w:rsidR="00C8357C" w:rsidRPr="0032233B" w:rsidRDefault="00C8357C" w:rsidP="00C8357C">
            <w:pPr>
              <w:spacing w:after="0" w:line="240" w:lineRule="auto"/>
              <w:jc w:val="right"/>
              <w:rPr>
                <w:rFonts w:cs="Arial"/>
                <w:sz w:val="16"/>
                <w:szCs w:val="16"/>
              </w:rPr>
            </w:pPr>
            <w:r>
              <w:rPr>
                <w:rFonts w:cs="Arial"/>
                <w:color w:val="000000"/>
                <w:sz w:val="16"/>
                <w:szCs w:val="16"/>
              </w:rPr>
              <w:t>14 627</w:t>
            </w:r>
          </w:p>
        </w:tc>
        <w:tc>
          <w:tcPr>
            <w:tcW w:w="710" w:type="dxa"/>
            <w:tcBorders>
              <w:top w:val="nil"/>
              <w:left w:val="nil"/>
              <w:bottom w:val="nil"/>
              <w:right w:val="nil"/>
            </w:tcBorders>
            <w:shd w:val="clear" w:color="auto" w:fill="auto"/>
            <w:vAlign w:val="center"/>
          </w:tcPr>
          <w:p w14:paraId="51569465" w14:textId="3E5A1688" w:rsidR="00C8357C" w:rsidRPr="00C8357C" w:rsidRDefault="00C8357C" w:rsidP="00C8357C">
            <w:pPr>
              <w:spacing w:after="0" w:line="240" w:lineRule="auto"/>
              <w:jc w:val="right"/>
              <w:rPr>
                <w:rFonts w:cs="Arial"/>
                <w:color w:val="000000"/>
                <w:sz w:val="16"/>
                <w:szCs w:val="16"/>
              </w:rPr>
            </w:pPr>
            <w:r w:rsidRPr="00C8357C">
              <w:rPr>
                <w:rFonts w:cs="Arial"/>
                <w:color w:val="000000"/>
                <w:sz w:val="16"/>
                <w:szCs w:val="16"/>
              </w:rPr>
              <w:t>732</w:t>
            </w:r>
          </w:p>
        </w:tc>
        <w:tc>
          <w:tcPr>
            <w:tcW w:w="709" w:type="dxa"/>
            <w:tcBorders>
              <w:top w:val="nil"/>
              <w:left w:val="nil"/>
              <w:bottom w:val="nil"/>
              <w:right w:val="nil"/>
            </w:tcBorders>
            <w:shd w:val="clear" w:color="auto" w:fill="auto"/>
            <w:vAlign w:val="center"/>
          </w:tcPr>
          <w:p w14:paraId="0187C45B" w14:textId="456B3CFE" w:rsidR="00C8357C" w:rsidRPr="00C8357C" w:rsidRDefault="00C8357C" w:rsidP="00C8357C">
            <w:pPr>
              <w:spacing w:after="0" w:line="240" w:lineRule="auto"/>
              <w:jc w:val="right"/>
              <w:rPr>
                <w:rFonts w:cs="Arial"/>
                <w:color w:val="000000"/>
                <w:sz w:val="16"/>
                <w:szCs w:val="16"/>
              </w:rPr>
            </w:pPr>
            <w:r w:rsidRPr="00C8357C">
              <w:rPr>
                <w:rFonts w:cs="Arial"/>
                <w:color w:val="000000"/>
                <w:sz w:val="16"/>
                <w:szCs w:val="16"/>
              </w:rPr>
              <w:t>585</w:t>
            </w:r>
          </w:p>
        </w:tc>
        <w:tc>
          <w:tcPr>
            <w:tcW w:w="709" w:type="dxa"/>
            <w:tcBorders>
              <w:top w:val="nil"/>
              <w:left w:val="nil"/>
              <w:bottom w:val="nil"/>
              <w:right w:val="single" w:sz="4" w:space="0" w:color="auto"/>
            </w:tcBorders>
            <w:shd w:val="clear" w:color="auto" w:fill="auto"/>
            <w:vAlign w:val="center"/>
          </w:tcPr>
          <w:p w14:paraId="50848C7B" w14:textId="78EA6950" w:rsidR="00C8357C" w:rsidRPr="00C8357C" w:rsidRDefault="00C8357C" w:rsidP="00C8357C">
            <w:pPr>
              <w:spacing w:after="0" w:line="240" w:lineRule="auto"/>
              <w:jc w:val="right"/>
              <w:rPr>
                <w:rFonts w:cs="Arial"/>
                <w:color w:val="000000"/>
                <w:sz w:val="16"/>
                <w:szCs w:val="16"/>
              </w:rPr>
            </w:pPr>
            <w:r w:rsidRPr="00C8357C">
              <w:rPr>
                <w:rFonts w:cs="Arial"/>
                <w:color w:val="000000"/>
                <w:sz w:val="16"/>
                <w:szCs w:val="16"/>
              </w:rPr>
              <w:t>147</w:t>
            </w:r>
          </w:p>
        </w:tc>
        <w:tc>
          <w:tcPr>
            <w:tcW w:w="710" w:type="dxa"/>
            <w:tcBorders>
              <w:top w:val="nil"/>
              <w:left w:val="single" w:sz="4" w:space="0" w:color="auto"/>
              <w:bottom w:val="nil"/>
              <w:right w:val="nil"/>
            </w:tcBorders>
            <w:shd w:val="clear" w:color="auto" w:fill="auto"/>
            <w:vAlign w:val="center"/>
          </w:tcPr>
          <w:p w14:paraId="080E3815" w14:textId="7C593E54" w:rsidR="00C8357C" w:rsidRPr="00C8357C" w:rsidRDefault="00C8357C" w:rsidP="00C8357C">
            <w:pPr>
              <w:spacing w:after="0" w:line="240" w:lineRule="auto"/>
              <w:jc w:val="right"/>
              <w:rPr>
                <w:rFonts w:cs="Arial"/>
                <w:color w:val="000000"/>
                <w:sz w:val="16"/>
                <w:szCs w:val="16"/>
              </w:rPr>
            </w:pPr>
            <w:r w:rsidRPr="00C8357C">
              <w:rPr>
                <w:rFonts w:cs="Arial"/>
                <w:color w:val="000000"/>
                <w:sz w:val="16"/>
                <w:szCs w:val="16"/>
              </w:rPr>
              <w:t>77</w:t>
            </w:r>
          </w:p>
        </w:tc>
        <w:tc>
          <w:tcPr>
            <w:tcW w:w="709" w:type="dxa"/>
            <w:tcBorders>
              <w:top w:val="nil"/>
              <w:left w:val="nil"/>
              <w:bottom w:val="nil"/>
              <w:right w:val="nil"/>
            </w:tcBorders>
            <w:shd w:val="clear" w:color="auto" w:fill="auto"/>
            <w:vAlign w:val="center"/>
          </w:tcPr>
          <w:p w14:paraId="248A4410" w14:textId="085E5BB3" w:rsidR="00C8357C" w:rsidRPr="00C8357C" w:rsidRDefault="00C8357C" w:rsidP="00C8357C">
            <w:pPr>
              <w:spacing w:after="0" w:line="240" w:lineRule="auto"/>
              <w:jc w:val="right"/>
              <w:rPr>
                <w:rFonts w:cs="Arial"/>
                <w:color w:val="000000"/>
                <w:sz w:val="16"/>
                <w:szCs w:val="16"/>
              </w:rPr>
            </w:pPr>
            <w:r w:rsidRPr="00C8357C">
              <w:rPr>
                <w:rFonts w:cs="Arial"/>
                <w:color w:val="000000"/>
                <w:sz w:val="16"/>
                <w:szCs w:val="16"/>
              </w:rPr>
              <w:t>73</w:t>
            </w:r>
          </w:p>
        </w:tc>
        <w:tc>
          <w:tcPr>
            <w:tcW w:w="709" w:type="dxa"/>
            <w:tcBorders>
              <w:top w:val="nil"/>
              <w:left w:val="nil"/>
              <w:bottom w:val="nil"/>
              <w:right w:val="nil"/>
            </w:tcBorders>
            <w:shd w:val="clear" w:color="auto" w:fill="auto"/>
            <w:vAlign w:val="center"/>
          </w:tcPr>
          <w:p w14:paraId="6761E9C2" w14:textId="74E0FBD6" w:rsidR="00C8357C" w:rsidRPr="00C8357C" w:rsidRDefault="00C8357C" w:rsidP="00C8357C">
            <w:pPr>
              <w:spacing w:after="0" w:line="240" w:lineRule="auto"/>
              <w:jc w:val="right"/>
              <w:rPr>
                <w:rFonts w:cs="Arial"/>
                <w:color w:val="000000"/>
                <w:sz w:val="16"/>
                <w:szCs w:val="16"/>
              </w:rPr>
            </w:pPr>
            <w:r w:rsidRPr="00C8357C">
              <w:rPr>
                <w:rFonts w:cs="Arial"/>
                <w:color w:val="000000"/>
                <w:sz w:val="16"/>
                <w:szCs w:val="16"/>
              </w:rPr>
              <w:t>4</w:t>
            </w:r>
          </w:p>
        </w:tc>
      </w:tr>
    </w:tbl>
    <w:p w14:paraId="21BC641A" w14:textId="77777777" w:rsidR="00087E71" w:rsidRPr="008F6B9A" w:rsidRDefault="00087E71" w:rsidP="008F6B9A">
      <w:pPr>
        <w:spacing w:after="0" w:line="240" w:lineRule="auto"/>
        <w:rPr>
          <w:rFonts w:cs="Arial"/>
          <w:b/>
          <w:bCs/>
          <w:color w:val="000000"/>
          <w:szCs w:val="20"/>
        </w:rPr>
      </w:pPr>
    </w:p>
    <w:p w14:paraId="3E4F5347" w14:textId="77777777" w:rsidR="008F6B9A" w:rsidRPr="00BD1228" w:rsidRDefault="008F6B9A" w:rsidP="008F6B9A">
      <w:pPr>
        <w:spacing w:before="120" w:after="120"/>
        <w:jc w:val="both"/>
        <w:rPr>
          <w:sz w:val="16"/>
        </w:rPr>
      </w:pPr>
      <w:r w:rsidRPr="00BD1228">
        <w:rPr>
          <w:sz w:val="16"/>
        </w:rPr>
        <w:t>Zdroj: ČSÚ, SÚIP</w:t>
      </w:r>
    </w:p>
    <w:p w14:paraId="2BA13416" w14:textId="77777777" w:rsidR="00344573" w:rsidRDefault="00344573">
      <w:pPr>
        <w:spacing w:after="0" w:line="240" w:lineRule="auto"/>
        <w:rPr>
          <w:rFonts w:cs="Arial"/>
          <w:b/>
          <w:bCs/>
          <w:color w:val="000000"/>
          <w:szCs w:val="20"/>
        </w:rPr>
      </w:pPr>
      <w:r>
        <w:rPr>
          <w:rFonts w:cs="Arial"/>
          <w:b/>
          <w:bCs/>
          <w:color w:val="000000"/>
          <w:szCs w:val="20"/>
        </w:rPr>
        <w:br w:type="page"/>
      </w:r>
    </w:p>
    <w:p w14:paraId="5C873A78" w14:textId="190338A8" w:rsidR="008F6B9A" w:rsidRPr="008F6B9A" w:rsidRDefault="008F6B9A" w:rsidP="008F6B9A">
      <w:pPr>
        <w:spacing w:after="0" w:line="240" w:lineRule="auto"/>
        <w:rPr>
          <w:rFonts w:cs="Arial"/>
          <w:b/>
          <w:bCs/>
          <w:color w:val="000000"/>
          <w:szCs w:val="20"/>
        </w:rPr>
      </w:pPr>
      <w:r w:rsidRPr="008F6B9A">
        <w:rPr>
          <w:rFonts w:cs="Arial"/>
          <w:b/>
          <w:bCs/>
          <w:color w:val="000000"/>
          <w:szCs w:val="20"/>
        </w:rPr>
        <w:lastRenderedPageBreak/>
        <w:t xml:space="preserve">Graf 5.1: Pracovní úrazy s pracovní neschopností delší než 3 dny na 100 tis. pojištěnců podle </w:t>
      </w:r>
      <w:r w:rsidR="00BD6548">
        <w:rPr>
          <w:rFonts w:cs="Arial"/>
          <w:b/>
          <w:bCs/>
          <w:color w:val="000000"/>
          <w:szCs w:val="20"/>
        </w:rPr>
        <w:t>p</w:t>
      </w:r>
      <w:r w:rsidRPr="008F6B9A">
        <w:rPr>
          <w:rFonts w:cs="Arial"/>
          <w:b/>
          <w:bCs/>
          <w:color w:val="000000"/>
          <w:szCs w:val="20"/>
        </w:rPr>
        <w:t>ohlaví, 2013–2023</w:t>
      </w:r>
    </w:p>
    <w:p w14:paraId="67BD03FB" w14:textId="77777777" w:rsidR="008F6B9A" w:rsidRDefault="008F6B9A" w:rsidP="008F6B9A">
      <w:pPr>
        <w:spacing w:after="0" w:line="240" w:lineRule="auto"/>
        <w:rPr>
          <w:rFonts w:cs="Arial"/>
          <w:b/>
          <w:highlight w:val="yellow"/>
        </w:rPr>
      </w:pPr>
      <w:r>
        <w:rPr>
          <w:noProof/>
        </w:rPr>
        <w:drawing>
          <wp:inline distT="0" distB="0" distL="0" distR="0" wp14:anchorId="3F69ABFD" wp14:editId="28FAA56D">
            <wp:extent cx="6153150" cy="2762250"/>
            <wp:effectExtent l="0" t="0" r="0" b="0"/>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1E118CE" w14:textId="4DA04A9A" w:rsidR="00C8357C" w:rsidRDefault="008F6B9A" w:rsidP="008F6B9A">
      <w:pPr>
        <w:spacing w:after="120"/>
        <w:jc w:val="both"/>
        <w:rPr>
          <w:sz w:val="16"/>
        </w:rPr>
      </w:pPr>
      <w:r w:rsidRPr="0032233B">
        <w:rPr>
          <w:sz w:val="16"/>
        </w:rPr>
        <w:t>Zdroj: ČSÚ</w:t>
      </w:r>
    </w:p>
    <w:p w14:paraId="195ACF7D" w14:textId="28D03EBF" w:rsidR="00C8357C" w:rsidRDefault="00C8357C">
      <w:pPr>
        <w:spacing w:after="0" w:line="240" w:lineRule="auto"/>
        <w:rPr>
          <w:sz w:val="16"/>
        </w:rPr>
      </w:pPr>
    </w:p>
    <w:p w14:paraId="0C69C64D" w14:textId="77777777" w:rsidR="008F6B9A" w:rsidRPr="008F6B9A" w:rsidRDefault="008F6B9A" w:rsidP="008F6B9A">
      <w:pPr>
        <w:spacing w:after="0" w:line="240" w:lineRule="auto"/>
        <w:rPr>
          <w:rFonts w:cs="Arial"/>
          <w:b/>
          <w:bCs/>
          <w:color w:val="000000"/>
          <w:szCs w:val="20"/>
        </w:rPr>
      </w:pPr>
      <w:r w:rsidRPr="008F6B9A">
        <w:rPr>
          <w:rFonts w:cs="Arial"/>
          <w:b/>
          <w:bCs/>
          <w:color w:val="000000"/>
          <w:szCs w:val="20"/>
        </w:rPr>
        <w:t>Graf 5.2: Pracovní úrazy s pracovní neschopností delší než 3 dny na 100 tis. pojištěnců podle odvětví (sekce CZ-NACE), 2023</w:t>
      </w:r>
    </w:p>
    <w:p w14:paraId="412723F3" w14:textId="77777777" w:rsidR="008F6B9A" w:rsidRDefault="008F6B9A" w:rsidP="008F6B9A">
      <w:pPr>
        <w:spacing w:after="0" w:line="240" w:lineRule="auto"/>
        <w:rPr>
          <w:rFonts w:cs="Arial"/>
          <w:b/>
          <w:highlight w:val="yellow"/>
        </w:rPr>
      </w:pPr>
      <w:r>
        <w:rPr>
          <w:noProof/>
        </w:rPr>
        <w:drawing>
          <wp:inline distT="0" distB="0" distL="0" distR="0" wp14:anchorId="03734C95" wp14:editId="62036C55">
            <wp:extent cx="6267450" cy="4400550"/>
            <wp:effectExtent l="0" t="0" r="0" b="0"/>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7DA5F06" w14:textId="77777777" w:rsidR="008F6B9A" w:rsidRPr="00251BF8" w:rsidRDefault="008F6B9A" w:rsidP="008F6B9A">
      <w:pPr>
        <w:spacing w:after="120"/>
        <w:jc w:val="both"/>
        <w:rPr>
          <w:sz w:val="16"/>
        </w:rPr>
      </w:pPr>
      <w:r w:rsidRPr="00251BF8">
        <w:rPr>
          <w:sz w:val="16"/>
        </w:rPr>
        <w:t>Zdroj: ČSÚ</w:t>
      </w:r>
    </w:p>
    <w:p w14:paraId="314295DE" w14:textId="3EB8C53C" w:rsidR="008F6B9A" w:rsidRPr="00E755F7" w:rsidRDefault="008F6B9A" w:rsidP="008F6B9A">
      <w:pPr>
        <w:spacing w:after="120"/>
        <w:jc w:val="both"/>
      </w:pPr>
      <w:r w:rsidRPr="00251BF8">
        <w:t xml:space="preserve">Z pohledu </w:t>
      </w:r>
      <w:r w:rsidRPr="00251BF8">
        <w:rPr>
          <w:b/>
        </w:rPr>
        <w:t>velikosti podniku</w:t>
      </w:r>
      <w:r w:rsidRPr="00251BF8">
        <w:t xml:space="preserve"> se v </w:t>
      </w:r>
      <w:r w:rsidR="00F01C1B" w:rsidRPr="00251BF8">
        <w:t>roce</w:t>
      </w:r>
      <w:r w:rsidRPr="00251BF8">
        <w:t xml:space="preserve"> 2023 nejvíce pracovních úrazů s pracovní neschopností delší než 3 dny událo v podnicích majících 100–249 zaměstnanců (</w:t>
      </w:r>
      <w:r w:rsidR="00F01C1B" w:rsidRPr="00251BF8">
        <w:t>1 167</w:t>
      </w:r>
      <w:r w:rsidRPr="00251BF8">
        <w:t xml:space="preserve"> případů v přepočtu na 100 tis. pojištěnců). Dále následovali zaměstnavatelé s 50–99 zaměstnanci, kteří vykázali </w:t>
      </w:r>
      <w:r w:rsidR="00F01C1B" w:rsidRPr="00251BF8">
        <w:t>1 130</w:t>
      </w:r>
      <w:r w:rsidRPr="00251BF8">
        <w:t xml:space="preserve"> pracovních úrazů na 100 tis. pojištěnců. Pro srovnání OSVČ zaznamenaly </w:t>
      </w:r>
      <w:r w:rsidR="00F01C1B" w:rsidRPr="00251BF8">
        <w:t>278</w:t>
      </w:r>
      <w:r w:rsidRPr="00251BF8">
        <w:t xml:space="preserve"> takovýchto případů na 100 tis. pojištěnců.</w:t>
      </w:r>
    </w:p>
    <w:p w14:paraId="06CFCC46" w14:textId="77777777" w:rsidR="003E1B21" w:rsidRPr="00C42FD6" w:rsidRDefault="003E1B21" w:rsidP="003E1B21">
      <w:pPr>
        <w:pStyle w:val="Nadpis3"/>
      </w:pPr>
      <w:bookmarkStart w:id="38" w:name="_Toc70950136"/>
      <w:bookmarkStart w:id="39" w:name="_Toc136412157"/>
      <w:bookmarkStart w:id="40" w:name="_Toc167965231"/>
      <w:r w:rsidRPr="00C42FD6">
        <w:lastRenderedPageBreak/>
        <w:t>4.6 Evropská statistika pracovních úrazů (ESAW)</w:t>
      </w:r>
      <w:bookmarkEnd w:id="38"/>
      <w:bookmarkEnd w:id="39"/>
      <w:bookmarkEnd w:id="40"/>
    </w:p>
    <w:p w14:paraId="6CDC5931" w14:textId="77777777" w:rsidR="003E1B21" w:rsidRPr="00EE492E" w:rsidRDefault="003E1B21" w:rsidP="003E1B21">
      <w:pPr>
        <w:spacing w:after="120"/>
        <w:jc w:val="both"/>
      </w:pPr>
      <w:r w:rsidRPr="00EE492E">
        <w:rPr>
          <w:rFonts w:cs="Arial"/>
          <w:szCs w:val="20"/>
        </w:rPr>
        <w:t xml:space="preserve">Evropská statistika pracovních úrazů – systém </w:t>
      </w:r>
      <w:r w:rsidRPr="00EE492E">
        <w:rPr>
          <w:rFonts w:cs="Arial"/>
          <w:b/>
          <w:szCs w:val="20"/>
        </w:rPr>
        <w:t>ESAW</w:t>
      </w:r>
      <w:r w:rsidRPr="00EE492E">
        <w:rPr>
          <w:rFonts w:cs="Arial"/>
          <w:szCs w:val="20"/>
        </w:rPr>
        <w:t xml:space="preserve"> (</w:t>
      </w:r>
      <w:proofErr w:type="spellStart"/>
      <w:r w:rsidRPr="00EE492E">
        <w:rPr>
          <w:rFonts w:cs="Arial"/>
          <w:szCs w:val="20"/>
        </w:rPr>
        <w:t>European</w:t>
      </w:r>
      <w:proofErr w:type="spellEnd"/>
      <w:r w:rsidRPr="00EE492E">
        <w:rPr>
          <w:rFonts w:cs="Arial"/>
          <w:szCs w:val="20"/>
        </w:rPr>
        <w:t xml:space="preserve"> </w:t>
      </w:r>
      <w:proofErr w:type="spellStart"/>
      <w:r w:rsidRPr="00EE492E">
        <w:rPr>
          <w:rFonts w:cs="Arial"/>
          <w:szCs w:val="20"/>
        </w:rPr>
        <w:t>Statistics</w:t>
      </w:r>
      <w:proofErr w:type="spellEnd"/>
      <w:r w:rsidRPr="00EE492E">
        <w:rPr>
          <w:rFonts w:cs="Arial"/>
          <w:szCs w:val="20"/>
        </w:rPr>
        <w:t xml:space="preserve"> on </w:t>
      </w:r>
      <w:proofErr w:type="spellStart"/>
      <w:r w:rsidRPr="00EE492E">
        <w:rPr>
          <w:rFonts w:cs="Arial"/>
          <w:szCs w:val="20"/>
        </w:rPr>
        <w:t>Accidents</w:t>
      </w:r>
      <w:proofErr w:type="spellEnd"/>
      <w:r w:rsidRPr="00EE492E">
        <w:rPr>
          <w:rFonts w:cs="Arial"/>
          <w:szCs w:val="20"/>
        </w:rPr>
        <w:t xml:space="preserve"> </w:t>
      </w:r>
      <w:proofErr w:type="spellStart"/>
      <w:r w:rsidRPr="00EE492E">
        <w:rPr>
          <w:rFonts w:cs="Arial"/>
          <w:szCs w:val="20"/>
        </w:rPr>
        <w:t>at</w:t>
      </w:r>
      <w:proofErr w:type="spellEnd"/>
      <w:r w:rsidRPr="00EE492E">
        <w:rPr>
          <w:rFonts w:cs="Arial"/>
          <w:szCs w:val="20"/>
        </w:rPr>
        <w:t xml:space="preserve"> </w:t>
      </w:r>
      <w:proofErr w:type="spellStart"/>
      <w:r w:rsidRPr="00EE492E">
        <w:rPr>
          <w:rFonts w:cs="Arial"/>
          <w:szCs w:val="20"/>
        </w:rPr>
        <w:t>Work</w:t>
      </w:r>
      <w:proofErr w:type="spellEnd"/>
      <w:r w:rsidRPr="00EE492E">
        <w:rPr>
          <w:rFonts w:cs="Arial"/>
          <w:szCs w:val="20"/>
        </w:rPr>
        <w:t xml:space="preserve">) – umožňuje sledovat pracovní úrazovost na základě jednotné metodiky, kterou připravil </w:t>
      </w:r>
      <w:proofErr w:type="spellStart"/>
      <w:r w:rsidRPr="00EE492E">
        <w:rPr>
          <w:rFonts w:cs="Arial"/>
          <w:szCs w:val="20"/>
        </w:rPr>
        <w:t>Eurostat</w:t>
      </w:r>
      <w:proofErr w:type="spellEnd"/>
      <w:r w:rsidRPr="00EE492E">
        <w:rPr>
          <w:rFonts w:cs="Arial"/>
          <w:szCs w:val="20"/>
        </w:rPr>
        <w:t xml:space="preserve">. Hlavním cílem je </w:t>
      </w:r>
      <w:r w:rsidRPr="00EE492E">
        <w:rPr>
          <w:rFonts w:cs="Arial"/>
          <w:b/>
          <w:szCs w:val="20"/>
        </w:rPr>
        <w:t>snížit</w:t>
      </w:r>
      <w:r w:rsidRPr="00EE492E">
        <w:rPr>
          <w:rFonts w:cs="Arial"/>
          <w:szCs w:val="20"/>
        </w:rPr>
        <w:t xml:space="preserve"> jak </w:t>
      </w:r>
      <w:r w:rsidRPr="00EE492E">
        <w:rPr>
          <w:rFonts w:cs="Arial"/>
          <w:b/>
          <w:szCs w:val="20"/>
        </w:rPr>
        <w:t>výskyt pracovních úrazů</w:t>
      </w:r>
      <w:r w:rsidRPr="00EE492E">
        <w:rPr>
          <w:rFonts w:cs="Arial"/>
          <w:szCs w:val="20"/>
        </w:rPr>
        <w:t xml:space="preserve">, tak dopady s nimi spojené (sociální problémy, ekonomické ztráty). Projekt ESAW na evropské úrovni svými výsledky významnou měrou přispívá k hlavnímu cíli statistiky pracovních úrazů, tj. </w:t>
      </w:r>
      <w:r w:rsidRPr="00EE492E">
        <w:rPr>
          <w:rFonts w:cs="Arial"/>
          <w:b/>
          <w:szCs w:val="20"/>
        </w:rPr>
        <w:t>vytvoření</w:t>
      </w:r>
      <w:r w:rsidRPr="00EE492E">
        <w:rPr>
          <w:rFonts w:cs="Arial"/>
          <w:szCs w:val="20"/>
        </w:rPr>
        <w:t xml:space="preserve"> dostatečného </w:t>
      </w:r>
      <w:r w:rsidRPr="00EE492E">
        <w:rPr>
          <w:rFonts w:cs="Arial"/>
          <w:b/>
          <w:szCs w:val="20"/>
        </w:rPr>
        <w:t>objemu údajů</w:t>
      </w:r>
      <w:r w:rsidRPr="00EE492E">
        <w:rPr>
          <w:rFonts w:cs="Arial"/>
          <w:szCs w:val="20"/>
        </w:rPr>
        <w:t xml:space="preserve"> o pracovní úrazovosti, na jejichž základě je zvyšována bezpečnost a ochrana zdraví při práci prostřednictvím účinných opatření, která umožňují aktivním způsobem předcházet pracovním úrazům, a tak snižovat jejich počet</w:t>
      </w:r>
      <w:r w:rsidRPr="00EE492E">
        <w:t>.</w:t>
      </w:r>
    </w:p>
    <w:p w14:paraId="5C569CBE" w14:textId="77777777" w:rsidR="003E1B21" w:rsidRPr="00EE492E" w:rsidRDefault="003E1B21" w:rsidP="003E1B21">
      <w:pPr>
        <w:spacing w:after="120"/>
        <w:jc w:val="both"/>
        <w:rPr>
          <w:rFonts w:cs="Arial"/>
          <w:szCs w:val="20"/>
        </w:rPr>
      </w:pPr>
      <w:r w:rsidRPr="00EE492E">
        <w:rPr>
          <w:rFonts w:cs="Arial"/>
          <w:szCs w:val="20"/>
        </w:rPr>
        <w:t>Rámcová směrnice 89/391/EHS týkající se opatření pro zlepšení bezpečnosti a ochrany zdraví zaměstnanců při práci zavedla povinnost pro zaměstnavatele vést seznam pracovních úrazů, které měly za následek pracovní neschopnost delší než 3 pracovní dny, a vypracovávat v souladu s vnitrostátními právními předpisy nebo zvyklostmi zprávy o pracovních úrazech, které utrpěli jeho zaměstnanci. Na tomto základě byl v roce 1990 zahájen projekt evropské statistiky pracovních úrazů s cílem harmonizovat údaje o všech pracovních úrazech, které měly za následek delší než třídenní pracovní neschopnost. Nařízení Evropského parlamentu a Rady (ES) č. 1338/2008 ze dne 16. prosince 2008 o statistice Společenství v oblasti veřejného zdraví a bezpečnosti a ochrany zdraví při práci stanoví povinnost poskytovat statistiky pracovních úrazů Komisi (</w:t>
      </w:r>
      <w:proofErr w:type="spellStart"/>
      <w:r w:rsidRPr="00EE492E">
        <w:rPr>
          <w:rFonts w:cs="Arial"/>
          <w:szCs w:val="20"/>
        </w:rPr>
        <w:t>Eurostatu</w:t>
      </w:r>
      <w:proofErr w:type="spellEnd"/>
      <w:r w:rsidRPr="00EE492E">
        <w:rPr>
          <w:rFonts w:cs="Arial"/>
          <w:szCs w:val="20"/>
        </w:rPr>
        <w:t xml:space="preserve">). </w:t>
      </w:r>
    </w:p>
    <w:p w14:paraId="01C80D41" w14:textId="77777777" w:rsidR="003E1B21" w:rsidRPr="00844F02" w:rsidRDefault="003E1B21" w:rsidP="003E1B21">
      <w:pPr>
        <w:spacing w:after="120"/>
        <w:jc w:val="both"/>
        <w:rPr>
          <w:rFonts w:cs="Arial"/>
          <w:szCs w:val="20"/>
        </w:rPr>
      </w:pPr>
      <w:r w:rsidRPr="00844F02">
        <w:rPr>
          <w:rFonts w:cs="Arial"/>
          <w:szCs w:val="20"/>
        </w:rPr>
        <w:t xml:space="preserve">V České republice byl rozhodnutím Ministerstva práce a sociálních věcí zpracováním Zprávy o pracovní úrazovosti v České republice a správou databáze statistických údajů o pracovních úrazech ve formátu ESAW k zaslání do </w:t>
      </w:r>
      <w:proofErr w:type="spellStart"/>
      <w:r w:rsidRPr="00844F02">
        <w:rPr>
          <w:rFonts w:cs="Arial"/>
          <w:szCs w:val="20"/>
        </w:rPr>
        <w:t>Eurostatu</w:t>
      </w:r>
      <w:proofErr w:type="spellEnd"/>
      <w:r w:rsidRPr="00844F02">
        <w:rPr>
          <w:rFonts w:cs="Arial"/>
          <w:szCs w:val="20"/>
        </w:rPr>
        <w:t xml:space="preserve"> pověřen </w:t>
      </w:r>
      <w:r w:rsidRPr="00844F02">
        <w:rPr>
          <w:rFonts w:cs="Arial"/>
          <w:b/>
          <w:szCs w:val="20"/>
        </w:rPr>
        <w:t>Státní úřad inspekce práce</w:t>
      </w:r>
      <w:r w:rsidRPr="00844F02">
        <w:rPr>
          <w:rFonts w:cs="Arial"/>
          <w:szCs w:val="20"/>
        </w:rPr>
        <w:t>. Státní úřad inspekce práce (SÚIP) v této oblasti úzce spolupracuje s Českým báňským úřadem (ČBÚ) a ČSÚ.</w:t>
      </w:r>
    </w:p>
    <w:p w14:paraId="72B11D20" w14:textId="77777777" w:rsidR="003E1B21" w:rsidRPr="00844F02" w:rsidRDefault="003E1B21" w:rsidP="003E1B21">
      <w:pPr>
        <w:spacing w:after="120"/>
        <w:jc w:val="both"/>
        <w:rPr>
          <w:rFonts w:cs="Arial"/>
          <w:szCs w:val="20"/>
        </w:rPr>
      </w:pPr>
      <w:r w:rsidRPr="00844F02">
        <w:rPr>
          <w:rFonts w:cs="Arial"/>
          <w:b/>
          <w:szCs w:val="20"/>
        </w:rPr>
        <w:t>Statistiky</w:t>
      </w:r>
      <w:r w:rsidRPr="00844F02">
        <w:rPr>
          <w:rFonts w:cs="Arial"/>
          <w:szCs w:val="20"/>
        </w:rPr>
        <w:t xml:space="preserve"> se </w:t>
      </w:r>
      <w:proofErr w:type="spellStart"/>
      <w:r w:rsidRPr="00844F02">
        <w:rPr>
          <w:rFonts w:cs="Arial"/>
          <w:szCs w:val="20"/>
        </w:rPr>
        <w:t>Eurostatu</w:t>
      </w:r>
      <w:proofErr w:type="spellEnd"/>
      <w:r w:rsidRPr="00844F02">
        <w:rPr>
          <w:rFonts w:cs="Arial"/>
          <w:szCs w:val="20"/>
        </w:rPr>
        <w:t xml:space="preserve"> poskytují </w:t>
      </w:r>
      <w:r w:rsidRPr="00844F02">
        <w:rPr>
          <w:rFonts w:cs="Arial"/>
          <w:b/>
          <w:szCs w:val="20"/>
        </w:rPr>
        <w:t>každoročně</w:t>
      </w:r>
      <w:r w:rsidRPr="00844F02">
        <w:rPr>
          <w:rFonts w:cs="Arial"/>
          <w:szCs w:val="20"/>
        </w:rPr>
        <w:t xml:space="preserve"> a předkládají se nejpozději 18 měsíců po skončení referenčního roku. </w:t>
      </w:r>
      <w:proofErr w:type="spellStart"/>
      <w:r w:rsidRPr="00844F02">
        <w:rPr>
          <w:rFonts w:cs="Arial"/>
          <w:szCs w:val="20"/>
        </w:rPr>
        <w:t>Eurostat</w:t>
      </w:r>
      <w:proofErr w:type="spellEnd"/>
      <w:r w:rsidRPr="00844F02">
        <w:rPr>
          <w:rFonts w:cs="Arial"/>
          <w:szCs w:val="20"/>
        </w:rPr>
        <w:t xml:space="preserve"> zveřejňuje na svých stránkách výsledky zpracování dat za členské země EU, a to podle závažnosti pracovního úrazu, samostatně za smrtelné pracovní úrazy a za ostatní pracovní úrazy, které mají za následek pracovní neschopnost delší než 3 dny. K dispozici jsou dva základní ukazatele </w:t>
      </w:r>
      <w:r w:rsidRPr="00844F02">
        <w:rPr>
          <w:rFonts w:cs="Arial"/>
          <w:szCs w:val="20"/>
        </w:rPr>
        <w:br/>
        <w:t>– absolutní ukazatel počtu pracovních úrazů a relativní ukazatel standardizovaná míra výskytu. Data jsou tříděna podle pohlaví, věku, zaměstnání pojištěnce, ekonomické činnosti zaměstnavatele a dalších kritérií</w:t>
      </w:r>
      <w:r w:rsidRPr="00844F02">
        <w:rPr>
          <w:rStyle w:val="Znakapoznpodarou"/>
          <w:rFonts w:cs="Arial"/>
          <w:szCs w:val="20"/>
        </w:rPr>
        <w:footnoteReference w:id="12"/>
      </w:r>
      <w:r w:rsidRPr="00844F02">
        <w:rPr>
          <w:rFonts w:cs="Arial"/>
          <w:szCs w:val="20"/>
        </w:rPr>
        <w:t>.</w:t>
      </w:r>
    </w:p>
    <w:p w14:paraId="0FB73C68" w14:textId="18507ABD" w:rsidR="003E1B21" w:rsidRPr="00844F02" w:rsidRDefault="003E1B21" w:rsidP="003E1B21">
      <w:pPr>
        <w:spacing w:after="120"/>
        <w:jc w:val="both"/>
      </w:pPr>
      <w:r w:rsidRPr="00844F02">
        <w:t xml:space="preserve">Pro mezinárodní srovnání za členské státy EU byl v této publikaci použit relativní ukazatel – </w:t>
      </w:r>
      <w:r w:rsidRPr="00844F02">
        <w:rPr>
          <w:b/>
        </w:rPr>
        <w:t>standardizovaná míra výskytu pracovních úrazů</w:t>
      </w:r>
      <w:r w:rsidRPr="00844F02">
        <w:t xml:space="preserve"> na 100 tis. zaměstnaných osob, který je pro srovnání zemí různé velikosti vhodnějším ukazatelem než absolutní počet pracovních úrazů. Navíc ošetřuje problém rozdílné odvětvové struktury v jednotlivých zemích. Pro zachycení vývoje míry úrazovosti v členských zemích EU byly využity </w:t>
      </w:r>
      <w:r w:rsidRPr="00251BF8">
        <w:t>údaje za roky 2011–2021.</w:t>
      </w:r>
    </w:p>
    <w:p w14:paraId="03951BDB" w14:textId="77777777" w:rsidR="003E1B21" w:rsidRPr="00844F02" w:rsidRDefault="003E1B21" w:rsidP="003E1B21">
      <w:pPr>
        <w:spacing w:after="120"/>
        <w:jc w:val="both"/>
      </w:pPr>
      <w:r w:rsidRPr="00844F02">
        <w:t xml:space="preserve">Je však nutné upozornit na skutečnost, že vnitrostátní legislativa nebo zvyklosti v oblasti pracovní úrazovosti se mohou v jednotlivých zemích poměrně značně lišit, a tak i data předávaná do </w:t>
      </w:r>
      <w:proofErr w:type="spellStart"/>
      <w:r w:rsidRPr="00844F02">
        <w:t>Eurostatu</w:t>
      </w:r>
      <w:proofErr w:type="spellEnd"/>
      <w:r w:rsidRPr="00844F02">
        <w:t>, přes veškerou snahu statistiků o harmonizaci a standardizaci, nemusí být zcela srovnatelná.</w:t>
      </w:r>
    </w:p>
    <w:p w14:paraId="0A5A4B45" w14:textId="77777777" w:rsidR="003E1B21" w:rsidRPr="00844F02" w:rsidRDefault="003E1B21" w:rsidP="003E1B21">
      <w:pPr>
        <w:pStyle w:val="Box1"/>
        <w:spacing w:before="120" w:after="120"/>
        <w:ind w:left="0"/>
        <w:jc w:val="both"/>
        <w:rPr>
          <w:i/>
        </w:rPr>
      </w:pPr>
      <w:r w:rsidRPr="00844F02">
        <w:rPr>
          <w:b/>
          <w:i/>
        </w:rPr>
        <w:t xml:space="preserve">Míra výskytu (četnost) </w:t>
      </w:r>
      <w:r w:rsidRPr="00844F02">
        <w:rPr>
          <w:i/>
        </w:rPr>
        <w:t xml:space="preserve">– ukazatel vyjadřuje počet pracovních úrazů na 100 000 zaměstnaných osob. Samostatné míry výskytu se počítají u smrtelných pracovních úrazů a pracovních úrazů, které mají za následek pracovní neschopnost delší než 3 dny. </w:t>
      </w:r>
    </w:p>
    <w:p w14:paraId="45065E13" w14:textId="77777777" w:rsidR="003E1B21" w:rsidRPr="00844F02" w:rsidRDefault="003E1B21" w:rsidP="003E1B21">
      <w:pPr>
        <w:pStyle w:val="Box1"/>
        <w:ind w:left="0"/>
        <w:jc w:val="both"/>
        <w:rPr>
          <w:i/>
          <w:u w:val="single"/>
        </w:rPr>
      </w:pPr>
      <w:r w:rsidRPr="00844F02">
        <w:rPr>
          <w:i/>
          <w:u w:val="single"/>
        </w:rPr>
        <w:t>Způsob výpočtu:</w:t>
      </w:r>
    </w:p>
    <w:p w14:paraId="2053C7BC" w14:textId="0617B623" w:rsidR="007C20D3" w:rsidRDefault="003E1B21" w:rsidP="003E1B21">
      <w:pPr>
        <w:pStyle w:val="Box1"/>
        <w:spacing w:before="120" w:after="120"/>
        <w:ind w:left="0"/>
        <w:contextualSpacing w:val="0"/>
        <w:jc w:val="both"/>
        <w:rPr>
          <w:i/>
        </w:rPr>
      </w:pPr>
      <w:r w:rsidRPr="00844F02">
        <w:rPr>
          <w:i/>
        </w:rPr>
        <w:t>Míra výskytu = počet úrazů (smrtelných nebo ostatních) / počet zaměstnaných osob ve sledované populaci x 100 000.</w:t>
      </w:r>
    </w:p>
    <w:p w14:paraId="56B31BA7" w14:textId="77777777" w:rsidR="007C20D3" w:rsidRDefault="007C20D3">
      <w:pPr>
        <w:spacing w:after="0" w:line="240" w:lineRule="auto"/>
        <w:rPr>
          <w:rFonts w:eastAsia="Calibri" w:cs="Arial"/>
          <w:i/>
          <w:szCs w:val="20"/>
        </w:rPr>
      </w:pPr>
      <w:r>
        <w:rPr>
          <w:i/>
        </w:rPr>
        <w:br w:type="page"/>
      </w:r>
    </w:p>
    <w:p w14:paraId="4922400D" w14:textId="77777777" w:rsidR="003E1B21" w:rsidRPr="00844F02" w:rsidRDefault="003E1B21" w:rsidP="003E1B21">
      <w:pPr>
        <w:pStyle w:val="Box1"/>
        <w:spacing w:before="120" w:after="120"/>
        <w:ind w:left="0"/>
        <w:contextualSpacing w:val="0"/>
        <w:jc w:val="both"/>
        <w:rPr>
          <w:i/>
        </w:rPr>
      </w:pPr>
      <w:r w:rsidRPr="00844F02">
        <w:rPr>
          <w:b/>
          <w:i/>
        </w:rPr>
        <w:lastRenderedPageBreak/>
        <w:t>Standardizovaná míra výskytu</w:t>
      </w:r>
      <w:r w:rsidRPr="00844F02">
        <w:rPr>
          <w:i/>
        </w:rPr>
        <w:t xml:space="preserve"> – standardizovaný počet pracovních úrazů na 100 000 zaměstnaných osob spočívající v použití stejné (standardizované) váhy v každém odvětví v každé zemi, jako je celková v rámci EU („standardizovaná“ míra úrazovosti). Použití standardizovaného ukazatele řeší problém častějšího výskytu pracovních úrazů v některých zaměstnáních v závislosti na vyšším podílu vysoce rizikových odvětví v průmyslové struktuře země. Standardizovaná míra pokrývá následující sekce klasifikace NACE: </w:t>
      </w:r>
      <w:proofErr w:type="gramStart"/>
      <w:r w:rsidRPr="00844F02">
        <w:rPr>
          <w:i/>
        </w:rPr>
        <w:t>A, C–N</w:t>
      </w:r>
      <w:r>
        <w:rPr>
          <w:i/>
        </w:rPr>
        <w:t>,</w:t>
      </w:r>
      <w:r w:rsidRPr="00844F02">
        <w:rPr>
          <w:i/>
        </w:rPr>
        <w:t xml:space="preserve"> tj.</w:t>
      </w:r>
      <w:proofErr w:type="gramEnd"/>
      <w:r w:rsidRPr="00844F02">
        <w:rPr>
          <w:i/>
        </w:rPr>
        <w:t> bez sekcí B (Těžba a dobývání) a O–U (zahrnující některé služby).</w:t>
      </w:r>
    </w:p>
    <w:p w14:paraId="4BBED353" w14:textId="454D1DCB" w:rsidR="00B33613" w:rsidRPr="00251BF8" w:rsidRDefault="00B33613" w:rsidP="00B33613">
      <w:pPr>
        <w:spacing w:after="120"/>
        <w:jc w:val="both"/>
      </w:pPr>
      <w:r w:rsidRPr="00FD437F">
        <w:t xml:space="preserve">Co se týče </w:t>
      </w:r>
      <w:r w:rsidRPr="00FD437F">
        <w:rPr>
          <w:b/>
        </w:rPr>
        <w:t>pracovních úrazů</w:t>
      </w:r>
      <w:r w:rsidRPr="00FD437F">
        <w:t xml:space="preserve">, které si vyžádaly </w:t>
      </w:r>
      <w:r w:rsidRPr="00FD437F">
        <w:rPr>
          <w:b/>
        </w:rPr>
        <w:t>pracovní neschopnost delší než 3 dny</w:t>
      </w:r>
      <w:r w:rsidRPr="00FD437F">
        <w:t xml:space="preserve">, se </w:t>
      </w:r>
      <w:r w:rsidRPr="00FD437F">
        <w:rPr>
          <w:b/>
        </w:rPr>
        <w:t>Česká republika</w:t>
      </w:r>
      <w:r w:rsidRPr="00FD437F">
        <w:t xml:space="preserve"> </w:t>
      </w:r>
      <w:r w:rsidRPr="00251BF8">
        <w:t xml:space="preserve">s hodnotou standardizované míry </w:t>
      </w:r>
      <w:r w:rsidR="00C50880" w:rsidRPr="00251BF8">
        <w:t>808</w:t>
      </w:r>
      <w:r w:rsidRPr="00251BF8">
        <w:t xml:space="preserve"> pracovních úrazů na 100 tis. zaměstnaných osob v roce 202</w:t>
      </w:r>
      <w:r w:rsidR="00C50880" w:rsidRPr="00251BF8">
        <w:t>1</w:t>
      </w:r>
      <w:r w:rsidRPr="00251BF8">
        <w:t xml:space="preserve"> </w:t>
      </w:r>
      <w:r w:rsidR="00C50880" w:rsidRPr="00251BF8">
        <w:t xml:space="preserve">řadila stejně jako v předchozích dvou letech </w:t>
      </w:r>
      <w:r w:rsidRPr="00251BF8">
        <w:t xml:space="preserve">na </w:t>
      </w:r>
      <w:r w:rsidRPr="00251BF8">
        <w:rPr>
          <w:b/>
        </w:rPr>
        <w:t xml:space="preserve">16. místo </w:t>
      </w:r>
      <w:r w:rsidRPr="00251BF8">
        <w:t xml:space="preserve">v rámci </w:t>
      </w:r>
      <w:r w:rsidRPr="00251BF8">
        <w:rPr>
          <w:b/>
        </w:rPr>
        <w:t>EU27</w:t>
      </w:r>
      <w:r w:rsidRPr="00251BF8">
        <w:t xml:space="preserve">. Nejvyšší míra pracovní úrazovosti </w:t>
      </w:r>
      <w:r w:rsidR="00C50880" w:rsidRPr="00251BF8">
        <w:t xml:space="preserve">je podle </w:t>
      </w:r>
      <w:proofErr w:type="spellStart"/>
      <w:r w:rsidR="00C50880" w:rsidRPr="00251BF8">
        <w:t>Eurostatu</w:t>
      </w:r>
      <w:proofErr w:type="spellEnd"/>
      <w:r w:rsidR="00C50880" w:rsidRPr="00251BF8">
        <w:t xml:space="preserve"> dlouhodobě ve </w:t>
      </w:r>
      <w:r w:rsidRPr="00251BF8">
        <w:t>Francii</w:t>
      </w:r>
      <w:r w:rsidR="00C50880" w:rsidRPr="00251BF8">
        <w:t>, Portugalsku</w:t>
      </w:r>
      <w:r w:rsidRPr="00251BF8">
        <w:t xml:space="preserve"> a </w:t>
      </w:r>
      <w:r w:rsidR="00C50880" w:rsidRPr="00251BF8">
        <w:t xml:space="preserve"> Španělsku</w:t>
      </w:r>
      <w:r w:rsidR="00DD5A0D" w:rsidRPr="00251BF8">
        <w:t xml:space="preserve"> (v průběhu let v různém pořadí)</w:t>
      </w:r>
      <w:r w:rsidR="00C50880" w:rsidRPr="00251BF8">
        <w:t>. V roce 2021</w:t>
      </w:r>
      <w:r w:rsidRPr="00251BF8">
        <w:t xml:space="preserve"> činila v těchto zemích více než 2 </w:t>
      </w:r>
      <w:r w:rsidR="00C50880" w:rsidRPr="00251BF8">
        <w:t>5</w:t>
      </w:r>
      <w:r w:rsidRPr="00251BF8">
        <w:t>00 pracovních úrazů na 100 tis. zaměstnaných osob</w:t>
      </w:r>
      <w:r w:rsidR="00FD437F" w:rsidRPr="00251BF8">
        <w:t>, přičemž jen ve Francii to bylo 3 364 úrazů</w:t>
      </w:r>
      <w:r w:rsidRPr="00251BF8">
        <w:t>. S odstupem následovalo Dánsko (</w:t>
      </w:r>
      <w:r w:rsidR="00C50880" w:rsidRPr="00251BF8">
        <w:t>2 070</w:t>
      </w:r>
      <w:r w:rsidRPr="00251BF8">
        <w:t xml:space="preserve">), </w:t>
      </w:r>
      <w:r w:rsidR="00C50880" w:rsidRPr="00251BF8">
        <w:t xml:space="preserve">Lucembursko </w:t>
      </w:r>
      <w:r w:rsidR="00FD437F" w:rsidRPr="00251BF8">
        <w:t>(1 902) a Německo (1 </w:t>
      </w:r>
      <w:r w:rsidRPr="00251BF8">
        <w:t>8</w:t>
      </w:r>
      <w:r w:rsidR="00FD437F" w:rsidRPr="00251BF8">
        <w:t>59).</w:t>
      </w:r>
      <w:r w:rsidRPr="00251BF8">
        <w:t xml:space="preserve"> Průměr za státy EU27 činil 1 6</w:t>
      </w:r>
      <w:r w:rsidR="00FD437F" w:rsidRPr="00251BF8">
        <w:t>24</w:t>
      </w:r>
      <w:r w:rsidRPr="00251BF8">
        <w:t xml:space="preserve"> pracovních úrazů s minimálně 3denní pracovní neschopností na 100 tis. zaměstnaných osob. Nejnižší míra pracovní úrazovosti (pod hranicí 400 pracovních úrazů) byla v roce 202</w:t>
      </w:r>
      <w:r w:rsidR="00FD437F" w:rsidRPr="00251BF8">
        <w:t>1</w:t>
      </w:r>
      <w:r w:rsidRPr="00251BF8">
        <w:t xml:space="preserve"> vykázána v</w:t>
      </w:r>
      <w:r w:rsidR="00FD437F" w:rsidRPr="00251BF8">
        <w:t xml:space="preserve"> Rumunsku, </w:t>
      </w:r>
      <w:r w:rsidRPr="00251BF8">
        <w:t xml:space="preserve">Bulharsku, </w:t>
      </w:r>
      <w:r w:rsidR="00FD437F" w:rsidRPr="00251BF8">
        <w:t xml:space="preserve">Řecku a </w:t>
      </w:r>
      <w:r w:rsidRPr="00251BF8">
        <w:t>Lotyšsku</w:t>
      </w:r>
      <w:r w:rsidR="00FD437F" w:rsidRPr="00251BF8">
        <w:t>.</w:t>
      </w:r>
      <w:r w:rsidRPr="00251BF8">
        <w:t xml:space="preserve"> V </w:t>
      </w:r>
      <w:r w:rsidR="00FD437F" w:rsidRPr="00251BF8">
        <w:t xml:space="preserve">Rumunsku </w:t>
      </w:r>
      <w:r w:rsidRPr="00251BF8">
        <w:t xml:space="preserve">bylo na 100 000 zaměstnaných hlášeno pouze </w:t>
      </w:r>
      <w:r w:rsidR="00FD437F" w:rsidRPr="00251BF8">
        <w:t>52</w:t>
      </w:r>
      <w:r w:rsidRPr="00251BF8">
        <w:t xml:space="preserve"> pracovních úrazů s pracovní neschopností delší než 3 dny, v </w:t>
      </w:r>
      <w:r w:rsidR="00FD437F" w:rsidRPr="00251BF8">
        <w:t>Bulharsku</w:t>
      </w:r>
      <w:r w:rsidRPr="00251BF8">
        <w:t xml:space="preserve"> 81. </w:t>
      </w:r>
    </w:p>
    <w:p w14:paraId="72BDFA48" w14:textId="3E317353" w:rsidR="00B33613" w:rsidRPr="004E495A" w:rsidRDefault="00B33613" w:rsidP="00B33613">
      <w:pPr>
        <w:spacing w:after="120"/>
        <w:jc w:val="both"/>
      </w:pPr>
      <w:r w:rsidRPr="00251BF8">
        <w:t xml:space="preserve">Podle informací </w:t>
      </w:r>
      <w:proofErr w:type="spellStart"/>
      <w:r w:rsidRPr="00251BF8">
        <w:t>Eurostatu</w:t>
      </w:r>
      <w:proofErr w:type="spellEnd"/>
      <w:r w:rsidRPr="00251BF8">
        <w:t xml:space="preserve"> je v zemích s nejvyšší mírou výskytu pracovních úrazů (</w:t>
      </w:r>
      <w:r w:rsidR="00FD437F" w:rsidRPr="00251BF8">
        <w:t>Francie, Portugalsko či</w:t>
      </w:r>
      <w:r w:rsidR="00FD437F" w:rsidRPr="004E495A">
        <w:t xml:space="preserve"> </w:t>
      </w:r>
      <w:r w:rsidRPr="004E495A">
        <w:t>Španělsko) zaveden systém hlášení úrazů na základě pojištění. Osoba postižená úrazem obdrží při nahlášení úrazu významnou peněžní kompenzaci od pojišťovny. V zemích východní Evropy pracovní úrazovost nejčastěji spadá do systému sociálního zabezpečení. Z těchto zemí jedině Slovinsko a Estonsko vykázalo více než 1 000 pracovních úrazů s pracovní neschopností delší než 3 dny na 100 000 zaměstnaných osob. Dlouhodobě nejnižší míra v Rumunsku a Bulharsku, navíc s</w:t>
      </w:r>
      <w:r w:rsidR="00D21199">
        <w:t xml:space="preserve"> velkým </w:t>
      </w:r>
      <w:r w:rsidRPr="004E495A">
        <w:t>odstupem za ostatními státy, patrně do značné míry odráží vysoký podíl nenahlášených pracovních úrazů.</w:t>
      </w:r>
    </w:p>
    <w:p w14:paraId="7D3781E8" w14:textId="34E7B832" w:rsidR="00B33613" w:rsidRPr="004E495A" w:rsidRDefault="00B33613" w:rsidP="00B33613">
      <w:pPr>
        <w:spacing w:after="120"/>
        <w:jc w:val="both"/>
      </w:pPr>
      <w:r w:rsidRPr="00251BF8">
        <w:t xml:space="preserve">Jedná se o </w:t>
      </w:r>
      <w:r w:rsidR="00DD5A0D" w:rsidRPr="00251BF8">
        <w:t>druhý ročník dat</w:t>
      </w:r>
      <w:r w:rsidRPr="00251BF8">
        <w:t xml:space="preserve"> ze statistiky ESAW mapující období </w:t>
      </w:r>
      <w:r w:rsidR="002B6CB3">
        <w:t>poznamenané pandemií covidu-19</w:t>
      </w:r>
      <w:r w:rsidRPr="00251BF8">
        <w:t xml:space="preserve">. </w:t>
      </w:r>
      <w:r w:rsidR="00CF442A">
        <w:t>V</w:t>
      </w:r>
      <w:r w:rsidR="002B6CB3">
        <w:t> </w:t>
      </w:r>
      <w:r w:rsidR="00CF442A">
        <w:t xml:space="preserve">meziročním srovnání došlo v roce 2021 ve většině států k nárůstu standardizované míry výskytu pracovních úrazů na 100 tis. zaměstnaných. Nejvíce to bylo ve Francii (+767), Španělsku (+273), Portugalsku (+225) či Itálii (+208). Pouze na </w:t>
      </w:r>
      <w:r w:rsidR="004E495A" w:rsidRPr="00251BF8">
        <w:t xml:space="preserve">Kypru, </w:t>
      </w:r>
      <w:r w:rsidR="00CF442A">
        <w:t>v Maďarsku, Rumunsku</w:t>
      </w:r>
      <w:r w:rsidR="004E495A" w:rsidRPr="00251BF8">
        <w:t xml:space="preserve"> a </w:t>
      </w:r>
      <w:r w:rsidR="00CF442A">
        <w:t xml:space="preserve">na </w:t>
      </w:r>
      <w:r w:rsidR="004E495A" w:rsidRPr="00251BF8">
        <w:t>Malt</w:t>
      </w:r>
      <w:r w:rsidR="00CF442A">
        <w:t>ě míra výskytu pracovních úrazů klesala.</w:t>
      </w:r>
      <w:r w:rsidRPr="00251BF8">
        <w:t xml:space="preserve"> Je však potřeba dodat, že míra rozšíření nemoci covid-19 a s ní související opatření, která měla dopad i na pracovní úrazovost, se lišila napříč zeměmi.</w:t>
      </w:r>
    </w:p>
    <w:p w14:paraId="703EE96B" w14:textId="77777777" w:rsidR="00CF442A" w:rsidRDefault="00CF442A">
      <w:pPr>
        <w:spacing w:after="0" w:line="240" w:lineRule="auto"/>
        <w:rPr>
          <w:rFonts w:cs="Arial"/>
          <w:b/>
          <w:bCs/>
          <w:color w:val="000000"/>
          <w:szCs w:val="20"/>
        </w:rPr>
      </w:pPr>
      <w:r>
        <w:rPr>
          <w:rFonts w:cs="Arial"/>
          <w:b/>
          <w:bCs/>
          <w:color w:val="000000"/>
          <w:szCs w:val="20"/>
        </w:rPr>
        <w:br w:type="page"/>
      </w:r>
    </w:p>
    <w:p w14:paraId="72A58628" w14:textId="20DD98E2" w:rsidR="00B33613" w:rsidRPr="00B33613" w:rsidRDefault="00B33613" w:rsidP="00B33613">
      <w:pPr>
        <w:spacing w:after="0" w:line="240" w:lineRule="auto"/>
        <w:rPr>
          <w:rFonts w:cs="Arial"/>
          <w:b/>
          <w:bCs/>
          <w:color w:val="000000"/>
          <w:szCs w:val="20"/>
        </w:rPr>
      </w:pPr>
      <w:r w:rsidRPr="00B33613">
        <w:rPr>
          <w:rFonts w:cs="Arial"/>
          <w:b/>
          <w:bCs/>
          <w:color w:val="000000"/>
          <w:szCs w:val="20"/>
        </w:rPr>
        <w:lastRenderedPageBreak/>
        <w:t>Graf 6.1: Pracovní úrazy s pracovní neschopností delší než 3 pracovní dny v zemích EU (standardizovaná míra výskytu na 100 tis. zaměstnaných osob), 2021</w:t>
      </w:r>
    </w:p>
    <w:p w14:paraId="307593EF" w14:textId="77777777" w:rsidR="00B33613" w:rsidRDefault="00B33613" w:rsidP="008F6B9A">
      <w:pPr>
        <w:spacing w:after="0" w:line="240" w:lineRule="auto"/>
        <w:rPr>
          <w:rFonts w:cs="Arial"/>
          <w:b/>
          <w:highlight w:val="yellow"/>
        </w:rPr>
      </w:pPr>
      <w:r>
        <w:rPr>
          <w:noProof/>
        </w:rPr>
        <w:drawing>
          <wp:inline distT="0" distB="0" distL="0" distR="0" wp14:anchorId="68F852D0" wp14:editId="04E2811C">
            <wp:extent cx="6096000" cy="5067300"/>
            <wp:effectExtent l="0" t="0" r="0" b="0"/>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F657B01" w14:textId="77777777" w:rsidR="00B33613" w:rsidRPr="00095759" w:rsidRDefault="00B33613" w:rsidP="00B33613">
      <w:pPr>
        <w:spacing w:after="120"/>
        <w:jc w:val="both"/>
        <w:rPr>
          <w:sz w:val="16"/>
        </w:rPr>
      </w:pPr>
      <w:r w:rsidRPr="00095759">
        <w:rPr>
          <w:sz w:val="16"/>
        </w:rPr>
        <w:t xml:space="preserve">Zdroj: </w:t>
      </w:r>
      <w:proofErr w:type="spellStart"/>
      <w:r w:rsidRPr="00095759">
        <w:rPr>
          <w:sz w:val="16"/>
        </w:rPr>
        <w:t>Eurostat</w:t>
      </w:r>
      <w:proofErr w:type="spellEnd"/>
      <w:r w:rsidRPr="00095759">
        <w:rPr>
          <w:sz w:val="16"/>
        </w:rPr>
        <w:t xml:space="preserve"> (ESAW)</w:t>
      </w:r>
    </w:p>
    <w:p w14:paraId="6C8315B0" w14:textId="77777777" w:rsidR="00B31735" w:rsidRPr="001C68C1" w:rsidRDefault="00B31735" w:rsidP="00B31735">
      <w:pPr>
        <w:spacing w:after="120"/>
        <w:jc w:val="both"/>
      </w:pPr>
      <w:r w:rsidRPr="00251BF8">
        <w:t xml:space="preserve">V oblasti </w:t>
      </w:r>
      <w:r w:rsidRPr="00251BF8">
        <w:rPr>
          <w:b/>
        </w:rPr>
        <w:t>smrtelných pracovních úrazů</w:t>
      </w:r>
      <w:r w:rsidRPr="00251BF8">
        <w:t xml:space="preserve"> se </w:t>
      </w:r>
      <w:r w:rsidRPr="00251BF8">
        <w:rPr>
          <w:b/>
        </w:rPr>
        <w:t>Česká republika</w:t>
      </w:r>
      <w:r w:rsidRPr="00251BF8">
        <w:t xml:space="preserve"> s hodnotou 2,0 smrtelných pracovních úrazů na 100 tis. zaměstnaných osob v roce 2021 řadila na </w:t>
      </w:r>
      <w:r w:rsidRPr="00251BF8">
        <w:rPr>
          <w:b/>
        </w:rPr>
        <w:t xml:space="preserve">19. místo </w:t>
      </w:r>
      <w:r w:rsidRPr="00251BF8">
        <w:t xml:space="preserve">v rámci </w:t>
      </w:r>
      <w:r w:rsidRPr="00251BF8">
        <w:rPr>
          <w:b/>
        </w:rPr>
        <w:t>EU27</w:t>
      </w:r>
      <w:r w:rsidRPr="00251BF8">
        <w:t>. V roce 2020 jí patřila 13. příčka. Zatímco v roce 2016 bylo Česko na úrovni celoevropského průměru, v roce 2020 ho převyšovalo o 0,4 úrazu v přepočtu na 100 tis. zaměstnaných. Naopak v roce 2021 byla hodnota za Českou republiku ve srovnání s </w:t>
      </w:r>
      <w:proofErr w:type="spellStart"/>
      <w:r w:rsidRPr="00251BF8">
        <w:t>celounijním</w:t>
      </w:r>
      <w:proofErr w:type="spellEnd"/>
      <w:r w:rsidRPr="00251BF8">
        <w:t xml:space="preserve"> průměrem, který činil 2,2 smrtelných pracovních úrazů, nižší. Nejvyšší míra smrtelné pracovní úrazovosti byla v roce 2021 podle </w:t>
      </w:r>
      <w:proofErr w:type="spellStart"/>
      <w:r w:rsidRPr="00251BF8">
        <w:t>Eurostatu</w:t>
      </w:r>
      <w:proofErr w:type="spellEnd"/>
      <w:r w:rsidRPr="00251BF8">
        <w:t xml:space="preserve"> v Litvě (5,5 na 100 tis. zaměstnaných osob) a na Maltě (5,0), kde ovšem vlivem velmi malé populace zaměstnaných osob dochází každoročně k velkým výkyvům tohoto ukazatele. Následovalo Lotyšsko a Francie s hodnotami 4,7 a 4,5. Naopak nejnižší míra smrtelné pracovní úrazovosti se dlouhodobě drží v Nizozemsku (0,4), Finsku (1,0), Německu, Řecku a Švédsku (shodně 1,1).</w:t>
      </w:r>
      <w:r w:rsidRPr="001C68C1">
        <w:t xml:space="preserve"> </w:t>
      </w:r>
    </w:p>
    <w:p w14:paraId="51A850F4" w14:textId="77777777" w:rsidR="00C8357C" w:rsidRDefault="00C8357C">
      <w:pPr>
        <w:spacing w:after="0" w:line="240" w:lineRule="auto"/>
        <w:rPr>
          <w:rFonts w:cs="Arial"/>
          <w:b/>
          <w:bCs/>
          <w:color w:val="000000"/>
          <w:szCs w:val="20"/>
        </w:rPr>
      </w:pPr>
      <w:r>
        <w:rPr>
          <w:rFonts w:cs="Arial"/>
          <w:b/>
          <w:bCs/>
          <w:color w:val="000000"/>
          <w:szCs w:val="20"/>
        </w:rPr>
        <w:br w:type="page"/>
      </w:r>
    </w:p>
    <w:p w14:paraId="25F0A995" w14:textId="3CC0F5F3" w:rsidR="00B33613" w:rsidRPr="00B33613" w:rsidRDefault="00B33613" w:rsidP="00B33613">
      <w:pPr>
        <w:spacing w:after="0" w:line="240" w:lineRule="auto"/>
        <w:rPr>
          <w:rFonts w:cs="Arial"/>
          <w:b/>
          <w:bCs/>
          <w:color w:val="000000"/>
          <w:szCs w:val="20"/>
        </w:rPr>
      </w:pPr>
      <w:r w:rsidRPr="00B33613">
        <w:rPr>
          <w:rFonts w:cs="Arial"/>
          <w:b/>
          <w:bCs/>
          <w:color w:val="000000"/>
          <w:szCs w:val="20"/>
        </w:rPr>
        <w:lastRenderedPageBreak/>
        <w:t>Tab. 6.1: Pracovní úrazy s pracovní neschopností delší než 3 pracovní dny v zemích EU (standardizovaná míra výskytu na 100 tis. zaměstnaných osob), 2011–2021</w:t>
      </w:r>
    </w:p>
    <w:tbl>
      <w:tblPr>
        <w:tblW w:w="9783" w:type="dxa"/>
        <w:tblCellMar>
          <w:left w:w="70" w:type="dxa"/>
          <w:right w:w="70" w:type="dxa"/>
        </w:tblCellMar>
        <w:tblLook w:val="04A0" w:firstRow="1" w:lastRow="0" w:firstColumn="1" w:lastColumn="0" w:noHBand="0" w:noVBand="1"/>
      </w:tblPr>
      <w:tblGrid>
        <w:gridCol w:w="1368"/>
        <w:gridCol w:w="765"/>
        <w:gridCol w:w="765"/>
        <w:gridCol w:w="765"/>
        <w:gridCol w:w="765"/>
        <w:gridCol w:w="765"/>
        <w:gridCol w:w="765"/>
        <w:gridCol w:w="765"/>
        <w:gridCol w:w="765"/>
        <w:gridCol w:w="765"/>
        <w:gridCol w:w="765"/>
        <w:gridCol w:w="765"/>
      </w:tblGrid>
      <w:tr w:rsidR="00B33613" w:rsidRPr="00166BEB" w14:paraId="76708460" w14:textId="4AA51464" w:rsidTr="00B33613">
        <w:trPr>
          <w:trHeight w:val="300"/>
        </w:trPr>
        <w:tc>
          <w:tcPr>
            <w:tcW w:w="0" w:type="auto"/>
            <w:tcBorders>
              <w:top w:val="single" w:sz="4" w:space="0" w:color="000000"/>
              <w:left w:val="nil"/>
              <w:bottom w:val="single" w:sz="4" w:space="0" w:color="000000"/>
              <w:right w:val="single" w:sz="4" w:space="0" w:color="000000"/>
            </w:tcBorders>
            <w:shd w:val="clear" w:color="000000" w:fill="F5DADD"/>
            <w:noWrap/>
            <w:vAlign w:val="center"/>
            <w:hideMark/>
          </w:tcPr>
          <w:p w14:paraId="69A3695D" w14:textId="77777777" w:rsidR="00B33613" w:rsidRPr="00166BEB" w:rsidRDefault="00B33613" w:rsidP="00B33613">
            <w:pPr>
              <w:spacing w:after="0" w:line="240" w:lineRule="auto"/>
              <w:rPr>
                <w:rFonts w:cs="Arial"/>
                <w:sz w:val="16"/>
                <w:szCs w:val="16"/>
                <w:highlight w:val="yellow"/>
              </w:rPr>
            </w:pPr>
            <w:r>
              <w:rPr>
                <w:rFonts w:cs="Arial"/>
                <w:sz w:val="16"/>
                <w:szCs w:val="16"/>
              </w:rPr>
              <w:t>Členské státy EU</w:t>
            </w:r>
          </w:p>
        </w:tc>
        <w:tc>
          <w:tcPr>
            <w:tcW w:w="765" w:type="dxa"/>
            <w:tcBorders>
              <w:top w:val="single" w:sz="4" w:space="0" w:color="000000"/>
              <w:left w:val="nil"/>
              <w:bottom w:val="single" w:sz="4" w:space="0" w:color="auto"/>
              <w:right w:val="single" w:sz="4" w:space="0" w:color="auto"/>
            </w:tcBorders>
            <w:shd w:val="clear" w:color="000000" w:fill="F5DADD"/>
            <w:noWrap/>
            <w:vAlign w:val="center"/>
            <w:hideMark/>
          </w:tcPr>
          <w:p w14:paraId="3D0E0601" w14:textId="77777777" w:rsidR="00B33613" w:rsidRPr="00166BEB" w:rsidRDefault="00B33613" w:rsidP="00B33613">
            <w:pPr>
              <w:spacing w:after="0" w:line="240" w:lineRule="auto"/>
              <w:jc w:val="center"/>
              <w:rPr>
                <w:rFonts w:cs="Arial"/>
                <w:sz w:val="16"/>
                <w:szCs w:val="16"/>
                <w:highlight w:val="yellow"/>
              </w:rPr>
            </w:pPr>
            <w:r>
              <w:rPr>
                <w:rFonts w:cs="Arial"/>
                <w:sz w:val="16"/>
                <w:szCs w:val="16"/>
              </w:rPr>
              <w:t>2011</w:t>
            </w:r>
          </w:p>
        </w:tc>
        <w:tc>
          <w:tcPr>
            <w:tcW w:w="765" w:type="dxa"/>
            <w:tcBorders>
              <w:top w:val="single" w:sz="4" w:space="0" w:color="000000"/>
              <w:left w:val="single" w:sz="4" w:space="0" w:color="auto"/>
              <w:bottom w:val="single" w:sz="4" w:space="0" w:color="auto"/>
              <w:right w:val="single" w:sz="4" w:space="0" w:color="auto"/>
            </w:tcBorders>
            <w:shd w:val="clear" w:color="000000" w:fill="F5DADD"/>
            <w:noWrap/>
            <w:vAlign w:val="center"/>
            <w:hideMark/>
          </w:tcPr>
          <w:p w14:paraId="5E091972" w14:textId="77777777" w:rsidR="00B33613" w:rsidRPr="00166BEB" w:rsidRDefault="00B33613" w:rsidP="00B33613">
            <w:pPr>
              <w:spacing w:after="0" w:line="240" w:lineRule="auto"/>
              <w:jc w:val="center"/>
              <w:rPr>
                <w:rFonts w:cs="Arial"/>
                <w:sz w:val="16"/>
                <w:szCs w:val="16"/>
                <w:highlight w:val="yellow"/>
              </w:rPr>
            </w:pPr>
            <w:r>
              <w:rPr>
                <w:rFonts w:cs="Arial"/>
                <w:sz w:val="16"/>
                <w:szCs w:val="16"/>
              </w:rPr>
              <w:t>2012</w:t>
            </w:r>
          </w:p>
        </w:tc>
        <w:tc>
          <w:tcPr>
            <w:tcW w:w="765" w:type="dxa"/>
            <w:tcBorders>
              <w:top w:val="single" w:sz="4" w:space="0" w:color="000000"/>
              <w:left w:val="single" w:sz="4" w:space="0" w:color="auto"/>
              <w:bottom w:val="single" w:sz="4" w:space="0" w:color="auto"/>
              <w:right w:val="single" w:sz="4" w:space="0" w:color="auto"/>
            </w:tcBorders>
            <w:shd w:val="clear" w:color="000000" w:fill="F5DADD"/>
            <w:noWrap/>
            <w:vAlign w:val="center"/>
            <w:hideMark/>
          </w:tcPr>
          <w:p w14:paraId="1E221663" w14:textId="77777777" w:rsidR="00B33613" w:rsidRPr="00166BEB" w:rsidRDefault="00B33613" w:rsidP="00B33613">
            <w:pPr>
              <w:spacing w:after="0" w:line="240" w:lineRule="auto"/>
              <w:jc w:val="center"/>
              <w:rPr>
                <w:rFonts w:cs="Arial"/>
                <w:sz w:val="16"/>
                <w:szCs w:val="16"/>
                <w:highlight w:val="yellow"/>
              </w:rPr>
            </w:pPr>
            <w:r>
              <w:rPr>
                <w:rFonts w:cs="Arial"/>
                <w:sz w:val="16"/>
                <w:szCs w:val="16"/>
              </w:rPr>
              <w:t>2013</w:t>
            </w:r>
          </w:p>
        </w:tc>
        <w:tc>
          <w:tcPr>
            <w:tcW w:w="765" w:type="dxa"/>
            <w:tcBorders>
              <w:top w:val="single" w:sz="4" w:space="0" w:color="000000"/>
              <w:left w:val="single" w:sz="4" w:space="0" w:color="auto"/>
              <w:bottom w:val="single" w:sz="4" w:space="0" w:color="auto"/>
              <w:right w:val="single" w:sz="4" w:space="0" w:color="auto"/>
            </w:tcBorders>
            <w:shd w:val="clear" w:color="000000" w:fill="F5DADD"/>
            <w:noWrap/>
            <w:vAlign w:val="center"/>
            <w:hideMark/>
          </w:tcPr>
          <w:p w14:paraId="1CC1A3FE" w14:textId="77777777" w:rsidR="00B33613" w:rsidRPr="00166BEB" w:rsidRDefault="00B33613" w:rsidP="00B33613">
            <w:pPr>
              <w:spacing w:after="0" w:line="240" w:lineRule="auto"/>
              <w:jc w:val="center"/>
              <w:rPr>
                <w:rFonts w:cs="Arial"/>
                <w:sz w:val="16"/>
                <w:szCs w:val="16"/>
                <w:highlight w:val="yellow"/>
              </w:rPr>
            </w:pPr>
            <w:r>
              <w:rPr>
                <w:rFonts w:cs="Arial"/>
                <w:sz w:val="16"/>
                <w:szCs w:val="16"/>
              </w:rPr>
              <w:t>2014</w:t>
            </w:r>
          </w:p>
        </w:tc>
        <w:tc>
          <w:tcPr>
            <w:tcW w:w="765" w:type="dxa"/>
            <w:tcBorders>
              <w:top w:val="single" w:sz="4" w:space="0" w:color="000000"/>
              <w:left w:val="single" w:sz="4" w:space="0" w:color="auto"/>
              <w:bottom w:val="single" w:sz="4" w:space="0" w:color="auto"/>
              <w:right w:val="single" w:sz="4" w:space="0" w:color="auto"/>
            </w:tcBorders>
            <w:shd w:val="clear" w:color="000000" w:fill="F5DADD"/>
            <w:noWrap/>
            <w:vAlign w:val="center"/>
            <w:hideMark/>
          </w:tcPr>
          <w:p w14:paraId="4BBCFA73" w14:textId="77777777" w:rsidR="00B33613" w:rsidRPr="00166BEB" w:rsidRDefault="00B33613" w:rsidP="00B33613">
            <w:pPr>
              <w:spacing w:after="0" w:line="240" w:lineRule="auto"/>
              <w:jc w:val="center"/>
              <w:rPr>
                <w:rFonts w:cs="Arial"/>
                <w:sz w:val="16"/>
                <w:szCs w:val="16"/>
                <w:highlight w:val="yellow"/>
              </w:rPr>
            </w:pPr>
            <w:r>
              <w:rPr>
                <w:rFonts w:cs="Arial"/>
                <w:sz w:val="16"/>
                <w:szCs w:val="16"/>
              </w:rPr>
              <w:t>2015</w:t>
            </w:r>
          </w:p>
        </w:tc>
        <w:tc>
          <w:tcPr>
            <w:tcW w:w="765" w:type="dxa"/>
            <w:tcBorders>
              <w:top w:val="single" w:sz="4" w:space="0" w:color="000000"/>
              <w:left w:val="single" w:sz="4" w:space="0" w:color="auto"/>
              <w:bottom w:val="single" w:sz="4" w:space="0" w:color="auto"/>
              <w:right w:val="single" w:sz="4" w:space="0" w:color="auto"/>
            </w:tcBorders>
            <w:shd w:val="clear" w:color="000000" w:fill="F5DADD"/>
            <w:noWrap/>
            <w:vAlign w:val="center"/>
            <w:hideMark/>
          </w:tcPr>
          <w:p w14:paraId="2BE0E9F1" w14:textId="77777777" w:rsidR="00B33613" w:rsidRPr="00166BEB" w:rsidRDefault="00B33613" w:rsidP="00B33613">
            <w:pPr>
              <w:spacing w:after="0" w:line="240" w:lineRule="auto"/>
              <w:jc w:val="center"/>
              <w:rPr>
                <w:rFonts w:cs="Arial"/>
                <w:sz w:val="16"/>
                <w:szCs w:val="16"/>
                <w:highlight w:val="yellow"/>
              </w:rPr>
            </w:pPr>
            <w:r>
              <w:rPr>
                <w:rFonts w:cs="Arial"/>
                <w:sz w:val="16"/>
                <w:szCs w:val="16"/>
              </w:rPr>
              <w:t>2016</w:t>
            </w:r>
          </w:p>
        </w:tc>
        <w:tc>
          <w:tcPr>
            <w:tcW w:w="765" w:type="dxa"/>
            <w:tcBorders>
              <w:top w:val="single" w:sz="4" w:space="0" w:color="000000"/>
              <w:left w:val="single" w:sz="4" w:space="0" w:color="auto"/>
              <w:bottom w:val="single" w:sz="4" w:space="0" w:color="auto"/>
              <w:right w:val="single" w:sz="4" w:space="0" w:color="auto"/>
            </w:tcBorders>
            <w:shd w:val="clear" w:color="000000" w:fill="F5DADD"/>
            <w:noWrap/>
            <w:vAlign w:val="center"/>
            <w:hideMark/>
          </w:tcPr>
          <w:p w14:paraId="6E7B860F" w14:textId="77777777" w:rsidR="00B33613" w:rsidRPr="00166BEB" w:rsidRDefault="00B33613" w:rsidP="00B33613">
            <w:pPr>
              <w:spacing w:after="0" w:line="240" w:lineRule="auto"/>
              <w:jc w:val="center"/>
              <w:rPr>
                <w:rFonts w:cs="Arial"/>
                <w:sz w:val="16"/>
                <w:szCs w:val="16"/>
                <w:highlight w:val="yellow"/>
              </w:rPr>
            </w:pPr>
            <w:r>
              <w:rPr>
                <w:rFonts w:cs="Arial"/>
                <w:sz w:val="16"/>
                <w:szCs w:val="16"/>
              </w:rPr>
              <w:t>2017</w:t>
            </w:r>
          </w:p>
        </w:tc>
        <w:tc>
          <w:tcPr>
            <w:tcW w:w="765" w:type="dxa"/>
            <w:tcBorders>
              <w:top w:val="single" w:sz="4" w:space="0" w:color="000000"/>
              <w:left w:val="single" w:sz="4" w:space="0" w:color="auto"/>
              <w:bottom w:val="single" w:sz="4" w:space="0" w:color="auto"/>
              <w:right w:val="single" w:sz="4" w:space="0" w:color="auto"/>
            </w:tcBorders>
            <w:shd w:val="clear" w:color="000000" w:fill="F5DADD"/>
            <w:noWrap/>
            <w:vAlign w:val="center"/>
            <w:hideMark/>
          </w:tcPr>
          <w:p w14:paraId="13D2E08B" w14:textId="77777777" w:rsidR="00B33613" w:rsidRPr="00166BEB" w:rsidRDefault="00B33613" w:rsidP="00B33613">
            <w:pPr>
              <w:spacing w:after="0" w:line="240" w:lineRule="auto"/>
              <w:jc w:val="center"/>
              <w:rPr>
                <w:rFonts w:cs="Arial"/>
                <w:sz w:val="16"/>
                <w:szCs w:val="16"/>
                <w:highlight w:val="yellow"/>
              </w:rPr>
            </w:pPr>
            <w:r>
              <w:rPr>
                <w:rFonts w:cs="Arial"/>
                <w:sz w:val="16"/>
                <w:szCs w:val="16"/>
              </w:rPr>
              <w:t>2018</w:t>
            </w:r>
          </w:p>
        </w:tc>
        <w:tc>
          <w:tcPr>
            <w:tcW w:w="765" w:type="dxa"/>
            <w:tcBorders>
              <w:top w:val="single" w:sz="4" w:space="0" w:color="000000"/>
              <w:left w:val="single" w:sz="4" w:space="0" w:color="auto"/>
              <w:bottom w:val="single" w:sz="4" w:space="0" w:color="auto"/>
              <w:right w:val="single" w:sz="4" w:space="0" w:color="auto"/>
            </w:tcBorders>
            <w:shd w:val="clear" w:color="000000" w:fill="F5DADD"/>
            <w:noWrap/>
            <w:vAlign w:val="center"/>
            <w:hideMark/>
          </w:tcPr>
          <w:p w14:paraId="1BFCE7F9" w14:textId="77777777" w:rsidR="00B33613" w:rsidRPr="00166BEB" w:rsidRDefault="00B33613" w:rsidP="00B33613">
            <w:pPr>
              <w:spacing w:after="0" w:line="240" w:lineRule="auto"/>
              <w:jc w:val="center"/>
              <w:rPr>
                <w:rFonts w:cs="Arial"/>
                <w:sz w:val="16"/>
                <w:szCs w:val="16"/>
                <w:highlight w:val="yellow"/>
              </w:rPr>
            </w:pPr>
            <w:r>
              <w:rPr>
                <w:rFonts w:cs="Arial"/>
                <w:sz w:val="16"/>
                <w:szCs w:val="16"/>
              </w:rPr>
              <w:t>2019</w:t>
            </w:r>
          </w:p>
        </w:tc>
        <w:tc>
          <w:tcPr>
            <w:tcW w:w="765" w:type="dxa"/>
            <w:tcBorders>
              <w:top w:val="single" w:sz="4" w:space="0" w:color="000000"/>
              <w:left w:val="single" w:sz="4" w:space="0" w:color="auto"/>
              <w:bottom w:val="single" w:sz="4" w:space="0" w:color="auto"/>
              <w:right w:val="single" w:sz="4" w:space="0" w:color="auto"/>
            </w:tcBorders>
            <w:shd w:val="clear" w:color="000000" w:fill="F5DADD"/>
            <w:vAlign w:val="center"/>
          </w:tcPr>
          <w:p w14:paraId="505C0D21" w14:textId="77777777" w:rsidR="00B33613" w:rsidRDefault="00B33613" w:rsidP="00B33613">
            <w:pPr>
              <w:spacing w:after="0" w:line="240" w:lineRule="auto"/>
              <w:jc w:val="center"/>
              <w:rPr>
                <w:rFonts w:cs="Arial"/>
                <w:sz w:val="16"/>
                <w:szCs w:val="16"/>
              </w:rPr>
            </w:pPr>
            <w:r>
              <w:rPr>
                <w:rFonts w:cs="Arial"/>
                <w:sz w:val="16"/>
                <w:szCs w:val="16"/>
              </w:rPr>
              <w:t>2020</w:t>
            </w:r>
          </w:p>
        </w:tc>
        <w:tc>
          <w:tcPr>
            <w:tcW w:w="765" w:type="dxa"/>
            <w:tcBorders>
              <w:top w:val="single" w:sz="4" w:space="0" w:color="000000"/>
              <w:left w:val="single" w:sz="4" w:space="0" w:color="auto"/>
              <w:bottom w:val="single" w:sz="4" w:space="0" w:color="auto"/>
              <w:right w:val="nil"/>
            </w:tcBorders>
            <w:shd w:val="clear" w:color="000000" w:fill="F5DADD"/>
            <w:vAlign w:val="center"/>
          </w:tcPr>
          <w:p w14:paraId="3A0C2854" w14:textId="56301AAD" w:rsidR="00B33613" w:rsidRDefault="00B33613" w:rsidP="00B33613">
            <w:pPr>
              <w:spacing w:after="0" w:line="240" w:lineRule="auto"/>
              <w:jc w:val="center"/>
              <w:rPr>
                <w:rFonts w:cs="Arial"/>
                <w:sz w:val="16"/>
                <w:szCs w:val="16"/>
              </w:rPr>
            </w:pPr>
            <w:r>
              <w:rPr>
                <w:rFonts w:cs="Arial"/>
                <w:sz w:val="16"/>
                <w:szCs w:val="16"/>
              </w:rPr>
              <w:t>2021</w:t>
            </w:r>
          </w:p>
        </w:tc>
      </w:tr>
      <w:tr w:rsidR="00B33613" w:rsidRPr="00166BEB" w14:paraId="6FB1329A" w14:textId="77777777" w:rsidTr="00B33613">
        <w:trPr>
          <w:trHeight w:val="300"/>
        </w:trPr>
        <w:tc>
          <w:tcPr>
            <w:tcW w:w="0" w:type="auto"/>
            <w:tcBorders>
              <w:top w:val="nil"/>
              <w:left w:val="nil"/>
              <w:bottom w:val="nil"/>
              <w:right w:val="nil"/>
            </w:tcBorders>
            <w:shd w:val="clear" w:color="auto" w:fill="auto"/>
            <w:noWrap/>
            <w:vAlign w:val="center"/>
            <w:hideMark/>
          </w:tcPr>
          <w:p w14:paraId="55934B76" w14:textId="77777777" w:rsidR="00B33613" w:rsidRPr="00166BEB" w:rsidRDefault="00B33613" w:rsidP="00B33613">
            <w:pPr>
              <w:spacing w:after="0" w:line="240" w:lineRule="auto"/>
              <w:rPr>
                <w:rFonts w:cs="Arial"/>
                <w:b/>
                <w:bCs/>
                <w:sz w:val="16"/>
                <w:szCs w:val="16"/>
                <w:highlight w:val="yellow"/>
              </w:rPr>
            </w:pPr>
            <w:r>
              <w:rPr>
                <w:rFonts w:cs="Arial"/>
                <w:b/>
                <w:bCs/>
                <w:sz w:val="16"/>
                <w:szCs w:val="16"/>
              </w:rPr>
              <w:t>EU27</w:t>
            </w:r>
          </w:p>
        </w:tc>
        <w:tc>
          <w:tcPr>
            <w:tcW w:w="765" w:type="dxa"/>
            <w:tcBorders>
              <w:top w:val="nil"/>
              <w:left w:val="single" w:sz="4" w:space="0" w:color="000000"/>
              <w:bottom w:val="nil"/>
              <w:right w:val="single" w:sz="4" w:space="0" w:color="auto"/>
            </w:tcBorders>
            <w:shd w:val="clear" w:color="auto" w:fill="auto"/>
            <w:noWrap/>
            <w:vAlign w:val="center"/>
            <w:hideMark/>
          </w:tcPr>
          <w:p w14:paraId="0EC2DFFC" w14:textId="77777777" w:rsidR="00B33613" w:rsidRPr="00166BEB" w:rsidRDefault="00B33613" w:rsidP="00B33613">
            <w:pPr>
              <w:spacing w:after="0" w:line="240" w:lineRule="auto"/>
              <w:jc w:val="right"/>
              <w:rPr>
                <w:rFonts w:cs="Arial"/>
                <w:b/>
                <w:bCs/>
                <w:sz w:val="16"/>
                <w:szCs w:val="16"/>
                <w:highlight w:val="yellow"/>
              </w:rPr>
            </w:pPr>
            <w:r>
              <w:rPr>
                <w:rFonts w:cs="Arial"/>
                <w:b/>
                <w:bCs/>
                <w:sz w:val="16"/>
                <w:szCs w:val="16"/>
              </w:rPr>
              <w:t>2 029,4</w:t>
            </w:r>
          </w:p>
        </w:tc>
        <w:tc>
          <w:tcPr>
            <w:tcW w:w="765" w:type="dxa"/>
            <w:tcBorders>
              <w:top w:val="nil"/>
              <w:left w:val="single" w:sz="4" w:space="0" w:color="auto"/>
              <w:bottom w:val="nil"/>
              <w:right w:val="single" w:sz="4" w:space="0" w:color="auto"/>
            </w:tcBorders>
            <w:shd w:val="clear" w:color="auto" w:fill="auto"/>
            <w:noWrap/>
            <w:vAlign w:val="center"/>
            <w:hideMark/>
          </w:tcPr>
          <w:p w14:paraId="65179286" w14:textId="77777777" w:rsidR="00B33613" w:rsidRPr="00166BEB" w:rsidRDefault="00B33613" w:rsidP="00B33613">
            <w:pPr>
              <w:spacing w:after="0" w:line="240" w:lineRule="auto"/>
              <w:jc w:val="right"/>
              <w:rPr>
                <w:rFonts w:cs="Arial"/>
                <w:b/>
                <w:bCs/>
                <w:sz w:val="16"/>
                <w:szCs w:val="16"/>
                <w:highlight w:val="yellow"/>
              </w:rPr>
            </w:pPr>
            <w:r>
              <w:rPr>
                <w:rFonts w:cs="Arial"/>
                <w:b/>
                <w:bCs/>
                <w:sz w:val="16"/>
                <w:szCs w:val="16"/>
              </w:rPr>
              <w:t>1 862,4</w:t>
            </w:r>
          </w:p>
        </w:tc>
        <w:tc>
          <w:tcPr>
            <w:tcW w:w="765" w:type="dxa"/>
            <w:tcBorders>
              <w:top w:val="nil"/>
              <w:left w:val="single" w:sz="4" w:space="0" w:color="auto"/>
              <w:bottom w:val="nil"/>
              <w:right w:val="single" w:sz="4" w:space="0" w:color="auto"/>
            </w:tcBorders>
            <w:shd w:val="clear" w:color="auto" w:fill="auto"/>
            <w:noWrap/>
            <w:vAlign w:val="center"/>
            <w:hideMark/>
          </w:tcPr>
          <w:p w14:paraId="545CFF90" w14:textId="77777777" w:rsidR="00B33613" w:rsidRPr="00166BEB" w:rsidRDefault="00B33613" w:rsidP="00B33613">
            <w:pPr>
              <w:spacing w:after="0" w:line="240" w:lineRule="auto"/>
              <w:jc w:val="right"/>
              <w:rPr>
                <w:rFonts w:cs="Arial"/>
                <w:b/>
                <w:bCs/>
                <w:sz w:val="16"/>
                <w:szCs w:val="16"/>
                <w:highlight w:val="yellow"/>
              </w:rPr>
            </w:pPr>
            <w:r>
              <w:rPr>
                <w:rFonts w:cs="Arial"/>
                <w:b/>
                <w:bCs/>
                <w:sz w:val="16"/>
                <w:szCs w:val="16"/>
              </w:rPr>
              <w:t>1 815,8</w:t>
            </w:r>
          </w:p>
        </w:tc>
        <w:tc>
          <w:tcPr>
            <w:tcW w:w="765" w:type="dxa"/>
            <w:tcBorders>
              <w:top w:val="nil"/>
              <w:left w:val="single" w:sz="4" w:space="0" w:color="auto"/>
              <w:bottom w:val="nil"/>
              <w:right w:val="single" w:sz="4" w:space="0" w:color="auto"/>
            </w:tcBorders>
            <w:shd w:val="clear" w:color="auto" w:fill="auto"/>
            <w:noWrap/>
            <w:vAlign w:val="center"/>
            <w:hideMark/>
          </w:tcPr>
          <w:p w14:paraId="0EC50BD6" w14:textId="77777777" w:rsidR="00B33613" w:rsidRPr="00166BEB" w:rsidRDefault="00B33613" w:rsidP="00B33613">
            <w:pPr>
              <w:spacing w:after="0" w:line="240" w:lineRule="auto"/>
              <w:jc w:val="right"/>
              <w:rPr>
                <w:rFonts w:cs="Arial"/>
                <w:b/>
                <w:bCs/>
                <w:sz w:val="16"/>
                <w:szCs w:val="16"/>
                <w:highlight w:val="yellow"/>
              </w:rPr>
            </w:pPr>
            <w:r>
              <w:rPr>
                <w:rFonts w:cs="Arial"/>
                <w:b/>
                <w:bCs/>
                <w:sz w:val="16"/>
                <w:szCs w:val="16"/>
              </w:rPr>
              <w:t>1 768,5</w:t>
            </w:r>
          </w:p>
        </w:tc>
        <w:tc>
          <w:tcPr>
            <w:tcW w:w="765" w:type="dxa"/>
            <w:tcBorders>
              <w:top w:val="nil"/>
              <w:left w:val="single" w:sz="4" w:space="0" w:color="auto"/>
              <w:bottom w:val="nil"/>
              <w:right w:val="single" w:sz="4" w:space="0" w:color="auto"/>
            </w:tcBorders>
            <w:shd w:val="clear" w:color="auto" w:fill="auto"/>
            <w:noWrap/>
            <w:vAlign w:val="center"/>
            <w:hideMark/>
          </w:tcPr>
          <w:p w14:paraId="3863C006" w14:textId="77777777" w:rsidR="00B33613" w:rsidRPr="00166BEB" w:rsidRDefault="00B33613" w:rsidP="00B33613">
            <w:pPr>
              <w:spacing w:after="0" w:line="240" w:lineRule="auto"/>
              <w:jc w:val="right"/>
              <w:rPr>
                <w:rFonts w:cs="Arial"/>
                <w:b/>
                <w:bCs/>
                <w:sz w:val="16"/>
                <w:szCs w:val="16"/>
                <w:highlight w:val="yellow"/>
              </w:rPr>
            </w:pPr>
            <w:r>
              <w:rPr>
                <w:rFonts w:cs="Arial"/>
                <w:b/>
                <w:bCs/>
                <w:sz w:val="16"/>
                <w:szCs w:val="16"/>
              </w:rPr>
              <w:t>1 761,9</w:t>
            </w:r>
          </w:p>
        </w:tc>
        <w:tc>
          <w:tcPr>
            <w:tcW w:w="765" w:type="dxa"/>
            <w:tcBorders>
              <w:top w:val="nil"/>
              <w:left w:val="single" w:sz="4" w:space="0" w:color="auto"/>
              <w:bottom w:val="nil"/>
              <w:right w:val="single" w:sz="4" w:space="0" w:color="auto"/>
            </w:tcBorders>
            <w:shd w:val="clear" w:color="auto" w:fill="auto"/>
            <w:noWrap/>
            <w:vAlign w:val="center"/>
            <w:hideMark/>
          </w:tcPr>
          <w:p w14:paraId="65CA7141" w14:textId="77777777" w:rsidR="00B33613" w:rsidRPr="00166BEB" w:rsidRDefault="00B33613" w:rsidP="00B33613">
            <w:pPr>
              <w:spacing w:after="0" w:line="240" w:lineRule="auto"/>
              <w:jc w:val="right"/>
              <w:rPr>
                <w:rFonts w:cs="Arial"/>
                <w:b/>
                <w:bCs/>
                <w:sz w:val="16"/>
                <w:szCs w:val="16"/>
                <w:highlight w:val="yellow"/>
              </w:rPr>
            </w:pPr>
            <w:r>
              <w:rPr>
                <w:rFonts w:cs="Arial"/>
                <w:b/>
                <w:bCs/>
                <w:sz w:val="16"/>
                <w:szCs w:val="16"/>
              </w:rPr>
              <w:t>1 772,4</w:t>
            </w:r>
          </w:p>
        </w:tc>
        <w:tc>
          <w:tcPr>
            <w:tcW w:w="765" w:type="dxa"/>
            <w:tcBorders>
              <w:top w:val="nil"/>
              <w:left w:val="single" w:sz="4" w:space="0" w:color="auto"/>
              <w:bottom w:val="nil"/>
              <w:right w:val="single" w:sz="4" w:space="0" w:color="auto"/>
            </w:tcBorders>
            <w:shd w:val="clear" w:color="auto" w:fill="auto"/>
            <w:noWrap/>
            <w:vAlign w:val="center"/>
            <w:hideMark/>
          </w:tcPr>
          <w:p w14:paraId="2267CAF8" w14:textId="77777777" w:rsidR="00B33613" w:rsidRPr="00166BEB" w:rsidRDefault="00B33613" w:rsidP="00B33613">
            <w:pPr>
              <w:spacing w:after="0" w:line="240" w:lineRule="auto"/>
              <w:jc w:val="right"/>
              <w:rPr>
                <w:rFonts w:cs="Arial"/>
                <w:b/>
                <w:bCs/>
                <w:sz w:val="16"/>
                <w:szCs w:val="16"/>
                <w:highlight w:val="yellow"/>
              </w:rPr>
            </w:pPr>
            <w:r>
              <w:rPr>
                <w:rFonts w:cs="Arial"/>
                <w:b/>
                <w:bCs/>
                <w:sz w:val="16"/>
                <w:szCs w:val="16"/>
              </w:rPr>
              <w:t>1 801,0</w:t>
            </w:r>
          </w:p>
        </w:tc>
        <w:tc>
          <w:tcPr>
            <w:tcW w:w="765" w:type="dxa"/>
            <w:tcBorders>
              <w:top w:val="nil"/>
              <w:left w:val="single" w:sz="4" w:space="0" w:color="auto"/>
              <w:bottom w:val="nil"/>
              <w:right w:val="single" w:sz="4" w:space="0" w:color="auto"/>
            </w:tcBorders>
            <w:shd w:val="clear" w:color="auto" w:fill="auto"/>
            <w:noWrap/>
            <w:vAlign w:val="center"/>
            <w:hideMark/>
          </w:tcPr>
          <w:p w14:paraId="02E24558" w14:textId="77777777" w:rsidR="00B33613" w:rsidRPr="00166BEB" w:rsidRDefault="00B33613" w:rsidP="00B33613">
            <w:pPr>
              <w:spacing w:after="0" w:line="240" w:lineRule="auto"/>
              <w:jc w:val="right"/>
              <w:rPr>
                <w:rFonts w:cs="Arial"/>
                <w:b/>
                <w:bCs/>
                <w:sz w:val="16"/>
                <w:szCs w:val="16"/>
                <w:highlight w:val="yellow"/>
              </w:rPr>
            </w:pPr>
            <w:r>
              <w:rPr>
                <w:rFonts w:cs="Arial"/>
                <w:b/>
                <w:bCs/>
                <w:sz w:val="16"/>
                <w:szCs w:val="16"/>
              </w:rPr>
              <w:t>1 768,9</w:t>
            </w:r>
          </w:p>
        </w:tc>
        <w:tc>
          <w:tcPr>
            <w:tcW w:w="765" w:type="dxa"/>
            <w:tcBorders>
              <w:top w:val="nil"/>
              <w:left w:val="single" w:sz="4" w:space="0" w:color="auto"/>
              <w:bottom w:val="nil"/>
              <w:right w:val="single" w:sz="4" w:space="0" w:color="auto"/>
            </w:tcBorders>
            <w:shd w:val="clear" w:color="auto" w:fill="auto"/>
            <w:noWrap/>
            <w:vAlign w:val="center"/>
            <w:hideMark/>
          </w:tcPr>
          <w:p w14:paraId="3D8AEBC1" w14:textId="77777777" w:rsidR="00B33613" w:rsidRPr="00166BEB" w:rsidRDefault="00B33613" w:rsidP="00B33613">
            <w:pPr>
              <w:spacing w:after="0" w:line="240" w:lineRule="auto"/>
              <w:jc w:val="right"/>
              <w:rPr>
                <w:rFonts w:cs="Arial"/>
                <w:b/>
                <w:bCs/>
                <w:sz w:val="16"/>
                <w:szCs w:val="16"/>
                <w:highlight w:val="yellow"/>
              </w:rPr>
            </w:pPr>
            <w:r>
              <w:rPr>
                <w:rFonts w:cs="Arial"/>
                <w:b/>
                <w:bCs/>
                <w:sz w:val="16"/>
                <w:szCs w:val="16"/>
              </w:rPr>
              <w:t>1 712,5</w:t>
            </w:r>
          </w:p>
        </w:tc>
        <w:tc>
          <w:tcPr>
            <w:tcW w:w="765" w:type="dxa"/>
            <w:tcBorders>
              <w:top w:val="nil"/>
              <w:left w:val="single" w:sz="4" w:space="0" w:color="auto"/>
              <w:bottom w:val="nil"/>
              <w:right w:val="single" w:sz="4" w:space="0" w:color="auto"/>
            </w:tcBorders>
            <w:shd w:val="clear" w:color="auto" w:fill="D9D9D9"/>
            <w:vAlign w:val="center"/>
          </w:tcPr>
          <w:p w14:paraId="15831A18" w14:textId="77777777" w:rsidR="00B33613" w:rsidRDefault="00B33613" w:rsidP="00B33613">
            <w:pPr>
              <w:spacing w:after="0" w:line="240" w:lineRule="auto"/>
              <w:jc w:val="right"/>
              <w:rPr>
                <w:rFonts w:cs="Arial"/>
                <w:b/>
                <w:bCs/>
                <w:sz w:val="16"/>
                <w:szCs w:val="16"/>
              </w:rPr>
            </w:pPr>
            <w:r>
              <w:rPr>
                <w:rFonts w:cs="Arial"/>
                <w:b/>
                <w:bCs/>
                <w:sz w:val="16"/>
                <w:szCs w:val="16"/>
              </w:rPr>
              <w:t>1 466,3</w:t>
            </w:r>
          </w:p>
        </w:tc>
        <w:tc>
          <w:tcPr>
            <w:tcW w:w="765" w:type="dxa"/>
            <w:tcBorders>
              <w:top w:val="nil"/>
              <w:left w:val="single" w:sz="4" w:space="0" w:color="auto"/>
              <w:bottom w:val="nil"/>
              <w:right w:val="nil"/>
            </w:tcBorders>
            <w:vAlign w:val="center"/>
          </w:tcPr>
          <w:p w14:paraId="1FB804F9" w14:textId="0E7C4967" w:rsidR="00B33613" w:rsidRDefault="00B33613" w:rsidP="00B33613">
            <w:pPr>
              <w:spacing w:after="0" w:line="240" w:lineRule="auto"/>
              <w:jc w:val="right"/>
              <w:rPr>
                <w:rFonts w:cs="Arial"/>
                <w:b/>
                <w:bCs/>
                <w:sz w:val="16"/>
                <w:szCs w:val="16"/>
              </w:rPr>
            </w:pPr>
            <w:r>
              <w:rPr>
                <w:rFonts w:cs="Arial"/>
                <w:b/>
                <w:bCs/>
                <w:sz w:val="16"/>
                <w:szCs w:val="16"/>
              </w:rPr>
              <w:t>1 624,0</w:t>
            </w:r>
          </w:p>
        </w:tc>
      </w:tr>
      <w:tr w:rsidR="00B33613" w:rsidRPr="00166BEB" w14:paraId="69941C9C" w14:textId="77777777" w:rsidTr="00B33613">
        <w:trPr>
          <w:trHeight w:val="300"/>
        </w:trPr>
        <w:tc>
          <w:tcPr>
            <w:tcW w:w="0" w:type="auto"/>
            <w:tcBorders>
              <w:top w:val="nil"/>
              <w:left w:val="nil"/>
              <w:bottom w:val="nil"/>
              <w:right w:val="nil"/>
            </w:tcBorders>
            <w:shd w:val="clear" w:color="auto" w:fill="auto"/>
            <w:noWrap/>
            <w:vAlign w:val="center"/>
            <w:hideMark/>
          </w:tcPr>
          <w:p w14:paraId="7BEF2365"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Belgie</w:t>
            </w:r>
          </w:p>
        </w:tc>
        <w:tc>
          <w:tcPr>
            <w:tcW w:w="765" w:type="dxa"/>
            <w:tcBorders>
              <w:top w:val="nil"/>
              <w:left w:val="single" w:sz="4" w:space="0" w:color="000000"/>
              <w:bottom w:val="nil"/>
              <w:right w:val="single" w:sz="4" w:space="0" w:color="auto"/>
            </w:tcBorders>
            <w:shd w:val="clear" w:color="auto" w:fill="auto"/>
            <w:noWrap/>
            <w:vAlign w:val="center"/>
            <w:hideMark/>
          </w:tcPr>
          <w:p w14:paraId="202DD7CC"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2 523,4</w:t>
            </w:r>
          </w:p>
        </w:tc>
        <w:tc>
          <w:tcPr>
            <w:tcW w:w="765" w:type="dxa"/>
            <w:tcBorders>
              <w:top w:val="nil"/>
              <w:left w:val="single" w:sz="4" w:space="0" w:color="auto"/>
              <w:bottom w:val="nil"/>
              <w:right w:val="single" w:sz="4" w:space="0" w:color="auto"/>
            </w:tcBorders>
            <w:shd w:val="clear" w:color="auto" w:fill="auto"/>
            <w:noWrap/>
            <w:vAlign w:val="center"/>
            <w:hideMark/>
          </w:tcPr>
          <w:p w14:paraId="19BC7B90"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2 197,3</w:t>
            </w:r>
          </w:p>
        </w:tc>
        <w:tc>
          <w:tcPr>
            <w:tcW w:w="765" w:type="dxa"/>
            <w:tcBorders>
              <w:top w:val="nil"/>
              <w:left w:val="single" w:sz="4" w:space="0" w:color="auto"/>
              <w:bottom w:val="nil"/>
              <w:right w:val="single" w:sz="4" w:space="0" w:color="auto"/>
            </w:tcBorders>
            <w:shd w:val="clear" w:color="auto" w:fill="auto"/>
            <w:noWrap/>
            <w:vAlign w:val="center"/>
            <w:hideMark/>
          </w:tcPr>
          <w:p w14:paraId="6EDCFD9B"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2 147,3</w:t>
            </w:r>
          </w:p>
        </w:tc>
        <w:tc>
          <w:tcPr>
            <w:tcW w:w="765" w:type="dxa"/>
            <w:tcBorders>
              <w:top w:val="nil"/>
              <w:left w:val="single" w:sz="4" w:space="0" w:color="auto"/>
              <w:bottom w:val="nil"/>
              <w:right w:val="single" w:sz="4" w:space="0" w:color="auto"/>
            </w:tcBorders>
            <w:shd w:val="clear" w:color="000000" w:fill="D9D9D9"/>
            <w:noWrap/>
            <w:vAlign w:val="center"/>
            <w:hideMark/>
          </w:tcPr>
          <w:p w14:paraId="2EFA094A"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1 724,4</w:t>
            </w:r>
          </w:p>
        </w:tc>
        <w:tc>
          <w:tcPr>
            <w:tcW w:w="765" w:type="dxa"/>
            <w:tcBorders>
              <w:top w:val="nil"/>
              <w:left w:val="single" w:sz="4" w:space="0" w:color="auto"/>
              <w:bottom w:val="nil"/>
              <w:right w:val="single" w:sz="4" w:space="0" w:color="auto"/>
            </w:tcBorders>
            <w:shd w:val="clear" w:color="auto" w:fill="auto"/>
            <w:noWrap/>
            <w:vAlign w:val="center"/>
            <w:hideMark/>
          </w:tcPr>
          <w:p w14:paraId="4943179A"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1 518,6</w:t>
            </w:r>
          </w:p>
        </w:tc>
        <w:tc>
          <w:tcPr>
            <w:tcW w:w="765" w:type="dxa"/>
            <w:tcBorders>
              <w:top w:val="nil"/>
              <w:left w:val="single" w:sz="4" w:space="0" w:color="auto"/>
              <w:bottom w:val="nil"/>
              <w:right w:val="single" w:sz="4" w:space="0" w:color="auto"/>
            </w:tcBorders>
            <w:shd w:val="clear" w:color="auto" w:fill="auto"/>
            <w:noWrap/>
            <w:vAlign w:val="center"/>
            <w:hideMark/>
          </w:tcPr>
          <w:p w14:paraId="2DED3FDF"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1 972,2</w:t>
            </w:r>
          </w:p>
        </w:tc>
        <w:tc>
          <w:tcPr>
            <w:tcW w:w="765" w:type="dxa"/>
            <w:tcBorders>
              <w:top w:val="nil"/>
              <w:left w:val="single" w:sz="4" w:space="0" w:color="auto"/>
              <w:bottom w:val="nil"/>
              <w:right w:val="single" w:sz="4" w:space="0" w:color="auto"/>
            </w:tcBorders>
            <w:shd w:val="clear" w:color="auto" w:fill="auto"/>
            <w:noWrap/>
            <w:vAlign w:val="center"/>
            <w:hideMark/>
          </w:tcPr>
          <w:p w14:paraId="01B80816"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1 946,3</w:t>
            </w:r>
          </w:p>
        </w:tc>
        <w:tc>
          <w:tcPr>
            <w:tcW w:w="765" w:type="dxa"/>
            <w:tcBorders>
              <w:top w:val="nil"/>
              <w:left w:val="single" w:sz="4" w:space="0" w:color="auto"/>
              <w:bottom w:val="nil"/>
              <w:right w:val="single" w:sz="4" w:space="0" w:color="auto"/>
            </w:tcBorders>
            <w:shd w:val="clear" w:color="auto" w:fill="auto"/>
            <w:noWrap/>
            <w:vAlign w:val="center"/>
            <w:hideMark/>
          </w:tcPr>
          <w:p w14:paraId="0C1ADEB4"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1 866,3</w:t>
            </w:r>
          </w:p>
        </w:tc>
        <w:tc>
          <w:tcPr>
            <w:tcW w:w="765" w:type="dxa"/>
            <w:tcBorders>
              <w:top w:val="nil"/>
              <w:left w:val="single" w:sz="4" w:space="0" w:color="auto"/>
              <w:bottom w:val="nil"/>
              <w:right w:val="single" w:sz="4" w:space="0" w:color="auto"/>
            </w:tcBorders>
            <w:shd w:val="clear" w:color="auto" w:fill="auto"/>
            <w:noWrap/>
            <w:vAlign w:val="center"/>
            <w:hideMark/>
          </w:tcPr>
          <w:p w14:paraId="7DDE6765"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1 746,0</w:t>
            </w:r>
          </w:p>
        </w:tc>
        <w:tc>
          <w:tcPr>
            <w:tcW w:w="765" w:type="dxa"/>
            <w:tcBorders>
              <w:top w:val="nil"/>
              <w:left w:val="single" w:sz="4" w:space="0" w:color="auto"/>
              <w:bottom w:val="nil"/>
              <w:right w:val="single" w:sz="4" w:space="0" w:color="auto"/>
            </w:tcBorders>
            <w:shd w:val="clear" w:color="auto" w:fill="D9D9D9"/>
            <w:vAlign w:val="center"/>
          </w:tcPr>
          <w:p w14:paraId="583193E1" w14:textId="77777777" w:rsidR="00B33613" w:rsidRDefault="00B33613" w:rsidP="00B33613">
            <w:pPr>
              <w:spacing w:after="0" w:line="240" w:lineRule="auto"/>
              <w:jc w:val="right"/>
              <w:rPr>
                <w:rFonts w:cs="Arial"/>
                <w:sz w:val="16"/>
                <w:szCs w:val="16"/>
              </w:rPr>
            </w:pPr>
            <w:r>
              <w:rPr>
                <w:rFonts w:cs="Arial"/>
                <w:sz w:val="16"/>
                <w:szCs w:val="16"/>
              </w:rPr>
              <w:t>1 503,4</w:t>
            </w:r>
          </w:p>
        </w:tc>
        <w:tc>
          <w:tcPr>
            <w:tcW w:w="765" w:type="dxa"/>
            <w:tcBorders>
              <w:top w:val="nil"/>
              <w:left w:val="single" w:sz="4" w:space="0" w:color="auto"/>
              <w:bottom w:val="nil"/>
              <w:right w:val="nil"/>
            </w:tcBorders>
            <w:vAlign w:val="center"/>
          </w:tcPr>
          <w:p w14:paraId="2A61B949" w14:textId="51189B28" w:rsidR="00B33613" w:rsidRDefault="00B33613" w:rsidP="00B33613">
            <w:pPr>
              <w:spacing w:after="0" w:line="240" w:lineRule="auto"/>
              <w:jc w:val="right"/>
              <w:rPr>
                <w:rFonts w:cs="Arial"/>
                <w:sz w:val="16"/>
                <w:szCs w:val="16"/>
              </w:rPr>
            </w:pPr>
            <w:r>
              <w:rPr>
                <w:rFonts w:cs="Arial"/>
                <w:sz w:val="16"/>
                <w:szCs w:val="16"/>
              </w:rPr>
              <w:t>1 580,7</w:t>
            </w:r>
          </w:p>
        </w:tc>
      </w:tr>
      <w:tr w:rsidR="00B33613" w:rsidRPr="00166BEB" w14:paraId="16908C54" w14:textId="77777777" w:rsidTr="00B33613">
        <w:trPr>
          <w:trHeight w:val="300"/>
        </w:trPr>
        <w:tc>
          <w:tcPr>
            <w:tcW w:w="0" w:type="auto"/>
            <w:tcBorders>
              <w:top w:val="nil"/>
              <w:left w:val="nil"/>
              <w:bottom w:val="nil"/>
              <w:right w:val="nil"/>
            </w:tcBorders>
            <w:shd w:val="clear" w:color="auto" w:fill="auto"/>
            <w:noWrap/>
            <w:vAlign w:val="center"/>
            <w:hideMark/>
          </w:tcPr>
          <w:p w14:paraId="721A7173"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Bulharsko</w:t>
            </w:r>
          </w:p>
        </w:tc>
        <w:tc>
          <w:tcPr>
            <w:tcW w:w="765" w:type="dxa"/>
            <w:tcBorders>
              <w:top w:val="nil"/>
              <w:left w:val="single" w:sz="4" w:space="0" w:color="000000"/>
              <w:bottom w:val="nil"/>
              <w:right w:val="single" w:sz="4" w:space="0" w:color="auto"/>
            </w:tcBorders>
            <w:shd w:val="clear" w:color="auto" w:fill="auto"/>
            <w:noWrap/>
            <w:vAlign w:val="center"/>
            <w:hideMark/>
          </w:tcPr>
          <w:p w14:paraId="7B7F39D7"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84,6</w:t>
            </w:r>
          </w:p>
        </w:tc>
        <w:tc>
          <w:tcPr>
            <w:tcW w:w="765" w:type="dxa"/>
            <w:tcBorders>
              <w:top w:val="nil"/>
              <w:left w:val="single" w:sz="4" w:space="0" w:color="auto"/>
              <w:bottom w:val="nil"/>
              <w:right w:val="single" w:sz="4" w:space="0" w:color="auto"/>
            </w:tcBorders>
            <w:shd w:val="clear" w:color="auto" w:fill="auto"/>
            <w:noWrap/>
            <w:vAlign w:val="center"/>
            <w:hideMark/>
          </w:tcPr>
          <w:p w14:paraId="5ADAF10E"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84,9</w:t>
            </w:r>
          </w:p>
        </w:tc>
        <w:tc>
          <w:tcPr>
            <w:tcW w:w="765" w:type="dxa"/>
            <w:tcBorders>
              <w:top w:val="nil"/>
              <w:left w:val="single" w:sz="4" w:space="0" w:color="auto"/>
              <w:bottom w:val="nil"/>
              <w:right w:val="single" w:sz="4" w:space="0" w:color="auto"/>
            </w:tcBorders>
            <w:shd w:val="clear" w:color="auto" w:fill="auto"/>
            <w:noWrap/>
            <w:vAlign w:val="center"/>
            <w:hideMark/>
          </w:tcPr>
          <w:p w14:paraId="1C5E7AFB"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79,7</w:t>
            </w:r>
          </w:p>
        </w:tc>
        <w:tc>
          <w:tcPr>
            <w:tcW w:w="765" w:type="dxa"/>
            <w:tcBorders>
              <w:top w:val="nil"/>
              <w:left w:val="single" w:sz="4" w:space="0" w:color="auto"/>
              <w:bottom w:val="nil"/>
              <w:right w:val="single" w:sz="4" w:space="0" w:color="auto"/>
            </w:tcBorders>
            <w:shd w:val="clear" w:color="auto" w:fill="auto"/>
            <w:noWrap/>
            <w:vAlign w:val="center"/>
            <w:hideMark/>
          </w:tcPr>
          <w:p w14:paraId="6FA0C14D"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82,5</w:t>
            </w:r>
          </w:p>
        </w:tc>
        <w:tc>
          <w:tcPr>
            <w:tcW w:w="765" w:type="dxa"/>
            <w:tcBorders>
              <w:top w:val="nil"/>
              <w:left w:val="single" w:sz="4" w:space="0" w:color="auto"/>
              <w:bottom w:val="nil"/>
              <w:right w:val="single" w:sz="4" w:space="0" w:color="auto"/>
            </w:tcBorders>
            <w:shd w:val="clear" w:color="auto" w:fill="auto"/>
            <w:noWrap/>
            <w:vAlign w:val="center"/>
            <w:hideMark/>
          </w:tcPr>
          <w:p w14:paraId="0524AA2D"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82,8</w:t>
            </w:r>
          </w:p>
        </w:tc>
        <w:tc>
          <w:tcPr>
            <w:tcW w:w="765" w:type="dxa"/>
            <w:tcBorders>
              <w:top w:val="nil"/>
              <w:left w:val="single" w:sz="4" w:space="0" w:color="auto"/>
              <w:bottom w:val="nil"/>
              <w:right w:val="single" w:sz="4" w:space="0" w:color="auto"/>
            </w:tcBorders>
            <w:shd w:val="clear" w:color="auto" w:fill="auto"/>
            <w:noWrap/>
            <w:vAlign w:val="center"/>
            <w:hideMark/>
          </w:tcPr>
          <w:p w14:paraId="6AA135EB"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76,0</w:t>
            </w:r>
          </w:p>
        </w:tc>
        <w:tc>
          <w:tcPr>
            <w:tcW w:w="765" w:type="dxa"/>
            <w:tcBorders>
              <w:top w:val="nil"/>
              <w:left w:val="single" w:sz="4" w:space="0" w:color="auto"/>
              <w:bottom w:val="nil"/>
              <w:right w:val="single" w:sz="4" w:space="0" w:color="auto"/>
            </w:tcBorders>
            <w:shd w:val="clear" w:color="auto" w:fill="auto"/>
            <w:noWrap/>
            <w:vAlign w:val="center"/>
            <w:hideMark/>
          </w:tcPr>
          <w:p w14:paraId="459E73B4"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79,0</w:t>
            </w:r>
          </w:p>
        </w:tc>
        <w:tc>
          <w:tcPr>
            <w:tcW w:w="765" w:type="dxa"/>
            <w:tcBorders>
              <w:top w:val="nil"/>
              <w:left w:val="single" w:sz="4" w:space="0" w:color="auto"/>
              <w:bottom w:val="nil"/>
              <w:right w:val="single" w:sz="4" w:space="0" w:color="auto"/>
            </w:tcBorders>
            <w:shd w:val="clear" w:color="auto" w:fill="auto"/>
            <w:noWrap/>
            <w:vAlign w:val="center"/>
            <w:hideMark/>
          </w:tcPr>
          <w:p w14:paraId="6AC9997A"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77,7</w:t>
            </w:r>
          </w:p>
        </w:tc>
        <w:tc>
          <w:tcPr>
            <w:tcW w:w="765" w:type="dxa"/>
            <w:tcBorders>
              <w:top w:val="nil"/>
              <w:left w:val="single" w:sz="4" w:space="0" w:color="auto"/>
              <w:bottom w:val="nil"/>
              <w:right w:val="single" w:sz="4" w:space="0" w:color="auto"/>
            </w:tcBorders>
            <w:shd w:val="clear" w:color="auto" w:fill="auto"/>
            <w:noWrap/>
            <w:vAlign w:val="center"/>
            <w:hideMark/>
          </w:tcPr>
          <w:p w14:paraId="5311DC66"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83,1</w:t>
            </w:r>
          </w:p>
        </w:tc>
        <w:tc>
          <w:tcPr>
            <w:tcW w:w="765" w:type="dxa"/>
            <w:tcBorders>
              <w:top w:val="nil"/>
              <w:left w:val="single" w:sz="4" w:space="0" w:color="auto"/>
              <w:bottom w:val="nil"/>
              <w:right w:val="single" w:sz="4" w:space="0" w:color="auto"/>
            </w:tcBorders>
            <w:shd w:val="clear" w:color="auto" w:fill="D9D9D9"/>
            <w:vAlign w:val="center"/>
          </w:tcPr>
          <w:p w14:paraId="6F41114A" w14:textId="77777777" w:rsidR="00B33613" w:rsidRDefault="00B33613" w:rsidP="00B33613">
            <w:pPr>
              <w:spacing w:after="0" w:line="240" w:lineRule="auto"/>
              <w:jc w:val="right"/>
              <w:rPr>
                <w:rFonts w:cs="Arial"/>
                <w:sz w:val="16"/>
                <w:szCs w:val="16"/>
              </w:rPr>
            </w:pPr>
            <w:r>
              <w:rPr>
                <w:rFonts w:cs="Arial"/>
                <w:sz w:val="16"/>
                <w:szCs w:val="16"/>
              </w:rPr>
              <w:t>76,8</w:t>
            </w:r>
          </w:p>
        </w:tc>
        <w:tc>
          <w:tcPr>
            <w:tcW w:w="765" w:type="dxa"/>
            <w:tcBorders>
              <w:top w:val="nil"/>
              <w:left w:val="single" w:sz="4" w:space="0" w:color="auto"/>
              <w:bottom w:val="nil"/>
              <w:right w:val="nil"/>
            </w:tcBorders>
            <w:vAlign w:val="center"/>
          </w:tcPr>
          <w:p w14:paraId="6D8BC3C8" w14:textId="380523D9" w:rsidR="00B33613" w:rsidRDefault="00B33613" w:rsidP="00B33613">
            <w:pPr>
              <w:spacing w:after="0" w:line="240" w:lineRule="auto"/>
              <w:jc w:val="right"/>
              <w:rPr>
                <w:rFonts w:cs="Arial"/>
                <w:sz w:val="16"/>
                <w:szCs w:val="16"/>
              </w:rPr>
            </w:pPr>
            <w:r>
              <w:rPr>
                <w:rFonts w:cs="Arial"/>
                <w:sz w:val="16"/>
                <w:szCs w:val="16"/>
              </w:rPr>
              <w:t>80,5</w:t>
            </w:r>
          </w:p>
        </w:tc>
      </w:tr>
      <w:tr w:rsidR="00B33613" w:rsidRPr="00166BEB" w14:paraId="6E362E42" w14:textId="77777777" w:rsidTr="00B33613">
        <w:trPr>
          <w:trHeight w:val="300"/>
        </w:trPr>
        <w:tc>
          <w:tcPr>
            <w:tcW w:w="0" w:type="auto"/>
            <w:tcBorders>
              <w:top w:val="nil"/>
              <w:left w:val="nil"/>
              <w:bottom w:val="nil"/>
              <w:right w:val="nil"/>
            </w:tcBorders>
            <w:shd w:val="clear" w:color="auto" w:fill="auto"/>
            <w:noWrap/>
            <w:vAlign w:val="center"/>
            <w:hideMark/>
          </w:tcPr>
          <w:p w14:paraId="4264344E" w14:textId="77777777" w:rsidR="00B33613" w:rsidRPr="00166BEB" w:rsidRDefault="00B33613" w:rsidP="00B33613">
            <w:pPr>
              <w:spacing w:after="0" w:line="240" w:lineRule="auto"/>
              <w:ind w:firstLineChars="100" w:firstLine="160"/>
              <w:rPr>
                <w:rFonts w:cs="Arial"/>
                <w:b/>
                <w:bCs/>
                <w:sz w:val="16"/>
                <w:szCs w:val="16"/>
                <w:highlight w:val="yellow"/>
              </w:rPr>
            </w:pPr>
            <w:r>
              <w:rPr>
                <w:rFonts w:cs="Arial"/>
                <w:b/>
                <w:bCs/>
                <w:sz w:val="16"/>
                <w:szCs w:val="16"/>
              </w:rPr>
              <w:t>Česko</w:t>
            </w:r>
          </w:p>
        </w:tc>
        <w:tc>
          <w:tcPr>
            <w:tcW w:w="765" w:type="dxa"/>
            <w:tcBorders>
              <w:top w:val="nil"/>
              <w:left w:val="single" w:sz="4" w:space="0" w:color="000000"/>
              <w:bottom w:val="nil"/>
              <w:right w:val="single" w:sz="4" w:space="0" w:color="auto"/>
            </w:tcBorders>
            <w:shd w:val="clear" w:color="auto" w:fill="auto"/>
            <w:noWrap/>
            <w:vAlign w:val="center"/>
            <w:hideMark/>
          </w:tcPr>
          <w:p w14:paraId="19375A3F" w14:textId="77777777" w:rsidR="00B33613" w:rsidRPr="00166BEB" w:rsidRDefault="00B33613" w:rsidP="00B33613">
            <w:pPr>
              <w:spacing w:after="0" w:line="240" w:lineRule="auto"/>
              <w:jc w:val="right"/>
              <w:rPr>
                <w:rFonts w:cs="Arial"/>
                <w:b/>
                <w:bCs/>
                <w:sz w:val="16"/>
                <w:szCs w:val="16"/>
                <w:highlight w:val="yellow"/>
              </w:rPr>
            </w:pPr>
            <w:r>
              <w:rPr>
                <w:rFonts w:cs="Arial"/>
                <w:b/>
                <w:bCs/>
                <w:sz w:val="16"/>
                <w:szCs w:val="16"/>
              </w:rPr>
              <w:t>971,4</w:t>
            </w:r>
          </w:p>
        </w:tc>
        <w:tc>
          <w:tcPr>
            <w:tcW w:w="765" w:type="dxa"/>
            <w:tcBorders>
              <w:top w:val="nil"/>
              <w:left w:val="single" w:sz="4" w:space="0" w:color="auto"/>
              <w:bottom w:val="nil"/>
              <w:right w:val="single" w:sz="4" w:space="0" w:color="auto"/>
            </w:tcBorders>
            <w:shd w:val="clear" w:color="auto" w:fill="auto"/>
            <w:noWrap/>
            <w:vAlign w:val="center"/>
            <w:hideMark/>
          </w:tcPr>
          <w:p w14:paraId="7B8DE86B" w14:textId="77777777" w:rsidR="00B33613" w:rsidRPr="00166BEB" w:rsidRDefault="00B33613" w:rsidP="00B33613">
            <w:pPr>
              <w:spacing w:after="0" w:line="240" w:lineRule="auto"/>
              <w:jc w:val="right"/>
              <w:rPr>
                <w:rFonts w:cs="Arial"/>
                <w:b/>
                <w:bCs/>
                <w:sz w:val="16"/>
                <w:szCs w:val="16"/>
                <w:highlight w:val="yellow"/>
              </w:rPr>
            </w:pPr>
            <w:r>
              <w:rPr>
                <w:rFonts w:cs="Arial"/>
                <w:b/>
                <w:bCs/>
                <w:sz w:val="16"/>
                <w:szCs w:val="16"/>
              </w:rPr>
              <w:t>941,4</w:t>
            </w:r>
          </w:p>
        </w:tc>
        <w:tc>
          <w:tcPr>
            <w:tcW w:w="765" w:type="dxa"/>
            <w:tcBorders>
              <w:top w:val="nil"/>
              <w:left w:val="single" w:sz="4" w:space="0" w:color="auto"/>
              <w:bottom w:val="nil"/>
              <w:right w:val="single" w:sz="4" w:space="0" w:color="auto"/>
            </w:tcBorders>
            <w:shd w:val="clear" w:color="auto" w:fill="auto"/>
            <w:noWrap/>
            <w:vAlign w:val="center"/>
            <w:hideMark/>
          </w:tcPr>
          <w:p w14:paraId="0E1A404B" w14:textId="77777777" w:rsidR="00B33613" w:rsidRPr="00166BEB" w:rsidRDefault="00B33613" w:rsidP="00B33613">
            <w:pPr>
              <w:spacing w:after="0" w:line="240" w:lineRule="auto"/>
              <w:jc w:val="right"/>
              <w:rPr>
                <w:rFonts w:cs="Arial"/>
                <w:b/>
                <w:bCs/>
                <w:sz w:val="16"/>
                <w:szCs w:val="16"/>
                <w:highlight w:val="yellow"/>
              </w:rPr>
            </w:pPr>
            <w:r>
              <w:rPr>
                <w:rFonts w:cs="Arial"/>
                <w:b/>
                <w:bCs/>
                <w:sz w:val="16"/>
                <w:szCs w:val="16"/>
              </w:rPr>
              <w:t>896,1</w:t>
            </w:r>
          </w:p>
        </w:tc>
        <w:tc>
          <w:tcPr>
            <w:tcW w:w="765" w:type="dxa"/>
            <w:tcBorders>
              <w:top w:val="nil"/>
              <w:left w:val="single" w:sz="4" w:space="0" w:color="auto"/>
              <w:bottom w:val="nil"/>
              <w:right w:val="single" w:sz="4" w:space="0" w:color="auto"/>
            </w:tcBorders>
            <w:shd w:val="clear" w:color="auto" w:fill="auto"/>
            <w:noWrap/>
            <w:vAlign w:val="center"/>
            <w:hideMark/>
          </w:tcPr>
          <w:p w14:paraId="2021349F" w14:textId="77777777" w:rsidR="00B33613" w:rsidRPr="00166BEB" w:rsidRDefault="00B33613" w:rsidP="00B33613">
            <w:pPr>
              <w:spacing w:after="0" w:line="240" w:lineRule="auto"/>
              <w:jc w:val="right"/>
              <w:rPr>
                <w:rFonts w:cs="Arial"/>
                <w:b/>
                <w:bCs/>
                <w:sz w:val="16"/>
                <w:szCs w:val="16"/>
                <w:highlight w:val="yellow"/>
              </w:rPr>
            </w:pPr>
            <w:r>
              <w:rPr>
                <w:rFonts w:cs="Arial"/>
                <w:b/>
                <w:bCs/>
                <w:sz w:val="16"/>
                <w:szCs w:val="16"/>
              </w:rPr>
              <w:t>907,0</w:t>
            </w:r>
          </w:p>
        </w:tc>
        <w:tc>
          <w:tcPr>
            <w:tcW w:w="765" w:type="dxa"/>
            <w:tcBorders>
              <w:top w:val="nil"/>
              <w:left w:val="single" w:sz="4" w:space="0" w:color="auto"/>
              <w:bottom w:val="nil"/>
              <w:right w:val="single" w:sz="4" w:space="0" w:color="auto"/>
            </w:tcBorders>
            <w:shd w:val="clear" w:color="auto" w:fill="auto"/>
            <w:noWrap/>
            <w:vAlign w:val="center"/>
            <w:hideMark/>
          </w:tcPr>
          <w:p w14:paraId="34EC7428" w14:textId="77777777" w:rsidR="00B33613" w:rsidRPr="00166BEB" w:rsidRDefault="00B33613" w:rsidP="00B33613">
            <w:pPr>
              <w:spacing w:after="0" w:line="240" w:lineRule="auto"/>
              <w:jc w:val="right"/>
              <w:rPr>
                <w:rFonts w:cs="Arial"/>
                <w:b/>
                <w:bCs/>
                <w:sz w:val="16"/>
                <w:szCs w:val="16"/>
                <w:highlight w:val="yellow"/>
              </w:rPr>
            </w:pPr>
            <w:r>
              <w:rPr>
                <w:rFonts w:cs="Arial"/>
                <w:b/>
                <w:bCs/>
                <w:sz w:val="16"/>
                <w:szCs w:val="16"/>
              </w:rPr>
              <w:t>953,3</w:t>
            </w:r>
          </w:p>
        </w:tc>
        <w:tc>
          <w:tcPr>
            <w:tcW w:w="765" w:type="dxa"/>
            <w:tcBorders>
              <w:top w:val="nil"/>
              <w:left w:val="single" w:sz="4" w:space="0" w:color="auto"/>
              <w:bottom w:val="nil"/>
              <w:right w:val="single" w:sz="4" w:space="0" w:color="auto"/>
            </w:tcBorders>
            <w:shd w:val="clear" w:color="auto" w:fill="auto"/>
            <w:noWrap/>
            <w:vAlign w:val="center"/>
            <w:hideMark/>
          </w:tcPr>
          <w:p w14:paraId="6E30E571" w14:textId="77777777" w:rsidR="00B33613" w:rsidRPr="00166BEB" w:rsidRDefault="00B33613" w:rsidP="00B33613">
            <w:pPr>
              <w:spacing w:after="0" w:line="240" w:lineRule="auto"/>
              <w:jc w:val="right"/>
              <w:rPr>
                <w:rFonts w:cs="Arial"/>
                <w:b/>
                <w:bCs/>
                <w:sz w:val="16"/>
                <w:szCs w:val="16"/>
                <w:highlight w:val="yellow"/>
              </w:rPr>
            </w:pPr>
            <w:r>
              <w:rPr>
                <w:rFonts w:cs="Arial"/>
                <w:b/>
                <w:bCs/>
                <w:sz w:val="16"/>
                <w:szCs w:val="16"/>
              </w:rPr>
              <w:t>917,1</w:t>
            </w:r>
          </w:p>
        </w:tc>
        <w:tc>
          <w:tcPr>
            <w:tcW w:w="765" w:type="dxa"/>
            <w:tcBorders>
              <w:top w:val="nil"/>
              <w:left w:val="single" w:sz="4" w:space="0" w:color="auto"/>
              <w:bottom w:val="nil"/>
              <w:right w:val="single" w:sz="4" w:space="0" w:color="auto"/>
            </w:tcBorders>
            <w:shd w:val="clear" w:color="auto" w:fill="auto"/>
            <w:noWrap/>
            <w:vAlign w:val="center"/>
            <w:hideMark/>
          </w:tcPr>
          <w:p w14:paraId="64DF01C1" w14:textId="77777777" w:rsidR="00B33613" w:rsidRPr="00166BEB" w:rsidRDefault="00B33613" w:rsidP="00B33613">
            <w:pPr>
              <w:spacing w:after="0" w:line="240" w:lineRule="auto"/>
              <w:jc w:val="right"/>
              <w:rPr>
                <w:rFonts w:cs="Arial"/>
                <w:b/>
                <w:bCs/>
                <w:sz w:val="16"/>
                <w:szCs w:val="16"/>
                <w:highlight w:val="yellow"/>
              </w:rPr>
            </w:pPr>
            <w:r>
              <w:rPr>
                <w:rFonts w:cs="Arial"/>
                <w:b/>
                <w:bCs/>
                <w:sz w:val="16"/>
                <w:szCs w:val="16"/>
              </w:rPr>
              <w:t>884,2</w:t>
            </w:r>
          </w:p>
        </w:tc>
        <w:tc>
          <w:tcPr>
            <w:tcW w:w="765" w:type="dxa"/>
            <w:tcBorders>
              <w:top w:val="nil"/>
              <w:left w:val="single" w:sz="4" w:space="0" w:color="auto"/>
              <w:bottom w:val="nil"/>
              <w:right w:val="single" w:sz="4" w:space="0" w:color="auto"/>
            </w:tcBorders>
            <w:shd w:val="clear" w:color="auto" w:fill="auto"/>
            <w:noWrap/>
            <w:vAlign w:val="center"/>
            <w:hideMark/>
          </w:tcPr>
          <w:p w14:paraId="5A5343EB" w14:textId="77777777" w:rsidR="00B33613" w:rsidRPr="00166BEB" w:rsidRDefault="00B33613" w:rsidP="00B33613">
            <w:pPr>
              <w:spacing w:after="0" w:line="240" w:lineRule="auto"/>
              <w:jc w:val="right"/>
              <w:rPr>
                <w:rFonts w:cs="Arial"/>
                <w:b/>
                <w:bCs/>
                <w:sz w:val="16"/>
                <w:szCs w:val="16"/>
                <w:highlight w:val="yellow"/>
              </w:rPr>
            </w:pPr>
            <w:r>
              <w:rPr>
                <w:rFonts w:cs="Arial"/>
                <w:b/>
                <w:bCs/>
                <w:sz w:val="16"/>
                <w:szCs w:val="16"/>
              </w:rPr>
              <w:t>948,7</w:t>
            </w:r>
          </w:p>
        </w:tc>
        <w:tc>
          <w:tcPr>
            <w:tcW w:w="765" w:type="dxa"/>
            <w:tcBorders>
              <w:top w:val="nil"/>
              <w:left w:val="single" w:sz="4" w:space="0" w:color="auto"/>
              <w:bottom w:val="nil"/>
              <w:right w:val="single" w:sz="4" w:space="0" w:color="auto"/>
            </w:tcBorders>
            <w:shd w:val="clear" w:color="auto" w:fill="auto"/>
            <w:noWrap/>
            <w:vAlign w:val="center"/>
            <w:hideMark/>
          </w:tcPr>
          <w:p w14:paraId="47618369" w14:textId="77777777" w:rsidR="00B33613" w:rsidRPr="00166BEB" w:rsidRDefault="00B33613" w:rsidP="00B33613">
            <w:pPr>
              <w:spacing w:after="0" w:line="240" w:lineRule="auto"/>
              <w:jc w:val="right"/>
              <w:rPr>
                <w:rFonts w:cs="Arial"/>
                <w:b/>
                <w:bCs/>
                <w:sz w:val="16"/>
                <w:szCs w:val="16"/>
                <w:highlight w:val="yellow"/>
              </w:rPr>
            </w:pPr>
            <w:r>
              <w:rPr>
                <w:rFonts w:cs="Arial"/>
                <w:b/>
                <w:bCs/>
                <w:sz w:val="16"/>
                <w:szCs w:val="16"/>
              </w:rPr>
              <w:t>933,8</w:t>
            </w:r>
          </w:p>
        </w:tc>
        <w:tc>
          <w:tcPr>
            <w:tcW w:w="765" w:type="dxa"/>
            <w:tcBorders>
              <w:top w:val="nil"/>
              <w:left w:val="single" w:sz="4" w:space="0" w:color="auto"/>
              <w:bottom w:val="nil"/>
              <w:right w:val="single" w:sz="4" w:space="0" w:color="auto"/>
            </w:tcBorders>
            <w:shd w:val="clear" w:color="auto" w:fill="D9D9D9"/>
            <w:vAlign w:val="center"/>
          </w:tcPr>
          <w:p w14:paraId="02FB2259" w14:textId="77777777" w:rsidR="00B33613" w:rsidRDefault="00B33613" w:rsidP="00B33613">
            <w:pPr>
              <w:spacing w:after="0" w:line="240" w:lineRule="auto"/>
              <w:jc w:val="right"/>
              <w:rPr>
                <w:rFonts w:cs="Arial"/>
                <w:b/>
                <w:bCs/>
                <w:sz w:val="16"/>
                <w:szCs w:val="16"/>
              </w:rPr>
            </w:pPr>
            <w:r>
              <w:rPr>
                <w:rFonts w:cs="Arial"/>
                <w:b/>
                <w:bCs/>
                <w:sz w:val="16"/>
                <w:szCs w:val="16"/>
              </w:rPr>
              <w:t>719,7</w:t>
            </w:r>
          </w:p>
        </w:tc>
        <w:tc>
          <w:tcPr>
            <w:tcW w:w="765" w:type="dxa"/>
            <w:tcBorders>
              <w:top w:val="nil"/>
              <w:left w:val="single" w:sz="4" w:space="0" w:color="auto"/>
              <w:bottom w:val="nil"/>
              <w:right w:val="nil"/>
            </w:tcBorders>
            <w:vAlign w:val="center"/>
          </w:tcPr>
          <w:p w14:paraId="07A9667B" w14:textId="383D1F43" w:rsidR="00B33613" w:rsidRDefault="00B33613" w:rsidP="00B33613">
            <w:pPr>
              <w:spacing w:after="0" w:line="240" w:lineRule="auto"/>
              <w:jc w:val="right"/>
              <w:rPr>
                <w:rFonts w:cs="Arial"/>
                <w:b/>
                <w:bCs/>
                <w:sz w:val="16"/>
                <w:szCs w:val="16"/>
              </w:rPr>
            </w:pPr>
            <w:r>
              <w:rPr>
                <w:rFonts w:cs="Arial"/>
                <w:b/>
                <w:bCs/>
                <w:sz w:val="16"/>
                <w:szCs w:val="16"/>
              </w:rPr>
              <w:t>807,6</w:t>
            </w:r>
          </w:p>
        </w:tc>
      </w:tr>
      <w:tr w:rsidR="00B33613" w:rsidRPr="00166BEB" w14:paraId="0A89B768" w14:textId="77777777" w:rsidTr="00B33613">
        <w:trPr>
          <w:trHeight w:val="300"/>
        </w:trPr>
        <w:tc>
          <w:tcPr>
            <w:tcW w:w="0" w:type="auto"/>
            <w:tcBorders>
              <w:top w:val="nil"/>
              <w:left w:val="nil"/>
              <w:bottom w:val="nil"/>
              <w:right w:val="nil"/>
            </w:tcBorders>
            <w:shd w:val="clear" w:color="auto" w:fill="auto"/>
            <w:noWrap/>
            <w:vAlign w:val="center"/>
            <w:hideMark/>
          </w:tcPr>
          <w:p w14:paraId="2F9996BC"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Dánsko</w:t>
            </w:r>
          </w:p>
        </w:tc>
        <w:tc>
          <w:tcPr>
            <w:tcW w:w="765" w:type="dxa"/>
            <w:tcBorders>
              <w:top w:val="nil"/>
              <w:left w:val="single" w:sz="4" w:space="0" w:color="000000"/>
              <w:bottom w:val="nil"/>
              <w:right w:val="single" w:sz="4" w:space="0" w:color="auto"/>
            </w:tcBorders>
            <w:shd w:val="clear" w:color="auto" w:fill="auto"/>
            <w:noWrap/>
            <w:vAlign w:val="center"/>
            <w:hideMark/>
          </w:tcPr>
          <w:p w14:paraId="32386E68"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2 239,4</w:t>
            </w:r>
          </w:p>
        </w:tc>
        <w:tc>
          <w:tcPr>
            <w:tcW w:w="765" w:type="dxa"/>
            <w:tcBorders>
              <w:top w:val="nil"/>
              <w:left w:val="single" w:sz="4" w:space="0" w:color="auto"/>
              <w:bottom w:val="nil"/>
              <w:right w:val="single" w:sz="4" w:space="0" w:color="auto"/>
            </w:tcBorders>
            <w:shd w:val="clear" w:color="auto" w:fill="auto"/>
            <w:noWrap/>
            <w:vAlign w:val="center"/>
            <w:hideMark/>
          </w:tcPr>
          <w:p w14:paraId="39F069E4"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2 177,9</w:t>
            </w:r>
          </w:p>
        </w:tc>
        <w:tc>
          <w:tcPr>
            <w:tcW w:w="765" w:type="dxa"/>
            <w:tcBorders>
              <w:top w:val="nil"/>
              <w:left w:val="single" w:sz="4" w:space="0" w:color="auto"/>
              <w:bottom w:val="nil"/>
              <w:right w:val="single" w:sz="4" w:space="0" w:color="auto"/>
            </w:tcBorders>
            <w:shd w:val="clear" w:color="auto" w:fill="auto"/>
            <w:noWrap/>
            <w:vAlign w:val="center"/>
            <w:hideMark/>
          </w:tcPr>
          <w:p w14:paraId="571B2F10"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2 094,2</w:t>
            </w:r>
          </w:p>
        </w:tc>
        <w:tc>
          <w:tcPr>
            <w:tcW w:w="765" w:type="dxa"/>
            <w:tcBorders>
              <w:top w:val="nil"/>
              <w:left w:val="single" w:sz="4" w:space="0" w:color="auto"/>
              <w:bottom w:val="nil"/>
              <w:right w:val="single" w:sz="4" w:space="0" w:color="auto"/>
            </w:tcBorders>
            <w:shd w:val="clear" w:color="auto" w:fill="auto"/>
            <w:noWrap/>
            <w:vAlign w:val="center"/>
            <w:hideMark/>
          </w:tcPr>
          <w:p w14:paraId="48E94D7B"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1 983,1</w:t>
            </w:r>
          </w:p>
        </w:tc>
        <w:tc>
          <w:tcPr>
            <w:tcW w:w="765" w:type="dxa"/>
            <w:tcBorders>
              <w:top w:val="nil"/>
              <w:left w:val="single" w:sz="4" w:space="0" w:color="auto"/>
              <w:bottom w:val="nil"/>
              <w:right w:val="single" w:sz="4" w:space="0" w:color="auto"/>
            </w:tcBorders>
            <w:shd w:val="clear" w:color="auto" w:fill="auto"/>
            <w:noWrap/>
            <w:vAlign w:val="center"/>
            <w:hideMark/>
          </w:tcPr>
          <w:p w14:paraId="394E4B44"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1 787,8</w:t>
            </w:r>
          </w:p>
        </w:tc>
        <w:tc>
          <w:tcPr>
            <w:tcW w:w="765" w:type="dxa"/>
            <w:tcBorders>
              <w:top w:val="nil"/>
              <w:left w:val="single" w:sz="4" w:space="0" w:color="auto"/>
              <w:bottom w:val="nil"/>
              <w:right w:val="single" w:sz="4" w:space="0" w:color="auto"/>
            </w:tcBorders>
            <w:shd w:val="clear" w:color="auto" w:fill="auto"/>
            <w:noWrap/>
            <w:vAlign w:val="center"/>
            <w:hideMark/>
          </w:tcPr>
          <w:p w14:paraId="0BAA328B"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1 813,0</w:t>
            </w:r>
          </w:p>
        </w:tc>
        <w:tc>
          <w:tcPr>
            <w:tcW w:w="765" w:type="dxa"/>
            <w:tcBorders>
              <w:top w:val="nil"/>
              <w:left w:val="single" w:sz="4" w:space="0" w:color="auto"/>
              <w:bottom w:val="nil"/>
              <w:right w:val="single" w:sz="4" w:space="0" w:color="auto"/>
            </w:tcBorders>
            <w:shd w:val="clear" w:color="auto" w:fill="auto"/>
            <w:noWrap/>
            <w:vAlign w:val="center"/>
            <w:hideMark/>
          </w:tcPr>
          <w:p w14:paraId="1B61B2E0"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1 614,4</w:t>
            </w:r>
          </w:p>
        </w:tc>
        <w:tc>
          <w:tcPr>
            <w:tcW w:w="765" w:type="dxa"/>
            <w:tcBorders>
              <w:top w:val="nil"/>
              <w:left w:val="single" w:sz="4" w:space="0" w:color="auto"/>
              <w:bottom w:val="nil"/>
              <w:right w:val="single" w:sz="4" w:space="0" w:color="auto"/>
            </w:tcBorders>
            <w:shd w:val="clear" w:color="auto" w:fill="auto"/>
            <w:noWrap/>
            <w:vAlign w:val="center"/>
            <w:hideMark/>
          </w:tcPr>
          <w:p w14:paraId="0E17ED95"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1 770,0</w:t>
            </w:r>
          </w:p>
        </w:tc>
        <w:tc>
          <w:tcPr>
            <w:tcW w:w="765" w:type="dxa"/>
            <w:tcBorders>
              <w:top w:val="nil"/>
              <w:left w:val="single" w:sz="4" w:space="0" w:color="auto"/>
              <w:bottom w:val="nil"/>
              <w:right w:val="single" w:sz="4" w:space="0" w:color="auto"/>
            </w:tcBorders>
            <w:shd w:val="clear" w:color="auto" w:fill="auto"/>
            <w:noWrap/>
            <w:vAlign w:val="center"/>
            <w:hideMark/>
          </w:tcPr>
          <w:p w14:paraId="47021511"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1 933,9</w:t>
            </w:r>
          </w:p>
        </w:tc>
        <w:tc>
          <w:tcPr>
            <w:tcW w:w="765" w:type="dxa"/>
            <w:tcBorders>
              <w:top w:val="nil"/>
              <w:left w:val="single" w:sz="4" w:space="0" w:color="auto"/>
              <w:bottom w:val="nil"/>
              <w:right w:val="single" w:sz="4" w:space="0" w:color="auto"/>
            </w:tcBorders>
            <w:shd w:val="clear" w:color="auto" w:fill="D9D9D9"/>
            <w:vAlign w:val="center"/>
          </w:tcPr>
          <w:p w14:paraId="35EEFFE6" w14:textId="77777777" w:rsidR="00B33613" w:rsidRDefault="00B33613" w:rsidP="00B33613">
            <w:pPr>
              <w:spacing w:after="0" w:line="240" w:lineRule="auto"/>
              <w:jc w:val="right"/>
              <w:rPr>
                <w:rFonts w:cs="Arial"/>
                <w:sz w:val="16"/>
                <w:szCs w:val="16"/>
              </w:rPr>
            </w:pPr>
            <w:r>
              <w:rPr>
                <w:rFonts w:cs="Arial"/>
                <w:sz w:val="16"/>
                <w:szCs w:val="16"/>
              </w:rPr>
              <w:t>1 902,3</w:t>
            </w:r>
          </w:p>
        </w:tc>
        <w:tc>
          <w:tcPr>
            <w:tcW w:w="765" w:type="dxa"/>
            <w:tcBorders>
              <w:top w:val="nil"/>
              <w:left w:val="single" w:sz="4" w:space="0" w:color="auto"/>
              <w:bottom w:val="nil"/>
              <w:right w:val="nil"/>
            </w:tcBorders>
            <w:vAlign w:val="center"/>
          </w:tcPr>
          <w:p w14:paraId="453E69BA" w14:textId="1BE5289B" w:rsidR="00B33613" w:rsidRDefault="00B33613" w:rsidP="00B33613">
            <w:pPr>
              <w:spacing w:after="0" w:line="240" w:lineRule="auto"/>
              <w:jc w:val="right"/>
              <w:rPr>
                <w:rFonts w:cs="Arial"/>
                <w:sz w:val="16"/>
                <w:szCs w:val="16"/>
              </w:rPr>
            </w:pPr>
            <w:r>
              <w:rPr>
                <w:rFonts w:cs="Arial"/>
                <w:sz w:val="16"/>
                <w:szCs w:val="16"/>
              </w:rPr>
              <w:t>2 070,1</w:t>
            </w:r>
          </w:p>
        </w:tc>
      </w:tr>
      <w:tr w:rsidR="00B33613" w:rsidRPr="00166BEB" w14:paraId="5E0660A3" w14:textId="77777777" w:rsidTr="00B33613">
        <w:trPr>
          <w:trHeight w:val="300"/>
        </w:trPr>
        <w:tc>
          <w:tcPr>
            <w:tcW w:w="0" w:type="auto"/>
            <w:tcBorders>
              <w:top w:val="nil"/>
              <w:left w:val="nil"/>
              <w:bottom w:val="nil"/>
              <w:right w:val="nil"/>
            </w:tcBorders>
            <w:shd w:val="clear" w:color="auto" w:fill="auto"/>
            <w:noWrap/>
            <w:vAlign w:val="center"/>
            <w:hideMark/>
          </w:tcPr>
          <w:p w14:paraId="604DBB6A"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Estonsko</w:t>
            </w:r>
          </w:p>
        </w:tc>
        <w:tc>
          <w:tcPr>
            <w:tcW w:w="765" w:type="dxa"/>
            <w:tcBorders>
              <w:top w:val="nil"/>
              <w:left w:val="single" w:sz="4" w:space="0" w:color="000000"/>
              <w:bottom w:val="nil"/>
              <w:right w:val="single" w:sz="4" w:space="0" w:color="auto"/>
            </w:tcBorders>
            <w:shd w:val="clear" w:color="auto" w:fill="auto"/>
            <w:noWrap/>
            <w:vAlign w:val="center"/>
            <w:hideMark/>
          </w:tcPr>
          <w:p w14:paraId="211BB8E9"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1 076,2</w:t>
            </w:r>
          </w:p>
        </w:tc>
        <w:tc>
          <w:tcPr>
            <w:tcW w:w="765" w:type="dxa"/>
            <w:tcBorders>
              <w:top w:val="nil"/>
              <w:left w:val="single" w:sz="4" w:space="0" w:color="auto"/>
              <w:bottom w:val="nil"/>
              <w:right w:val="single" w:sz="4" w:space="0" w:color="auto"/>
            </w:tcBorders>
            <w:shd w:val="clear" w:color="auto" w:fill="auto"/>
            <w:noWrap/>
            <w:vAlign w:val="center"/>
            <w:hideMark/>
          </w:tcPr>
          <w:p w14:paraId="3F918F99"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1 005,5</w:t>
            </w:r>
          </w:p>
        </w:tc>
        <w:tc>
          <w:tcPr>
            <w:tcW w:w="765" w:type="dxa"/>
            <w:tcBorders>
              <w:top w:val="nil"/>
              <w:left w:val="single" w:sz="4" w:space="0" w:color="auto"/>
              <w:bottom w:val="nil"/>
              <w:right w:val="single" w:sz="4" w:space="0" w:color="auto"/>
            </w:tcBorders>
            <w:shd w:val="clear" w:color="auto" w:fill="auto"/>
            <w:noWrap/>
            <w:vAlign w:val="center"/>
            <w:hideMark/>
          </w:tcPr>
          <w:p w14:paraId="4E3EA8F6"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1 095,4</w:t>
            </w:r>
          </w:p>
        </w:tc>
        <w:tc>
          <w:tcPr>
            <w:tcW w:w="765" w:type="dxa"/>
            <w:tcBorders>
              <w:top w:val="nil"/>
              <w:left w:val="single" w:sz="4" w:space="0" w:color="auto"/>
              <w:bottom w:val="nil"/>
              <w:right w:val="single" w:sz="4" w:space="0" w:color="auto"/>
            </w:tcBorders>
            <w:shd w:val="clear" w:color="auto" w:fill="auto"/>
            <w:noWrap/>
            <w:vAlign w:val="center"/>
            <w:hideMark/>
          </w:tcPr>
          <w:p w14:paraId="54E4D10A"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1 137,9</w:t>
            </w:r>
          </w:p>
        </w:tc>
        <w:tc>
          <w:tcPr>
            <w:tcW w:w="765" w:type="dxa"/>
            <w:tcBorders>
              <w:top w:val="nil"/>
              <w:left w:val="single" w:sz="4" w:space="0" w:color="auto"/>
              <w:bottom w:val="nil"/>
              <w:right w:val="single" w:sz="4" w:space="0" w:color="auto"/>
            </w:tcBorders>
            <w:shd w:val="clear" w:color="auto" w:fill="auto"/>
            <w:noWrap/>
            <w:vAlign w:val="center"/>
            <w:hideMark/>
          </w:tcPr>
          <w:p w14:paraId="69344725"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1 204,4</w:t>
            </w:r>
          </w:p>
        </w:tc>
        <w:tc>
          <w:tcPr>
            <w:tcW w:w="765" w:type="dxa"/>
            <w:tcBorders>
              <w:top w:val="nil"/>
              <w:left w:val="single" w:sz="4" w:space="0" w:color="auto"/>
              <w:bottom w:val="nil"/>
              <w:right w:val="single" w:sz="4" w:space="0" w:color="auto"/>
            </w:tcBorders>
            <w:shd w:val="clear" w:color="auto" w:fill="auto"/>
            <w:noWrap/>
            <w:vAlign w:val="center"/>
            <w:hideMark/>
          </w:tcPr>
          <w:p w14:paraId="159A4078"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1 210,4</w:t>
            </w:r>
          </w:p>
        </w:tc>
        <w:tc>
          <w:tcPr>
            <w:tcW w:w="765" w:type="dxa"/>
            <w:tcBorders>
              <w:top w:val="nil"/>
              <w:left w:val="single" w:sz="4" w:space="0" w:color="auto"/>
              <w:bottom w:val="nil"/>
              <w:right w:val="single" w:sz="4" w:space="0" w:color="auto"/>
            </w:tcBorders>
            <w:shd w:val="clear" w:color="auto" w:fill="auto"/>
            <w:noWrap/>
            <w:vAlign w:val="center"/>
            <w:hideMark/>
          </w:tcPr>
          <w:p w14:paraId="59A7EFE4"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1 050,6</w:t>
            </w:r>
          </w:p>
        </w:tc>
        <w:tc>
          <w:tcPr>
            <w:tcW w:w="765" w:type="dxa"/>
            <w:tcBorders>
              <w:top w:val="nil"/>
              <w:left w:val="single" w:sz="4" w:space="0" w:color="auto"/>
              <w:bottom w:val="nil"/>
              <w:right w:val="single" w:sz="4" w:space="0" w:color="auto"/>
            </w:tcBorders>
            <w:shd w:val="clear" w:color="auto" w:fill="auto"/>
            <w:noWrap/>
            <w:vAlign w:val="center"/>
            <w:hideMark/>
          </w:tcPr>
          <w:p w14:paraId="1AAAF5CA"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1 033,1</w:t>
            </w:r>
          </w:p>
        </w:tc>
        <w:tc>
          <w:tcPr>
            <w:tcW w:w="765" w:type="dxa"/>
            <w:tcBorders>
              <w:top w:val="nil"/>
              <w:left w:val="single" w:sz="4" w:space="0" w:color="auto"/>
              <w:bottom w:val="nil"/>
              <w:right w:val="single" w:sz="4" w:space="0" w:color="auto"/>
            </w:tcBorders>
            <w:shd w:val="clear" w:color="auto" w:fill="auto"/>
            <w:noWrap/>
            <w:vAlign w:val="center"/>
            <w:hideMark/>
          </w:tcPr>
          <w:p w14:paraId="2BA418CE"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1 178,0</w:t>
            </w:r>
          </w:p>
        </w:tc>
        <w:tc>
          <w:tcPr>
            <w:tcW w:w="765" w:type="dxa"/>
            <w:tcBorders>
              <w:top w:val="nil"/>
              <w:left w:val="single" w:sz="4" w:space="0" w:color="auto"/>
              <w:bottom w:val="nil"/>
              <w:right w:val="single" w:sz="4" w:space="0" w:color="auto"/>
            </w:tcBorders>
            <w:shd w:val="clear" w:color="auto" w:fill="D9D9D9"/>
            <w:vAlign w:val="center"/>
          </w:tcPr>
          <w:p w14:paraId="5158692E" w14:textId="77777777" w:rsidR="00B33613" w:rsidRDefault="00B33613" w:rsidP="00B33613">
            <w:pPr>
              <w:spacing w:after="0" w:line="240" w:lineRule="auto"/>
              <w:jc w:val="right"/>
              <w:rPr>
                <w:rFonts w:cs="Arial"/>
                <w:sz w:val="16"/>
                <w:szCs w:val="16"/>
              </w:rPr>
            </w:pPr>
            <w:r>
              <w:rPr>
                <w:rFonts w:cs="Arial"/>
                <w:sz w:val="16"/>
                <w:szCs w:val="16"/>
              </w:rPr>
              <w:t>1 032,5</w:t>
            </w:r>
          </w:p>
        </w:tc>
        <w:tc>
          <w:tcPr>
            <w:tcW w:w="765" w:type="dxa"/>
            <w:tcBorders>
              <w:top w:val="nil"/>
              <w:left w:val="single" w:sz="4" w:space="0" w:color="auto"/>
              <w:bottom w:val="nil"/>
              <w:right w:val="nil"/>
            </w:tcBorders>
            <w:vAlign w:val="center"/>
          </w:tcPr>
          <w:p w14:paraId="4D14119E" w14:textId="41537EED" w:rsidR="00B33613" w:rsidRDefault="00B33613" w:rsidP="00B33613">
            <w:pPr>
              <w:spacing w:after="0" w:line="240" w:lineRule="auto"/>
              <w:jc w:val="right"/>
              <w:rPr>
                <w:rFonts w:cs="Arial"/>
                <w:sz w:val="16"/>
                <w:szCs w:val="16"/>
              </w:rPr>
            </w:pPr>
            <w:r>
              <w:rPr>
                <w:rFonts w:cs="Arial"/>
                <w:sz w:val="16"/>
                <w:szCs w:val="16"/>
              </w:rPr>
              <w:t>1 085,4</w:t>
            </w:r>
          </w:p>
        </w:tc>
      </w:tr>
      <w:tr w:rsidR="00B33613" w:rsidRPr="00166BEB" w14:paraId="40DCAF7F" w14:textId="77777777" w:rsidTr="00B33613">
        <w:trPr>
          <w:trHeight w:val="300"/>
        </w:trPr>
        <w:tc>
          <w:tcPr>
            <w:tcW w:w="0" w:type="auto"/>
            <w:tcBorders>
              <w:top w:val="nil"/>
              <w:left w:val="nil"/>
              <w:bottom w:val="nil"/>
              <w:right w:val="nil"/>
            </w:tcBorders>
            <w:shd w:val="clear" w:color="auto" w:fill="auto"/>
            <w:noWrap/>
            <w:vAlign w:val="center"/>
            <w:hideMark/>
          </w:tcPr>
          <w:p w14:paraId="35B642B4"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Finsko</w:t>
            </w:r>
          </w:p>
        </w:tc>
        <w:tc>
          <w:tcPr>
            <w:tcW w:w="765" w:type="dxa"/>
            <w:tcBorders>
              <w:top w:val="nil"/>
              <w:left w:val="single" w:sz="4" w:space="0" w:color="000000"/>
              <w:bottom w:val="nil"/>
              <w:right w:val="single" w:sz="4" w:space="0" w:color="auto"/>
            </w:tcBorders>
            <w:shd w:val="clear" w:color="auto" w:fill="auto"/>
            <w:noWrap/>
            <w:vAlign w:val="center"/>
            <w:hideMark/>
          </w:tcPr>
          <w:p w14:paraId="2C29C60A"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2 481,0</w:t>
            </w:r>
          </w:p>
        </w:tc>
        <w:tc>
          <w:tcPr>
            <w:tcW w:w="765" w:type="dxa"/>
            <w:tcBorders>
              <w:top w:val="nil"/>
              <w:left w:val="single" w:sz="4" w:space="0" w:color="auto"/>
              <w:bottom w:val="nil"/>
              <w:right w:val="single" w:sz="4" w:space="0" w:color="auto"/>
            </w:tcBorders>
            <w:shd w:val="clear" w:color="auto" w:fill="auto"/>
            <w:noWrap/>
            <w:vAlign w:val="center"/>
            <w:hideMark/>
          </w:tcPr>
          <w:p w14:paraId="599F2E85"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2 166,1</w:t>
            </w:r>
          </w:p>
        </w:tc>
        <w:tc>
          <w:tcPr>
            <w:tcW w:w="765" w:type="dxa"/>
            <w:tcBorders>
              <w:top w:val="nil"/>
              <w:left w:val="single" w:sz="4" w:space="0" w:color="auto"/>
              <w:bottom w:val="nil"/>
              <w:right w:val="single" w:sz="4" w:space="0" w:color="auto"/>
            </w:tcBorders>
            <w:shd w:val="clear" w:color="auto" w:fill="auto"/>
            <w:noWrap/>
            <w:vAlign w:val="center"/>
            <w:hideMark/>
          </w:tcPr>
          <w:p w14:paraId="4AC889B2"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2 229,8</w:t>
            </w:r>
          </w:p>
        </w:tc>
        <w:tc>
          <w:tcPr>
            <w:tcW w:w="765" w:type="dxa"/>
            <w:tcBorders>
              <w:top w:val="nil"/>
              <w:left w:val="single" w:sz="4" w:space="0" w:color="auto"/>
              <w:bottom w:val="nil"/>
              <w:right w:val="single" w:sz="4" w:space="0" w:color="auto"/>
            </w:tcBorders>
            <w:shd w:val="clear" w:color="auto" w:fill="auto"/>
            <w:noWrap/>
            <w:vAlign w:val="center"/>
            <w:hideMark/>
          </w:tcPr>
          <w:p w14:paraId="0A57424A"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2 083,2</w:t>
            </w:r>
          </w:p>
        </w:tc>
        <w:tc>
          <w:tcPr>
            <w:tcW w:w="765" w:type="dxa"/>
            <w:tcBorders>
              <w:top w:val="nil"/>
              <w:left w:val="single" w:sz="4" w:space="0" w:color="auto"/>
              <w:bottom w:val="nil"/>
              <w:right w:val="single" w:sz="4" w:space="0" w:color="auto"/>
            </w:tcBorders>
            <w:shd w:val="clear" w:color="auto" w:fill="auto"/>
            <w:noWrap/>
            <w:vAlign w:val="center"/>
            <w:hideMark/>
          </w:tcPr>
          <w:p w14:paraId="5096D571"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1 963,9</w:t>
            </w:r>
          </w:p>
        </w:tc>
        <w:tc>
          <w:tcPr>
            <w:tcW w:w="765" w:type="dxa"/>
            <w:tcBorders>
              <w:top w:val="nil"/>
              <w:left w:val="single" w:sz="4" w:space="0" w:color="auto"/>
              <w:bottom w:val="nil"/>
              <w:right w:val="single" w:sz="4" w:space="0" w:color="auto"/>
            </w:tcBorders>
            <w:shd w:val="clear" w:color="auto" w:fill="auto"/>
            <w:noWrap/>
            <w:vAlign w:val="center"/>
            <w:hideMark/>
          </w:tcPr>
          <w:p w14:paraId="4587319B"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1 860,2</w:t>
            </w:r>
          </w:p>
        </w:tc>
        <w:tc>
          <w:tcPr>
            <w:tcW w:w="765" w:type="dxa"/>
            <w:tcBorders>
              <w:top w:val="nil"/>
              <w:left w:val="single" w:sz="4" w:space="0" w:color="auto"/>
              <w:bottom w:val="nil"/>
              <w:right w:val="single" w:sz="4" w:space="0" w:color="auto"/>
            </w:tcBorders>
            <w:shd w:val="clear" w:color="auto" w:fill="auto"/>
            <w:noWrap/>
            <w:vAlign w:val="center"/>
            <w:hideMark/>
          </w:tcPr>
          <w:p w14:paraId="6E86F42D"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1 906,2</w:t>
            </w:r>
          </w:p>
        </w:tc>
        <w:tc>
          <w:tcPr>
            <w:tcW w:w="765" w:type="dxa"/>
            <w:tcBorders>
              <w:top w:val="nil"/>
              <w:left w:val="single" w:sz="4" w:space="0" w:color="auto"/>
              <w:bottom w:val="nil"/>
              <w:right w:val="single" w:sz="4" w:space="0" w:color="auto"/>
            </w:tcBorders>
            <w:shd w:val="clear" w:color="auto" w:fill="auto"/>
            <w:noWrap/>
            <w:vAlign w:val="center"/>
            <w:hideMark/>
          </w:tcPr>
          <w:p w14:paraId="4A525FA1"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1 892,1</w:t>
            </w:r>
          </w:p>
        </w:tc>
        <w:tc>
          <w:tcPr>
            <w:tcW w:w="765" w:type="dxa"/>
            <w:tcBorders>
              <w:top w:val="nil"/>
              <w:left w:val="single" w:sz="4" w:space="0" w:color="auto"/>
              <w:bottom w:val="nil"/>
              <w:right w:val="single" w:sz="4" w:space="0" w:color="auto"/>
            </w:tcBorders>
            <w:shd w:val="clear" w:color="auto" w:fill="auto"/>
            <w:noWrap/>
            <w:vAlign w:val="center"/>
            <w:hideMark/>
          </w:tcPr>
          <w:p w14:paraId="552B71F0"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1 850,6</w:t>
            </w:r>
          </w:p>
        </w:tc>
        <w:tc>
          <w:tcPr>
            <w:tcW w:w="765" w:type="dxa"/>
            <w:tcBorders>
              <w:top w:val="nil"/>
              <w:left w:val="single" w:sz="4" w:space="0" w:color="auto"/>
              <w:bottom w:val="nil"/>
              <w:right w:val="single" w:sz="4" w:space="0" w:color="auto"/>
            </w:tcBorders>
            <w:shd w:val="clear" w:color="auto" w:fill="D9D9D9"/>
            <w:vAlign w:val="center"/>
          </w:tcPr>
          <w:p w14:paraId="7EBEE4D7" w14:textId="77777777" w:rsidR="00B33613" w:rsidRDefault="00B33613" w:rsidP="00B33613">
            <w:pPr>
              <w:spacing w:after="0" w:line="240" w:lineRule="auto"/>
              <w:jc w:val="right"/>
              <w:rPr>
                <w:rFonts w:cs="Arial"/>
                <w:sz w:val="16"/>
                <w:szCs w:val="16"/>
              </w:rPr>
            </w:pPr>
            <w:r>
              <w:rPr>
                <w:rFonts w:cs="Arial"/>
                <w:sz w:val="16"/>
                <w:szCs w:val="16"/>
              </w:rPr>
              <w:t>1 393,0</w:t>
            </w:r>
          </w:p>
        </w:tc>
        <w:tc>
          <w:tcPr>
            <w:tcW w:w="765" w:type="dxa"/>
            <w:tcBorders>
              <w:top w:val="nil"/>
              <w:left w:val="single" w:sz="4" w:space="0" w:color="auto"/>
              <w:bottom w:val="nil"/>
              <w:right w:val="nil"/>
            </w:tcBorders>
            <w:vAlign w:val="center"/>
          </w:tcPr>
          <w:p w14:paraId="68A1EF19" w14:textId="3B3921EA" w:rsidR="00B33613" w:rsidRDefault="00B33613" w:rsidP="00B33613">
            <w:pPr>
              <w:spacing w:after="0" w:line="240" w:lineRule="auto"/>
              <w:jc w:val="right"/>
              <w:rPr>
                <w:rFonts w:cs="Arial"/>
                <w:sz w:val="16"/>
                <w:szCs w:val="16"/>
              </w:rPr>
            </w:pPr>
            <w:r>
              <w:rPr>
                <w:rFonts w:cs="Arial"/>
                <w:sz w:val="16"/>
                <w:szCs w:val="16"/>
              </w:rPr>
              <w:t>1 653,7</w:t>
            </w:r>
          </w:p>
        </w:tc>
      </w:tr>
      <w:tr w:rsidR="00B33613" w:rsidRPr="00166BEB" w14:paraId="359FD1DC" w14:textId="77777777" w:rsidTr="00B33613">
        <w:trPr>
          <w:trHeight w:val="300"/>
        </w:trPr>
        <w:tc>
          <w:tcPr>
            <w:tcW w:w="0" w:type="auto"/>
            <w:tcBorders>
              <w:top w:val="nil"/>
              <w:left w:val="nil"/>
              <w:bottom w:val="nil"/>
              <w:right w:val="nil"/>
            </w:tcBorders>
            <w:shd w:val="clear" w:color="auto" w:fill="auto"/>
            <w:noWrap/>
            <w:vAlign w:val="center"/>
            <w:hideMark/>
          </w:tcPr>
          <w:p w14:paraId="6D456C22"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Francie</w:t>
            </w:r>
          </w:p>
        </w:tc>
        <w:tc>
          <w:tcPr>
            <w:tcW w:w="765" w:type="dxa"/>
            <w:tcBorders>
              <w:top w:val="nil"/>
              <w:left w:val="single" w:sz="4" w:space="0" w:color="000000"/>
              <w:bottom w:val="nil"/>
              <w:right w:val="single" w:sz="4" w:space="0" w:color="auto"/>
            </w:tcBorders>
            <w:shd w:val="clear" w:color="auto" w:fill="auto"/>
            <w:noWrap/>
            <w:vAlign w:val="center"/>
            <w:hideMark/>
          </w:tcPr>
          <w:p w14:paraId="1B523BC1"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4 579,0</w:t>
            </w:r>
          </w:p>
        </w:tc>
        <w:tc>
          <w:tcPr>
            <w:tcW w:w="765" w:type="dxa"/>
            <w:tcBorders>
              <w:top w:val="nil"/>
              <w:left w:val="single" w:sz="4" w:space="0" w:color="auto"/>
              <w:bottom w:val="nil"/>
              <w:right w:val="single" w:sz="4" w:space="0" w:color="auto"/>
            </w:tcBorders>
            <w:shd w:val="clear" w:color="auto" w:fill="auto"/>
            <w:noWrap/>
            <w:vAlign w:val="center"/>
            <w:hideMark/>
          </w:tcPr>
          <w:p w14:paraId="3CCB2811"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3 047,9</w:t>
            </w:r>
          </w:p>
        </w:tc>
        <w:tc>
          <w:tcPr>
            <w:tcW w:w="765" w:type="dxa"/>
            <w:tcBorders>
              <w:top w:val="nil"/>
              <w:left w:val="single" w:sz="4" w:space="0" w:color="auto"/>
              <w:bottom w:val="nil"/>
              <w:right w:val="single" w:sz="4" w:space="0" w:color="auto"/>
            </w:tcBorders>
            <w:shd w:val="clear" w:color="auto" w:fill="auto"/>
            <w:noWrap/>
            <w:vAlign w:val="center"/>
            <w:hideMark/>
          </w:tcPr>
          <w:p w14:paraId="58CCDC8E"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3 163,5</w:t>
            </w:r>
          </w:p>
        </w:tc>
        <w:tc>
          <w:tcPr>
            <w:tcW w:w="765" w:type="dxa"/>
            <w:tcBorders>
              <w:top w:val="nil"/>
              <w:left w:val="single" w:sz="4" w:space="0" w:color="auto"/>
              <w:bottom w:val="nil"/>
              <w:right w:val="single" w:sz="4" w:space="0" w:color="auto"/>
            </w:tcBorders>
            <w:shd w:val="clear" w:color="000000" w:fill="D9D9D9"/>
            <w:noWrap/>
            <w:vAlign w:val="center"/>
            <w:hideMark/>
          </w:tcPr>
          <w:p w14:paraId="46361F42"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3 385,7</w:t>
            </w:r>
          </w:p>
        </w:tc>
        <w:tc>
          <w:tcPr>
            <w:tcW w:w="765" w:type="dxa"/>
            <w:tcBorders>
              <w:top w:val="nil"/>
              <w:left w:val="single" w:sz="4" w:space="0" w:color="auto"/>
              <w:bottom w:val="nil"/>
              <w:right w:val="single" w:sz="4" w:space="0" w:color="auto"/>
            </w:tcBorders>
            <w:shd w:val="clear" w:color="auto" w:fill="auto"/>
            <w:noWrap/>
            <w:vAlign w:val="center"/>
            <w:hideMark/>
          </w:tcPr>
          <w:p w14:paraId="255A017E"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3 490,1</w:t>
            </w:r>
          </w:p>
        </w:tc>
        <w:tc>
          <w:tcPr>
            <w:tcW w:w="765" w:type="dxa"/>
            <w:tcBorders>
              <w:top w:val="nil"/>
              <w:left w:val="single" w:sz="4" w:space="0" w:color="auto"/>
              <w:bottom w:val="nil"/>
              <w:right w:val="single" w:sz="4" w:space="0" w:color="auto"/>
            </w:tcBorders>
            <w:shd w:val="clear" w:color="auto" w:fill="auto"/>
            <w:noWrap/>
            <w:vAlign w:val="center"/>
            <w:hideMark/>
          </w:tcPr>
          <w:p w14:paraId="08F80270"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3 409,2</w:t>
            </w:r>
          </w:p>
        </w:tc>
        <w:tc>
          <w:tcPr>
            <w:tcW w:w="765" w:type="dxa"/>
            <w:tcBorders>
              <w:top w:val="nil"/>
              <w:left w:val="single" w:sz="4" w:space="0" w:color="auto"/>
              <w:bottom w:val="nil"/>
              <w:right w:val="single" w:sz="4" w:space="0" w:color="auto"/>
            </w:tcBorders>
            <w:shd w:val="clear" w:color="000000" w:fill="D9D9D9"/>
            <w:noWrap/>
            <w:vAlign w:val="center"/>
            <w:hideMark/>
          </w:tcPr>
          <w:p w14:paraId="2D8236FD"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3 307,1</w:t>
            </w:r>
          </w:p>
        </w:tc>
        <w:tc>
          <w:tcPr>
            <w:tcW w:w="765" w:type="dxa"/>
            <w:tcBorders>
              <w:top w:val="nil"/>
              <w:left w:val="single" w:sz="4" w:space="0" w:color="auto"/>
              <w:bottom w:val="nil"/>
              <w:right w:val="single" w:sz="4" w:space="0" w:color="auto"/>
            </w:tcBorders>
            <w:shd w:val="clear" w:color="auto" w:fill="auto"/>
            <w:noWrap/>
            <w:vAlign w:val="center"/>
            <w:hideMark/>
          </w:tcPr>
          <w:p w14:paraId="77845981"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3 421,2</w:t>
            </w:r>
          </w:p>
        </w:tc>
        <w:tc>
          <w:tcPr>
            <w:tcW w:w="765" w:type="dxa"/>
            <w:tcBorders>
              <w:top w:val="nil"/>
              <w:left w:val="single" w:sz="4" w:space="0" w:color="auto"/>
              <w:bottom w:val="nil"/>
              <w:right w:val="single" w:sz="4" w:space="0" w:color="auto"/>
            </w:tcBorders>
            <w:shd w:val="clear" w:color="auto" w:fill="auto"/>
            <w:noWrap/>
            <w:vAlign w:val="center"/>
            <w:hideMark/>
          </w:tcPr>
          <w:p w14:paraId="2B6AA2A6"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3 406,9</w:t>
            </w:r>
          </w:p>
        </w:tc>
        <w:tc>
          <w:tcPr>
            <w:tcW w:w="765" w:type="dxa"/>
            <w:tcBorders>
              <w:top w:val="nil"/>
              <w:left w:val="single" w:sz="4" w:space="0" w:color="auto"/>
              <w:bottom w:val="nil"/>
              <w:right w:val="single" w:sz="4" w:space="0" w:color="auto"/>
            </w:tcBorders>
            <w:shd w:val="clear" w:color="auto" w:fill="D9D9D9"/>
            <w:vAlign w:val="center"/>
          </w:tcPr>
          <w:p w14:paraId="34EE8CA7" w14:textId="77777777" w:rsidR="00B33613" w:rsidRDefault="00B33613" w:rsidP="00B33613">
            <w:pPr>
              <w:spacing w:after="0" w:line="240" w:lineRule="auto"/>
              <w:jc w:val="right"/>
              <w:rPr>
                <w:rFonts w:cs="Arial"/>
                <w:sz w:val="16"/>
                <w:szCs w:val="16"/>
              </w:rPr>
            </w:pPr>
            <w:r>
              <w:rPr>
                <w:rFonts w:cs="Arial"/>
                <w:sz w:val="16"/>
                <w:szCs w:val="16"/>
              </w:rPr>
              <w:t>2 597,5</w:t>
            </w:r>
          </w:p>
        </w:tc>
        <w:tc>
          <w:tcPr>
            <w:tcW w:w="765" w:type="dxa"/>
            <w:tcBorders>
              <w:top w:val="nil"/>
              <w:left w:val="single" w:sz="4" w:space="0" w:color="auto"/>
              <w:bottom w:val="nil"/>
              <w:right w:val="nil"/>
            </w:tcBorders>
            <w:vAlign w:val="center"/>
          </w:tcPr>
          <w:p w14:paraId="6CC9699E" w14:textId="19D6E35B" w:rsidR="00B33613" w:rsidRDefault="00B33613" w:rsidP="00B33613">
            <w:pPr>
              <w:spacing w:after="0" w:line="240" w:lineRule="auto"/>
              <w:jc w:val="right"/>
              <w:rPr>
                <w:rFonts w:cs="Arial"/>
                <w:sz w:val="16"/>
                <w:szCs w:val="16"/>
              </w:rPr>
            </w:pPr>
            <w:r>
              <w:rPr>
                <w:rFonts w:cs="Arial"/>
                <w:sz w:val="16"/>
                <w:szCs w:val="16"/>
              </w:rPr>
              <w:t>3 364,3</w:t>
            </w:r>
          </w:p>
        </w:tc>
      </w:tr>
      <w:tr w:rsidR="00B33613" w:rsidRPr="00166BEB" w14:paraId="00BF6A54" w14:textId="77777777" w:rsidTr="00B33613">
        <w:trPr>
          <w:trHeight w:val="300"/>
        </w:trPr>
        <w:tc>
          <w:tcPr>
            <w:tcW w:w="0" w:type="auto"/>
            <w:tcBorders>
              <w:top w:val="nil"/>
              <w:left w:val="nil"/>
              <w:bottom w:val="nil"/>
              <w:right w:val="nil"/>
            </w:tcBorders>
            <w:shd w:val="clear" w:color="auto" w:fill="auto"/>
            <w:noWrap/>
            <w:vAlign w:val="center"/>
            <w:hideMark/>
          </w:tcPr>
          <w:p w14:paraId="4F42B40C"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Chorvatsko</w:t>
            </w:r>
          </w:p>
        </w:tc>
        <w:tc>
          <w:tcPr>
            <w:tcW w:w="765" w:type="dxa"/>
            <w:tcBorders>
              <w:top w:val="nil"/>
              <w:left w:val="single" w:sz="4" w:space="0" w:color="000000"/>
              <w:bottom w:val="nil"/>
              <w:right w:val="single" w:sz="4" w:space="0" w:color="auto"/>
            </w:tcBorders>
            <w:shd w:val="clear" w:color="auto" w:fill="auto"/>
            <w:noWrap/>
            <w:vAlign w:val="center"/>
            <w:hideMark/>
          </w:tcPr>
          <w:p w14:paraId="4D020301"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1 012,4</w:t>
            </w:r>
          </w:p>
        </w:tc>
        <w:tc>
          <w:tcPr>
            <w:tcW w:w="765" w:type="dxa"/>
            <w:tcBorders>
              <w:top w:val="nil"/>
              <w:left w:val="single" w:sz="4" w:space="0" w:color="auto"/>
              <w:bottom w:val="nil"/>
              <w:right w:val="single" w:sz="4" w:space="0" w:color="auto"/>
            </w:tcBorders>
            <w:shd w:val="clear" w:color="auto" w:fill="auto"/>
            <w:noWrap/>
            <w:vAlign w:val="center"/>
            <w:hideMark/>
          </w:tcPr>
          <w:p w14:paraId="613A249D"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835,9</w:t>
            </w:r>
          </w:p>
        </w:tc>
        <w:tc>
          <w:tcPr>
            <w:tcW w:w="765" w:type="dxa"/>
            <w:tcBorders>
              <w:top w:val="nil"/>
              <w:left w:val="single" w:sz="4" w:space="0" w:color="auto"/>
              <w:bottom w:val="nil"/>
              <w:right w:val="single" w:sz="4" w:space="0" w:color="auto"/>
            </w:tcBorders>
            <w:shd w:val="clear" w:color="auto" w:fill="auto"/>
            <w:noWrap/>
            <w:vAlign w:val="center"/>
            <w:hideMark/>
          </w:tcPr>
          <w:p w14:paraId="0E9B806B"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867,9</w:t>
            </w:r>
          </w:p>
        </w:tc>
        <w:tc>
          <w:tcPr>
            <w:tcW w:w="765" w:type="dxa"/>
            <w:tcBorders>
              <w:top w:val="nil"/>
              <w:left w:val="single" w:sz="4" w:space="0" w:color="auto"/>
              <w:bottom w:val="nil"/>
              <w:right w:val="single" w:sz="4" w:space="0" w:color="auto"/>
            </w:tcBorders>
            <w:shd w:val="clear" w:color="auto" w:fill="auto"/>
            <w:noWrap/>
            <w:vAlign w:val="center"/>
            <w:hideMark/>
          </w:tcPr>
          <w:p w14:paraId="7E9A3321"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906,5</w:t>
            </w:r>
          </w:p>
        </w:tc>
        <w:tc>
          <w:tcPr>
            <w:tcW w:w="765" w:type="dxa"/>
            <w:tcBorders>
              <w:top w:val="nil"/>
              <w:left w:val="single" w:sz="4" w:space="0" w:color="auto"/>
              <w:bottom w:val="nil"/>
              <w:right w:val="single" w:sz="4" w:space="0" w:color="auto"/>
            </w:tcBorders>
            <w:shd w:val="clear" w:color="auto" w:fill="auto"/>
            <w:noWrap/>
            <w:vAlign w:val="center"/>
            <w:hideMark/>
          </w:tcPr>
          <w:p w14:paraId="7CA863E8"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989,0</w:t>
            </w:r>
          </w:p>
        </w:tc>
        <w:tc>
          <w:tcPr>
            <w:tcW w:w="765" w:type="dxa"/>
            <w:tcBorders>
              <w:top w:val="nil"/>
              <w:left w:val="single" w:sz="4" w:space="0" w:color="auto"/>
              <w:bottom w:val="nil"/>
              <w:right w:val="single" w:sz="4" w:space="0" w:color="auto"/>
            </w:tcBorders>
            <w:shd w:val="clear" w:color="auto" w:fill="auto"/>
            <w:noWrap/>
            <w:vAlign w:val="center"/>
            <w:hideMark/>
          </w:tcPr>
          <w:p w14:paraId="630DC346"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984,3</w:t>
            </w:r>
          </w:p>
        </w:tc>
        <w:tc>
          <w:tcPr>
            <w:tcW w:w="765" w:type="dxa"/>
            <w:tcBorders>
              <w:top w:val="nil"/>
              <w:left w:val="single" w:sz="4" w:space="0" w:color="auto"/>
              <w:bottom w:val="nil"/>
              <w:right w:val="single" w:sz="4" w:space="0" w:color="auto"/>
            </w:tcBorders>
            <w:shd w:val="clear" w:color="auto" w:fill="auto"/>
            <w:noWrap/>
            <w:vAlign w:val="center"/>
            <w:hideMark/>
          </w:tcPr>
          <w:p w14:paraId="22094859"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1 044,2</w:t>
            </w:r>
          </w:p>
        </w:tc>
        <w:tc>
          <w:tcPr>
            <w:tcW w:w="765" w:type="dxa"/>
            <w:tcBorders>
              <w:top w:val="nil"/>
              <w:left w:val="single" w:sz="4" w:space="0" w:color="auto"/>
              <w:bottom w:val="nil"/>
              <w:right w:val="single" w:sz="4" w:space="0" w:color="auto"/>
            </w:tcBorders>
            <w:shd w:val="clear" w:color="auto" w:fill="auto"/>
            <w:noWrap/>
            <w:vAlign w:val="center"/>
            <w:hideMark/>
          </w:tcPr>
          <w:p w14:paraId="592931BB"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868,2</w:t>
            </w:r>
          </w:p>
        </w:tc>
        <w:tc>
          <w:tcPr>
            <w:tcW w:w="765" w:type="dxa"/>
            <w:tcBorders>
              <w:top w:val="nil"/>
              <w:left w:val="single" w:sz="4" w:space="0" w:color="auto"/>
              <w:bottom w:val="nil"/>
              <w:right w:val="single" w:sz="4" w:space="0" w:color="auto"/>
            </w:tcBorders>
            <w:shd w:val="clear" w:color="auto" w:fill="auto"/>
            <w:noWrap/>
            <w:vAlign w:val="center"/>
            <w:hideMark/>
          </w:tcPr>
          <w:p w14:paraId="1C65C401"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791,9</w:t>
            </w:r>
          </w:p>
        </w:tc>
        <w:tc>
          <w:tcPr>
            <w:tcW w:w="765" w:type="dxa"/>
            <w:tcBorders>
              <w:top w:val="nil"/>
              <w:left w:val="single" w:sz="4" w:space="0" w:color="auto"/>
              <w:bottom w:val="nil"/>
              <w:right w:val="single" w:sz="4" w:space="0" w:color="auto"/>
            </w:tcBorders>
            <w:shd w:val="clear" w:color="auto" w:fill="D9D9D9"/>
            <w:vAlign w:val="center"/>
          </w:tcPr>
          <w:p w14:paraId="071D1184" w14:textId="77777777" w:rsidR="00B33613" w:rsidRDefault="00B33613" w:rsidP="00B33613">
            <w:pPr>
              <w:spacing w:after="0" w:line="240" w:lineRule="auto"/>
              <w:jc w:val="right"/>
              <w:rPr>
                <w:rFonts w:cs="Arial"/>
                <w:sz w:val="16"/>
                <w:szCs w:val="16"/>
              </w:rPr>
            </w:pPr>
            <w:r>
              <w:rPr>
                <w:rFonts w:cs="Arial"/>
                <w:sz w:val="16"/>
                <w:szCs w:val="16"/>
              </w:rPr>
              <w:t>564,4</w:t>
            </w:r>
          </w:p>
        </w:tc>
        <w:tc>
          <w:tcPr>
            <w:tcW w:w="765" w:type="dxa"/>
            <w:tcBorders>
              <w:top w:val="nil"/>
              <w:left w:val="single" w:sz="4" w:space="0" w:color="auto"/>
              <w:bottom w:val="nil"/>
              <w:right w:val="nil"/>
            </w:tcBorders>
            <w:vAlign w:val="center"/>
          </w:tcPr>
          <w:p w14:paraId="5CE14EDC" w14:textId="63DCC943" w:rsidR="00B33613" w:rsidRDefault="00B33613" w:rsidP="00B33613">
            <w:pPr>
              <w:spacing w:after="0" w:line="240" w:lineRule="auto"/>
              <w:jc w:val="right"/>
              <w:rPr>
                <w:rFonts w:cs="Arial"/>
                <w:sz w:val="16"/>
                <w:szCs w:val="16"/>
              </w:rPr>
            </w:pPr>
            <w:r>
              <w:rPr>
                <w:rFonts w:cs="Arial"/>
                <w:sz w:val="16"/>
                <w:szCs w:val="16"/>
              </w:rPr>
              <w:t>635,6</w:t>
            </w:r>
          </w:p>
        </w:tc>
      </w:tr>
      <w:tr w:rsidR="00B33613" w:rsidRPr="00166BEB" w14:paraId="5E288E1E" w14:textId="77777777" w:rsidTr="00B33613">
        <w:trPr>
          <w:trHeight w:val="300"/>
        </w:trPr>
        <w:tc>
          <w:tcPr>
            <w:tcW w:w="0" w:type="auto"/>
            <w:tcBorders>
              <w:top w:val="nil"/>
              <w:left w:val="nil"/>
              <w:bottom w:val="nil"/>
              <w:right w:val="nil"/>
            </w:tcBorders>
            <w:shd w:val="clear" w:color="auto" w:fill="auto"/>
            <w:noWrap/>
            <w:vAlign w:val="center"/>
            <w:hideMark/>
          </w:tcPr>
          <w:p w14:paraId="4A5ED2BC"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Irsko</w:t>
            </w:r>
          </w:p>
        </w:tc>
        <w:tc>
          <w:tcPr>
            <w:tcW w:w="765" w:type="dxa"/>
            <w:tcBorders>
              <w:top w:val="nil"/>
              <w:left w:val="single" w:sz="4" w:space="0" w:color="000000"/>
              <w:bottom w:val="nil"/>
              <w:right w:val="single" w:sz="4" w:space="0" w:color="auto"/>
            </w:tcBorders>
            <w:shd w:val="clear" w:color="auto" w:fill="auto"/>
            <w:noWrap/>
            <w:vAlign w:val="center"/>
            <w:hideMark/>
          </w:tcPr>
          <w:p w14:paraId="32C760CE"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955,0</w:t>
            </w:r>
          </w:p>
        </w:tc>
        <w:tc>
          <w:tcPr>
            <w:tcW w:w="765" w:type="dxa"/>
            <w:tcBorders>
              <w:top w:val="nil"/>
              <w:left w:val="single" w:sz="4" w:space="0" w:color="auto"/>
              <w:bottom w:val="nil"/>
              <w:right w:val="single" w:sz="4" w:space="0" w:color="auto"/>
            </w:tcBorders>
            <w:shd w:val="clear" w:color="auto" w:fill="auto"/>
            <w:noWrap/>
            <w:vAlign w:val="center"/>
            <w:hideMark/>
          </w:tcPr>
          <w:p w14:paraId="25D99CA6"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809,6</w:t>
            </w:r>
          </w:p>
        </w:tc>
        <w:tc>
          <w:tcPr>
            <w:tcW w:w="765" w:type="dxa"/>
            <w:tcBorders>
              <w:top w:val="nil"/>
              <w:left w:val="single" w:sz="4" w:space="0" w:color="auto"/>
              <w:bottom w:val="nil"/>
              <w:right w:val="single" w:sz="4" w:space="0" w:color="auto"/>
            </w:tcBorders>
            <w:shd w:val="clear" w:color="auto" w:fill="auto"/>
            <w:noWrap/>
            <w:vAlign w:val="center"/>
            <w:hideMark/>
          </w:tcPr>
          <w:p w14:paraId="285B4FAB"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1 036,1</w:t>
            </w:r>
          </w:p>
        </w:tc>
        <w:tc>
          <w:tcPr>
            <w:tcW w:w="765" w:type="dxa"/>
            <w:tcBorders>
              <w:top w:val="nil"/>
              <w:left w:val="single" w:sz="4" w:space="0" w:color="auto"/>
              <w:bottom w:val="nil"/>
              <w:right w:val="single" w:sz="4" w:space="0" w:color="auto"/>
            </w:tcBorders>
            <w:shd w:val="clear" w:color="auto" w:fill="auto"/>
            <w:noWrap/>
            <w:vAlign w:val="center"/>
            <w:hideMark/>
          </w:tcPr>
          <w:p w14:paraId="520C11E9"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1 072,0</w:t>
            </w:r>
          </w:p>
        </w:tc>
        <w:tc>
          <w:tcPr>
            <w:tcW w:w="765" w:type="dxa"/>
            <w:tcBorders>
              <w:top w:val="nil"/>
              <w:left w:val="single" w:sz="4" w:space="0" w:color="auto"/>
              <w:bottom w:val="nil"/>
              <w:right w:val="single" w:sz="4" w:space="0" w:color="auto"/>
            </w:tcBorders>
            <w:shd w:val="clear" w:color="auto" w:fill="auto"/>
            <w:noWrap/>
            <w:vAlign w:val="center"/>
            <w:hideMark/>
          </w:tcPr>
          <w:p w14:paraId="3417F9BA"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924,0</w:t>
            </w:r>
          </w:p>
        </w:tc>
        <w:tc>
          <w:tcPr>
            <w:tcW w:w="765" w:type="dxa"/>
            <w:tcBorders>
              <w:top w:val="nil"/>
              <w:left w:val="single" w:sz="4" w:space="0" w:color="auto"/>
              <w:bottom w:val="nil"/>
              <w:right w:val="single" w:sz="4" w:space="0" w:color="auto"/>
            </w:tcBorders>
            <w:shd w:val="clear" w:color="auto" w:fill="auto"/>
            <w:noWrap/>
            <w:vAlign w:val="center"/>
            <w:hideMark/>
          </w:tcPr>
          <w:p w14:paraId="16D4257F"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768,9</w:t>
            </w:r>
          </w:p>
        </w:tc>
        <w:tc>
          <w:tcPr>
            <w:tcW w:w="765" w:type="dxa"/>
            <w:tcBorders>
              <w:top w:val="nil"/>
              <w:left w:val="single" w:sz="4" w:space="0" w:color="auto"/>
              <w:bottom w:val="nil"/>
              <w:right w:val="single" w:sz="4" w:space="0" w:color="auto"/>
            </w:tcBorders>
            <w:shd w:val="clear" w:color="auto" w:fill="auto"/>
            <w:noWrap/>
            <w:vAlign w:val="center"/>
            <w:hideMark/>
          </w:tcPr>
          <w:p w14:paraId="63AF3334"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1 115,9</w:t>
            </w:r>
          </w:p>
        </w:tc>
        <w:tc>
          <w:tcPr>
            <w:tcW w:w="765" w:type="dxa"/>
            <w:tcBorders>
              <w:top w:val="nil"/>
              <w:left w:val="single" w:sz="4" w:space="0" w:color="auto"/>
              <w:bottom w:val="nil"/>
              <w:right w:val="single" w:sz="4" w:space="0" w:color="auto"/>
            </w:tcBorders>
            <w:shd w:val="clear" w:color="auto" w:fill="auto"/>
            <w:noWrap/>
            <w:vAlign w:val="center"/>
            <w:hideMark/>
          </w:tcPr>
          <w:p w14:paraId="534C4953"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789,5</w:t>
            </w:r>
          </w:p>
        </w:tc>
        <w:tc>
          <w:tcPr>
            <w:tcW w:w="765" w:type="dxa"/>
            <w:tcBorders>
              <w:top w:val="nil"/>
              <w:left w:val="single" w:sz="4" w:space="0" w:color="auto"/>
              <w:bottom w:val="nil"/>
              <w:right w:val="single" w:sz="4" w:space="0" w:color="auto"/>
            </w:tcBorders>
            <w:shd w:val="clear" w:color="auto" w:fill="auto"/>
            <w:noWrap/>
            <w:vAlign w:val="center"/>
            <w:hideMark/>
          </w:tcPr>
          <w:p w14:paraId="30A5E386"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559,5</w:t>
            </w:r>
          </w:p>
        </w:tc>
        <w:tc>
          <w:tcPr>
            <w:tcW w:w="765" w:type="dxa"/>
            <w:tcBorders>
              <w:top w:val="nil"/>
              <w:left w:val="single" w:sz="4" w:space="0" w:color="auto"/>
              <w:bottom w:val="nil"/>
              <w:right w:val="single" w:sz="4" w:space="0" w:color="auto"/>
            </w:tcBorders>
            <w:shd w:val="clear" w:color="auto" w:fill="D9D9D9"/>
            <w:vAlign w:val="center"/>
          </w:tcPr>
          <w:p w14:paraId="67165482" w14:textId="77777777" w:rsidR="00B33613" w:rsidRDefault="00B33613" w:rsidP="00B33613">
            <w:pPr>
              <w:spacing w:after="0" w:line="240" w:lineRule="auto"/>
              <w:jc w:val="right"/>
              <w:rPr>
                <w:rFonts w:cs="Arial"/>
                <w:sz w:val="16"/>
                <w:szCs w:val="16"/>
              </w:rPr>
            </w:pPr>
            <w:r>
              <w:rPr>
                <w:rFonts w:cs="Arial"/>
                <w:sz w:val="16"/>
                <w:szCs w:val="16"/>
              </w:rPr>
              <w:t>534,2</w:t>
            </w:r>
          </w:p>
        </w:tc>
        <w:tc>
          <w:tcPr>
            <w:tcW w:w="765" w:type="dxa"/>
            <w:tcBorders>
              <w:top w:val="nil"/>
              <w:left w:val="single" w:sz="4" w:space="0" w:color="auto"/>
              <w:bottom w:val="nil"/>
              <w:right w:val="nil"/>
            </w:tcBorders>
            <w:vAlign w:val="center"/>
          </w:tcPr>
          <w:p w14:paraId="40C3ADCF" w14:textId="2821F9D1" w:rsidR="00B33613" w:rsidRDefault="00B33613" w:rsidP="00B33613">
            <w:pPr>
              <w:spacing w:after="0" w:line="240" w:lineRule="auto"/>
              <w:jc w:val="right"/>
              <w:rPr>
                <w:rFonts w:cs="Arial"/>
                <w:sz w:val="16"/>
                <w:szCs w:val="16"/>
              </w:rPr>
            </w:pPr>
            <w:r>
              <w:rPr>
                <w:rFonts w:cs="Arial"/>
                <w:sz w:val="16"/>
                <w:szCs w:val="16"/>
              </w:rPr>
              <w:t>667,7</w:t>
            </w:r>
          </w:p>
        </w:tc>
      </w:tr>
      <w:tr w:rsidR="00B33613" w:rsidRPr="00166BEB" w14:paraId="56C0FEEB" w14:textId="77777777" w:rsidTr="00B33613">
        <w:trPr>
          <w:trHeight w:val="300"/>
        </w:trPr>
        <w:tc>
          <w:tcPr>
            <w:tcW w:w="0" w:type="auto"/>
            <w:tcBorders>
              <w:top w:val="nil"/>
              <w:left w:val="nil"/>
              <w:bottom w:val="nil"/>
              <w:right w:val="nil"/>
            </w:tcBorders>
            <w:shd w:val="clear" w:color="auto" w:fill="auto"/>
            <w:noWrap/>
            <w:vAlign w:val="center"/>
            <w:hideMark/>
          </w:tcPr>
          <w:p w14:paraId="54E1012B"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Itálie</w:t>
            </w:r>
          </w:p>
        </w:tc>
        <w:tc>
          <w:tcPr>
            <w:tcW w:w="765" w:type="dxa"/>
            <w:tcBorders>
              <w:top w:val="nil"/>
              <w:left w:val="single" w:sz="4" w:space="0" w:color="000000"/>
              <w:bottom w:val="nil"/>
              <w:right w:val="single" w:sz="4" w:space="0" w:color="auto"/>
            </w:tcBorders>
            <w:shd w:val="clear" w:color="auto" w:fill="auto"/>
            <w:noWrap/>
            <w:vAlign w:val="center"/>
            <w:hideMark/>
          </w:tcPr>
          <w:p w14:paraId="56F6BA84"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2 004,7</w:t>
            </w:r>
          </w:p>
        </w:tc>
        <w:tc>
          <w:tcPr>
            <w:tcW w:w="765" w:type="dxa"/>
            <w:tcBorders>
              <w:top w:val="nil"/>
              <w:left w:val="single" w:sz="4" w:space="0" w:color="auto"/>
              <w:bottom w:val="nil"/>
              <w:right w:val="single" w:sz="4" w:space="0" w:color="auto"/>
            </w:tcBorders>
            <w:shd w:val="clear" w:color="auto" w:fill="auto"/>
            <w:noWrap/>
            <w:vAlign w:val="center"/>
            <w:hideMark/>
          </w:tcPr>
          <w:p w14:paraId="525E495F"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1 682,6</w:t>
            </w:r>
          </w:p>
        </w:tc>
        <w:tc>
          <w:tcPr>
            <w:tcW w:w="765" w:type="dxa"/>
            <w:tcBorders>
              <w:top w:val="nil"/>
              <w:left w:val="single" w:sz="4" w:space="0" w:color="auto"/>
              <w:bottom w:val="nil"/>
              <w:right w:val="single" w:sz="4" w:space="0" w:color="auto"/>
            </w:tcBorders>
            <w:shd w:val="clear" w:color="auto" w:fill="auto"/>
            <w:noWrap/>
            <w:vAlign w:val="center"/>
            <w:hideMark/>
          </w:tcPr>
          <w:p w14:paraId="06319F2D"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1 711,8</w:t>
            </w:r>
          </w:p>
        </w:tc>
        <w:tc>
          <w:tcPr>
            <w:tcW w:w="765" w:type="dxa"/>
            <w:tcBorders>
              <w:top w:val="nil"/>
              <w:left w:val="single" w:sz="4" w:space="0" w:color="auto"/>
              <w:bottom w:val="nil"/>
              <w:right w:val="single" w:sz="4" w:space="0" w:color="auto"/>
            </w:tcBorders>
            <w:shd w:val="clear" w:color="auto" w:fill="auto"/>
            <w:noWrap/>
            <w:vAlign w:val="center"/>
            <w:hideMark/>
          </w:tcPr>
          <w:p w14:paraId="38B436C6"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1 619,2</w:t>
            </w:r>
          </w:p>
        </w:tc>
        <w:tc>
          <w:tcPr>
            <w:tcW w:w="765" w:type="dxa"/>
            <w:tcBorders>
              <w:top w:val="nil"/>
              <w:left w:val="single" w:sz="4" w:space="0" w:color="auto"/>
              <w:bottom w:val="nil"/>
              <w:right w:val="single" w:sz="4" w:space="0" w:color="auto"/>
            </w:tcBorders>
            <w:shd w:val="clear" w:color="auto" w:fill="auto"/>
            <w:noWrap/>
            <w:vAlign w:val="center"/>
            <w:hideMark/>
          </w:tcPr>
          <w:p w14:paraId="74A610F5"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1 515,7</w:t>
            </w:r>
          </w:p>
        </w:tc>
        <w:tc>
          <w:tcPr>
            <w:tcW w:w="765" w:type="dxa"/>
            <w:tcBorders>
              <w:top w:val="nil"/>
              <w:left w:val="single" w:sz="4" w:space="0" w:color="auto"/>
              <w:bottom w:val="nil"/>
              <w:right w:val="single" w:sz="4" w:space="0" w:color="auto"/>
            </w:tcBorders>
            <w:shd w:val="clear" w:color="auto" w:fill="auto"/>
            <w:noWrap/>
            <w:vAlign w:val="center"/>
            <w:hideMark/>
          </w:tcPr>
          <w:p w14:paraId="21E58EB4"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1 477,1</w:t>
            </w:r>
          </w:p>
        </w:tc>
        <w:tc>
          <w:tcPr>
            <w:tcW w:w="765" w:type="dxa"/>
            <w:tcBorders>
              <w:top w:val="nil"/>
              <w:left w:val="single" w:sz="4" w:space="0" w:color="auto"/>
              <w:bottom w:val="nil"/>
              <w:right w:val="single" w:sz="4" w:space="0" w:color="auto"/>
            </w:tcBorders>
            <w:shd w:val="clear" w:color="auto" w:fill="auto"/>
            <w:noWrap/>
            <w:vAlign w:val="center"/>
            <w:hideMark/>
          </w:tcPr>
          <w:p w14:paraId="7EA04111"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1 456,0</w:t>
            </w:r>
          </w:p>
        </w:tc>
        <w:tc>
          <w:tcPr>
            <w:tcW w:w="765" w:type="dxa"/>
            <w:tcBorders>
              <w:top w:val="nil"/>
              <w:left w:val="single" w:sz="4" w:space="0" w:color="auto"/>
              <w:bottom w:val="nil"/>
              <w:right w:val="single" w:sz="4" w:space="0" w:color="auto"/>
            </w:tcBorders>
            <w:shd w:val="clear" w:color="auto" w:fill="auto"/>
            <w:noWrap/>
            <w:vAlign w:val="center"/>
            <w:hideMark/>
          </w:tcPr>
          <w:p w14:paraId="64ED136C"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1 382,9</w:t>
            </w:r>
          </w:p>
        </w:tc>
        <w:tc>
          <w:tcPr>
            <w:tcW w:w="765" w:type="dxa"/>
            <w:tcBorders>
              <w:top w:val="nil"/>
              <w:left w:val="single" w:sz="4" w:space="0" w:color="auto"/>
              <w:bottom w:val="nil"/>
              <w:right w:val="single" w:sz="4" w:space="0" w:color="auto"/>
            </w:tcBorders>
            <w:shd w:val="clear" w:color="auto" w:fill="auto"/>
            <w:noWrap/>
            <w:vAlign w:val="center"/>
            <w:hideMark/>
          </w:tcPr>
          <w:p w14:paraId="760F05F3"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1 354,4</w:t>
            </w:r>
          </w:p>
        </w:tc>
        <w:tc>
          <w:tcPr>
            <w:tcW w:w="765" w:type="dxa"/>
            <w:tcBorders>
              <w:top w:val="nil"/>
              <w:left w:val="single" w:sz="4" w:space="0" w:color="auto"/>
              <w:bottom w:val="nil"/>
              <w:right w:val="single" w:sz="4" w:space="0" w:color="auto"/>
            </w:tcBorders>
            <w:shd w:val="clear" w:color="auto" w:fill="D9D9D9"/>
            <w:vAlign w:val="center"/>
          </w:tcPr>
          <w:p w14:paraId="396434D0" w14:textId="77777777" w:rsidR="00B33613" w:rsidRDefault="00B33613" w:rsidP="00B33613">
            <w:pPr>
              <w:spacing w:after="0" w:line="240" w:lineRule="auto"/>
              <w:jc w:val="right"/>
              <w:rPr>
                <w:rFonts w:cs="Arial"/>
                <w:sz w:val="16"/>
                <w:szCs w:val="16"/>
              </w:rPr>
            </w:pPr>
            <w:r>
              <w:rPr>
                <w:rFonts w:cs="Arial"/>
                <w:sz w:val="16"/>
                <w:szCs w:val="16"/>
              </w:rPr>
              <w:t>1 036,8</w:t>
            </w:r>
          </w:p>
        </w:tc>
        <w:tc>
          <w:tcPr>
            <w:tcW w:w="765" w:type="dxa"/>
            <w:tcBorders>
              <w:top w:val="nil"/>
              <w:left w:val="single" w:sz="4" w:space="0" w:color="auto"/>
              <w:bottom w:val="nil"/>
              <w:right w:val="nil"/>
            </w:tcBorders>
            <w:vAlign w:val="center"/>
          </w:tcPr>
          <w:p w14:paraId="608288A8" w14:textId="3A797EAC" w:rsidR="00B33613" w:rsidRDefault="00B33613" w:rsidP="00B33613">
            <w:pPr>
              <w:spacing w:after="0" w:line="240" w:lineRule="auto"/>
              <w:jc w:val="right"/>
              <w:rPr>
                <w:rFonts w:cs="Arial"/>
                <w:sz w:val="16"/>
                <w:szCs w:val="16"/>
              </w:rPr>
            </w:pPr>
            <w:r>
              <w:rPr>
                <w:rFonts w:cs="Arial"/>
                <w:sz w:val="16"/>
                <w:szCs w:val="16"/>
              </w:rPr>
              <w:t>1 244,6</w:t>
            </w:r>
          </w:p>
        </w:tc>
      </w:tr>
      <w:tr w:rsidR="00B33613" w:rsidRPr="00166BEB" w14:paraId="3D8BA6EC" w14:textId="77777777" w:rsidTr="00B33613">
        <w:trPr>
          <w:trHeight w:val="300"/>
        </w:trPr>
        <w:tc>
          <w:tcPr>
            <w:tcW w:w="0" w:type="auto"/>
            <w:tcBorders>
              <w:top w:val="nil"/>
              <w:left w:val="nil"/>
              <w:bottom w:val="nil"/>
              <w:right w:val="nil"/>
            </w:tcBorders>
            <w:shd w:val="clear" w:color="auto" w:fill="auto"/>
            <w:noWrap/>
            <w:vAlign w:val="center"/>
            <w:hideMark/>
          </w:tcPr>
          <w:p w14:paraId="45006EBD"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Kypr</w:t>
            </w:r>
          </w:p>
        </w:tc>
        <w:tc>
          <w:tcPr>
            <w:tcW w:w="765" w:type="dxa"/>
            <w:tcBorders>
              <w:top w:val="nil"/>
              <w:left w:val="single" w:sz="4" w:space="0" w:color="000000"/>
              <w:bottom w:val="nil"/>
              <w:right w:val="single" w:sz="4" w:space="0" w:color="auto"/>
            </w:tcBorders>
            <w:shd w:val="clear" w:color="auto" w:fill="auto"/>
            <w:noWrap/>
            <w:vAlign w:val="center"/>
            <w:hideMark/>
          </w:tcPr>
          <w:p w14:paraId="3CA51BAE"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858,6</w:t>
            </w:r>
          </w:p>
        </w:tc>
        <w:tc>
          <w:tcPr>
            <w:tcW w:w="765" w:type="dxa"/>
            <w:tcBorders>
              <w:top w:val="nil"/>
              <w:left w:val="single" w:sz="4" w:space="0" w:color="auto"/>
              <w:bottom w:val="nil"/>
              <w:right w:val="single" w:sz="4" w:space="0" w:color="auto"/>
            </w:tcBorders>
            <w:shd w:val="clear" w:color="auto" w:fill="auto"/>
            <w:noWrap/>
            <w:vAlign w:val="center"/>
            <w:hideMark/>
          </w:tcPr>
          <w:p w14:paraId="2523C5F1"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754,8</w:t>
            </w:r>
          </w:p>
        </w:tc>
        <w:tc>
          <w:tcPr>
            <w:tcW w:w="765" w:type="dxa"/>
            <w:tcBorders>
              <w:top w:val="nil"/>
              <w:left w:val="single" w:sz="4" w:space="0" w:color="auto"/>
              <w:bottom w:val="nil"/>
              <w:right w:val="single" w:sz="4" w:space="0" w:color="auto"/>
            </w:tcBorders>
            <w:shd w:val="clear" w:color="auto" w:fill="auto"/>
            <w:noWrap/>
            <w:vAlign w:val="center"/>
            <w:hideMark/>
          </w:tcPr>
          <w:p w14:paraId="686D7F52"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571,5</w:t>
            </w:r>
          </w:p>
        </w:tc>
        <w:tc>
          <w:tcPr>
            <w:tcW w:w="765" w:type="dxa"/>
            <w:tcBorders>
              <w:top w:val="nil"/>
              <w:left w:val="single" w:sz="4" w:space="0" w:color="auto"/>
              <w:bottom w:val="nil"/>
              <w:right w:val="single" w:sz="4" w:space="0" w:color="auto"/>
            </w:tcBorders>
            <w:shd w:val="clear" w:color="auto" w:fill="auto"/>
            <w:noWrap/>
            <w:vAlign w:val="center"/>
            <w:hideMark/>
          </w:tcPr>
          <w:p w14:paraId="4BBA65A6"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870,7</w:t>
            </w:r>
          </w:p>
        </w:tc>
        <w:tc>
          <w:tcPr>
            <w:tcW w:w="765" w:type="dxa"/>
            <w:tcBorders>
              <w:top w:val="nil"/>
              <w:left w:val="single" w:sz="4" w:space="0" w:color="auto"/>
              <w:bottom w:val="nil"/>
              <w:right w:val="single" w:sz="4" w:space="0" w:color="auto"/>
            </w:tcBorders>
            <w:shd w:val="clear" w:color="auto" w:fill="auto"/>
            <w:noWrap/>
            <w:vAlign w:val="center"/>
            <w:hideMark/>
          </w:tcPr>
          <w:p w14:paraId="48DA6A9E"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697,3</w:t>
            </w:r>
          </w:p>
        </w:tc>
        <w:tc>
          <w:tcPr>
            <w:tcW w:w="765" w:type="dxa"/>
            <w:tcBorders>
              <w:top w:val="nil"/>
              <w:left w:val="single" w:sz="4" w:space="0" w:color="auto"/>
              <w:bottom w:val="nil"/>
              <w:right w:val="single" w:sz="4" w:space="0" w:color="auto"/>
            </w:tcBorders>
            <w:shd w:val="clear" w:color="auto" w:fill="auto"/>
            <w:noWrap/>
            <w:vAlign w:val="center"/>
            <w:hideMark/>
          </w:tcPr>
          <w:p w14:paraId="7E391D04"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716,7</w:t>
            </w:r>
          </w:p>
        </w:tc>
        <w:tc>
          <w:tcPr>
            <w:tcW w:w="765" w:type="dxa"/>
            <w:tcBorders>
              <w:top w:val="nil"/>
              <w:left w:val="single" w:sz="4" w:space="0" w:color="auto"/>
              <w:bottom w:val="nil"/>
              <w:right w:val="single" w:sz="4" w:space="0" w:color="auto"/>
            </w:tcBorders>
            <w:shd w:val="clear" w:color="auto" w:fill="auto"/>
            <w:noWrap/>
            <w:vAlign w:val="center"/>
            <w:hideMark/>
          </w:tcPr>
          <w:p w14:paraId="701B18B0"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751,4</w:t>
            </w:r>
          </w:p>
        </w:tc>
        <w:tc>
          <w:tcPr>
            <w:tcW w:w="765" w:type="dxa"/>
            <w:tcBorders>
              <w:top w:val="nil"/>
              <w:left w:val="single" w:sz="4" w:space="0" w:color="auto"/>
              <w:bottom w:val="nil"/>
              <w:right w:val="single" w:sz="4" w:space="0" w:color="auto"/>
            </w:tcBorders>
            <w:shd w:val="clear" w:color="auto" w:fill="auto"/>
            <w:noWrap/>
            <w:vAlign w:val="center"/>
            <w:hideMark/>
          </w:tcPr>
          <w:p w14:paraId="5A8F0A0D"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766,9</w:t>
            </w:r>
          </w:p>
        </w:tc>
        <w:tc>
          <w:tcPr>
            <w:tcW w:w="765" w:type="dxa"/>
            <w:tcBorders>
              <w:top w:val="nil"/>
              <w:left w:val="single" w:sz="4" w:space="0" w:color="auto"/>
              <w:bottom w:val="nil"/>
              <w:right w:val="single" w:sz="4" w:space="0" w:color="auto"/>
            </w:tcBorders>
            <w:shd w:val="clear" w:color="auto" w:fill="auto"/>
            <w:noWrap/>
            <w:vAlign w:val="center"/>
            <w:hideMark/>
          </w:tcPr>
          <w:p w14:paraId="3C818724"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818,9</w:t>
            </w:r>
          </w:p>
        </w:tc>
        <w:tc>
          <w:tcPr>
            <w:tcW w:w="765" w:type="dxa"/>
            <w:tcBorders>
              <w:top w:val="nil"/>
              <w:left w:val="single" w:sz="4" w:space="0" w:color="auto"/>
              <w:bottom w:val="nil"/>
              <w:right w:val="single" w:sz="4" w:space="0" w:color="auto"/>
            </w:tcBorders>
            <w:shd w:val="clear" w:color="auto" w:fill="D9D9D9"/>
            <w:vAlign w:val="center"/>
          </w:tcPr>
          <w:p w14:paraId="502A3191" w14:textId="77777777" w:rsidR="00B33613" w:rsidRDefault="00B33613" w:rsidP="00B33613">
            <w:pPr>
              <w:spacing w:after="0" w:line="240" w:lineRule="auto"/>
              <w:jc w:val="right"/>
              <w:rPr>
                <w:rFonts w:cs="Arial"/>
                <w:sz w:val="16"/>
                <w:szCs w:val="16"/>
              </w:rPr>
            </w:pPr>
            <w:r>
              <w:rPr>
                <w:rFonts w:cs="Arial"/>
                <w:sz w:val="16"/>
                <w:szCs w:val="16"/>
              </w:rPr>
              <w:t>584,9</w:t>
            </w:r>
          </w:p>
        </w:tc>
        <w:tc>
          <w:tcPr>
            <w:tcW w:w="765" w:type="dxa"/>
            <w:tcBorders>
              <w:top w:val="nil"/>
              <w:left w:val="single" w:sz="4" w:space="0" w:color="auto"/>
              <w:bottom w:val="nil"/>
              <w:right w:val="nil"/>
            </w:tcBorders>
            <w:vAlign w:val="center"/>
          </w:tcPr>
          <w:p w14:paraId="3C5F34CF" w14:textId="61FD6BB7" w:rsidR="00B33613" w:rsidRDefault="00B33613" w:rsidP="00B33613">
            <w:pPr>
              <w:spacing w:after="0" w:line="240" w:lineRule="auto"/>
              <w:jc w:val="right"/>
              <w:rPr>
                <w:rFonts w:cs="Arial"/>
                <w:sz w:val="16"/>
                <w:szCs w:val="16"/>
              </w:rPr>
            </w:pPr>
            <w:r>
              <w:rPr>
                <w:rFonts w:cs="Arial"/>
                <w:sz w:val="16"/>
                <w:szCs w:val="16"/>
              </w:rPr>
              <w:t>529,8</w:t>
            </w:r>
          </w:p>
        </w:tc>
      </w:tr>
      <w:tr w:rsidR="00B33613" w:rsidRPr="00166BEB" w14:paraId="6BA38731" w14:textId="77777777" w:rsidTr="00B33613">
        <w:trPr>
          <w:trHeight w:val="300"/>
        </w:trPr>
        <w:tc>
          <w:tcPr>
            <w:tcW w:w="0" w:type="auto"/>
            <w:tcBorders>
              <w:top w:val="nil"/>
              <w:left w:val="nil"/>
              <w:bottom w:val="nil"/>
              <w:right w:val="nil"/>
            </w:tcBorders>
            <w:shd w:val="clear" w:color="auto" w:fill="auto"/>
            <w:noWrap/>
            <w:vAlign w:val="center"/>
            <w:hideMark/>
          </w:tcPr>
          <w:p w14:paraId="318F734B"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Litva</w:t>
            </w:r>
          </w:p>
        </w:tc>
        <w:tc>
          <w:tcPr>
            <w:tcW w:w="765" w:type="dxa"/>
            <w:tcBorders>
              <w:top w:val="nil"/>
              <w:left w:val="single" w:sz="4" w:space="0" w:color="000000"/>
              <w:bottom w:val="nil"/>
              <w:right w:val="single" w:sz="4" w:space="0" w:color="auto"/>
            </w:tcBorders>
            <w:shd w:val="clear" w:color="auto" w:fill="auto"/>
            <w:noWrap/>
            <w:vAlign w:val="center"/>
            <w:hideMark/>
          </w:tcPr>
          <w:p w14:paraId="6746C9A1"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235,3</w:t>
            </w:r>
          </w:p>
        </w:tc>
        <w:tc>
          <w:tcPr>
            <w:tcW w:w="765" w:type="dxa"/>
            <w:tcBorders>
              <w:top w:val="nil"/>
              <w:left w:val="single" w:sz="4" w:space="0" w:color="auto"/>
              <w:bottom w:val="nil"/>
              <w:right w:val="single" w:sz="4" w:space="0" w:color="auto"/>
            </w:tcBorders>
            <w:shd w:val="clear" w:color="auto" w:fill="auto"/>
            <w:noWrap/>
            <w:vAlign w:val="center"/>
            <w:hideMark/>
          </w:tcPr>
          <w:p w14:paraId="21B206F9"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280,2</w:t>
            </w:r>
          </w:p>
        </w:tc>
        <w:tc>
          <w:tcPr>
            <w:tcW w:w="765" w:type="dxa"/>
            <w:tcBorders>
              <w:top w:val="nil"/>
              <w:left w:val="single" w:sz="4" w:space="0" w:color="auto"/>
              <w:bottom w:val="nil"/>
              <w:right w:val="single" w:sz="4" w:space="0" w:color="auto"/>
            </w:tcBorders>
            <w:shd w:val="clear" w:color="auto" w:fill="auto"/>
            <w:noWrap/>
            <w:vAlign w:val="center"/>
            <w:hideMark/>
          </w:tcPr>
          <w:p w14:paraId="45C23DFF"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259,7</w:t>
            </w:r>
          </w:p>
        </w:tc>
        <w:tc>
          <w:tcPr>
            <w:tcW w:w="765" w:type="dxa"/>
            <w:tcBorders>
              <w:top w:val="nil"/>
              <w:left w:val="single" w:sz="4" w:space="0" w:color="auto"/>
              <w:bottom w:val="nil"/>
              <w:right w:val="single" w:sz="4" w:space="0" w:color="auto"/>
            </w:tcBorders>
            <w:shd w:val="clear" w:color="auto" w:fill="auto"/>
            <w:noWrap/>
            <w:vAlign w:val="center"/>
            <w:hideMark/>
          </w:tcPr>
          <w:p w14:paraId="47D13AAD"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296,7</w:t>
            </w:r>
          </w:p>
        </w:tc>
        <w:tc>
          <w:tcPr>
            <w:tcW w:w="765" w:type="dxa"/>
            <w:tcBorders>
              <w:top w:val="nil"/>
              <w:left w:val="single" w:sz="4" w:space="0" w:color="auto"/>
              <w:bottom w:val="nil"/>
              <w:right w:val="single" w:sz="4" w:space="0" w:color="auto"/>
            </w:tcBorders>
            <w:shd w:val="clear" w:color="auto" w:fill="auto"/>
            <w:noWrap/>
            <w:vAlign w:val="center"/>
            <w:hideMark/>
          </w:tcPr>
          <w:p w14:paraId="40C4CCEC"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313,9</w:t>
            </w:r>
          </w:p>
        </w:tc>
        <w:tc>
          <w:tcPr>
            <w:tcW w:w="765" w:type="dxa"/>
            <w:tcBorders>
              <w:top w:val="nil"/>
              <w:left w:val="single" w:sz="4" w:space="0" w:color="auto"/>
              <w:bottom w:val="nil"/>
              <w:right w:val="single" w:sz="4" w:space="0" w:color="auto"/>
            </w:tcBorders>
            <w:shd w:val="clear" w:color="auto" w:fill="auto"/>
            <w:noWrap/>
            <w:vAlign w:val="center"/>
            <w:hideMark/>
          </w:tcPr>
          <w:p w14:paraId="58F65DEA"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332,7</w:t>
            </w:r>
          </w:p>
        </w:tc>
        <w:tc>
          <w:tcPr>
            <w:tcW w:w="765" w:type="dxa"/>
            <w:tcBorders>
              <w:top w:val="nil"/>
              <w:left w:val="single" w:sz="4" w:space="0" w:color="auto"/>
              <w:bottom w:val="nil"/>
              <w:right w:val="single" w:sz="4" w:space="0" w:color="auto"/>
            </w:tcBorders>
            <w:shd w:val="clear" w:color="auto" w:fill="auto"/>
            <w:noWrap/>
            <w:vAlign w:val="center"/>
            <w:hideMark/>
          </w:tcPr>
          <w:p w14:paraId="7E7DAE39"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377,0</w:t>
            </w:r>
          </w:p>
        </w:tc>
        <w:tc>
          <w:tcPr>
            <w:tcW w:w="765" w:type="dxa"/>
            <w:tcBorders>
              <w:top w:val="nil"/>
              <w:left w:val="single" w:sz="4" w:space="0" w:color="auto"/>
              <w:bottom w:val="nil"/>
              <w:right w:val="single" w:sz="4" w:space="0" w:color="auto"/>
            </w:tcBorders>
            <w:shd w:val="clear" w:color="auto" w:fill="auto"/>
            <w:noWrap/>
            <w:vAlign w:val="center"/>
            <w:hideMark/>
          </w:tcPr>
          <w:p w14:paraId="3691C734"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353,8</w:t>
            </w:r>
          </w:p>
        </w:tc>
        <w:tc>
          <w:tcPr>
            <w:tcW w:w="765" w:type="dxa"/>
            <w:tcBorders>
              <w:top w:val="nil"/>
              <w:left w:val="single" w:sz="4" w:space="0" w:color="auto"/>
              <w:bottom w:val="nil"/>
              <w:right w:val="single" w:sz="4" w:space="0" w:color="auto"/>
            </w:tcBorders>
            <w:shd w:val="clear" w:color="auto" w:fill="auto"/>
            <w:noWrap/>
            <w:vAlign w:val="center"/>
            <w:hideMark/>
          </w:tcPr>
          <w:p w14:paraId="1193F188"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437,7</w:t>
            </w:r>
          </w:p>
        </w:tc>
        <w:tc>
          <w:tcPr>
            <w:tcW w:w="765" w:type="dxa"/>
            <w:tcBorders>
              <w:top w:val="nil"/>
              <w:left w:val="single" w:sz="4" w:space="0" w:color="auto"/>
              <w:bottom w:val="nil"/>
              <w:right w:val="single" w:sz="4" w:space="0" w:color="auto"/>
            </w:tcBorders>
            <w:shd w:val="clear" w:color="auto" w:fill="D9D9D9"/>
            <w:vAlign w:val="center"/>
          </w:tcPr>
          <w:p w14:paraId="73A5A780" w14:textId="77777777" w:rsidR="00B33613" w:rsidRDefault="00B33613" w:rsidP="00B33613">
            <w:pPr>
              <w:spacing w:after="0" w:line="240" w:lineRule="auto"/>
              <w:jc w:val="right"/>
              <w:rPr>
                <w:rFonts w:cs="Arial"/>
                <w:sz w:val="16"/>
                <w:szCs w:val="16"/>
              </w:rPr>
            </w:pPr>
            <w:r>
              <w:rPr>
                <w:rFonts w:cs="Arial"/>
                <w:sz w:val="16"/>
                <w:szCs w:val="16"/>
              </w:rPr>
              <w:t>369,0</w:t>
            </w:r>
          </w:p>
        </w:tc>
        <w:tc>
          <w:tcPr>
            <w:tcW w:w="765" w:type="dxa"/>
            <w:tcBorders>
              <w:top w:val="nil"/>
              <w:left w:val="single" w:sz="4" w:space="0" w:color="auto"/>
              <w:bottom w:val="nil"/>
              <w:right w:val="nil"/>
            </w:tcBorders>
            <w:vAlign w:val="center"/>
          </w:tcPr>
          <w:p w14:paraId="7A3BFCCB" w14:textId="521A4683" w:rsidR="00B33613" w:rsidRDefault="00B33613" w:rsidP="00B33613">
            <w:pPr>
              <w:spacing w:after="0" w:line="240" w:lineRule="auto"/>
              <w:jc w:val="right"/>
              <w:rPr>
                <w:rFonts w:cs="Arial"/>
                <w:sz w:val="16"/>
                <w:szCs w:val="16"/>
              </w:rPr>
            </w:pPr>
            <w:r>
              <w:rPr>
                <w:rFonts w:cs="Arial"/>
                <w:sz w:val="16"/>
                <w:szCs w:val="16"/>
              </w:rPr>
              <w:t>407,6</w:t>
            </w:r>
          </w:p>
        </w:tc>
      </w:tr>
      <w:tr w:rsidR="00B33613" w:rsidRPr="00166BEB" w14:paraId="76E2D61F" w14:textId="77777777" w:rsidTr="00B33613">
        <w:trPr>
          <w:trHeight w:val="300"/>
        </w:trPr>
        <w:tc>
          <w:tcPr>
            <w:tcW w:w="0" w:type="auto"/>
            <w:tcBorders>
              <w:top w:val="nil"/>
              <w:left w:val="nil"/>
              <w:bottom w:val="nil"/>
              <w:right w:val="nil"/>
            </w:tcBorders>
            <w:shd w:val="clear" w:color="auto" w:fill="auto"/>
            <w:noWrap/>
            <w:vAlign w:val="center"/>
            <w:hideMark/>
          </w:tcPr>
          <w:p w14:paraId="7B865417"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Lotyšsko</w:t>
            </w:r>
          </w:p>
        </w:tc>
        <w:tc>
          <w:tcPr>
            <w:tcW w:w="765" w:type="dxa"/>
            <w:tcBorders>
              <w:top w:val="nil"/>
              <w:left w:val="single" w:sz="4" w:space="0" w:color="000000"/>
              <w:bottom w:val="nil"/>
              <w:right w:val="single" w:sz="4" w:space="0" w:color="auto"/>
            </w:tcBorders>
            <w:shd w:val="clear" w:color="auto" w:fill="auto"/>
            <w:noWrap/>
            <w:vAlign w:val="center"/>
            <w:hideMark/>
          </w:tcPr>
          <w:p w14:paraId="6B54E8C5"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195,6</w:t>
            </w:r>
          </w:p>
        </w:tc>
        <w:tc>
          <w:tcPr>
            <w:tcW w:w="765" w:type="dxa"/>
            <w:tcBorders>
              <w:top w:val="nil"/>
              <w:left w:val="single" w:sz="4" w:space="0" w:color="auto"/>
              <w:bottom w:val="nil"/>
              <w:right w:val="single" w:sz="4" w:space="0" w:color="auto"/>
            </w:tcBorders>
            <w:shd w:val="clear" w:color="auto" w:fill="auto"/>
            <w:noWrap/>
            <w:vAlign w:val="center"/>
            <w:hideMark/>
          </w:tcPr>
          <w:p w14:paraId="3372B57E"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194,5</w:t>
            </w:r>
          </w:p>
        </w:tc>
        <w:tc>
          <w:tcPr>
            <w:tcW w:w="765" w:type="dxa"/>
            <w:tcBorders>
              <w:top w:val="nil"/>
              <w:left w:val="single" w:sz="4" w:space="0" w:color="auto"/>
              <w:bottom w:val="nil"/>
              <w:right w:val="single" w:sz="4" w:space="0" w:color="auto"/>
            </w:tcBorders>
            <w:shd w:val="clear" w:color="auto" w:fill="auto"/>
            <w:noWrap/>
            <w:vAlign w:val="center"/>
            <w:hideMark/>
          </w:tcPr>
          <w:p w14:paraId="52A97A37"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224,5</w:t>
            </w:r>
          </w:p>
        </w:tc>
        <w:tc>
          <w:tcPr>
            <w:tcW w:w="765" w:type="dxa"/>
            <w:tcBorders>
              <w:top w:val="nil"/>
              <w:left w:val="single" w:sz="4" w:space="0" w:color="auto"/>
              <w:bottom w:val="nil"/>
              <w:right w:val="single" w:sz="4" w:space="0" w:color="auto"/>
            </w:tcBorders>
            <w:shd w:val="clear" w:color="auto" w:fill="auto"/>
            <w:noWrap/>
            <w:vAlign w:val="center"/>
            <w:hideMark/>
          </w:tcPr>
          <w:p w14:paraId="4AC268D8"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222,8</w:t>
            </w:r>
          </w:p>
        </w:tc>
        <w:tc>
          <w:tcPr>
            <w:tcW w:w="765" w:type="dxa"/>
            <w:tcBorders>
              <w:top w:val="nil"/>
              <w:left w:val="single" w:sz="4" w:space="0" w:color="auto"/>
              <w:bottom w:val="nil"/>
              <w:right w:val="single" w:sz="4" w:space="0" w:color="auto"/>
            </w:tcBorders>
            <w:shd w:val="clear" w:color="auto" w:fill="auto"/>
            <w:noWrap/>
            <w:vAlign w:val="center"/>
            <w:hideMark/>
          </w:tcPr>
          <w:p w14:paraId="1F3D10A5"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248,0</w:t>
            </w:r>
          </w:p>
        </w:tc>
        <w:tc>
          <w:tcPr>
            <w:tcW w:w="765" w:type="dxa"/>
            <w:tcBorders>
              <w:top w:val="nil"/>
              <w:left w:val="single" w:sz="4" w:space="0" w:color="auto"/>
              <w:bottom w:val="nil"/>
              <w:right w:val="single" w:sz="4" w:space="0" w:color="auto"/>
            </w:tcBorders>
            <w:shd w:val="clear" w:color="auto" w:fill="auto"/>
            <w:noWrap/>
            <w:vAlign w:val="center"/>
            <w:hideMark/>
          </w:tcPr>
          <w:p w14:paraId="04B44C2F"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235,9</w:t>
            </w:r>
          </w:p>
        </w:tc>
        <w:tc>
          <w:tcPr>
            <w:tcW w:w="765" w:type="dxa"/>
            <w:tcBorders>
              <w:top w:val="nil"/>
              <w:left w:val="single" w:sz="4" w:space="0" w:color="auto"/>
              <w:bottom w:val="nil"/>
              <w:right w:val="single" w:sz="4" w:space="0" w:color="auto"/>
            </w:tcBorders>
            <w:shd w:val="clear" w:color="auto" w:fill="auto"/>
            <w:noWrap/>
            <w:vAlign w:val="center"/>
            <w:hideMark/>
          </w:tcPr>
          <w:p w14:paraId="13DB4A12"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246,6</w:t>
            </w:r>
          </w:p>
        </w:tc>
        <w:tc>
          <w:tcPr>
            <w:tcW w:w="765" w:type="dxa"/>
            <w:tcBorders>
              <w:top w:val="nil"/>
              <w:left w:val="single" w:sz="4" w:space="0" w:color="auto"/>
              <w:bottom w:val="nil"/>
              <w:right w:val="single" w:sz="4" w:space="0" w:color="auto"/>
            </w:tcBorders>
            <w:shd w:val="clear" w:color="auto" w:fill="auto"/>
            <w:noWrap/>
            <w:vAlign w:val="center"/>
            <w:hideMark/>
          </w:tcPr>
          <w:p w14:paraId="5EB54158"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280,5</w:t>
            </w:r>
          </w:p>
        </w:tc>
        <w:tc>
          <w:tcPr>
            <w:tcW w:w="765" w:type="dxa"/>
            <w:tcBorders>
              <w:top w:val="nil"/>
              <w:left w:val="single" w:sz="4" w:space="0" w:color="auto"/>
              <w:bottom w:val="nil"/>
              <w:right w:val="single" w:sz="4" w:space="0" w:color="auto"/>
            </w:tcBorders>
            <w:shd w:val="clear" w:color="auto" w:fill="auto"/>
            <w:noWrap/>
            <w:vAlign w:val="center"/>
            <w:hideMark/>
          </w:tcPr>
          <w:p w14:paraId="6A98BEA2"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266,2</w:t>
            </w:r>
          </w:p>
        </w:tc>
        <w:tc>
          <w:tcPr>
            <w:tcW w:w="765" w:type="dxa"/>
            <w:tcBorders>
              <w:top w:val="nil"/>
              <w:left w:val="single" w:sz="4" w:space="0" w:color="auto"/>
              <w:bottom w:val="nil"/>
              <w:right w:val="single" w:sz="4" w:space="0" w:color="auto"/>
            </w:tcBorders>
            <w:shd w:val="clear" w:color="auto" w:fill="D9D9D9"/>
            <w:vAlign w:val="center"/>
          </w:tcPr>
          <w:p w14:paraId="00D63BC0" w14:textId="77777777" w:rsidR="00B33613" w:rsidRDefault="00B33613" w:rsidP="00B33613">
            <w:pPr>
              <w:spacing w:after="0" w:line="240" w:lineRule="auto"/>
              <w:jc w:val="right"/>
              <w:rPr>
                <w:rFonts w:cs="Arial"/>
                <w:sz w:val="16"/>
                <w:szCs w:val="16"/>
              </w:rPr>
            </w:pPr>
            <w:r>
              <w:rPr>
                <w:rFonts w:cs="Arial"/>
                <w:sz w:val="16"/>
                <w:szCs w:val="16"/>
              </w:rPr>
              <w:t>284,9</w:t>
            </w:r>
          </w:p>
        </w:tc>
        <w:tc>
          <w:tcPr>
            <w:tcW w:w="765" w:type="dxa"/>
            <w:tcBorders>
              <w:top w:val="nil"/>
              <w:left w:val="single" w:sz="4" w:space="0" w:color="auto"/>
              <w:bottom w:val="nil"/>
              <w:right w:val="nil"/>
            </w:tcBorders>
            <w:vAlign w:val="center"/>
          </w:tcPr>
          <w:p w14:paraId="2EB3BCFE" w14:textId="550FF32B" w:rsidR="00B33613" w:rsidRDefault="00B33613" w:rsidP="00B33613">
            <w:pPr>
              <w:spacing w:after="0" w:line="240" w:lineRule="auto"/>
              <w:jc w:val="right"/>
              <w:rPr>
                <w:rFonts w:cs="Arial"/>
                <w:sz w:val="16"/>
                <w:szCs w:val="16"/>
              </w:rPr>
            </w:pPr>
            <w:r>
              <w:rPr>
                <w:rFonts w:cs="Arial"/>
                <w:sz w:val="16"/>
                <w:szCs w:val="16"/>
              </w:rPr>
              <w:t>317,4</w:t>
            </w:r>
          </w:p>
        </w:tc>
      </w:tr>
      <w:tr w:rsidR="00B33613" w:rsidRPr="00166BEB" w14:paraId="4F383390" w14:textId="77777777" w:rsidTr="00B33613">
        <w:trPr>
          <w:trHeight w:val="300"/>
        </w:trPr>
        <w:tc>
          <w:tcPr>
            <w:tcW w:w="0" w:type="auto"/>
            <w:tcBorders>
              <w:top w:val="nil"/>
              <w:left w:val="nil"/>
              <w:bottom w:val="nil"/>
              <w:right w:val="nil"/>
            </w:tcBorders>
            <w:shd w:val="clear" w:color="auto" w:fill="auto"/>
            <w:noWrap/>
            <w:vAlign w:val="center"/>
            <w:hideMark/>
          </w:tcPr>
          <w:p w14:paraId="773D597F"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Lucembursko</w:t>
            </w:r>
          </w:p>
        </w:tc>
        <w:tc>
          <w:tcPr>
            <w:tcW w:w="765" w:type="dxa"/>
            <w:tcBorders>
              <w:top w:val="nil"/>
              <w:left w:val="single" w:sz="4" w:space="0" w:color="000000"/>
              <w:bottom w:val="nil"/>
              <w:right w:val="single" w:sz="4" w:space="0" w:color="auto"/>
            </w:tcBorders>
            <w:shd w:val="clear" w:color="auto" w:fill="auto"/>
            <w:noWrap/>
            <w:vAlign w:val="center"/>
            <w:hideMark/>
          </w:tcPr>
          <w:p w14:paraId="079F4F42"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2 396,6</w:t>
            </w:r>
          </w:p>
        </w:tc>
        <w:tc>
          <w:tcPr>
            <w:tcW w:w="765" w:type="dxa"/>
            <w:tcBorders>
              <w:top w:val="nil"/>
              <w:left w:val="single" w:sz="4" w:space="0" w:color="auto"/>
              <w:bottom w:val="nil"/>
              <w:right w:val="single" w:sz="4" w:space="0" w:color="auto"/>
            </w:tcBorders>
            <w:shd w:val="clear" w:color="auto" w:fill="auto"/>
            <w:noWrap/>
            <w:vAlign w:val="center"/>
            <w:hideMark/>
          </w:tcPr>
          <w:p w14:paraId="05B03CAB"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2 324,1</w:t>
            </w:r>
          </w:p>
        </w:tc>
        <w:tc>
          <w:tcPr>
            <w:tcW w:w="765" w:type="dxa"/>
            <w:tcBorders>
              <w:top w:val="nil"/>
              <w:left w:val="single" w:sz="4" w:space="0" w:color="auto"/>
              <w:bottom w:val="nil"/>
              <w:right w:val="single" w:sz="4" w:space="0" w:color="auto"/>
            </w:tcBorders>
            <w:shd w:val="clear" w:color="auto" w:fill="auto"/>
            <w:noWrap/>
            <w:vAlign w:val="center"/>
            <w:hideMark/>
          </w:tcPr>
          <w:p w14:paraId="55142D9C"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2 465,9</w:t>
            </w:r>
          </w:p>
        </w:tc>
        <w:tc>
          <w:tcPr>
            <w:tcW w:w="765" w:type="dxa"/>
            <w:tcBorders>
              <w:top w:val="nil"/>
              <w:left w:val="single" w:sz="4" w:space="0" w:color="auto"/>
              <w:bottom w:val="nil"/>
              <w:right w:val="single" w:sz="4" w:space="0" w:color="auto"/>
            </w:tcBorders>
            <w:shd w:val="clear" w:color="auto" w:fill="auto"/>
            <w:noWrap/>
            <w:vAlign w:val="center"/>
            <w:hideMark/>
          </w:tcPr>
          <w:p w14:paraId="02268A13"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2 286,8</w:t>
            </w:r>
          </w:p>
        </w:tc>
        <w:tc>
          <w:tcPr>
            <w:tcW w:w="765" w:type="dxa"/>
            <w:tcBorders>
              <w:top w:val="nil"/>
              <w:left w:val="single" w:sz="4" w:space="0" w:color="auto"/>
              <w:bottom w:val="nil"/>
              <w:right w:val="single" w:sz="4" w:space="0" w:color="auto"/>
            </w:tcBorders>
            <w:shd w:val="clear" w:color="auto" w:fill="auto"/>
            <w:noWrap/>
            <w:vAlign w:val="center"/>
            <w:hideMark/>
          </w:tcPr>
          <w:p w14:paraId="1B8BAA8F"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2 255,8</w:t>
            </w:r>
          </w:p>
        </w:tc>
        <w:tc>
          <w:tcPr>
            <w:tcW w:w="765" w:type="dxa"/>
            <w:tcBorders>
              <w:top w:val="nil"/>
              <w:left w:val="single" w:sz="4" w:space="0" w:color="auto"/>
              <w:bottom w:val="nil"/>
              <w:right w:val="single" w:sz="4" w:space="0" w:color="auto"/>
            </w:tcBorders>
            <w:shd w:val="clear" w:color="auto" w:fill="auto"/>
            <w:noWrap/>
            <w:vAlign w:val="center"/>
            <w:hideMark/>
          </w:tcPr>
          <w:p w14:paraId="581AF782"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2 510,8</w:t>
            </w:r>
          </w:p>
        </w:tc>
        <w:tc>
          <w:tcPr>
            <w:tcW w:w="765" w:type="dxa"/>
            <w:tcBorders>
              <w:top w:val="nil"/>
              <w:left w:val="single" w:sz="4" w:space="0" w:color="auto"/>
              <w:bottom w:val="nil"/>
              <w:right w:val="single" w:sz="4" w:space="0" w:color="auto"/>
            </w:tcBorders>
            <w:shd w:val="clear" w:color="auto" w:fill="auto"/>
            <w:noWrap/>
            <w:vAlign w:val="center"/>
            <w:hideMark/>
          </w:tcPr>
          <w:p w14:paraId="1D96129E"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2 131,2</w:t>
            </w:r>
          </w:p>
        </w:tc>
        <w:tc>
          <w:tcPr>
            <w:tcW w:w="765" w:type="dxa"/>
            <w:tcBorders>
              <w:top w:val="nil"/>
              <w:left w:val="single" w:sz="4" w:space="0" w:color="auto"/>
              <w:bottom w:val="nil"/>
              <w:right w:val="single" w:sz="4" w:space="0" w:color="auto"/>
            </w:tcBorders>
            <w:shd w:val="clear" w:color="auto" w:fill="auto"/>
            <w:noWrap/>
            <w:vAlign w:val="center"/>
            <w:hideMark/>
          </w:tcPr>
          <w:p w14:paraId="2154E974"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2 285,9</w:t>
            </w:r>
          </w:p>
        </w:tc>
        <w:tc>
          <w:tcPr>
            <w:tcW w:w="765" w:type="dxa"/>
            <w:tcBorders>
              <w:top w:val="nil"/>
              <w:left w:val="single" w:sz="4" w:space="0" w:color="auto"/>
              <w:bottom w:val="nil"/>
              <w:right w:val="single" w:sz="4" w:space="0" w:color="auto"/>
            </w:tcBorders>
            <w:shd w:val="clear" w:color="auto" w:fill="auto"/>
            <w:noWrap/>
            <w:vAlign w:val="center"/>
            <w:hideMark/>
          </w:tcPr>
          <w:p w14:paraId="518CC781"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2 289,3</w:t>
            </w:r>
          </w:p>
        </w:tc>
        <w:tc>
          <w:tcPr>
            <w:tcW w:w="765" w:type="dxa"/>
            <w:tcBorders>
              <w:top w:val="nil"/>
              <w:left w:val="single" w:sz="4" w:space="0" w:color="auto"/>
              <w:bottom w:val="nil"/>
              <w:right w:val="single" w:sz="4" w:space="0" w:color="auto"/>
            </w:tcBorders>
            <w:shd w:val="clear" w:color="auto" w:fill="D9D9D9"/>
            <w:vAlign w:val="center"/>
          </w:tcPr>
          <w:p w14:paraId="20CE7AD4" w14:textId="77777777" w:rsidR="00B33613" w:rsidRDefault="00B33613" w:rsidP="00B33613">
            <w:pPr>
              <w:spacing w:after="0" w:line="240" w:lineRule="auto"/>
              <w:jc w:val="right"/>
              <w:rPr>
                <w:rFonts w:cs="Arial"/>
                <w:sz w:val="16"/>
                <w:szCs w:val="16"/>
              </w:rPr>
            </w:pPr>
            <w:r>
              <w:rPr>
                <w:rFonts w:cs="Arial"/>
                <w:sz w:val="16"/>
                <w:szCs w:val="16"/>
              </w:rPr>
              <w:t>1 748,3</w:t>
            </w:r>
          </w:p>
        </w:tc>
        <w:tc>
          <w:tcPr>
            <w:tcW w:w="765" w:type="dxa"/>
            <w:tcBorders>
              <w:top w:val="nil"/>
              <w:left w:val="single" w:sz="4" w:space="0" w:color="auto"/>
              <w:bottom w:val="nil"/>
              <w:right w:val="nil"/>
            </w:tcBorders>
            <w:vAlign w:val="center"/>
          </w:tcPr>
          <w:p w14:paraId="2B36F3B8" w14:textId="5FF0A1D2" w:rsidR="00B33613" w:rsidRDefault="00B33613" w:rsidP="00B33613">
            <w:pPr>
              <w:spacing w:after="0" w:line="240" w:lineRule="auto"/>
              <w:jc w:val="right"/>
              <w:rPr>
                <w:rFonts w:cs="Arial"/>
                <w:sz w:val="16"/>
                <w:szCs w:val="16"/>
              </w:rPr>
            </w:pPr>
            <w:r>
              <w:rPr>
                <w:rFonts w:cs="Arial"/>
                <w:sz w:val="16"/>
                <w:szCs w:val="16"/>
              </w:rPr>
              <w:t>1 902,0</w:t>
            </w:r>
          </w:p>
        </w:tc>
      </w:tr>
      <w:tr w:rsidR="00B33613" w:rsidRPr="00166BEB" w14:paraId="489EE56D" w14:textId="77777777" w:rsidTr="00B33613">
        <w:trPr>
          <w:trHeight w:val="300"/>
        </w:trPr>
        <w:tc>
          <w:tcPr>
            <w:tcW w:w="0" w:type="auto"/>
            <w:tcBorders>
              <w:top w:val="nil"/>
              <w:left w:val="nil"/>
              <w:bottom w:val="nil"/>
              <w:right w:val="nil"/>
            </w:tcBorders>
            <w:shd w:val="clear" w:color="auto" w:fill="auto"/>
            <w:noWrap/>
            <w:vAlign w:val="center"/>
            <w:hideMark/>
          </w:tcPr>
          <w:p w14:paraId="3A1EEF28"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Maďarsko</w:t>
            </w:r>
          </w:p>
        </w:tc>
        <w:tc>
          <w:tcPr>
            <w:tcW w:w="765" w:type="dxa"/>
            <w:tcBorders>
              <w:top w:val="nil"/>
              <w:left w:val="single" w:sz="4" w:space="0" w:color="000000"/>
              <w:bottom w:val="nil"/>
              <w:right w:val="single" w:sz="4" w:space="0" w:color="auto"/>
            </w:tcBorders>
            <w:shd w:val="clear" w:color="auto" w:fill="auto"/>
            <w:noWrap/>
            <w:vAlign w:val="center"/>
            <w:hideMark/>
          </w:tcPr>
          <w:p w14:paraId="4FC9B52F"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531,1</w:t>
            </w:r>
          </w:p>
        </w:tc>
        <w:tc>
          <w:tcPr>
            <w:tcW w:w="765" w:type="dxa"/>
            <w:tcBorders>
              <w:top w:val="nil"/>
              <w:left w:val="single" w:sz="4" w:space="0" w:color="auto"/>
              <w:bottom w:val="nil"/>
              <w:right w:val="single" w:sz="4" w:space="0" w:color="auto"/>
            </w:tcBorders>
            <w:shd w:val="clear" w:color="auto" w:fill="auto"/>
            <w:noWrap/>
            <w:vAlign w:val="center"/>
            <w:hideMark/>
          </w:tcPr>
          <w:p w14:paraId="0838BC3F"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534,4</w:t>
            </w:r>
          </w:p>
        </w:tc>
        <w:tc>
          <w:tcPr>
            <w:tcW w:w="765" w:type="dxa"/>
            <w:tcBorders>
              <w:top w:val="nil"/>
              <w:left w:val="single" w:sz="4" w:space="0" w:color="auto"/>
              <w:bottom w:val="nil"/>
              <w:right w:val="single" w:sz="4" w:space="0" w:color="auto"/>
            </w:tcBorders>
            <w:shd w:val="clear" w:color="auto" w:fill="auto"/>
            <w:noWrap/>
            <w:vAlign w:val="center"/>
            <w:hideMark/>
          </w:tcPr>
          <w:p w14:paraId="039A6D25"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487,2</w:t>
            </w:r>
          </w:p>
        </w:tc>
        <w:tc>
          <w:tcPr>
            <w:tcW w:w="765" w:type="dxa"/>
            <w:tcBorders>
              <w:top w:val="nil"/>
              <w:left w:val="single" w:sz="4" w:space="0" w:color="auto"/>
              <w:bottom w:val="nil"/>
              <w:right w:val="single" w:sz="4" w:space="0" w:color="auto"/>
            </w:tcBorders>
            <w:shd w:val="clear" w:color="auto" w:fill="auto"/>
            <w:noWrap/>
            <w:vAlign w:val="center"/>
            <w:hideMark/>
          </w:tcPr>
          <w:p w14:paraId="5659D704"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549,0</w:t>
            </w:r>
          </w:p>
        </w:tc>
        <w:tc>
          <w:tcPr>
            <w:tcW w:w="765" w:type="dxa"/>
            <w:tcBorders>
              <w:top w:val="nil"/>
              <w:left w:val="single" w:sz="4" w:space="0" w:color="auto"/>
              <w:bottom w:val="nil"/>
              <w:right w:val="single" w:sz="4" w:space="0" w:color="auto"/>
            </w:tcBorders>
            <w:shd w:val="clear" w:color="auto" w:fill="auto"/>
            <w:noWrap/>
            <w:vAlign w:val="center"/>
            <w:hideMark/>
          </w:tcPr>
          <w:p w14:paraId="4F9AA598"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569,2</w:t>
            </w:r>
          </w:p>
        </w:tc>
        <w:tc>
          <w:tcPr>
            <w:tcW w:w="765" w:type="dxa"/>
            <w:tcBorders>
              <w:top w:val="nil"/>
              <w:left w:val="single" w:sz="4" w:space="0" w:color="auto"/>
              <w:bottom w:val="nil"/>
              <w:right w:val="single" w:sz="4" w:space="0" w:color="auto"/>
            </w:tcBorders>
            <w:shd w:val="clear" w:color="auto" w:fill="auto"/>
            <w:noWrap/>
            <w:vAlign w:val="center"/>
            <w:hideMark/>
          </w:tcPr>
          <w:p w14:paraId="7ACF9CB2"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722,2</w:t>
            </w:r>
          </w:p>
        </w:tc>
        <w:tc>
          <w:tcPr>
            <w:tcW w:w="765" w:type="dxa"/>
            <w:tcBorders>
              <w:top w:val="nil"/>
              <w:left w:val="single" w:sz="4" w:space="0" w:color="auto"/>
              <w:bottom w:val="nil"/>
              <w:right w:val="single" w:sz="4" w:space="0" w:color="auto"/>
            </w:tcBorders>
            <w:shd w:val="clear" w:color="auto" w:fill="auto"/>
            <w:noWrap/>
            <w:vAlign w:val="center"/>
            <w:hideMark/>
          </w:tcPr>
          <w:p w14:paraId="09BB48C3"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639,7</w:t>
            </w:r>
          </w:p>
        </w:tc>
        <w:tc>
          <w:tcPr>
            <w:tcW w:w="765" w:type="dxa"/>
            <w:tcBorders>
              <w:top w:val="nil"/>
              <w:left w:val="single" w:sz="4" w:space="0" w:color="auto"/>
              <w:bottom w:val="nil"/>
              <w:right w:val="single" w:sz="4" w:space="0" w:color="auto"/>
            </w:tcBorders>
            <w:shd w:val="clear" w:color="auto" w:fill="auto"/>
            <w:noWrap/>
            <w:vAlign w:val="center"/>
            <w:hideMark/>
          </w:tcPr>
          <w:p w14:paraId="70E30A1F"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596,0</w:t>
            </w:r>
          </w:p>
        </w:tc>
        <w:tc>
          <w:tcPr>
            <w:tcW w:w="765" w:type="dxa"/>
            <w:tcBorders>
              <w:top w:val="nil"/>
              <w:left w:val="single" w:sz="4" w:space="0" w:color="auto"/>
              <w:bottom w:val="nil"/>
              <w:right w:val="single" w:sz="4" w:space="0" w:color="auto"/>
            </w:tcBorders>
            <w:shd w:val="clear" w:color="auto" w:fill="auto"/>
            <w:noWrap/>
            <w:vAlign w:val="center"/>
            <w:hideMark/>
          </w:tcPr>
          <w:p w14:paraId="51084AAF"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605,0</w:t>
            </w:r>
          </w:p>
        </w:tc>
        <w:tc>
          <w:tcPr>
            <w:tcW w:w="765" w:type="dxa"/>
            <w:tcBorders>
              <w:top w:val="nil"/>
              <w:left w:val="single" w:sz="4" w:space="0" w:color="auto"/>
              <w:bottom w:val="nil"/>
              <w:right w:val="single" w:sz="4" w:space="0" w:color="auto"/>
            </w:tcBorders>
            <w:shd w:val="clear" w:color="auto" w:fill="D9D9D9"/>
            <w:vAlign w:val="center"/>
          </w:tcPr>
          <w:p w14:paraId="46260C7E" w14:textId="77777777" w:rsidR="00B33613" w:rsidRDefault="00B33613" w:rsidP="00B33613">
            <w:pPr>
              <w:spacing w:after="0" w:line="240" w:lineRule="auto"/>
              <w:jc w:val="right"/>
              <w:rPr>
                <w:rFonts w:cs="Arial"/>
                <w:sz w:val="16"/>
                <w:szCs w:val="16"/>
              </w:rPr>
            </w:pPr>
            <w:r>
              <w:rPr>
                <w:rFonts w:cs="Arial"/>
                <w:sz w:val="16"/>
                <w:szCs w:val="16"/>
              </w:rPr>
              <w:t>638,9</w:t>
            </w:r>
          </w:p>
        </w:tc>
        <w:tc>
          <w:tcPr>
            <w:tcW w:w="765" w:type="dxa"/>
            <w:tcBorders>
              <w:top w:val="nil"/>
              <w:left w:val="single" w:sz="4" w:space="0" w:color="auto"/>
              <w:bottom w:val="nil"/>
              <w:right w:val="nil"/>
            </w:tcBorders>
            <w:vAlign w:val="center"/>
          </w:tcPr>
          <w:p w14:paraId="42D2101F" w14:textId="2D7CD007" w:rsidR="00B33613" w:rsidRDefault="00B33613" w:rsidP="00B33613">
            <w:pPr>
              <w:spacing w:after="0" w:line="240" w:lineRule="auto"/>
              <w:jc w:val="right"/>
              <w:rPr>
                <w:rFonts w:cs="Arial"/>
                <w:sz w:val="16"/>
                <w:szCs w:val="16"/>
              </w:rPr>
            </w:pPr>
            <w:r>
              <w:rPr>
                <w:rFonts w:cs="Arial"/>
                <w:sz w:val="16"/>
                <w:szCs w:val="16"/>
              </w:rPr>
              <w:t>607,0</w:t>
            </w:r>
          </w:p>
        </w:tc>
      </w:tr>
      <w:tr w:rsidR="00B33613" w:rsidRPr="00166BEB" w14:paraId="5BDB6FD4" w14:textId="77777777" w:rsidTr="00B33613">
        <w:trPr>
          <w:trHeight w:val="300"/>
        </w:trPr>
        <w:tc>
          <w:tcPr>
            <w:tcW w:w="0" w:type="auto"/>
            <w:tcBorders>
              <w:top w:val="nil"/>
              <w:left w:val="nil"/>
              <w:bottom w:val="nil"/>
              <w:right w:val="nil"/>
            </w:tcBorders>
            <w:shd w:val="clear" w:color="auto" w:fill="auto"/>
            <w:noWrap/>
            <w:vAlign w:val="center"/>
            <w:hideMark/>
          </w:tcPr>
          <w:p w14:paraId="12D45520"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Malta</w:t>
            </w:r>
          </w:p>
        </w:tc>
        <w:tc>
          <w:tcPr>
            <w:tcW w:w="765" w:type="dxa"/>
            <w:tcBorders>
              <w:top w:val="nil"/>
              <w:left w:val="single" w:sz="4" w:space="0" w:color="000000"/>
              <w:bottom w:val="nil"/>
              <w:right w:val="single" w:sz="4" w:space="0" w:color="auto"/>
            </w:tcBorders>
            <w:shd w:val="clear" w:color="auto" w:fill="auto"/>
            <w:noWrap/>
            <w:vAlign w:val="center"/>
            <w:hideMark/>
          </w:tcPr>
          <w:p w14:paraId="76D26DE2"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1 848,0</w:t>
            </w:r>
          </w:p>
        </w:tc>
        <w:tc>
          <w:tcPr>
            <w:tcW w:w="765" w:type="dxa"/>
            <w:tcBorders>
              <w:top w:val="nil"/>
              <w:left w:val="single" w:sz="4" w:space="0" w:color="auto"/>
              <w:bottom w:val="nil"/>
              <w:right w:val="single" w:sz="4" w:space="0" w:color="auto"/>
            </w:tcBorders>
            <w:shd w:val="clear" w:color="auto" w:fill="auto"/>
            <w:noWrap/>
            <w:vAlign w:val="center"/>
            <w:hideMark/>
          </w:tcPr>
          <w:p w14:paraId="01CE7F53"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2 008,7</w:t>
            </w:r>
          </w:p>
        </w:tc>
        <w:tc>
          <w:tcPr>
            <w:tcW w:w="765" w:type="dxa"/>
            <w:tcBorders>
              <w:top w:val="nil"/>
              <w:left w:val="single" w:sz="4" w:space="0" w:color="auto"/>
              <w:bottom w:val="nil"/>
              <w:right w:val="single" w:sz="4" w:space="0" w:color="auto"/>
            </w:tcBorders>
            <w:shd w:val="clear" w:color="auto" w:fill="auto"/>
            <w:noWrap/>
            <w:vAlign w:val="center"/>
            <w:hideMark/>
          </w:tcPr>
          <w:p w14:paraId="69F74F51"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1 888,1</w:t>
            </w:r>
          </w:p>
        </w:tc>
        <w:tc>
          <w:tcPr>
            <w:tcW w:w="765" w:type="dxa"/>
            <w:tcBorders>
              <w:top w:val="nil"/>
              <w:left w:val="single" w:sz="4" w:space="0" w:color="auto"/>
              <w:bottom w:val="nil"/>
              <w:right w:val="single" w:sz="4" w:space="0" w:color="auto"/>
            </w:tcBorders>
            <w:shd w:val="clear" w:color="auto" w:fill="auto"/>
            <w:noWrap/>
            <w:vAlign w:val="center"/>
            <w:hideMark/>
          </w:tcPr>
          <w:p w14:paraId="4FAAD129"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1 863,7</w:t>
            </w:r>
          </w:p>
        </w:tc>
        <w:tc>
          <w:tcPr>
            <w:tcW w:w="765" w:type="dxa"/>
            <w:tcBorders>
              <w:top w:val="nil"/>
              <w:left w:val="single" w:sz="4" w:space="0" w:color="auto"/>
              <w:bottom w:val="nil"/>
              <w:right w:val="single" w:sz="4" w:space="0" w:color="auto"/>
            </w:tcBorders>
            <w:shd w:val="clear" w:color="auto" w:fill="auto"/>
            <w:noWrap/>
            <w:vAlign w:val="center"/>
            <w:hideMark/>
          </w:tcPr>
          <w:p w14:paraId="6726F09A"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1 675,0</w:t>
            </w:r>
          </w:p>
        </w:tc>
        <w:tc>
          <w:tcPr>
            <w:tcW w:w="765" w:type="dxa"/>
            <w:tcBorders>
              <w:top w:val="nil"/>
              <w:left w:val="single" w:sz="4" w:space="0" w:color="auto"/>
              <w:bottom w:val="nil"/>
              <w:right w:val="single" w:sz="4" w:space="0" w:color="auto"/>
            </w:tcBorders>
            <w:shd w:val="clear" w:color="auto" w:fill="auto"/>
            <w:noWrap/>
            <w:vAlign w:val="center"/>
            <w:hideMark/>
          </w:tcPr>
          <w:p w14:paraId="5BE93490"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1 507,4</w:t>
            </w:r>
          </w:p>
        </w:tc>
        <w:tc>
          <w:tcPr>
            <w:tcW w:w="765" w:type="dxa"/>
            <w:tcBorders>
              <w:top w:val="nil"/>
              <w:left w:val="single" w:sz="4" w:space="0" w:color="auto"/>
              <w:bottom w:val="nil"/>
              <w:right w:val="single" w:sz="4" w:space="0" w:color="auto"/>
            </w:tcBorders>
            <w:shd w:val="clear" w:color="auto" w:fill="auto"/>
            <w:noWrap/>
            <w:vAlign w:val="center"/>
            <w:hideMark/>
          </w:tcPr>
          <w:p w14:paraId="1C925261"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1 057,5</w:t>
            </w:r>
          </w:p>
        </w:tc>
        <w:tc>
          <w:tcPr>
            <w:tcW w:w="765" w:type="dxa"/>
            <w:tcBorders>
              <w:top w:val="nil"/>
              <w:left w:val="single" w:sz="4" w:space="0" w:color="auto"/>
              <w:bottom w:val="nil"/>
              <w:right w:val="single" w:sz="4" w:space="0" w:color="auto"/>
            </w:tcBorders>
            <w:shd w:val="clear" w:color="auto" w:fill="auto"/>
            <w:noWrap/>
            <w:vAlign w:val="center"/>
            <w:hideMark/>
          </w:tcPr>
          <w:p w14:paraId="346F1374"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1 202,4</w:t>
            </w:r>
          </w:p>
        </w:tc>
        <w:tc>
          <w:tcPr>
            <w:tcW w:w="765" w:type="dxa"/>
            <w:tcBorders>
              <w:top w:val="nil"/>
              <w:left w:val="single" w:sz="4" w:space="0" w:color="auto"/>
              <w:bottom w:val="nil"/>
              <w:right w:val="single" w:sz="4" w:space="0" w:color="auto"/>
            </w:tcBorders>
            <w:shd w:val="clear" w:color="auto" w:fill="auto"/>
            <w:noWrap/>
            <w:vAlign w:val="center"/>
            <w:hideMark/>
          </w:tcPr>
          <w:p w14:paraId="244A162B"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1 187,1</w:t>
            </w:r>
          </w:p>
        </w:tc>
        <w:tc>
          <w:tcPr>
            <w:tcW w:w="765" w:type="dxa"/>
            <w:tcBorders>
              <w:top w:val="nil"/>
              <w:left w:val="single" w:sz="4" w:space="0" w:color="auto"/>
              <w:bottom w:val="nil"/>
              <w:right w:val="single" w:sz="4" w:space="0" w:color="auto"/>
            </w:tcBorders>
            <w:shd w:val="clear" w:color="auto" w:fill="D9D9D9"/>
            <w:vAlign w:val="center"/>
          </w:tcPr>
          <w:p w14:paraId="49413EF8" w14:textId="77777777" w:rsidR="00B33613" w:rsidRDefault="00B33613" w:rsidP="00B33613">
            <w:pPr>
              <w:spacing w:after="0" w:line="240" w:lineRule="auto"/>
              <w:jc w:val="right"/>
              <w:rPr>
                <w:rFonts w:cs="Arial"/>
                <w:sz w:val="16"/>
                <w:szCs w:val="16"/>
              </w:rPr>
            </w:pPr>
            <w:r>
              <w:rPr>
                <w:rFonts w:cs="Arial"/>
                <w:sz w:val="16"/>
                <w:szCs w:val="16"/>
              </w:rPr>
              <w:t>829,3</w:t>
            </w:r>
          </w:p>
        </w:tc>
        <w:tc>
          <w:tcPr>
            <w:tcW w:w="765" w:type="dxa"/>
            <w:tcBorders>
              <w:top w:val="nil"/>
              <w:left w:val="single" w:sz="4" w:space="0" w:color="auto"/>
              <w:bottom w:val="nil"/>
              <w:right w:val="nil"/>
            </w:tcBorders>
            <w:vAlign w:val="center"/>
          </w:tcPr>
          <w:p w14:paraId="04E4F70E" w14:textId="2845751C" w:rsidR="00B33613" w:rsidRDefault="00B33613" w:rsidP="00B33613">
            <w:pPr>
              <w:spacing w:after="0" w:line="240" w:lineRule="auto"/>
              <w:jc w:val="right"/>
              <w:rPr>
                <w:rFonts w:cs="Arial"/>
                <w:sz w:val="16"/>
                <w:szCs w:val="16"/>
              </w:rPr>
            </w:pPr>
            <w:r>
              <w:rPr>
                <w:rFonts w:cs="Arial"/>
                <w:sz w:val="16"/>
                <w:szCs w:val="16"/>
              </w:rPr>
              <w:t>824,9</w:t>
            </w:r>
          </w:p>
        </w:tc>
      </w:tr>
      <w:tr w:rsidR="00B33613" w:rsidRPr="00166BEB" w14:paraId="6CC4B15F" w14:textId="77777777" w:rsidTr="00B33613">
        <w:trPr>
          <w:trHeight w:val="300"/>
        </w:trPr>
        <w:tc>
          <w:tcPr>
            <w:tcW w:w="0" w:type="auto"/>
            <w:tcBorders>
              <w:top w:val="nil"/>
              <w:left w:val="nil"/>
              <w:bottom w:val="nil"/>
              <w:right w:val="nil"/>
            </w:tcBorders>
            <w:shd w:val="clear" w:color="auto" w:fill="auto"/>
            <w:noWrap/>
            <w:vAlign w:val="center"/>
            <w:hideMark/>
          </w:tcPr>
          <w:p w14:paraId="0C5DFE85"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Německo</w:t>
            </w:r>
          </w:p>
        </w:tc>
        <w:tc>
          <w:tcPr>
            <w:tcW w:w="765" w:type="dxa"/>
            <w:tcBorders>
              <w:top w:val="nil"/>
              <w:left w:val="single" w:sz="4" w:space="0" w:color="000000"/>
              <w:bottom w:val="nil"/>
              <w:right w:val="single" w:sz="4" w:space="0" w:color="auto"/>
            </w:tcBorders>
            <w:shd w:val="clear" w:color="auto" w:fill="auto"/>
            <w:noWrap/>
            <w:vAlign w:val="center"/>
            <w:hideMark/>
          </w:tcPr>
          <w:p w14:paraId="0CF9FA61"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2 369,1</w:t>
            </w:r>
          </w:p>
        </w:tc>
        <w:tc>
          <w:tcPr>
            <w:tcW w:w="765" w:type="dxa"/>
            <w:tcBorders>
              <w:top w:val="nil"/>
              <w:left w:val="single" w:sz="4" w:space="0" w:color="auto"/>
              <w:bottom w:val="nil"/>
              <w:right w:val="single" w:sz="4" w:space="0" w:color="auto"/>
            </w:tcBorders>
            <w:shd w:val="clear" w:color="auto" w:fill="auto"/>
            <w:noWrap/>
            <w:vAlign w:val="center"/>
            <w:hideMark/>
          </w:tcPr>
          <w:p w14:paraId="6D070858"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2 202,5</w:t>
            </w:r>
          </w:p>
        </w:tc>
        <w:tc>
          <w:tcPr>
            <w:tcW w:w="765" w:type="dxa"/>
            <w:tcBorders>
              <w:top w:val="nil"/>
              <w:left w:val="single" w:sz="4" w:space="0" w:color="auto"/>
              <w:bottom w:val="nil"/>
              <w:right w:val="single" w:sz="4" w:space="0" w:color="auto"/>
            </w:tcBorders>
            <w:shd w:val="clear" w:color="auto" w:fill="auto"/>
            <w:noWrap/>
            <w:vAlign w:val="center"/>
            <w:hideMark/>
          </w:tcPr>
          <w:p w14:paraId="41D7FF25"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2 178,4</w:t>
            </w:r>
          </w:p>
        </w:tc>
        <w:tc>
          <w:tcPr>
            <w:tcW w:w="765" w:type="dxa"/>
            <w:tcBorders>
              <w:top w:val="nil"/>
              <w:left w:val="single" w:sz="4" w:space="0" w:color="auto"/>
              <w:bottom w:val="nil"/>
              <w:right w:val="single" w:sz="4" w:space="0" w:color="auto"/>
            </w:tcBorders>
            <w:shd w:val="clear" w:color="auto" w:fill="auto"/>
            <w:noWrap/>
            <w:vAlign w:val="center"/>
            <w:hideMark/>
          </w:tcPr>
          <w:p w14:paraId="16640CEE"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2 124,2</w:t>
            </w:r>
          </w:p>
        </w:tc>
        <w:tc>
          <w:tcPr>
            <w:tcW w:w="765" w:type="dxa"/>
            <w:tcBorders>
              <w:top w:val="nil"/>
              <w:left w:val="single" w:sz="4" w:space="0" w:color="auto"/>
              <w:bottom w:val="nil"/>
              <w:right w:val="single" w:sz="4" w:space="0" w:color="auto"/>
            </w:tcBorders>
            <w:shd w:val="clear" w:color="auto" w:fill="auto"/>
            <w:noWrap/>
            <w:vAlign w:val="center"/>
            <w:hideMark/>
          </w:tcPr>
          <w:p w14:paraId="1750BBD0"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2 096,8</w:t>
            </w:r>
          </w:p>
        </w:tc>
        <w:tc>
          <w:tcPr>
            <w:tcW w:w="765" w:type="dxa"/>
            <w:tcBorders>
              <w:top w:val="nil"/>
              <w:left w:val="single" w:sz="4" w:space="0" w:color="auto"/>
              <w:bottom w:val="nil"/>
              <w:right w:val="single" w:sz="4" w:space="0" w:color="auto"/>
            </w:tcBorders>
            <w:shd w:val="clear" w:color="auto" w:fill="auto"/>
            <w:noWrap/>
            <w:vAlign w:val="center"/>
            <w:hideMark/>
          </w:tcPr>
          <w:p w14:paraId="0F41DAA1"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2 079,9</w:t>
            </w:r>
          </w:p>
        </w:tc>
        <w:tc>
          <w:tcPr>
            <w:tcW w:w="765" w:type="dxa"/>
            <w:tcBorders>
              <w:top w:val="nil"/>
              <w:left w:val="single" w:sz="4" w:space="0" w:color="auto"/>
              <w:bottom w:val="nil"/>
              <w:right w:val="single" w:sz="4" w:space="0" w:color="auto"/>
            </w:tcBorders>
            <w:shd w:val="clear" w:color="auto" w:fill="auto"/>
            <w:noWrap/>
            <w:vAlign w:val="center"/>
            <w:hideMark/>
          </w:tcPr>
          <w:p w14:paraId="6C6D1193"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2 058,1</w:t>
            </w:r>
          </w:p>
        </w:tc>
        <w:tc>
          <w:tcPr>
            <w:tcW w:w="765" w:type="dxa"/>
            <w:tcBorders>
              <w:top w:val="nil"/>
              <w:left w:val="single" w:sz="4" w:space="0" w:color="auto"/>
              <w:bottom w:val="nil"/>
              <w:right w:val="single" w:sz="4" w:space="0" w:color="auto"/>
            </w:tcBorders>
            <w:shd w:val="clear" w:color="auto" w:fill="auto"/>
            <w:noWrap/>
            <w:vAlign w:val="center"/>
            <w:hideMark/>
          </w:tcPr>
          <w:p w14:paraId="2F48325C"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1 985,8</w:t>
            </w:r>
          </w:p>
        </w:tc>
        <w:tc>
          <w:tcPr>
            <w:tcW w:w="765" w:type="dxa"/>
            <w:tcBorders>
              <w:top w:val="nil"/>
              <w:left w:val="single" w:sz="4" w:space="0" w:color="auto"/>
              <w:bottom w:val="nil"/>
              <w:right w:val="single" w:sz="4" w:space="0" w:color="auto"/>
            </w:tcBorders>
            <w:shd w:val="clear" w:color="auto" w:fill="auto"/>
            <w:noWrap/>
            <w:vAlign w:val="center"/>
            <w:hideMark/>
          </w:tcPr>
          <w:p w14:paraId="7FC0B3EE"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1 939,5</w:t>
            </w:r>
          </w:p>
        </w:tc>
        <w:tc>
          <w:tcPr>
            <w:tcW w:w="765" w:type="dxa"/>
            <w:tcBorders>
              <w:top w:val="nil"/>
              <w:left w:val="single" w:sz="4" w:space="0" w:color="auto"/>
              <w:bottom w:val="nil"/>
              <w:right w:val="single" w:sz="4" w:space="0" w:color="auto"/>
            </w:tcBorders>
            <w:shd w:val="clear" w:color="auto" w:fill="D9D9D9"/>
            <w:vAlign w:val="center"/>
          </w:tcPr>
          <w:p w14:paraId="1EC3C0BA" w14:textId="77777777" w:rsidR="00B33613" w:rsidRDefault="00B33613" w:rsidP="00B33613">
            <w:pPr>
              <w:spacing w:after="0" w:line="240" w:lineRule="auto"/>
              <w:jc w:val="right"/>
              <w:rPr>
                <w:rFonts w:cs="Arial"/>
                <w:sz w:val="16"/>
                <w:szCs w:val="16"/>
              </w:rPr>
            </w:pPr>
            <w:r>
              <w:rPr>
                <w:rFonts w:cs="Arial"/>
                <w:sz w:val="16"/>
                <w:szCs w:val="16"/>
              </w:rPr>
              <w:t>1 782,2</w:t>
            </w:r>
          </w:p>
        </w:tc>
        <w:tc>
          <w:tcPr>
            <w:tcW w:w="765" w:type="dxa"/>
            <w:tcBorders>
              <w:top w:val="nil"/>
              <w:left w:val="single" w:sz="4" w:space="0" w:color="auto"/>
              <w:bottom w:val="nil"/>
              <w:right w:val="nil"/>
            </w:tcBorders>
            <w:vAlign w:val="center"/>
          </w:tcPr>
          <w:p w14:paraId="4B5EC2D5" w14:textId="0BAA817A" w:rsidR="00B33613" w:rsidRDefault="00B33613" w:rsidP="00B33613">
            <w:pPr>
              <w:spacing w:after="0" w:line="240" w:lineRule="auto"/>
              <w:jc w:val="right"/>
              <w:rPr>
                <w:rFonts w:cs="Arial"/>
                <w:sz w:val="16"/>
                <w:szCs w:val="16"/>
              </w:rPr>
            </w:pPr>
            <w:r>
              <w:rPr>
                <w:rFonts w:cs="Arial"/>
                <w:sz w:val="16"/>
                <w:szCs w:val="16"/>
              </w:rPr>
              <w:t>1 858,9</w:t>
            </w:r>
          </w:p>
        </w:tc>
      </w:tr>
      <w:tr w:rsidR="00B33613" w:rsidRPr="00166BEB" w14:paraId="3D49AF0C" w14:textId="77777777" w:rsidTr="00B33613">
        <w:trPr>
          <w:trHeight w:val="300"/>
        </w:trPr>
        <w:tc>
          <w:tcPr>
            <w:tcW w:w="0" w:type="auto"/>
            <w:tcBorders>
              <w:top w:val="nil"/>
              <w:left w:val="nil"/>
              <w:bottom w:val="nil"/>
              <w:right w:val="nil"/>
            </w:tcBorders>
            <w:shd w:val="clear" w:color="auto" w:fill="auto"/>
            <w:noWrap/>
            <w:vAlign w:val="center"/>
            <w:hideMark/>
          </w:tcPr>
          <w:p w14:paraId="50D57CAD"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Nizozemsko</w:t>
            </w:r>
          </w:p>
        </w:tc>
        <w:tc>
          <w:tcPr>
            <w:tcW w:w="765" w:type="dxa"/>
            <w:tcBorders>
              <w:top w:val="nil"/>
              <w:left w:val="single" w:sz="4" w:space="0" w:color="000000"/>
              <w:bottom w:val="nil"/>
              <w:right w:val="single" w:sz="4" w:space="0" w:color="auto"/>
            </w:tcBorders>
            <w:shd w:val="clear" w:color="auto" w:fill="auto"/>
            <w:noWrap/>
            <w:vAlign w:val="center"/>
            <w:hideMark/>
          </w:tcPr>
          <w:p w14:paraId="291CD9BB"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2 268,7</w:t>
            </w:r>
          </w:p>
        </w:tc>
        <w:tc>
          <w:tcPr>
            <w:tcW w:w="765" w:type="dxa"/>
            <w:tcBorders>
              <w:top w:val="nil"/>
              <w:left w:val="single" w:sz="4" w:space="0" w:color="auto"/>
              <w:bottom w:val="nil"/>
              <w:right w:val="single" w:sz="4" w:space="0" w:color="auto"/>
            </w:tcBorders>
            <w:shd w:val="clear" w:color="auto" w:fill="auto"/>
            <w:noWrap/>
            <w:vAlign w:val="center"/>
            <w:hideMark/>
          </w:tcPr>
          <w:p w14:paraId="52D9AF74"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2 663,4</w:t>
            </w:r>
          </w:p>
        </w:tc>
        <w:tc>
          <w:tcPr>
            <w:tcW w:w="765" w:type="dxa"/>
            <w:tcBorders>
              <w:top w:val="nil"/>
              <w:left w:val="single" w:sz="4" w:space="0" w:color="auto"/>
              <w:bottom w:val="nil"/>
              <w:right w:val="single" w:sz="4" w:space="0" w:color="auto"/>
            </w:tcBorders>
            <w:shd w:val="clear" w:color="auto" w:fill="auto"/>
            <w:noWrap/>
            <w:vAlign w:val="center"/>
            <w:hideMark/>
          </w:tcPr>
          <w:p w14:paraId="042CCACA"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2 278,2</w:t>
            </w:r>
          </w:p>
        </w:tc>
        <w:tc>
          <w:tcPr>
            <w:tcW w:w="765" w:type="dxa"/>
            <w:tcBorders>
              <w:top w:val="nil"/>
              <w:left w:val="single" w:sz="4" w:space="0" w:color="auto"/>
              <w:bottom w:val="nil"/>
              <w:right w:val="single" w:sz="4" w:space="0" w:color="auto"/>
            </w:tcBorders>
            <w:shd w:val="clear" w:color="000000" w:fill="D9D9D9"/>
            <w:noWrap/>
            <w:vAlign w:val="center"/>
            <w:hideMark/>
          </w:tcPr>
          <w:p w14:paraId="456C4C19"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1 393,6</w:t>
            </w:r>
          </w:p>
        </w:tc>
        <w:tc>
          <w:tcPr>
            <w:tcW w:w="765" w:type="dxa"/>
            <w:tcBorders>
              <w:top w:val="nil"/>
              <w:left w:val="single" w:sz="4" w:space="0" w:color="auto"/>
              <w:bottom w:val="nil"/>
              <w:right w:val="single" w:sz="4" w:space="0" w:color="auto"/>
            </w:tcBorders>
            <w:shd w:val="clear" w:color="auto" w:fill="auto"/>
            <w:noWrap/>
            <w:vAlign w:val="center"/>
            <w:hideMark/>
          </w:tcPr>
          <w:p w14:paraId="66B03512"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1 241,1</w:t>
            </w:r>
          </w:p>
        </w:tc>
        <w:tc>
          <w:tcPr>
            <w:tcW w:w="765" w:type="dxa"/>
            <w:tcBorders>
              <w:top w:val="nil"/>
              <w:left w:val="single" w:sz="4" w:space="0" w:color="auto"/>
              <w:bottom w:val="nil"/>
              <w:right w:val="single" w:sz="4" w:space="0" w:color="auto"/>
            </w:tcBorders>
            <w:shd w:val="clear" w:color="auto" w:fill="auto"/>
            <w:noWrap/>
            <w:vAlign w:val="center"/>
            <w:hideMark/>
          </w:tcPr>
          <w:p w14:paraId="10F0D327"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1 304,1</w:t>
            </w:r>
          </w:p>
        </w:tc>
        <w:tc>
          <w:tcPr>
            <w:tcW w:w="765" w:type="dxa"/>
            <w:tcBorders>
              <w:top w:val="nil"/>
              <w:left w:val="single" w:sz="4" w:space="0" w:color="auto"/>
              <w:bottom w:val="nil"/>
              <w:right w:val="single" w:sz="4" w:space="0" w:color="auto"/>
            </w:tcBorders>
            <w:shd w:val="clear" w:color="auto" w:fill="auto"/>
            <w:noWrap/>
            <w:vAlign w:val="center"/>
            <w:hideMark/>
          </w:tcPr>
          <w:p w14:paraId="01E129F5"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1 451,7</w:t>
            </w:r>
          </w:p>
        </w:tc>
        <w:tc>
          <w:tcPr>
            <w:tcW w:w="765" w:type="dxa"/>
            <w:tcBorders>
              <w:top w:val="nil"/>
              <w:left w:val="single" w:sz="4" w:space="0" w:color="auto"/>
              <w:bottom w:val="nil"/>
              <w:right w:val="single" w:sz="4" w:space="0" w:color="auto"/>
            </w:tcBorders>
            <w:shd w:val="clear" w:color="auto" w:fill="auto"/>
            <w:noWrap/>
            <w:vAlign w:val="center"/>
            <w:hideMark/>
          </w:tcPr>
          <w:p w14:paraId="3613449E"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1 431,9</w:t>
            </w:r>
          </w:p>
        </w:tc>
        <w:tc>
          <w:tcPr>
            <w:tcW w:w="765" w:type="dxa"/>
            <w:tcBorders>
              <w:top w:val="nil"/>
              <w:left w:val="single" w:sz="4" w:space="0" w:color="auto"/>
              <w:bottom w:val="nil"/>
              <w:right w:val="single" w:sz="4" w:space="0" w:color="auto"/>
            </w:tcBorders>
            <w:shd w:val="clear" w:color="auto" w:fill="auto"/>
            <w:noWrap/>
            <w:vAlign w:val="center"/>
            <w:hideMark/>
          </w:tcPr>
          <w:p w14:paraId="1C3C261D"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1 327,2</w:t>
            </w:r>
          </w:p>
        </w:tc>
        <w:tc>
          <w:tcPr>
            <w:tcW w:w="765" w:type="dxa"/>
            <w:tcBorders>
              <w:top w:val="nil"/>
              <w:left w:val="single" w:sz="4" w:space="0" w:color="auto"/>
              <w:bottom w:val="nil"/>
              <w:right w:val="single" w:sz="4" w:space="0" w:color="auto"/>
            </w:tcBorders>
            <w:shd w:val="clear" w:color="auto" w:fill="D9D9D9"/>
            <w:vAlign w:val="center"/>
          </w:tcPr>
          <w:p w14:paraId="4A8EE04E" w14:textId="77777777" w:rsidR="00B33613" w:rsidRDefault="00B33613" w:rsidP="00B33613">
            <w:pPr>
              <w:spacing w:after="0" w:line="240" w:lineRule="auto"/>
              <w:jc w:val="right"/>
              <w:rPr>
                <w:rFonts w:cs="Arial"/>
                <w:sz w:val="16"/>
                <w:szCs w:val="16"/>
              </w:rPr>
            </w:pPr>
            <w:r>
              <w:rPr>
                <w:rFonts w:cs="Arial"/>
                <w:sz w:val="16"/>
                <w:szCs w:val="16"/>
              </w:rPr>
              <w:t>1 139,6</w:t>
            </w:r>
          </w:p>
        </w:tc>
        <w:tc>
          <w:tcPr>
            <w:tcW w:w="765" w:type="dxa"/>
            <w:tcBorders>
              <w:top w:val="nil"/>
              <w:left w:val="single" w:sz="4" w:space="0" w:color="auto"/>
              <w:bottom w:val="nil"/>
              <w:right w:val="nil"/>
            </w:tcBorders>
            <w:vAlign w:val="center"/>
          </w:tcPr>
          <w:p w14:paraId="7F23256D" w14:textId="2735D1AE" w:rsidR="00B33613" w:rsidRDefault="00B33613" w:rsidP="00B33613">
            <w:pPr>
              <w:spacing w:after="0" w:line="240" w:lineRule="auto"/>
              <w:jc w:val="right"/>
              <w:rPr>
                <w:rFonts w:cs="Arial"/>
                <w:sz w:val="16"/>
                <w:szCs w:val="16"/>
              </w:rPr>
            </w:pPr>
            <w:r>
              <w:rPr>
                <w:rFonts w:cs="Arial"/>
                <w:sz w:val="16"/>
                <w:szCs w:val="16"/>
              </w:rPr>
              <w:t>1 164,9</w:t>
            </w:r>
          </w:p>
        </w:tc>
      </w:tr>
      <w:tr w:rsidR="00B33613" w:rsidRPr="00166BEB" w14:paraId="3062EBC8" w14:textId="77777777" w:rsidTr="00B33613">
        <w:trPr>
          <w:trHeight w:val="300"/>
        </w:trPr>
        <w:tc>
          <w:tcPr>
            <w:tcW w:w="0" w:type="auto"/>
            <w:tcBorders>
              <w:top w:val="nil"/>
              <w:left w:val="nil"/>
              <w:bottom w:val="nil"/>
              <w:right w:val="nil"/>
            </w:tcBorders>
            <w:shd w:val="clear" w:color="auto" w:fill="auto"/>
            <w:noWrap/>
            <w:vAlign w:val="center"/>
            <w:hideMark/>
          </w:tcPr>
          <w:p w14:paraId="4ECD26B1"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Polsko</w:t>
            </w:r>
          </w:p>
        </w:tc>
        <w:tc>
          <w:tcPr>
            <w:tcW w:w="765" w:type="dxa"/>
            <w:tcBorders>
              <w:top w:val="nil"/>
              <w:left w:val="single" w:sz="4" w:space="0" w:color="000000"/>
              <w:bottom w:val="nil"/>
              <w:right w:val="single" w:sz="4" w:space="0" w:color="auto"/>
            </w:tcBorders>
            <w:shd w:val="clear" w:color="auto" w:fill="auto"/>
            <w:noWrap/>
            <w:vAlign w:val="center"/>
            <w:hideMark/>
          </w:tcPr>
          <w:p w14:paraId="2F522B25"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580,9</w:t>
            </w:r>
          </w:p>
        </w:tc>
        <w:tc>
          <w:tcPr>
            <w:tcW w:w="765" w:type="dxa"/>
            <w:tcBorders>
              <w:top w:val="nil"/>
              <w:left w:val="single" w:sz="4" w:space="0" w:color="auto"/>
              <w:bottom w:val="nil"/>
              <w:right w:val="single" w:sz="4" w:space="0" w:color="auto"/>
            </w:tcBorders>
            <w:shd w:val="clear" w:color="auto" w:fill="auto"/>
            <w:noWrap/>
            <w:vAlign w:val="center"/>
            <w:hideMark/>
          </w:tcPr>
          <w:p w14:paraId="7E4DF1EB"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607,2</w:t>
            </w:r>
          </w:p>
        </w:tc>
        <w:tc>
          <w:tcPr>
            <w:tcW w:w="765" w:type="dxa"/>
            <w:tcBorders>
              <w:top w:val="nil"/>
              <w:left w:val="single" w:sz="4" w:space="0" w:color="auto"/>
              <w:bottom w:val="nil"/>
              <w:right w:val="single" w:sz="4" w:space="0" w:color="auto"/>
            </w:tcBorders>
            <w:shd w:val="clear" w:color="auto" w:fill="auto"/>
            <w:noWrap/>
            <w:vAlign w:val="center"/>
            <w:hideMark/>
          </w:tcPr>
          <w:p w14:paraId="0F46CF84"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540,8</w:t>
            </w:r>
          </w:p>
        </w:tc>
        <w:tc>
          <w:tcPr>
            <w:tcW w:w="765" w:type="dxa"/>
            <w:tcBorders>
              <w:top w:val="nil"/>
              <w:left w:val="single" w:sz="4" w:space="0" w:color="auto"/>
              <w:bottom w:val="nil"/>
              <w:right w:val="single" w:sz="4" w:space="0" w:color="auto"/>
            </w:tcBorders>
            <w:shd w:val="clear" w:color="auto" w:fill="auto"/>
            <w:noWrap/>
            <w:vAlign w:val="center"/>
            <w:hideMark/>
          </w:tcPr>
          <w:p w14:paraId="2A93BA45"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525,2</w:t>
            </w:r>
          </w:p>
        </w:tc>
        <w:tc>
          <w:tcPr>
            <w:tcW w:w="765" w:type="dxa"/>
            <w:tcBorders>
              <w:top w:val="nil"/>
              <w:left w:val="single" w:sz="4" w:space="0" w:color="auto"/>
              <w:bottom w:val="nil"/>
              <w:right w:val="single" w:sz="4" w:space="0" w:color="auto"/>
            </w:tcBorders>
            <w:shd w:val="clear" w:color="auto" w:fill="auto"/>
            <w:noWrap/>
            <w:vAlign w:val="center"/>
            <w:hideMark/>
          </w:tcPr>
          <w:p w14:paraId="005DAF34"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535,1</w:t>
            </w:r>
          </w:p>
        </w:tc>
        <w:tc>
          <w:tcPr>
            <w:tcW w:w="765" w:type="dxa"/>
            <w:tcBorders>
              <w:top w:val="nil"/>
              <w:left w:val="single" w:sz="4" w:space="0" w:color="auto"/>
              <w:bottom w:val="nil"/>
              <w:right w:val="single" w:sz="4" w:space="0" w:color="auto"/>
            </w:tcBorders>
            <w:shd w:val="clear" w:color="auto" w:fill="auto"/>
            <w:noWrap/>
            <w:vAlign w:val="center"/>
            <w:hideMark/>
          </w:tcPr>
          <w:p w14:paraId="251711F8"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537,7</w:t>
            </w:r>
          </w:p>
        </w:tc>
        <w:tc>
          <w:tcPr>
            <w:tcW w:w="765" w:type="dxa"/>
            <w:tcBorders>
              <w:top w:val="nil"/>
              <w:left w:val="single" w:sz="4" w:space="0" w:color="auto"/>
              <w:bottom w:val="nil"/>
              <w:right w:val="single" w:sz="4" w:space="0" w:color="auto"/>
            </w:tcBorders>
            <w:shd w:val="clear" w:color="auto" w:fill="auto"/>
            <w:noWrap/>
            <w:vAlign w:val="center"/>
            <w:hideMark/>
          </w:tcPr>
          <w:p w14:paraId="011913CB"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518,1</w:t>
            </w:r>
          </w:p>
        </w:tc>
        <w:tc>
          <w:tcPr>
            <w:tcW w:w="765" w:type="dxa"/>
            <w:tcBorders>
              <w:top w:val="nil"/>
              <w:left w:val="single" w:sz="4" w:space="0" w:color="auto"/>
              <w:bottom w:val="nil"/>
              <w:right w:val="single" w:sz="4" w:space="0" w:color="auto"/>
            </w:tcBorders>
            <w:shd w:val="clear" w:color="auto" w:fill="auto"/>
            <w:noWrap/>
            <w:vAlign w:val="center"/>
            <w:hideMark/>
          </w:tcPr>
          <w:p w14:paraId="3A18F331"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574,2</w:t>
            </w:r>
          </w:p>
        </w:tc>
        <w:tc>
          <w:tcPr>
            <w:tcW w:w="765" w:type="dxa"/>
            <w:tcBorders>
              <w:top w:val="nil"/>
              <w:left w:val="single" w:sz="4" w:space="0" w:color="auto"/>
              <w:bottom w:val="nil"/>
              <w:right w:val="single" w:sz="4" w:space="0" w:color="auto"/>
            </w:tcBorders>
            <w:shd w:val="clear" w:color="auto" w:fill="auto"/>
            <w:noWrap/>
            <w:vAlign w:val="center"/>
            <w:hideMark/>
          </w:tcPr>
          <w:p w14:paraId="6A366B3A"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479,1</w:t>
            </w:r>
          </w:p>
        </w:tc>
        <w:tc>
          <w:tcPr>
            <w:tcW w:w="765" w:type="dxa"/>
            <w:tcBorders>
              <w:top w:val="nil"/>
              <w:left w:val="single" w:sz="4" w:space="0" w:color="auto"/>
              <w:bottom w:val="nil"/>
              <w:right w:val="single" w:sz="4" w:space="0" w:color="auto"/>
            </w:tcBorders>
            <w:shd w:val="clear" w:color="auto" w:fill="D9D9D9"/>
            <w:vAlign w:val="center"/>
          </w:tcPr>
          <w:p w14:paraId="44BC7FDD" w14:textId="77777777" w:rsidR="00B33613" w:rsidRDefault="00B33613" w:rsidP="00B33613">
            <w:pPr>
              <w:spacing w:after="0" w:line="240" w:lineRule="auto"/>
              <w:jc w:val="right"/>
              <w:rPr>
                <w:rFonts w:cs="Arial"/>
                <w:sz w:val="16"/>
                <w:szCs w:val="16"/>
              </w:rPr>
            </w:pPr>
            <w:r>
              <w:rPr>
                <w:rFonts w:cs="Arial"/>
                <w:sz w:val="16"/>
                <w:szCs w:val="16"/>
              </w:rPr>
              <w:t>424,0</w:t>
            </w:r>
          </w:p>
        </w:tc>
        <w:tc>
          <w:tcPr>
            <w:tcW w:w="765" w:type="dxa"/>
            <w:tcBorders>
              <w:top w:val="nil"/>
              <w:left w:val="single" w:sz="4" w:space="0" w:color="auto"/>
              <w:bottom w:val="nil"/>
              <w:right w:val="nil"/>
            </w:tcBorders>
            <w:vAlign w:val="center"/>
          </w:tcPr>
          <w:p w14:paraId="3115244E" w14:textId="56B9C811" w:rsidR="00B33613" w:rsidRDefault="00B33613" w:rsidP="00B33613">
            <w:pPr>
              <w:spacing w:after="0" w:line="240" w:lineRule="auto"/>
              <w:jc w:val="right"/>
              <w:rPr>
                <w:rFonts w:cs="Arial"/>
                <w:sz w:val="16"/>
                <w:szCs w:val="16"/>
              </w:rPr>
            </w:pPr>
            <w:r>
              <w:rPr>
                <w:rFonts w:cs="Arial"/>
                <w:sz w:val="16"/>
                <w:szCs w:val="16"/>
              </w:rPr>
              <w:t>464,4</w:t>
            </w:r>
          </w:p>
        </w:tc>
      </w:tr>
      <w:tr w:rsidR="00B33613" w:rsidRPr="00166BEB" w14:paraId="438FB228" w14:textId="77777777" w:rsidTr="00B33613">
        <w:trPr>
          <w:trHeight w:val="300"/>
        </w:trPr>
        <w:tc>
          <w:tcPr>
            <w:tcW w:w="0" w:type="auto"/>
            <w:tcBorders>
              <w:top w:val="nil"/>
              <w:left w:val="nil"/>
              <w:bottom w:val="nil"/>
              <w:right w:val="nil"/>
            </w:tcBorders>
            <w:shd w:val="clear" w:color="auto" w:fill="auto"/>
            <w:noWrap/>
            <w:vAlign w:val="center"/>
            <w:hideMark/>
          </w:tcPr>
          <w:p w14:paraId="5DFC208F"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Portugalsko</w:t>
            </w:r>
          </w:p>
        </w:tc>
        <w:tc>
          <w:tcPr>
            <w:tcW w:w="765" w:type="dxa"/>
            <w:tcBorders>
              <w:top w:val="nil"/>
              <w:left w:val="single" w:sz="4" w:space="0" w:color="000000"/>
              <w:bottom w:val="nil"/>
              <w:right w:val="single" w:sz="4" w:space="0" w:color="auto"/>
            </w:tcBorders>
            <w:shd w:val="clear" w:color="auto" w:fill="auto"/>
            <w:noWrap/>
            <w:vAlign w:val="center"/>
            <w:hideMark/>
          </w:tcPr>
          <w:p w14:paraId="2C7A040A"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3 537,0</w:t>
            </w:r>
          </w:p>
        </w:tc>
        <w:tc>
          <w:tcPr>
            <w:tcW w:w="765" w:type="dxa"/>
            <w:tcBorders>
              <w:top w:val="nil"/>
              <w:left w:val="single" w:sz="4" w:space="0" w:color="auto"/>
              <w:bottom w:val="nil"/>
              <w:right w:val="single" w:sz="4" w:space="0" w:color="auto"/>
            </w:tcBorders>
            <w:shd w:val="clear" w:color="auto" w:fill="auto"/>
            <w:noWrap/>
            <w:vAlign w:val="center"/>
            <w:hideMark/>
          </w:tcPr>
          <w:p w14:paraId="5FF9B14C"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3 563,5</w:t>
            </w:r>
          </w:p>
        </w:tc>
        <w:tc>
          <w:tcPr>
            <w:tcW w:w="765" w:type="dxa"/>
            <w:tcBorders>
              <w:top w:val="nil"/>
              <w:left w:val="single" w:sz="4" w:space="0" w:color="auto"/>
              <w:bottom w:val="nil"/>
              <w:right w:val="single" w:sz="4" w:space="0" w:color="auto"/>
            </w:tcBorders>
            <w:shd w:val="clear" w:color="auto" w:fill="auto"/>
            <w:noWrap/>
            <w:vAlign w:val="center"/>
            <w:hideMark/>
          </w:tcPr>
          <w:p w14:paraId="09139D42"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3 618,8</w:t>
            </w:r>
          </w:p>
        </w:tc>
        <w:tc>
          <w:tcPr>
            <w:tcW w:w="765" w:type="dxa"/>
            <w:tcBorders>
              <w:top w:val="nil"/>
              <w:left w:val="single" w:sz="4" w:space="0" w:color="auto"/>
              <w:bottom w:val="nil"/>
              <w:right w:val="single" w:sz="4" w:space="0" w:color="auto"/>
            </w:tcBorders>
            <w:shd w:val="clear" w:color="auto" w:fill="auto"/>
            <w:noWrap/>
            <w:vAlign w:val="center"/>
            <w:hideMark/>
          </w:tcPr>
          <w:p w14:paraId="5084AEFD"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3 582,2</w:t>
            </w:r>
          </w:p>
        </w:tc>
        <w:tc>
          <w:tcPr>
            <w:tcW w:w="765" w:type="dxa"/>
            <w:tcBorders>
              <w:top w:val="nil"/>
              <w:left w:val="single" w:sz="4" w:space="0" w:color="auto"/>
              <w:bottom w:val="nil"/>
              <w:right w:val="single" w:sz="4" w:space="0" w:color="auto"/>
            </w:tcBorders>
            <w:shd w:val="clear" w:color="auto" w:fill="auto"/>
            <w:noWrap/>
            <w:vAlign w:val="center"/>
            <w:hideMark/>
          </w:tcPr>
          <w:p w14:paraId="0D39FABA"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3 677,2</w:t>
            </w:r>
          </w:p>
        </w:tc>
        <w:tc>
          <w:tcPr>
            <w:tcW w:w="765" w:type="dxa"/>
            <w:tcBorders>
              <w:top w:val="nil"/>
              <w:left w:val="single" w:sz="4" w:space="0" w:color="auto"/>
              <w:bottom w:val="nil"/>
              <w:right w:val="single" w:sz="4" w:space="0" w:color="auto"/>
            </w:tcBorders>
            <w:shd w:val="clear" w:color="auto" w:fill="auto"/>
            <w:noWrap/>
            <w:vAlign w:val="center"/>
            <w:hideMark/>
          </w:tcPr>
          <w:p w14:paraId="04546ABF"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3 589,5</w:t>
            </w:r>
          </w:p>
        </w:tc>
        <w:tc>
          <w:tcPr>
            <w:tcW w:w="765" w:type="dxa"/>
            <w:tcBorders>
              <w:top w:val="nil"/>
              <w:left w:val="single" w:sz="4" w:space="0" w:color="auto"/>
              <w:bottom w:val="nil"/>
              <w:right w:val="single" w:sz="4" w:space="0" w:color="auto"/>
            </w:tcBorders>
            <w:shd w:val="clear" w:color="auto" w:fill="auto"/>
            <w:noWrap/>
            <w:vAlign w:val="center"/>
            <w:hideMark/>
          </w:tcPr>
          <w:p w14:paraId="358FC534"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3 563,4</w:t>
            </w:r>
          </w:p>
        </w:tc>
        <w:tc>
          <w:tcPr>
            <w:tcW w:w="765" w:type="dxa"/>
            <w:tcBorders>
              <w:top w:val="nil"/>
              <w:left w:val="single" w:sz="4" w:space="0" w:color="auto"/>
              <w:bottom w:val="nil"/>
              <w:right w:val="single" w:sz="4" w:space="0" w:color="auto"/>
            </w:tcBorders>
            <w:shd w:val="clear" w:color="auto" w:fill="auto"/>
            <w:noWrap/>
            <w:vAlign w:val="center"/>
            <w:hideMark/>
          </w:tcPr>
          <w:p w14:paraId="678D2EFC"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3 342,9</w:t>
            </w:r>
          </w:p>
        </w:tc>
        <w:tc>
          <w:tcPr>
            <w:tcW w:w="765" w:type="dxa"/>
            <w:tcBorders>
              <w:top w:val="nil"/>
              <w:left w:val="single" w:sz="4" w:space="0" w:color="auto"/>
              <w:bottom w:val="nil"/>
              <w:right w:val="single" w:sz="4" w:space="0" w:color="auto"/>
            </w:tcBorders>
            <w:shd w:val="clear" w:color="auto" w:fill="auto"/>
            <w:noWrap/>
            <w:vAlign w:val="center"/>
            <w:hideMark/>
          </w:tcPr>
          <w:p w14:paraId="2E50643F"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3 283,7</w:t>
            </w:r>
          </w:p>
        </w:tc>
        <w:tc>
          <w:tcPr>
            <w:tcW w:w="765" w:type="dxa"/>
            <w:tcBorders>
              <w:top w:val="nil"/>
              <w:left w:val="single" w:sz="4" w:space="0" w:color="auto"/>
              <w:bottom w:val="nil"/>
              <w:right w:val="single" w:sz="4" w:space="0" w:color="auto"/>
            </w:tcBorders>
            <w:shd w:val="clear" w:color="auto" w:fill="D9D9D9"/>
            <w:vAlign w:val="center"/>
          </w:tcPr>
          <w:p w14:paraId="5D229189" w14:textId="77777777" w:rsidR="00B33613" w:rsidRDefault="00B33613" w:rsidP="00B33613">
            <w:pPr>
              <w:spacing w:after="0" w:line="240" w:lineRule="auto"/>
              <w:jc w:val="right"/>
              <w:rPr>
                <w:rFonts w:cs="Arial"/>
                <w:sz w:val="16"/>
                <w:szCs w:val="16"/>
              </w:rPr>
            </w:pPr>
            <w:r>
              <w:rPr>
                <w:rFonts w:cs="Arial"/>
                <w:sz w:val="16"/>
                <w:szCs w:val="16"/>
              </w:rPr>
              <w:t>2 814,2</w:t>
            </w:r>
          </w:p>
        </w:tc>
        <w:tc>
          <w:tcPr>
            <w:tcW w:w="765" w:type="dxa"/>
            <w:tcBorders>
              <w:top w:val="nil"/>
              <w:left w:val="single" w:sz="4" w:space="0" w:color="auto"/>
              <w:bottom w:val="nil"/>
              <w:right w:val="nil"/>
            </w:tcBorders>
            <w:vAlign w:val="center"/>
          </w:tcPr>
          <w:p w14:paraId="168205BA" w14:textId="303D156F" w:rsidR="00B33613" w:rsidRDefault="00B33613" w:rsidP="00B33613">
            <w:pPr>
              <w:spacing w:after="0" w:line="240" w:lineRule="auto"/>
              <w:jc w:val="right"/>
              <w:rPr>
                <w:rFonts w:cs="Arial"/>
                <w:sz w:val="16"/>
                <w:szCs w:val="16"/>
              </w:rPr>
            </w:pPr>
            <w:r>
              <w:rPr>
                <w:rFonts w:cs="Arial"/>
                <w:sz w:val="16"/>
                <w:szCs w:val="16"/>
              </w:rPr>
              <w:t>3 038,9</w:t>
            </w:r>
          </w:p>
        </w:tc>
      </w:tr>
      <w:tr w:rsidR="00B33613" w:rsidRPr="00166BEB" w14:paraId="7ACFBCC6" w14:textId="77777777" w:rsidTr="00B33613">
        <w:trPr>
          <w:trHeight w:val="300"/>
        </w:trPr>
        <w:tc>
          <w:tcPr>
            <w:tcW w:w="0" w:type="auto"/>
            <w:tcBorders>
              <w:top w:val="nil"/>
              <w:left w:val="nil"/>
              <w:bottom w:val="nil"/>
              <w:right w:val="nil"/>
            </w:tcBorders>
            <w:shd w:val="clear" w:color="auto" w:fill="auto"/>
            <w:noWrap/>
            <w:vAlign w:val="center"/>
            <w:hideMark/>
          </w:tcPr>
          <w:p w14:paraId="7AB2818B"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Rakousko</w:t>
            </w:r>
          </w:p>
        </w:tc>
        <w:tc>
          <w:tcPr>
            <w:tcW w:w="765" w:type="dxa"/>
            <w:tcBorders>
              <w:top w:val="nil"/>
              <w:left w:val="single" w:sz="4" w:space="0" w:color="000000"/>
              <w:bottom w:val="nil"/>
              <w:right w:val="single" w:sz="4" w:space="0" w:color="auto"/>
            </w:tcBorders>
            <w:shd w:val="clear" w:color="auto" w:fill="auto"/>
            <w:noWrap/>
            <w:vAlign w:val="center"/>
            <w:hideMark/>
          </w:tcPr>
          <w:p w14:paraId="2D20A99C"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1 961,3</w:t>
            </w:r>
          </w:p>
        </w:tc>
        <w:tc>
          <w:tcPr>
            <w:tcW w:w="765" w:type="dxa"/>
            <w:tcBorders>
              <w:top w:val="nil"/>
              <w:left w:val="single" w:sz="4" w:space="0" w:color="auto"/>
              <w:bottom w:val="nil"/>
              <w:right w:val="single" w:sz="4" w:space="0" w:color="auto"/>
            </w:tcBorders>
            <w:shd w:val="clear" w:color="auto" w:fill="auto"/>
            <w:noWrap/>
            <w:vAlign w:val="center"/>
            <w:hideMark/>
          </w:tcPr>
          <w:p w14:paraId="59177FBD"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1 902,5</w:t>
            </w:r>
          </w:p>
        </w:tc>
        <w:tc>
          <w:tcPr>
            <w:tcW w:w="765" w:type="dxa"/>
            <w:tcBorders>
              <w:top w:val="nil"/>
              <w:left w:val="single" w:sz="4" w:space="0" w:color="auto"/>
              <w:bottom w:val="nil"/>
              <w:right w:val="single" w:sz="4" w:space="0" w:color="auto"/>
            </w:tcBorders>
            <w:shd w:val="clear" w:color="auto" w:fill="auto"/>
            <w:noWrap/>
            <w:vAlign w:val="center"/>
            <w:hideMark/>
          </w:tcPr>
          <w:p w14:paraId="758C6D18"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1 840,2</w:t>
            </w:r>
          </w:p>
        </w:tc>
        <w:tc>
          <w:tcPr>
            <w:tcW w:w="765" w:type="dxa"/>
            <w:tcBorders>
              <w:top w:val="nil"/>
              <w:left w:val="single" w:sz="4" w:space="0" w:color="auto"/>
              <w:bottom w:val="nil"/>
              <w:right w:val="single" w:sz="4" w:space="0" w:color="auto"/>
            </w:tcBorders>
            <w:shd w:val="clear" w:color="auto" w:fill="auto"/>
            <w:noWrap/>
            <w:vAlign w:val="center"/>
            <w:hideMark/>
          </w:tcPr>
          <w:p w14:paraId="27422017"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1 806,0</w:t>
            </w:r>
          </w:p>
        </w:tc>
        <w:tc>
          <w:tcPr>
            <w:tcW w:w="765" w:type="dxa"/>
            <w:tcBorders>
              <w:top w:val="nil"/>
              <w:left w:val="single" w:sz="4" w:space="0" w:color="auto"/>
              <w:bottom w:val="nil"/>
              <w:right w:val="single" w:sz="4" w:space="0" w:color="auto"/>
            </w:tcBorders>
            <w:shd w:val="clear" w:color="auto" w:fill="auto"/>
            <w:noWrap/>
            <w:vAlign w:val="center"/>
            <w:hideMark/>
          </w:tcPr>
          <w:p w14:paraId="2ED5DB43"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1 749,8</w:t>
            </w:r>
          </w:p>
        </w:tc>
        <w:tc>
          <w:tcPr>
            <w:tcW w:w="765" w:type="dxa"/>
            <w:tcBorders>
              <w:top w:val="nil"/>
              <w:left w:val="single" w:sz="4" w:space="0" w:color="auto"/>
              <w:bottom w:val="nil"/>
              <w:right w:val="single" w:sz="4" w:space="0" w:color="auto"/>
            </w:tcBorders>
            <w:shd w:val="clear" w:color="auto" w:fill="auto"/>
            <w:noWrap/>
            <w:vAlign w:val="center"/>
            <w:hideMark/>
          </w:tcPr>
          <w:p w14:paraId="5D496910"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2 102,3</w:t>
            </w:r>
          </w:p>
        </w:tc>
        <w:tc>
          <w:tcPr>
            <w:tcW w:w="765" w:type="dxa"/>
            <w:tcBorders>
              <w:top w:val="nil"/>
              <w:left w:val="single" w:sz="4" w:space="0" w:color="auto"/>
              <w:bottom w:val="nil"/>
              <w:right w:val="single" w:sz="4" w:space="0" w:color="auto"/>
            </w:tcBorders>
            <w:shd w:val="clear" w:color="auto" w:fill="auto"/>
            <w:noWrap/>
            <w:vAlign w:val="center"/>
            <w:hideMark/>
          </w:tcPr>
          <w:p w14:paraId="64506ED7"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2 072,6</w:t>
            </w:r>
          </w:p>
        </w:tc>
        <w:tc>
          <w:tcPr>
            <w:tcW w:w="765" w:type="dxa"/>
            <w:tcBorders>
              <w:top w:val="nil"/>
              <w:left w:val="single" w:sz="4" w:space="0" w:color="auto"/>
              <w:bottom w:val="nil"/>
              <w:right w:val="single" w:sz="4" w:space="0" w:color="auto"/>
            </w:tcBorders>
            <w:shd w:val="clear" w:color="auto" w:fill="auto"/>
            <w:noWrap/>
            <w:vAlign w:val="center"/>
            <w:hideMark/>
          </w:tcPr>
          <w:p w14:paraId="7CB91AC0"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1 864,2</w:t>
            </w:r>
          </w:p>
        </w:tc>
        <w:tc>
          <w:tcPr>
            <w:tcW w:w="765" w:type="dxa"/>
            <w:tcBorders>
              <w:top w:val="nil"/>
              <w:left w:val="single" w:sz="4" w:space="0" w:color="auto"/>
              <w:bottom w:val="nil"/>
              <w:right w:val="single" w:sz="4" w:space="0" w:color="auto"/>
            </w:tcBorders>
            <w:shd w:val="clear" w:color="auto" w:fill="auto"/>
            <w:noWrap/>
            <w:vAlign w:val="center"/>
            <w:hideMark/>
          </w:tcPr>
          <w:p w14:paraId="64442020"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1 721,6</w:t>
            </w:r>
          </w:p>
        </w:tc>
        <w:tc>
          <w:tcPr>
            <w:tcW w:w="765" w:type="dxa"/>
            <w:tcBorders>
              <w:top w:val="nil"/>
              <w:left w:val="single" w:sz="4" w:space="0" w:color="auto"/>
              <w:bottom w:val="nil"/>
              <w:right w:val="single" w:sz="4" w:space="0" w:color="auto"/>
            </w:tcBorders>
            <w:shd w:val="clear" w:color="auto" w:fill="D9D9D9"/>
            <w:vAlign w:val="center"/>
          </w:tcPr>
          <w:p w14:paraId="24914684" w14:textId="77777777" w:rsidR="00B33613" w:rsidRDefault="00B33613" w:rsidP="00B33613">
            <w:pPr>
              <w:spacing w:after="0" w:line="240" w:lineRule="auto"/>
              <w:jc w:val="right"/>
              <w:rPr>
                <w:rFonts w:cs="Arial"/>
                <w:sz w:val="16"/>
                <w:szCs w:val="16"/>
              </w:rPr>
            </w:pPr>
            <w:r>
              <w:rPr>
                <w:rFonts w:cs="Arial"/>
                <w:sz w:val="16"/>
                <w:szCs w:val="16"/>
              </w:rPr>
              <w:t>1 531,7</w:t>
            </w:r>
          </w:p>
        </w:tc>
        <w:tc>
          <w:tcPr>
            <w:tcW w:w="765" w:type="dxa"/>
            <w:tcBorders>
              <w:top w:val="nil"/>
              <w:left w:val="single" w:sz="4" w:space="0" w:color="auto"/>
              <w:bottom w:val="nil"/>
              <w:right w:val="nil"/>
            </w:tcBorders>
            <w:vAlign w:val="center"/>
          </w:tcPr>
          <w:p w14:paraId="64F1A02F" w14:textId="326C1453" w:rsidR="00B33613" w:rsidRDefault="00B33613" w:rsidP="00B33613">
            <w:pPr>
              <w:spacing w:after="0" w:line="240" w:lineRule="auto"/>
              <w:jc w:val="right"/>
              <w:rPr>
                <w:rFonts w:cs="Arial"/>
                <w:sz w:val="16"/>
                <w:szCs w:val="16"/>
              </w:rPr>
            </w:pPr>
            <w:r>
              <w:rPr>
                <w:rFonts w:cs="Arial"/>
                <w:sz w:val="16"/>
                <w:szCs w:val="16"/>
              </w:rPr>
              <w:t>1 628,7</w:t>
            </w:r>
          </w:p>
        </w:tc>
      </w:tr>
      <w:tr w:rsidR="00B33613" w:rsidRPr="00166BEB" w14:paraId="02256630" w14:textId="77777777" w:rsidTr="00B33613">
        <w:trPr>
          <w:trHeight w:val="300"/>
        </w:trPr>
        <w:tc>
          <w:tcPr>
            <w:tcW w:w="0" w:type="auto"/>
            <w:tcBorders>
              <w:top w:val="nil"/>
              <w:left w:val="nil"/>
              <w:bottom w:val="nil"/>
              <w:right w:val="nil"/>
            </w:tcBorders>
            <w:shd w:val="clear" w:color="auto" w:fill="auto"/>
            <w:noWrap/>
            <w:vAlign w:val="center"/>
            <w:hideMark/>
          </w:tcPr>
          <w:p w14:paraId="0E89F1D7"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Rumunsko</w:t>
            </w:r>
          </w:p>
        </w:tc>
        <w:tc>
          <w:tcPr>
            <w:tcW w:w="765" w:type="dxa"/>
            <w:tcBorders>
              <w:top w:val="nil"/>
              <w:left w:val="single" w:sz="4" w:space="0" w:color="000000"/>
              <w:bottom w:val="nil"/>
              <w:right w:val="single" w:sz="4" w:space="0" w:color="auto"/>
            </w:tcBorders>
            <w:shd w:val="clear" w:color="auto" w:fill="auto"/>
            <w:noWrap/>
            <w:vAlign w:val="center"/>
            <w:hideMark/>
          </w:tcPr>
          <w:p w14:paraId="5D0F8CF6"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74,8</w:t>
            </w:r>
          </w:p>
        </w:tc>
        <w:tc>
          <w:tcPr>
            <w:tcW w:w="765" w:type="dxa"/>
            <w:tcBorders>
              <w:top w:val="nil"/>
              <w:left w:val="single" w:sz="4" w:space="0" w:color="auto"/>
              <w:bottom w:val="nil"/>
              <w:right w:val="single" w:sz="4" w:space="0" w:color="auto"/>
            </w:tcBorders>
            <w:shd w:val="clear" w:color="auto" w:fill="auto"/>
            <w:noWrap/>
            <w:vAlign w:val="center"/>
            <w:hideMark/>
          </w:tcPr>
          <w:p w14:paraId="389F9AA0"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72,5</w:t>
            </w:r>
          </w:p>
        </w:tc>
        <w:tc>
          <w:tcPr>
            <w:tcW w:w="765" w:type="dxa"/>
            <w:tcBorders>
              <w:top w:val="nil"/>
              <w:left w:val="single" w:sz="4" w:space="0" w:color="auto"/>
              <w:bottom w:val="nil"/>
              <w:right w:val="single" w:sz="4" w:space="0" w:color="auto"/>
            </w:tcBorders>
            <w:shd w:val="clear" w:color="auto" w:fill="auto"/>
            <w:noWrap/>
            <w:vAlign w:val="center"/>
            <w:hideMark/>
          </w:tcPr>
          <w:p w14:paraId="5DFBBD1F"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76,7</w:t>
            </w:r>
          </w:p>
        </w:tc>
        <w:tc>
          <w:tcPr>
            <w:tcW w:w="765" w:type="dxa"/>
            <w:tcBorders>
              <w:top w:val="nil"/>
              <w:left w:val="single" w:sz="4" w:space="0" w:color="auto"/>
              <w:bottom w:val="nil"/>
              <w:right w:val="single" w:sz="4" w:space="0" w:color="auto"/>
            </w:tcBorders>
            <w:shd w:val="clear" w:color="auto" w:fill="auto"/>
            <w:noWrap/>
            <w:vAlign w:val="center"/>
            <w:hideMark/>
          </w:tcPr>
          <w:p w14:paraId="1D9335AA"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74,8</w:t>
            </w:r>
          </w:p>
        </w:tc>
        <w:tc>
          <w:tcPr>
            <w:tcW w:w="765" w:type="dxa"/>
            <w:tcBorders>
              <w:top w:val="nil"/>
              <w:left w:val="single" w:sz="4" w:space="0" w:color="auto"/>
              <w:bottom w:val="nil"/>
              <w:right w:val="single" w:sz="4" w:space="0" w:color="auto"/>
            </w:tcBorders>
            <w:shd w:val="clear" w:color="auto" w:fill="auto"/>
            <w:noWrap/>
            <w:vAlign w:val="center"/>
            <w:hideMark/>
          </w:tcPr>
          <w:p w14:paraId="337E87B6"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85,8</w:t>
            </w:r>
          </w:p>
        </w:tc>
        <w:tc>
          <w:tcPr>
            <w:tcW w:w="765" w:type="dxa"/>
            <w:tcBorders>
              <w:top w:val="nil"/>
              <w:left w:val="single" w:sz="4" w:space="0" w:color="auto"/>
              <w:bottom w:val="nil"/>
              <w:right w:val="single" w:sz="4" w:space="0" w:color="auto"/>
            </w:tcBorders>
            <w:shd w:val="clear" w:color="auto" w:fill="auto"/>
            <w:noWrap/>
            <w:vAlign w:val="center"/>
            <w:hideMark/>
          </w:tcPr>
          <w:p w14:paraId="18291980"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87,4</w:t>
            </w:r>
          </w:p>
        </w:tc>
        <w:tc>
          <w:tcPr>
            <w:tcW w:w="765" w:type="dxa"/>
            <w:tcBorders>
              <w:top w:val="nil"/>
              <w:left w:val="single" w:sz="4" w:space="0" w:color="auto"/>
              <w:bottom w:val="nil"/>
              <w:right w:val="single" w:sz="4" w:space="0" w:color="auto"/>
            </w:tcBorders>
            <w:shd w:val="clear" w:color="auto" w:fill="auto"/>
            <w:noWrap/>
            <w:vAlign w:val="center"/>
            <w:hideMark/>
          </w:tcPr>
          <w:p w14:paraId="7BC408CE"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91,8</w:t>
            </w:r>
          </w:p>
        </w:tc>
        <w:tc>
          <w:tcPr>
            <w:tcW w:w="765" w:type="dxa"/>
            <w:tcBorders>
              <w:top w:val="nil"/>
              <w:left w:val="single" w:sz="4" w:space="0" w:color="auto"/>
              <w:bottom w:val="nil"/>
              <w:right w:val="single" w:sz="4" w:space="0" w:color="auto"/>
            </w:tcBorders>
            <w:shd w:val="clear" w:color="auto" w:fill="auto"/>
            <w:noWrap/>
            <w:vAlign w:val="center"/>
            <w:hideMark/>
          </w:tcPr>
          <w:p w14:paraId="2A92C7B7"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92,5</w:t>
            </w:r>
          </w:p>
        </w:tc>
        <w:tc>
          <w:tcPr>
            <w:tcW w:w="765" w:type="dxa"/>
            <w:tcBorders>
              <w:top w:val="nil"/>
              <w:left w:val="single" w:sz="4" w:space="0" w:color="auto"/>
              <w:bottom w:val="nil"/>
              <w:right w:val="single" w:sz="4" w:space="0" w:color="auto"/>
            </w:tcBorders>
            <w:shd w:val="clear" w:color="auto" w:fill="auto"/>
            <w:noWrap/>
            <w:vAlign w:val="center"/>
            <w:hideMark/>
          </w:tcPr>
          <w:p w14:paraId="5C047B24"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79,8</w:t>
            </w:r>
          </w:p>
        </w:tc>
        <w:tc>
          <w:tcPr>
            <w:tcW w:w="765" w:type="dxa"/>
            <w:tcBorders>
              <w:top w:val="nil"/>
              <w:left w:val="single" w:sz="4" w:space="0" w:color="auto"/>
              <w:bottom w:val="nil"/>
              <w:right w:val="single" w:sz="4" w:space="0" w:color="auto"/>
            </w:tcBorders>
            <w:shd w:val="clear" w:color="auto" w:fill="D9D9D9"/>
            <w:vAlign w:val="center"/>
          </w:tcPr>
          <w:p w14:paraId="32F4EEBE" w14:textId="77777777" w:rsidR="00B33613" w:rsidRDefault="00B33613" w:rsidP="00B33613">
            <w:pPr>
              <w:spacing w:after="0" w:line="240" w:lineRule="auto"/>
              <w:jc w:val="right"/>
              <w:rPr>
                <w:rFonts w:cs="Arial"/>
                <w:sz w:val="16"/>
                <w:szCs w:val="16"/>
              </w:rPr>
            </w:pPr>
            <w:r>
              <w:rPr>
                <w:rFonts w:cs="Arial"/>
                <w:sz w:val="16"/>
                <w:szCs w:val="16"/>
              </w:rPr>
              <w:t>80,6</w:t>
            </w:r>
          </w:p>
        </w:tc>
        <w:tc>
          <w:tcPr>
            <w:tcW w:w="765" w:type="dxa"/>
            <w:tcBorders>
              <w:top w:val="nil"/>
              <w:left w:val="single" w:sz="4" w:space="0" w:color="auto"/>
              <w:bottom w:val="nil"/>
              <w:right w:val="nil"/>
            </w:tcBorders>
            <w:vAlign w:val="center"/>
          </w:tcPr>
          <w:p w14:paraId="6B09CBD0" w14:textId="77547530" w:rsidR="00B33613" w:rsidRDefault="00B33613" w:rsidP="00B33613">
            <w:pPr>
              <w:spacing w:after="0" w:line="240" w:lineRule="auto"/>
              <w:jc w:val="right"/>
              <w:rPr>
                <w:rFonts w:cs="Arial"/>
                <w:sz w:val="16"/>
                <w:szCs w:val="16"/>
              </w:rPr>
            </w:pPr>
            <w:r>
              <w:rPr>
                <w:rFonts w:cs="Arial"/>
                <w:sz w:val="16"/>
                <w:szCs w:val="16"/>
              </w:rPr>
              <w:t>51,8</w:t>
            </w:r>
          </w:p>
        </w:tc>
      </w:tr>
      <w:tr w:rsidR="00B33613" w:rsidRPr="00166BEB" w14:paraId="28559EC2" w14:textId="77777777" w:rsidTr="00B33613">
        <w:trPr>
          <w:trHeight w:val="300"/>
        </w:trPr>
        <w:tc>
          <w:tcPr>
            <w:tcW w:w="0" w:type="auto"/>
            <w:tcBorders>
              <w:top w:val="nil"/>
              <w:left w:val="nil"/>
              <w:bottom w:val="nil"/>
              <w:right w:val="nil"/>
            </w:tcBorders>
            <w:shd w:val="clear" w:color="auto" w:fill="auto"/>
            <w:noWrap/>
            <w:vAlign w:val="center"/>
            <w:hideMark/>
          </w:tcPr>
          <w:p w14:paraId="6FCDEB6B"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Řecko</w:t>
            </w:r>
          </w:p>
        </w:tc>
        <w:tc>
          <w:tcPr>
            <w:tcW w:w="765" w:type="dxa"/>
            <w:tcBorders>
              <w:top w:val="nil"/>
              <w:left w:val="single" w:sz="4" w:space="0" w:color="000000"/>
              <w:bottom w:val="nil"/>
              <w:right w:val="single" w:sz="4" w:space="0" w:color="auto"/>
            </w:tcBorders>
            <w:shd w:val="clear" w:color="auto" w:fill="auto"/>
            <w:noWrap/>
            <w:vAlign w:val="center"/>
            <w:hideMark/>
          </w:tcPr>
          <w:p w14:paraId="49CD599D"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519,0</w:t>
            </w:r>
          </w:p>
        </w:tc>
        <w:tc>
          <w:tcPr>
            <w:tcW w:w="765" w:type="dxa"/>
            <w:tcBorders>
              <w:top w:val="nil"/>
              <w:left w:val="single" w:sz="4" w:space="0" w:color="auto"/>
              <w:bottom w:val="nil"/>
              <w:right w:val="single" w:sz="4" w:space="0" w:color="auto"/>
            </w:tcBorders>
            <w:shd w:val="clear" w:color="auto" w:fill="auto"/>
            <w:noWrap/>
            <w:vAlign w:val="center"/>
            <w:hideMark/>
          </w:tcPr>
          <w:p w14:paraId="65F3C29C"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459,5</w:t>
            </w:r>
          </w:p>
        </w:tc>
        <w:tc>
          <w:tcPr>
            <w:tcW w:w="765" w:type="dxa"/>
            <w:tcBorders>
              <w:top w:val="nil"/>
              <w:left w:val="single" w:sz="4" w:space="0" w:color="auto"/>
              <w:bottom w:val="nil"/>
              <w:right w:val="single" w:sz="4" w:space="0" w:color="auto"/>
            </w:tcBorders>
            <w:shd w:val="clear" w:color="auto" w:fill="auto"/>
            <w:noWrap/>
            <w:vAlign w:val="center"/>
            <w:hideMark/>
          </w:tcPr>
          <w:p w14:paraId="537DCE10"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447,0</w:t>
            </w:r>
          </w:p>
        </w:tc>
        <w:tc>
          <w:tcPr>
            <w:tcW w:w="765" w:type="dxa"/>
            <w:tcBorders>
              <w:top w:val="nil"/>
              <w:left w:val="single" w:sz="4" w:space="0" w:color="auto"/>
              <w:bottom w:val="nil"/>
              <w:right w:val="single" w:sz="4" w:space="0" w:color="auto"/>
            </w:tcBorders>
            <w:shd w:val="clear" w:color="000000" w:fill="D9D9D9"/>
            <w:noWrap/>
            <w:vAlign w:val="center"/>
            <w:hideMark/>
          </w:tcPr>
          <w:p w14:paraId="1C570B2A"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152,1</w:t>
            </w:r>
          </w:p>
        </w:tc>
        <w:tc>
          <w:tcPr>
            <w:tcW w:w="765" w:type="dxa"/>
            <w:tcBorders>
              <w:top w:val="nil"/>
              <w:left w:val="single" w:sz="4" w:space="0" w:color="auto"/>
              <w:bottom w:val="nil"/>
              <w:right w:val="single" w:sz="4" w:space="0" w:color="auto"/>
            </w:tcBorders>
            <w:shd w:val="clear" w:color="auto" w:fill="auto"/>
            <w:noWrap/>
            <w:vAlign w:val="center"/>
            <w:hideMark/>
          </w:tcPr>
          <w:p w14:paraId="52540B72"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241,4</w:t>
            </w:r>
          </w:p>
        </w:tc>
        <w:tc>
          <w:tcPr>
            <w:tcW w:w="765" w:type="dxa"/>
            <w:tcBorders>
              <w:top w:val="nil"/>
              <w:left w:val="single" w:sz="4" w:space="0" w:color="auto"/>
              <w:bottom w:val="nil"/>
              <w:right w:val="single" w:sz="4" w:space="0" w:color="auto"/>
            </w:tcBorders>
            <w:shd w:val="clear" w:color="auto" w:fill="auto"/>
            <w:noWrap/>
            <w:vAlign w:val="center"/>
            <w:hideMark/>
          </w:tcPr>
          <w:p w14:paraId="7D47EF4C"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229,1</w:t>
            </w:r>
          </w:p>
        </w:tc>
        <w:tc>
          <w:tcPr>
            <w:tcW w:w="765" w:type="dxa"/>
            <w:tcBorders>
              <w:top w:val="nil"/>
              <w:left w:val="single" w:sz="4" w:space="0" w:color="auto"/>
              <w:bottom w:val="nil"/>
              <w:right w:val="single" w:sz="4" w:space="0" w:color="auto"/>
            </w:tcBorders>
            <w:shd w:val="clear" w:color="auto" w:fill="auto"/>
            <w:noWrap/>
            <w:vAlign w:val="center"/>
            <w:hideMark/>
          </w:tcPr>
          <w:p w14:paraId="4BB44379"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236,4</w:t>
            </w:r>
          </w:p>
        </w:tc>
        <w:tc>
          <w:tcPr>
            <w:tcW w:w="765" w:type="dxa"/>
            <w:tcBorders>
              <w:top w:val="nil"/>
              <w:left w:val="single" w:sz="4" w:space="0" w:color="auto"/>
              <w:bottom w:val="nil"/>
              <w:right w:val="single" w:sz="4" w:space="0" w:color="auto"/>
            </w:tcBorders>
            <w:shd w:val="clear" w:color="auto" w:fill="auto"/>
            <w:noWrap/>
            <w:vAlign w:val="center"/>
            <w:hideMark/>
          </w:tcPr>
          <w:p w14:paraId="5D8D6560"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172,6</w:t>
            </w:r>
          </w:p>
        </w:tc>
        <w:tc>
          <w:tcPr>
            <w:tcW w:w="765" w:type="dxa"/>
            <w:tcBorders>
              <w:top w:val="nil"/>
              <w:left w:val="single" w:sz="4" w:space="0" w:color="auto"/>
              <w:bottom w:val="nil"/>
              <w:right w:val="single" w:sz="4" w:space="0" w:color="auto"/>
            </w:tcBorders>
            <w:shd w:val="clear" w:color="auto" w:fill="auto"/>
            <w:noWrap/>
            <w:vAlign w:val="center"/>
            <w:hideMark/>
          </w:tcPr>
          <w:p w14:paraId="14770DB6"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197,2</w:t>
            </w:r>
          </w:p>
        </w:tc>
        <w:tc>
          <w:tcPr>
            <w:tcW w:w="765" w:type="dxa"/>
            <w:tcBorders>
              <w:top w:val="nil"/>
              <w:left w:val="single" w:sz="4" w:space="0" w:color="auto"/>
              <w:bottom w:val="nil"/>
              <w:right w:val="single" w:sz="4" w:space="0" w:color="auto"/>
            </w:tcBorders>
            <w:shd w:val="clear" w:color="auto" w:fill="D9D9D9"/>
            <w:vAlign w:val="center"/>
          </w:tcPr>
          <w:p w14:paraId="3655BFEE" w14:textId="77777777" w:rsidR="00B33613" w:rsidRDefault="00B33613" w:rsidP="00B33613">
            <w:pPr>
              <w:spacing w:after="0" w:line="240" w:lineRule="auto"/>
              <w:jc w:val="right"/>
              <w:rPr>
                <w:rFonts w:cs="Arial"/>
                <w:sz w:val="16"/>
                <w:szCs w:val="16"/>
              </w:rPr>
            </w:pPr>
            <w:r>
              <w:rPr>
                <w:rFonts w:cs="Arial"/>
                <w:sz w:val="16"/>
                <w:szCs w:val="16"/>
              </w:rPr>
              <w:t>157,0</w:t>
            </w:r>
          </w:p>
        </w:tc>
        <w:tc>
          <w:tcPr>
            <w:tcW w:w="765" w:type="dxa"/>
            <w:tcBorders>
              <w:top w:val="nil"/>
              <w:left w:val="single" w:sz="4" w:space="0" w:color="auto"/>
              <w:bottom w:val="nil"/>
              <w:right w:val="nil"/>
            </w:tcBorders>
            <w:vAlign w:val="center"/>
          </w:tcPr>
          <w:p w14:paraId="42F37547" w14:textId="7E20A5C0" w:rsidR="00B33613" w:rsidRDefault="00B33613" w:rsidP="00B33613">
            <w:pPr>
              <w:spacing w:after="0" w:line="240" w:lineRule="auto"/>
              <w:jc w:val="right"/>
              <w:rPr>
                <w:rFonts w:cs="Arial"/>
                <w:sz w:val="16"/>
                <w:szCs w:val="16"/>
              </w:rPr>
            </w:pPr>
            <w:r>
              <w:rPr>
                <w:rFonts w:cs="Arial"/>
                <w:sz w:val="16"/>
                <w:szCs w:val="16"/>
              </w:rPr>
              <w:t>174,3</w:t>
            </w:r>
          </w:p>
        </w:tc>
      </w:tr>
      <w:tr w:rsidR="00B33613" w:rsidRPr="00166BEB" w14:paraId="579A2048" w14:textId="77777777" w:rsidTr="00B33613">
        <w:trPr>
          <w:trHeight w:val="300"/>
        </w:trPr>
        <w:tc>
          <w:tcPr>
            <w:tcW w:w="0" w:type="auto"/>
            <w:tcBorders>
              <w:top w:val="nil"/>
              <w:left w:val="nil"/>
              <w:bottom w:val="nil"/>
              <w:right w:val="nil"/>
            </w:tcBorders>
            <w:shd w:val="clear" w:color="auto" w:fill="auto"/>
            <w:noWrap/>
            <w:vAlign w:val="center"/>
            <w:hideMark/>
          </w:tcPr>
          <w:p w14:paraId="77B83CA9"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Slovensko</w:t>
            </w:r>
          </w:p>
        </w:tc>
        <w:tc>
          <w:tcPr>
            <w:tcW w:w="765" w:type="dxa"/>
            <w:tcBorders>
              <w:top w:val="nil"/>
              <w:left w:val="single" w:sz="4" w:space="0" w:color="000000"/>
              <w:bottom w:val="nil"/>
              <w:right w:val="single" w:sz="4" w:space="0" w:color="auto"/>
            </w:tcBorders>
            <w:shd w:val="clear" w:color="auto" w:fill="auto"/>
            <w:noWrap/>
            <w:vAlign w:val="center"/>
            <w:hideMark/>
          </w:tcPr>
          <w:p w14:paraId="71FC0478"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444,9</w:t>
            </w:r>
          </w:p>
        </w:tc>
        <w:tc>
          <w:tcPr>
            <w:tcW w:w="765" w:type="dxa"/>
            <w:tcBorders>
              <w:top w:val="nil"/>
              <w:left w:val="single" w:sz="4" w:space="0" w:color="auto"/>
              <w:bottom w:val="nil"/>
              <w:right w:val="single" w:sz="4" w:space="0" w:color="auto"/>
            </w:tcBorders>
            <w:shd w:val="clear" w:color="auto" w:fill="auto"/>
            <w:noWrap/>
            <w:vAlign w:val="center"/>
            <w:hideMark/>
          </w:tcPr>
          <w:p w14:paraId="6C447124"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421,2</w:t>
            </w:r>
          </w:p>
        </w:tc>
        <w:tc>
          <w:tcPr>
            <w:tcW w:w="765" w:type="dxa"/>
            <w:tcBorders>
              <w:top w:val="nil"/>
              <w:left w:val="single" w:sz="4" w:space="0" w:color="auto"/>
              <w:bottom w:val="nil"/>
              <w:right w:val="single" w:sz="4" w:space="0" w:color="auto"/>
            </w:tcBorders>
            <w:shd w:val="clear" w:color="auto" w:fill="auto"/>
            <w:noWrap/>
            <w:vAlign w:val="center"/>
            <w:hideMark/>
          </w:tcPr>
          <w:p w14:paraId="18B57488"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426,9</w:t>
            </w:r>
          </w:p>
        </w:tc>
        <w:tc>
          <w:tcPr>
            <w:tcW w:w="765" w:type="dxa"/>
            <w:tcBorders>
              <w:top w:val="nil"/>
              <w:left w:val="single" w:sz="4" w:space="0" w:color="auto"/>
              <w:bottom w:val="nil"/>
              <w:right w:val="single" w:sz="4" w:space="0" w:color="auto"/>
            </w:tcBorders>
            <w:shd w:val="clear" w:color="auto" w:fill="auto"/>
            <w:noWrap/>
            <w:vAlign w:val="center"/>
            <w:hideMark/>
          </w:tcPr>
          <w:p w14:paraId="04444207"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414,9</w:t>
            </w:r>
          </w:p>
        </w:tc>
        <w:tc>
          <w:tcPr>
            <w:tcW w:w="765" w:type="dxa"/>
            <w:tcBorders>
              <w:top w:val="nil"/>
              <w:left w:val="single" w:sz="4" w:space="0" w:color="auto"/>
              <w:bottom w:val="nil"/>
              <w:right w:val="single" w:sz="4" w:space="0" w:color="auto"/>
            </w:tcBorders>
            <w:shd w:val="clear" w:color="auto" w:fill="auto"/>
            <w:noWrap/>
            <w:vAlign w:val="center"/>
            <w:hideMark/>
          </w:tcPr>
          <w:p w14:paraId="49A5B7FF"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525,9</w:t>
            </w:r>
          </w:p>
        </w:tc>
        <w:tc>
          <w:tcPr>
            <w:tcW w:w="765" w:type="dxa"/>
            <w:tcBorders>
              <w:top w:val="nil"/>
              <w:left w:val="single" w:sz="4" w:space="0" w:color="auto"/>
              <w:bottom w:val="nil"/>
              <w:right w:val="single" w:sz="4" w:space="0" w:color="auto"/>
            </w:tcBorders>
            <w:shd w:val="clear" w:color="auto" w:fill="auto"/>
            <w:noWrap/>
            <w:vAlign w:val="center"/>
            <w:hideMark/>
          </w:tcPr>
          <w:p w14:paraId="759086FA"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533,5</w:t>
            </w:r>
          </w:p>
        </w:tc>
        <w:tc>
          <w:tcPr>
            <w:tcW w:w="765" w:type="dxa"/>
            <w:tcBorders>
              <w:top w:val="nil"/>
              <w:left w:val="single" w:sz="4" w:space="0" w:color="auto"/>
              <w:bottom w:val="nil"/>
              <w:right w:val="single" w:sz="4" w:space="0" w:color="auto"/>
            </w:tcBorders>
            <w:shd w:val="clear" w:color="auto" w:fill="auto"/>
            <w:noWrap/>
            <w:vAlign w:val="center"/>
            <w:hideMark/>
          </w:tcPr>
          <w:p w14:paraId="449720C0"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530,9</w:t>
            </w:r>
          </w:p>
        </w:tc>
        <w:tc>
          <w:tcPr>
            <w:tcW w:w="765" w:type="dxa"/>
            <w:tcBorders>
              <w:top w:val="nil"/>
              <w:left w:val="single" w:sz="4" w:space="0" w:color="auto"/>
              <w:bottom w:val="nil"/>
              <w:right w:val="single" w:sz="4" w:space="0" w:color="auto"/>
            </w:tcBorders>
            <w:shd w:val="clear" w:color="auto" w:fill="auto"/>
            <w:noWrap/>
            <w:vAlign w:val="center"/>
            <w:hideMark/>
          </w:tcPr>
          <w:p w14:paraId="74D0505F"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538,6</w:t>
            </w:r>
          </w:p>
        </w:tc>
        <w:tc>
          <w:tcPr>
            <w:tcW w:w="765" w:type="dxa"/>
            <w:tcBorders>
              <w:top w:val="nil"/>
              <w:left w:val="single" w:sz="4" w:space="0" w:color="auto"/>
              <w:bottom w:val="nil"/>
              <w:right w:val="single" w:sz="4" w:space="0" w:color="auto"/>
            </w:tcBorders>
            <w:shd w:val="clear" w:color="auto" w:fill="auto"/>
            <w:noWrap/>
            <w:vAlign w:val="center"/>
            <w:hideMark/>
          </w:tcPr>
          <w:p w14:paraId="76A8388E"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520,8</w:t>
            </w:r>
          </w:p>
        </w:tc>
        <w:tc>
          <w:tcPr>
            <w:tcW w:w="765" w:type="dxa"/>
            <w:tcBorders>
              <w:top w:val="nil"/>
              <w:left w:val="single" w:sz="4" w:space="0" w:color="auto"/>
              <w:bottom w:val="nil"/>
              <w:right w:val="single" w:sz="4" w:space="0" w:color="auto"/>
            </w:tcBorders>
            <w:shd w:val="clear" w:color="auto" w:fill="D9D9D9"/>
            <w:vAlign w:val="center"/>
          </w:tcPr>
          <w:p w14:paraId="2E8E9D18" w14:textId="77777777" w:rsidR="00B33613" w:rsidRDefault="00B33613" w:rsidP="00B33613">
            <w:pPr>
              <w:spacing w:after="0" w:line="240" w:lineRule="auto"/>
              <w:jc w:val="right"/>
              <w:rPr>
                <w:rFonts w:cs="Arial"/>
                <w:sz w:val="16"/>
                <w:szCs w:val="16"/>
              </w:rPr>
            </w:pPr>
            <w:r>
              <w:rPr>
                <w:rFonts w:cs="Arial"/>
                <w:sz w:val="16"/>
                <w:szCs w:val="16"/>
              </w:rPr>
              <w:t>433,1</w:t>
            </w:r>
          </w:p>
        </w:tc>
        <w:tc>
          <w:tcPr>
            <w:tcW w:w="765" w:type="dxa"/>
            <w:tcBorders>
              <w:top w:val="nil"/>
              <w:left w:val="single" w:sz="4" w:space="0" w:color="auto"/>
              <w:bottom w:val="nil"/>
              <w:right w:val="nil"/>
            </w:tcBorders>
            <w:vAlign w:val="center"/>
          </w:tcPr>
          <w:p w14:paraId="095E978B" w14:textId="4583A592" w:rsidR="00B33613" w:rsidRDefault="00B33613" w:rsidP="00B33613">
            <w:pPr>
              <w:spacing w:after="0" w:line="240" w:lineRule="auto"/>
              <w:jc w:val="right"/>
              <w:rPr>
                <w:rFonts w:cs="Arial"/>
                <w:sz w:val="16"/>
                <w:szCs w:val="16"/>
              </w:rPr>
            </w:pPr>
            <w:r>
              <w:rPr>
                <w:rFonts w:cs="Arial"/>
                <w:sz w:val="16"/>
                <w:szCs w:val="16"/>
              </w:rPr>
              <w:t>442,8</w:t>
            </w:r>
          </w:p>
        </w:tc>
      </w:tr>
      <w:tr w:rsidR="00B33613" w:rsidRPr="00166BEB" w14:paraId="74C0C1E2" w14:textId="77777777" w:rsidTr="00B33613">
        <w:trPr>
          <w:trHeight w:val="300"/>
        </w:trPr>
        <w:tc>
          <w:tcPr>
            <w:tcW w:w="0" w:type="auto"/>
            <w:tcBorders>
              <w:top w:val="nil"/>
              <w:left w:val="nil"/>
              <w:bottom w:val="nil"/>
              <w:right w:val="nil"/>
            </w:tcBorders>
            <w:shd w:val="clear" w:color="auto" w:fill="auto"/>
            <w:noWrap/>
            <w:vAlign w:val="center"/>
            <w:hideMark/>
          </w:tcPr>
          <w:p w14:paraId="4ED54D23"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Slovinsko</w:t>
            </w:r>
          </w:p>
        </w:tc>
        <w:tc>
          <w:tcPr>
            <w:tcW w:w="765" w:type="dxa"/>
            <w:tcBorders>
              <w:top w:val="nil"/>
              <w:left w:val="single" w:sz="4" w:space="0" w:color="000000"/>
              <w:bottom w:val="nil"/>
              <w:right w:val="single" w:sz="4" w:space="0" w:color="auto"/>
            </w:tcBorders>
            <w:shd w:val="clear" w:color="auto" w:fill="auto"/>
            <w:noWrap/>
            <w:vAlign w:val="center"/>
            <w:hideMark/>
          </w:tcPr>
          <w:p w14:paraId="67FD0F87"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2 006,8</w:t>
            </w:r>
          </w:p>
        </w:tc>
        <w:tc>
          <w:tcPr>
            <w:tcW w:w="765" w:type="dxa"/>
            <w:tcBorders>
              <w:top w:val="nil"/>
              <w:left w:val="single" w:sz="4" w:space="0" w:color="auto"/>
              <w:bottom w:val="nil"/>
              <w:right w:val="single" w:sz="4" w:space="0" w:color="auto"/>
            </w:tcBorders>
            <w:shd w:val="clear" w:color="auto" w:fill="auto"/>
            <w:noWrap/>
            <w:vAlign w:val="center"/>
            <w:hideMark/>
          </w:tcPr>
          <w:p w14:paraId="7249A9BF"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1 787,7</w:t>
            </w:r>
          </w:p>
        </w:tc>
        <w:tc>
          <w:tcPr>
            <w:tcW w:w="765" w:type="dxa"/>
            <w:tcBorders>
              <w:top w:val="nil"/>
              <w:left w:val="single" w:sz="4" w:space="0" w:color="auto"/>
              <w:bottom w:val="nil"/>
              <w:right w:val="single" w:sz="4" w:space="0" w:color="auto"/>
            </w:tcBorders>
            <w:shd w:val="clear" w:color="auto" w:fill="auto"/>
            <w:noWrap/>
            <w:vAlign w:val="center"/>
            <w:hideMark/>
          </w:tcPr>
          <w:p w14:paraId="0F020052"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1 594,7</w:t>
            </w:r>
          </w:p>
        </w:tc>
        <w:tc>
          <w:tcPr>
            <w:tcW w:w="765" w:type="dxa"/>
            <w:tcBorders>
              <w:top w:val="nil"/>
              <w:left w:val="single" w:sz="4" w:space="0" w:color="auto"/>
              <w:bottom w:val="nil"/>
              <w:right w:val="single" w:sz="4" w:space="0" w:color="auto"/>
            </w:tcBorders>
            <w:shd w:val="clear" w:color="auto" w:fill="auto"/>
            <w:noWrap/>
            <w:vAlign w:val="center"/>
            <w:hideMark/>
          </w:tcPr>
          <w:p w14:paraId="5AD30E0C"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1 627,1</w:t>
            </w:r>
          </w:p>
        </w:tc>
        <w:tc>
          <w:tcPr>
            <w:tcW w:w="765" w:type="dxa"/>
            <w:tcBorders>
              <w:top w:val="nil"/>
              <w:left w:val="single" w:sz="4" w:space="0" w:color="auto"/>
              <w:bottom w:val="nil"/>
              <w:right w:val="single" w:sz="4" w:space="0" w:color="auto"/>
            </w:tcBorders>
            <w:shd w:val="clear" w:color="auto" w:fill="auto"/>
            <w:noWrap/>
            <w:vAlign w:val="center"/>
            <w:hideMark/>
          </w:tcPr>
          <w:p w14:paraId="6DCECE67"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1 658,8</w:t>
            </w:r>
          </w:p>
        </w:tc>
        <w:tc>
          <w:tcPr>
            <w:tcW w:w="765" w:type="dxa"/>
            <w:tcBorders>
              <w:top w:val="nil"/>
              <w:left w:val="single" w:sz="4" w:space="0" w:color="auto"/>
              <w:bottom w:val="nil"/>
              <w:right w:val="single" w:sz="4" w:space="0" w:color="auto"/>
            </w:tcBorders>
            <w:shd w:val="clear" w:color="auto" w:fill="auto"/>
            <w:noWrap/>
            <w:vAlign w:val="center"/>
            <w:hideMark/>
          </w:tcPr>
          <w:p w14:paraId="31D142C6"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1 556,7</w:t>
            </w:r>
          </w:p>
        </w:tc>
        <w:tc>
          <w:tcPr>
            <w:tcW w:w="765" w:type="dxa"/>
            <w:tcBorders>
              <w:top w:val="nil"/>
              <w:left w:val="single" w:sz="4" w:space="0" w:color="auto"/>
              <w:bottom w:val="nil"/>
              <w:right w:val="single" w:sz="4" w:space="0" w:color="auto"/>
            </w:tcBorders>
            <w:shd w:val="clear" w:color="auto" w:fill="auto"/>
            <w:noWrap/>
            <w:vAlign w:val="center"/>
            <w:hideMark/>
          </w:tcPr>
          <w:p w14:paraId="43FB7B6C"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1 636,7</w:t>
            </w:r>
          </w:p>
        </w:tc>
        <w:tc>
          <w:tcPr>
            <w:tcW w:w="765" w:type="dxa"/>
            <w:tcBorders>
              <w:top w:val="nil"/>
              <w:left w:val="single" w:sz="4" w:space="0" w:color="auto"/>
              <w:bottom w:val="nil"/>
              <w:right w:val="single" w:sz="4" w:space="0" w:color="auto"/>
            </w:tcBorders>
            <w:shd w:val="clear" w:color="auto" w:fill="auto"/>
            <w:noWrap/>
            <w:vAlign w:val="center"/>
            <w:hideMark/>
          </w:tcPr>
          <w:p w14:paraId="21BAC1BE"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1 567,2</w:t>
            </w:r>
          </w:p>
        </w:tc>
        <w:tc>
          <w:tcPr>
            <w:tcW w:w="765" w:type="dxa"/>
            <w:tcBorders>
              <w:top w:val="nil"/>
              <w:left w:val="single" w:sz="4" w:space="0" w:color="auto"/>
              <w:bottom w:val="nil"/>
              <w:right w:val="single" w:sz="4" w:space="0" w:color="auto"/>
            </w:tcBorders>
            <w:shd w:val="clear" w:color="auto" w:fill="auto"/>
            <w:noWrap/>
            <w:vAlign w:val="center"/>
            <w:hideMark/>
          </w:tcPr>
          <w:p w14:paraId="14A751E5"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1 477,0</w:t>
            </w:r>
          </w:p>
        </w:tc>
        <w:tc>
          <w:tcPr>
            <w:tcW w:w="765" w:type="dxa"/>
            <w:tcBorders>
              <w:top w:val="nil"/>
              <w:left w:val="single" w:sz="4" w:space="0" w:color="auto"/>
              <w:bottom w:val="nil"/>
              <w:right w:val="single" w:sz="4" w:space="0" w:color="auto"/>
            </w:tcBorders>
            <w:shd w:val="clear" w:color="auto" w:fill="D9D9D9"/>
            <w:vAlign w:val="center"/>
          </w:tcPr>
          <w:p w14:paraId="71FD76AF" w14:textId="77777777" w:rsidR="00B33613" w:rsidRDefault="00B33613" w:rsidP="00B33613">
            <w:pPr>
              <w:spacing w:after="0" w:line="240" w:lineRule="auto"/>
              <w:jc w:val="right"/>
              <w:rPr>
                <w:rFonts w:cs="Arial"/>
                <w:sz w:val="16"/>
                <w:szCs w:val="16"/>
              </w:rPr>
            </w:pPr>
            <w:r>
              <w:rPr>
                <w:rFonts w:cs="Arial"/>
                <w:sz w:val="16"/>
                <w:szCs w:val="16"/>
              </w:rPr>
              <w:t>1 294,4</w:t>
            </w:r>
          </w:p>
        </w:tc>
        <w:tc>
          <w:tcPr>
            <w:tcW w:w="765" w:type="dxa"/>
            <w:tcBorders>
              <w:top w:val="nil"/>
              <w:left w:val="single" w:sz="4" w:space="0" w:color="auto"/>
              <w:bottom w:val="nil"/>
              <w:right w:val="nil"/>
            </w:tcBorders>
            <w:vAlign w:val="center"/>
          </w:tcPr>
          <w:p w14:paraId="4B3DAFB7" w14:textId="66739E64" w:rsidR="00B33613" w:rsidRDefault="00B33613" w:rsidP="00B33613">
            <w:pPr>
              <w:spacing w:after="0" w:line="240" w:lineRule="auto"/>
              <w:jc w:val="right"/>
              <w:rPr>
                <w:rFonts w:cs="Arial"/>
                <w:sz w:val="16"/>
                <w:szCs w:val="16"/>
              </w:rPr>
            </w:pPr>
            <w:r>
              <w:rPr>
                <w:rFonts w:cs="Arial"/>
                <w:sz w:val="16"/>
                <w:szCs w:val="16"/>
              </w:rPr>
              <w:t>1 376,4</w:t>
            </w:r>
          </w:p>
        </w:tc>
      </w:tr>
      <w:tr w:rsidR="00B33613" w:rsidRPr="00166BEB" w14:paraId="164BC100" w14:textId="77777777" w:rsidTr="00B33613">
        <w:trPr>
          <w:trHeight w:val="300"/>
        </w:trPr>
        <w:tc>
          <w:tcPr>
            <w:tcW w:w="0" w:type="auto"/>
            <w:tcBorders>
              <w:top w:val="nil"/>
              <w:left w:val="nil"/>
              <w:bottom w:val="nil"/>
              <w:right w:val="nil"/>
            </w:tcBorders>
            <w:shd w:val="clear" w:color="auto" w:fill="auto"/>
            <w:noWrap/>
            <w:vAlign w:val="center"/>
            <w:hideMark/>
          </w:tcPr>
          <w:p w14:paraId="21DAE966"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Španělsko</w:t>
            </w:r>
          </w:p>
        </w:tc>
        <w:tc>
          <w:tcPr>
            <w:tcW w:w="765" w:type="dxa"/>
            <w:tcBorders>
              <w:top w:val="nil"/>
              <w:left w:val="single" w:sz="4" w:space="0" w:color="000000"/>
              <w:bottom w:val="nil"/>
              <w:right w:val="single" w:sz="4" w:space="0" w:color="auto"/>
            </w:tcBorders>
            <w:shd w:val="clear" w:color="auto" w:fill="auto"/>
            <w:noWrap/>
            <w:vAlign w:val="center"/>
            <w:hideMark/>
          </w:tcPr>
          <w:p w14:paraId="6638AFEA"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3 421,6</w:t>
            </w:r>
          </w:p>
        </w:tc>
        <w:tc>
          <w:tcPr>
            <w:tcW w:w="765" w:type="dxa"/>
            <w:tcBorders>
              <w:top w:val="nil"/>
              <w:left w:val="single" w:sz="4" w:space="0" w:color="auto"/>
              <w:bottom w:val="nil"/>
              <w:right w:val="single" w:sz="4" w:space="0" w:color="auto"/>
            </w:tcBorders>
            <w:shd w:val="clear" w:color="auto" w:fill="auto"/>
            <w:noWrap/>
            <w:vAlign w:val="center"/>
            <w:hideMark/>
          </w:tcPr>
          <w:p w14:paraId="27C19740"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2 889,6</w:t>
            </w:r>
          </w:p>
        </w:tc>
        <w:tc>
          <w:tcPr>
            <w:tcW w:w="765" w:type="dxa"/>
            <w:tcBorders>
              <w:top w:val="nil"/>
              <w:left w:val="single" w:sz="4" w:space="0" w:color="auto"/>
              <w:bottom w:val="nil"/>
              <w:right w:val="single" w:sz="4" w:space="0" w:color="auto"/>
            </w:tcBorders>
            <w:shd w:val="clear" w:color="auto" w:fill="auto"/>
            <w:noWrap/>
            <w:vAlign w:val="center"/>
            <w:hideMark/>
          </w:tcPr>
          <w:p w14:paraId="48D433AA"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2 909,0</w:t>
            </w:r>
          </w:p>
        </w:tc>
        <w:tc>
          <w:tcPr>
            <w:tcW w:w="765" w:type="dxa"/>
            <w:tcBorders>
              <w:top w:val="nil"/>
              <w:left w:val="single" w:sz="4" w:space="0" w:color="auto"/>
              <w:bottom w:val="nil"/>
              <w:right w:val="single" w:sz="4" w:space="0" w:color="auto"/>
            </w:tcBorders>
            <w:shd w:val="clear" w:color="auto" w:fill="auto"/>
            <w:noWrap/>
            <w:vAlign w:val="center"/>
            <w:hideMark/>
          </w:tcPr>
          <w:p w14:paraId="0FCECA31"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3 220,4</w:t>
            </w:r>
          </w:p>
        </w:tc>
        <w:tc>
          <w:tcPr>
            <w:tcW w:w="765" w:type="dxa"/>
            <w:tcBorders>
              <w:top w:val="nil"/>
              <w:left w:val="single" w:sz="4" w:space="0" w:color="auto"/>
              <w:bottom w:val="nil"/>
              <w:right w:val="single" w:sz="4" w:space="0" w:color="auto"/>
            </w:tcBorders>
            <w:shd w:val="clear" w:color="auto" w:fill="auto"/>
            <w:noWrap/>
            <w:vAlign w:val="center"/>
            <w:hideMark/>
          </w:tcPr>
          <w:p w14:paraId="0B2F6D94"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3 150,9</w:t>
            </w:r>
          </w:p>
        </w:tc>
        <w:tc>
          <w:tcPr>
            <w:tcW w:w="765" w:type="dxa"/>
            <w:tcBorders>
              <w:top w:val="nil"/>
              <w:left w:val="single" w:sz="4" w:space="0" w:color="auto"/>
              <w:bottom w:val="nil"/>
              <w:right w:val="single" w:sz="4" w:space="0" w:color="auto"/>
            </w:tcBorders>
            <w:shd w:val="clear" w:color="auto" w:fill="auto"/>
            <w:noWrap/>
            <w:vAlign w:val="center"/>
            <w:hideMark/>
          </w:tcPr>
          <w:p w14:paraId="358B8DF3"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3 209,8</w:t>
            </w:r>
          </w:p>
        </w:tc>
        <w:tc>
          <w:tcPr>
            <w:tcW w:w="765" w:type="dxa"/>
            <w:tcBorders>
              <w:top w:val="nil"/>
              <w:left w:val="single" w:sz="4" w:space="0" w:color="auto"/>
              <w:bottom w:val="nil"/>
              <w:right w:val="single" w:sz="4" w:space="0" w:color="auto"/>
            </w:tcBorders>
            <w:shd w:val="clear" w:color="auto" w:fill="auto"/>
            <w:noWrap/>
            <w:vAlign w:val="center"/>
            <w:hideMark/>
          </w:tcPr>
          <w:p w14:paraId="45D16C2F"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3 267,7</w:t>
            </w:r>
          </w:p>
        </w:tc>
        <w:tc>
          <w:tcPr>
            <w:tcW w:w="765" w:type="dxa"/>
            <w:tcBorders>
              <w:top w:val="nil"/>
              <w:left w:val="single" w:sz="4" w:space="0" w:color="auto"/>
              <w:bottom w:val="nil"/>
              <w:right w:val="single" w:sz="4" w:space="0" w:color="auto"/>
            </w:tcBorders>
            <w:shd w:val="clear" w:color="auto" w:fill="auto"/>
            <w:noWrap/>
            <w:vAlign w:val="center"/>
            <w:hideMark/>
          </w:tcPr>
          <w:p w14:paraId="0E3016CD"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3 275,1</w:t>
            </w:r>
          </w:p>
        </w:tc>
        <w:tc>
          <w:tcPr>
            <w:tcW w:w="765" w:type="dxa"/>
            <w:tcBorders>
              <w:top w:val="nil"/>
              <w:left w:val="single" w:sz="4" w:space="0" w:color="auto"/>
              <w:bottom w:val="nil"/>
              <w:right w:val="single" w:sz="4" w:space="0" w:color="auto"/>
            </w:tcBorders>
            <w:shd w:val="clear" w:color="auto" w:fill="auto"/>
            <w:noWrap/>
            <w:vAlign w:val="center"/>
            <w:hideMark/>
          </w:tcPr>
          <w:p w14:paraId="65E77423"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3 697,2</w:t>
            </w:r>
          </w:p>
        </w:tc>
        <w:tc>
          <w:tcPr>
            <w:tcW w:w="765" w:type="dxa"/>
            <w:tcBorders>
              <w:top w:val="nil"/>
              <w:left w:val="single" w:sz="4" w:space="0" w:color="auto"/>
              <w:bottom w:val="nil"/>
              <w:right w:val="single" w:sz="4" w:space="0" w:color="auto"/>
            </w:tcBorders>
            <w:shd w:val="clear" w:color="auto" w:fill="D9D9D9"/>
            <w:vAlign w:val="center"/>
          </w:tcPr>
          <w:p w14:paraId="7B5F4F5C" w14:textId="77777777" w:rsidR="00B33613" w:rsidRDefault="00B33613" w:rsidP="00B33613">
            <w:pPr>
              <w:spacing w:after="0" w:line="240" w:lineRule="auto"/>
              <w:jc w:val="right"/>
              <w:rPr>
                <w:rFonts w:cs="Arial"/>
                <w:sz w:val="16"/>
                <w:szCs w:val="16"/>
              </w:rPr>
            </w:pPr>
            <w:r>
              <w:rPr>
                <w:rFonts w:cs="Arial"/>
                <w:sz w:val="16"/>
                <w:szCs w:val="16"/>
              </w:rPr>
              <w:t>2 384,1</w:t>
            </w:r>
          </w:p>
        </w:tc>
        <w:tc>
          <w:tcPr>
            <w:tcW w:w="765" w:type="dxa"/>
            <w:tcBorders>
              <w:top w:val="nil"/>
              <w:left w:val="single" w:sz="4" w:space="0" w:color="auto"/>
              <w:bottom w:val="nil"/>
              <w:right w:val="nil"/>
            </w:tcBorders>
            <w:vAlign w:val="center"/>
          </w:tcPr>
          <w:p w14:paraId="1FE2C5EE" w14:textId="7C903FAF" w:rsidR="00B33613" w:rsidRDefault="00B33613" w:rsidP="00B33613">
            <w:pPr>
              <w:spacing w:after="0" w:line="240" w:lineRule="auto"/>
              <w:jc w:val="right"/>
              <w:rPr>
                <w:rFonts w:cs="Arial"/>
                <w:sz w:val="16"/>
                <w:szCs w:val="16"/>
              </w:rPr>
            </w:pPr>
            <w:r>
              <w:rPr>
                <w:rFonts w:cs="Arial"/>
                <w:sz w:val="16"/>
                <w:szCs w:val="16"/>
              </w:rPr>
              <w:t>2 656,7</w:t>
            </w:r>
          </w:p>
        </w:tc>
      </w:tr>
      <w:tr w:rsidR="00B33613" w:rsidRPr="00166BEB" w14:paraId="6F1CBBA5" w14:textId="77777777" w:rsidTr="00B33613">
        <w:trPr>
          <w:trHeight w:val="300"/>
        </w:trPr>
        <w:tc>
          <w:tcPr>
            <w:tcW w:w="0" w:type="auto"/>
            <w:tcBorders>
              <w:top w:val="nil"/>
              <w:left w:val="nil"/>
              <w:bottom w:val="nil"/>
              <w:right w:val="nil"/>
            </w:tcBorders>
            <w:shd w:val="clear" w:color="auto" w:fill="auto"/>
            <w:noWrap/>
            <w:vAlign w:val="center"/>
            <w:hideMark/>
          </w:tcPr>
          <w:p w14:paraId="7337DD23" w14:textId="77777777" w:rsidR="00B33613" w:rsidRPr="00166BEB" w:rsidRDefault="00B33613" w:rsidP="00B33613">
            <w:pPr>
              <w:spacing w:after="0" w:line="240" w:lineRule="auto"/>
              <w:ind w:firstLineChars="100" w:firstLine="160"/>
              <w:rPr>
                <w:rFonts w:cs="Arial"/>
                <w:sz w:val="16"/>
                <w:szCs w:val="16"/>
                <w:highlight w:val="yellow"/>
              </w:rPr>
            </w:pPr>
            <w:r>
              <w:rPr>
                <w:rFonts w:cs="Arial"/>
                <w:sz w:val="16"/>
                <w:szCs w:val="16"/>
              </w:rPr>
              <w:t>Švédsko</w:t>
            </w:r>
          </w:p>
        </w:tc>
        <w:tc>
          <w:tcPr>
            <w:tcW w:w="765" w:type="dxa"/>
            <w:tcBorders>
              <w:top w:val="nil"/>
              <w:left w:val="single" w:sz="4" w:space="0" w:color="000000"/>
              <w:bottom w:val="nil"/>
              <w:right w:val="single" w:sz="4" w:space="0" w:color="auto"/>
            </w:tcBorders>
            <w:shd w:val="clear" w:color="auto" w:fill="auto"/>
            <w:noWrap/>
            <w:vAlign w:val="center"/>
            <w:hideMark/>
          </w:tcPr>
          <w:p w14:paraId="412B7423"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874,2</w:t>
            </w:r>
          </w:p>
        </w:tc>
        <w:tc>
          <w:tcPr>
            <w:tcW w:w="765" w:type="dxa"/>
            <w:tcBorders>
              <w:top w:val="nil"/>
              <w:left w:val="single" w:sz="4" w:space="0" w:color="auto"/>
              <w:bottom w:val="nil"/>
              <w:right w:val="single" w:sz="4" w:space="0" w:color="auto"/>
            </w:tcBorders>
            <w:shd w:val="clear" w:color="auto" w:fill="auto"/>
            <w:noWrap/>
            <w:vAlign w:val="center"/>
            <w:hideMark/>
          </w:tcPr>
          <w:p w14:paraId="3B133643"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901,4</w:t>
            </w:r>
          </w:p>
        </w:tc>
        <w:tc>
          <w:tcPr>
            <w:tcW w:w="765" w:type="dxa"/>
            <w:tcBorders>
              <w:top w:val="nil"/>
              <w:left w:val="single" w:sz="4" w:space="0" w:color="auto"/>
              <w:bottom w:val="nil"/>
              <w:right w:val="single" w:sz="4" w:space="0" w:color="auto"/>
            </w:tcBorders>
            <w:shd w:val="clear" w:color="auto" w:fill="auto"/>
            <w:noWrap/>
            <w:vAlign w:val="center"/>
            <w:hideMark/>
          </w:tcPr>
          <w:p w14:paraId="6B15701E"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875,0</w:t>
            </w:r>
          </w:p>
        </w:tc>
        <w:tc>
          <w:tcPr>
            <w:tcW w:w="765" w:type="dxa"/>
            <w:tcBorders>
              <w:top w:val="nil"/>
              <w:left w:val="single" w:sz="4" w:space="0" w:color="auto"/>
              <w:bottom w:val="nil"/>
              <w:right w:val="single" w:sz="4" w:space="0" w:color="auto"/>
            </w:tcBorders>
            <w:shd w:val="clear" w:color="auto" w:fill="auto"/>
            <w:noWrap/>
            <w:vAlign w:val="center"/>
            <w:hideMark/>
          </w:tcPr>
          <w:p w14:paraId="307B2F8D"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759,8</w:t>
            </w:r>
          </w:p>
        </w:tc>
        <w:tc>
          <w:tcPr>
            <w:tcW w:w="765" w:type="dxa"/>
            <w:tcBorders>
              <w:top w:val="nil"/>
              <w:left w:val="single" w:sz="4" w:space="0" w:color="auto"/>
              <w:bottom w:val="nil"/>
              <w:right w:val="single" w:sz="4" w:space="0" w:color="auto"/>
            </w:tcBorders>
            <w:shd w:val="clear" w:color="auto" w:fill="auto"/>
            <w:noWrap/>
            <w:vAlign w:val="center"/>
            <w:hideMark/>
          </w:tcPr>
          <w:p w14:paraId="00DC096C"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768,7</w:t>
            </w:r>
          </w:p>
        </w:tc>
        <w:tc>
          <w:tcPr>
            <w:tcW w:w="765" w:type="dxa"/>
            <w:tcBorders>
              <w:top w:val="nil"/>
              <w:left w:val="single" w:sz="4" w:space="0" w:color="auto"/>
              <w:bottom w:val="nil"/>
              <w:right w:val="single" w:sz="4" w:space="0" w:color="auto"/>
            </w:tcBorders>
            <w:shd w:val="clear" w:color="auto" w:fill="auto"/>
            <w:noWrap/>
            <w:vAlign w:val="center"/>
            <w:hideMark/>
          </w:tcPr>
          <w:p w14:paraId="14621581"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796,2</w:t>
            </w:r>
          </w:p>
        </w:tc>
        <w:tc>
          <w:tcPr>
            <w:tcW w:w="765" w:type="dxa"/>
            <w:tcBorders>
              <w:top w:val="nil"/>
              <w:left w:val="single" w:sz="4" w:space="0" w:color="auto"/>
              <w:bottom w:val="nil"/>
              <w:right w:val="single" w:sz="4" w:space="0" w:color="auto"/>
            </w:tcBorders>
            <w:shd w:val="clear" w:color="auto" w:fill="auto"/>
            <w:noWrap/>
            <w:vAlign w:val="center"/>
            <w:hideMark/>
          </w:tcPr>
          <w:p w14:paraId="11DFC238"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774,3</w:t>
            </w:r>
          </w:p>
        </w:tc>
        <w:tc>
          <w:tcPr>
            <w:tcW w:w="765" w:type="dxa"/>
            <w:tcBorders>
              <w:top w:val="nil"/>
              <w:left w:val="single" w:sz="4" w:space="0" w:color="auto"/>
              <w:bottom w:val="nil"/>
              <w:right w:val="single" w:sz="4" w:space="0" w:color="auto"/>
            </w:tcBorders>
            <w:shd w:val="clear" w:color="auto" w:fill="auto"/>
            <w:noWrap/>
            <w:vAlign w:val="center"/>
            <w:hideMark/>
          </w:tcPr>
          <w:p w14:paraId="502AA0D8"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781,1</w:t>
            </w:r>
          </w:p>
        </w:tc>
        <w:tc>
          <w:tcPr>
            <w:tcW w:w="765" w:type="dxa"/>
            <w:tcBorders>
              <w:top w:val="nil"/>
              <w:left w:val="single" w:sz="4" w:space="0" w:color="auto"/>
              <w:bottom w:val="nil"/>
              <w:right w:val="single" w:sz="4" w:space="0" w:color="auto"/>
            </w:tcBorders>
            <w:shd w:val="clear" w:color="auto" w:fill="auto"/>
            <w:noWrap/>
            <w:vAlign w:val="center"/>
            <w:hideMark/>
          </w:tcPr>
          <w:p w14:paraId="0E694D09" w14:textId="77777777" w:rsidR="00B33613" w:rsidRPr="00166BEB" w:rsidRDefault="00B33613" w:rsidP="00B33613">
            <w:pPr>
              <w:spacing w:after="0" w:line="240" w:lineRule="auto"/>
              <w:jc w:val="right"/>
              <w:rPr>
                <w:rFonts w:cs="Arial"/>
                <w:sz w:val="16"/>
                <w:szCs w:val="16"/>
                <w:highlight w:val="yellow"/>
              </w:rPr>
            </w:pPr>
            <w:r>
              <w:rPr>
                <w:rFonts w:cs="Arial"/>
                <w:sz w:val="16"/>
                <w:szCs w:val="16"/>
              </w:rPr>
              <w:t>968,2</w:t>
            </w:r>
          </w:p>
        </w:tc>
        <w:tc>
          <w:tcPr>
            <w:tcW w:w="765" w:type="dxa"/>
            <w:tcBorders>
              <w:top w:val="nil"/>
              <w:left w:val="single" w:sz="4" w:space="0" w:color="auto"/>
              <w:bottom w:val="nil"/>
              <w:right w:val="single" w:sz="4" w:space="0" w:color="auto"/>
            </w:tcBorders>
            <w:shd w:val="clear" w:color="auto" w:fill="D9D9D9"/>
            <w:vAlign w:val="center"/>
          </w:tcPr>
          <w:p w14:paraId="78BD03DE" w14:textId="77777777" w:rsidR="00B33613" w:rsidRDefault="00B33613" w:rsidP="00B33613">
            <w:pPr>
              <w:spacing w:after="0" w:line="240" w:lineRule="auto"/>
              <w:jc w:val="right"/>
              <w:rPr>
                <w:rFonts w:cs="Arial"/>
                <w:sz w:val="16"/>
                <w:szCs w:val="16"/>
              </w:rPr>
            </w:pPr>
            <w:r>
              <w:rPr>
                <w:rFonts w:cs="Arial"/>
                <w:sz w:val="16"/>
                <w:szCs w:val="16"/>
              </w:rPr>
              <w:t>841,8</w:t>
            </w:r>
          </w:p>
        </w:tc>
        <w:tc>
          <w:tcPr>
            <w:tcW w:w="765" w:type="dxa"/>
            <w:tcBorders>
              <w:top w:val="nil"/>
              <w:left w:val="single" w:sz="4" w:space="0" w:color="auto"/>
              <w:bottom w:val="nil"/>
              <w:right w:val="nil"/>
            </w:tcBorders>
            <w:vAlign w:val="center"/>
          </w:tcPr>
          <w:p w14:paraId="1DC5888B" w14:textId="44E82937" w:rsidR="00B33613" w:rsidRDefault="00B33613" w:rsidP="00B33613">
            <w:pPr>
              <w:spacing w:after="0" w:line="240" w:lineRule="auto"/>
              <w:jc w:val="right"/>
              <w:rPr>
                <w:rFonts w:cs="Arial"/>
                <w:sz w:val="16"/>
                <w:szCs w:val="16"/>
              </w:rPr>
            </w:pPr>
            <w:r>
              <w:rPr>
                <w:rFonts w:cs="Arial"/>
                <w:sz w:val="16"/>
                <w:szCs w:val="16"/>
              </w:rPr>
              <w:t>952,5</w:t>
            </w:r>
          </w:p>
        </w:tc>
      </w:tr>
    </w:tbl>
    <w:p w14:paraId="3C579B22" w14:textId="77777777" w:rsidR="00B33613" w:rsidRPr="00166BEB" w:rsidRDefault="00B33613" w:rsidP="00B33613">
      <w:pPr>
        <w:spacing w:after="120"/>
        <w:jc w:val="both"/>
        <w:rPr>
          <w:highlight w:val="yellow"/>
        </w:rPr>
      </w:pPr>
    </w:p>
    <w:p w14:paraId="07E73A4D" w14:textId="77777777" w:rsidR="00B33613" w:rsidRPr="00095759" w:rsidRDefault="00B33613" w:rsidP="00B33613">
      <w:pPr>
        <w:spacing w:after="0" w:line="240" w:lineRule="auto"/>
        <w:rPr>
          <w:rFonts w:cs="Arial"/>
          <w:sz w:val="16"/>
          <w:szCs w:val="16"/>
        </w:rPr>
      </w:pPr>
      <w:r w:rsidRPr="00095759">
        <w:rPr>
          <w:rFonts w:cs="Arial"/>
          <w:sz w:val="16"/>
          <w:szCs w:val="16"/>
          <w:highlight w:val="lightGray"/>
        </w:rPr>
        <w:t>Přerušení v časové řadě</w:t>
      </w:r>
    </w:p>
    <w:p w14:paraId="4CB4525F" w14:textId="77777777" w:rsidR="00B33613" w:rsidRPr="00095759" w:rsidRDefault="00B33613" w:rsidP="00B33613">
      <w:pPr>
        <w:spacing w:after="120"/>
        <w:jc w:val="both"/>
        <w:rPr>
          <w:sz w:val="16"/>
        </w:rPr>
      </w:pPr>
      <w:r w:rsidRPr="00095759">
        <w:rPr>
          <w:sz w:val="16"/>
        </w:rPr>
        <w:t xml:space="preserve">Zdroj: </w:t>
      </w:r>
      <w:proofErr w:type="spellStart"/>
      <w:r w:rsidRPr="00095759">
        <w:rPr>
          <w:sz w:val="16"/>
        </w:rPr>
        <w:t>Eurostat</w:t>
      </w:r>
      <w:proofErr w:type="spellEnd"/>
      <w:r w:rsidRPr="00095759">
        <w:rPr>
          <w:sz w:val="16"/>
        </w:rPr>
        <w:t xml:space="preserve"> (ESAW)</w:t>
      </w:r>
    </w:p>
    <w:p w14:paraId="13939FB0" w14:textId="6B8B2E84" w:rsidR="00B31735" w:rsidRDefault="00B33613" w:rsidP="00C8357C">
      <w:pPr>
        <w:spacing w:after="120"/>
        <w:jc w:val="both"/>
      </w:pPr>
      <w:r w:rsidRPr="001C68C1">
        <w:t xml:space="preserve">Na rozdíl od pracovních úrazů s pracovní neschopností, na ty smrtelné neměla nemoc covid-19, lépe řečeno opatření proti jejímu šíření, tak jednoznačný vliv. Rizikovější odvětví, náchylnější na smrtelné pracovní úrazy, </w:t>
      </w:r>
      <w:r w:rsidRPr="00251BF8">
        <w:t xml:space="preserve">zaměstnávající manuálně pracující, neumožňovaly takové zapojení práce z domova jako třeba administrativní obory. K meziročnímu poklesu míry smrtelné pracovní úrazovosti </w:t>
      </w:r>
      <w:r w:rsidR="006E270F">
        <w:t xml:space="preserve">– mezi roky 2020 a 2021 – </w:t>
      </w:r>
      <w:r w:rsidRPr="00251BF8">
        <w:t>došlo jen u</w:t>
      </w:r>
      <w:r w:rsidR="00957C5B">
        <w:t> </w:t>
      </w:r>
      <w:r w:rsidRPr="00251BF8">
        <w:t>1</w:t>
      </w:r>
      <w:r w:rsidR="001C68C1" w:rsidRPr="00251BF8">
        <w:t>2</w:t>
      </w:r>
      <w:r w:rsidR="00957C5B">
        <w:t> </w:t>
      </w:r>
      <w:r w:rsidRPr="00251BF8">
        <w:t xml:space="preserve">států. Nejvíce </w:t>
      </w:r>
      <w:r w:rsidR="001C68C1" w:rsidRPr="00251BF8">
        <w:t>na Kypru (−3 úrazy</w:t>
      </w:r>
      <w:r w:rsidRPr="00251BF8">
        <w:t xml:space="preserve"> na 100 tis. zaměstnaných osob) a v</w:t>
      </w:r>
      <w:r w:rsidR="001C68C1" w:rsidRPr="00251BF8">
        <w:t xml:space="preserve"> Bulharsku</w:t>
      </w:r>
      <w:r w:rsidRPr="00251BF8">
        <w:t xml:space="preserve"> (−1,</w:t>
      </w:r>
      <w:r w:rsidR="001C68C1" w:rsidRPr="00251BF8">
        <w:t>1</w:t>
      </w:r>
      <w:r w:rsidRPr="00251BF8">
        <w:t xml:space="preserve">). Naopak největší nárůst byl zaznamenán </w:t>
      </w:r>
      <w:r w:rsidR="001C68C1" w:rsidRPr="00251BF8">
        <w:t>v Litvě (+1,6) a v Lotyšsku (+1,5).</w:t>
      </w:r>
    </w:p>
    <w:p w14:paraId="4F418DC2" w14:textId="77777777" w:rsidR="00B31735" w:rsidRDefault="00B31735">
      <w:pPr>
        <w:spacing w:after="0" w:line="240" w:lineRule="auto"/>
      </w:pPr>
      <w:r>
        <w:br w:type="page"/>
      </w:r>
    </w:p>
    <w:p w14:paraId="0B8199E7" w14:textId="4F2B1BEC" w:rsidR="00B33613" w:rsidRPr="00B33613" w:rsidRDefault="00B33613" w:rsidP="00B33613">
      <w:pPr>
        <w:spacing w:after="0" w:line="240" w:lineRule="auto"/>
        <w:rPr>
          <w:rFonts w:cs="Arial"/>
          <w:b/>
          <w:bCs/>
          <w:color w:val="000000"/>
          <w:szCs w:val="20"/>
        </w:rPr>
      </w:pPr>
      <w:r w:rsidRPr="00B33613">
        <w:rPr>
          <w:rFonts w:cs="Arial"/>
          <w:b/>
          <w:bCs/>
          <w:color w:val="000000"/>
          <w:szCs w:val="20"/>
        </w:rPr>
        <w:lastRenderedPageBreak/>
        <w:t xml:space="preserve">Graf 6.2: Smrtelné pracovní úrazy v zemích EU </w:t>
      </w:r>
      <w:r w:rsidR="00DD5A0D">
        <w:rPr>
          <w:rFonts w:cs="Arial"/>
          <w:b/>
          <w:bCs/>
          <w:color w:val="000000"/>
          <w:szCs w:val="20"/>
        </w:rPr>
        <w:br/>
      </w:r>
      <w:r w:rsidRPr="00B33613">
        <w:rPr>
          <w:rFonts w:cs="Arial"/>
          <w:b/>
          <w:bCs/>
          <w:color w:val="000000"/>
          <w:szCs w:val="20"/>
        </w:rPr>
        <w:t>(standardizovaná míra výskytu na 100 tis. zaměstnaných osob), 2021</w:t>
      </w:r>
    </w:p>
    <w:p w14:paraId="4C3D390B" w14:textId="77777777" w:rsidR="00B33613" w:rsidRDefault="00B33613" w:rsidP="008F6B9A">
      <w:pPr>
        <w:spacing w:after="0" w:line="240" w:lineRule="auto"/>
        <w:rPr>
          <w:rFonts w:cs="Arial"/>
          <w:b/>
          <w:highlight w:val="yellow"/>
        </w:rPr>
      </w:pPr>
      <w:r>
        <w:rPr>
          <w:noProof/>
        </w:rPr>
        <w:drawing>
          <wp:inline distT="0" distB="0" distL="0" distR="0" wp14:anchorId="2F365D58" wp14:editId="6D367EFC">
            <wp:extent cx="6076950" cy="5219700"/>
            <wp:effectExtent l="0" t="0" r="0" b="0"/>
            <wp:docPr id="45" name="Graf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EAFD064" w14:textId="77777777" w:rsidR="00B33613" w:rsidRPr="00095759" w:rsidRDefault="00B33613" w:rsidP="00B33613">
      <w:pPr>
        <w:spacing w:after="120"/>
        <w:jc w:val="both"/>
        <w:rPr>
          <w:sz w:val="16"/>
        </w:rPr>
      </w:pPr>
      <w:r w:rsidRPr="00095759">
        <w:rPr>
          <w:sz w:val="16"/>
        </w:rPr>
        <w:t xml:space="preserve">Zdroj: </w:t>
      </w:r>
      <w:proofErr w:type="spellStart"/>
      <w:r w:rsidRPr="00095759">
        <w:rPr>
          <w:sz w:val="16"/>
        </w:rPr>
        <w:t>Eurostat</w:t>
      </w:r>
      <w:proofErr w:type="spellEnd"/>
      <w:r w:rsidRPr="00095759">
        <w:rPr>
          <w:sz w:val="16"/>
        </w:rPr>
        <w:t xml:space="preserve"> (ESAW)</w:t>
      </w:r>
    </w:p>
    <w:p w14:paraId="57C43E1A" w14:textId="77777777" w:rsidR="00434CAA" w:rsidRDefault="00434CAA">
      <w:pPr>
        <w:spacing w:after="0" w:line="240" w:lineRule="auto"/>
        <w:rPr>
          <w:rFonts w:cs="Arial"/>
          <w:b/>
          <w:bCs/>
          <w:color w:val="000000"/>
          <w:szCs w:val="20"/>
        </w:rPr>
      </w:pPr>
      <w:r>
        <w:rPr>
          <w:rFonts w:cs="Arial"/>
          <w:b/>
          <w:bCs/>
          <w:color w:val="000000"/>
          <w:szCs w:val="20"/>
        </w:rPr>
        <w:br w:type="page"/>
      </w:r>
    </w:p>
    <w:p w14:paraId="2075D05C" w14:textId="74297E8A" w:rsidR="00B33613" w:rsidRPr="00B33613" w:rsidRDefault="00B33613" w:rsidP="00B33613">
      <w:pPr>
        <w:spacing w:after="0" w:line="240" w:lineRule="auto"/>
        <w:rPr>
          <w:rFonts w:cs="Arial"/>
          <w:b/>
          <w:bCs/>
          <w:color w:val="000000"/>
          <w:szCs w:val="20"/>
        </w:rPr>
      </w:pPr>
      <w:r w:rsidRPr="00B33613">
        <w:rPr>
          <w:rFonts w:cs="Arial"/>
          <w:b/>
          <w:bCs/>
          <w:color w:val="000000"/>
          <w:szCs w:val="20"/>
        </w:rPr>
        <w:lastRenderedPageBreak/>
        <w:t xml:space="preserve">Tab. 6.2: Smrtelné pracovní úrazy v zemích EU </w:t>
      </w:r>
      <w:r w:rsidR="002B6CB3">
        <w:rPr>
          <w:rFonts w:cs="Arial"/>
          <w:b/>
          <w:bCs/>
          <w:color w:val="000000"/>
          <w:szCs w:val="20"/>
        </w:rPr>
        <w:br/>
      </w:r>
      <w:r w:rsidRPr="00B33613">
        <w:rPr>
          <w:rFonts w:cs="Arial"/>
          <w:b/>
          <w:bCs/>
          <w:color w:val="000000"/>
          <w:szCs w:val="20"/>
        </w:rPr>
        <w:t>(standardizovaná míra výskytu na 100 tis. zaměstnaných osob), 2011–2021</w:t>
      </w:r>
    </w:p>
    <w:tbl>
      <w:tblPr>
        <w:tblW w:w="9955" w:type="dxa"/>
        <w:tblLayout w:type="fixed"/>
        <w:tblCellMar>
          <w:left w:w="70" w:type="dxa"/>
          <w:right w:w="70" w:type="dxa"/>
        </w:tblCellMar>
        <w:tblLook w:val="04A0" w:firstRow="1" w:lastRow="0" w:firstColumn="1" w:lastColumn="0" w:noHBand="0" w:noVBand="1"/>
      </w:tblPr>
      <w:tblGrid>
        <w:gridCol w:w="1380"/>
        <w:gridCol w:w="765"/>
        <w:gridCol w:w="765"/>
        <w:gridCol w:w="765"/>
        <w:gridCol w:w="765"/>
        <w:gridCol w:w="765"/>
        <w:gridCol w:w="765"/>
        <w:gridCol w:w="765"/>
        <w:gridCol w:w="765"/>
        <w:gridCol w:w="765"/>
        <w:gridCol w:w="765"/>
        <w:gridCol w:w="765"/>
        <w:gridCol w:w="160"/>
      </w:tblGrid>
      <w:tr w:rsidR="00DD771A" w:rsidRPr="00166BEB" w14:paraId="061BD337" w14:textId="64E8EC16" w:rsidTr="00DD771A">
        <w:trPr>
          <w:gridAfter w:val="1"/>
          <w:wAfter w:w="160" w:type="dxa"/>
          <w:trHeight w:val="300"/>
        </w:trPr>
        <w:tc>
          <w:tcPr>
            <w:tcW w:w="1380" w:type="dxa"/>
            <w:tcBorders>
              <w:top w:val="single" w:sz="4" w:space="0" w:color="000000"/>
              <w:left w:val="nil"/>
              <w:bottom w:val="single" w:sz="4" w:space="0" w:color="000000"/>
              <w:right w:val="single" w:sz="4" w:space="0" w:color="auto"/>
            </w:tcBorders>
            <w:shd w:val="clear" w:color="000000" w:fill="F5DADD"/>
            <w:noWrap/>
            <w:vAlign w:val="center"/>
            <w:hideMark/>
          </w:tcPr>
          <w:p w14:paraId="35241E91" w14:textId="77777777" w:rsidR="00DD771A" w:rsidRPr="00166BEB" w:rsidRDefault="00DD771A" w:rsidP="00DD771A">
            <w:pPr>
              <w:spacing w:after="0" w:line="240" w:lineRule="auto"/>
              <w:rPr>
                <w:rFonts w:cs="Arial"/>
                <w:sz w:val="16"/>
                <w:szCs w:val="16"/>
                <w:highlight w:val="yellow"/>
              </w:rPr>
            </w:pPr>
            <w:r>
              <w:rPr>
                <w:rFonts w:cs="Arial"/>
                <w:sz w:val="16"/>
                <w:szCs w:val="16"/>
              </w:rPr>
              <w:t>Členské státy EU</w:t>
            </w:r>
          </w:p>
        </w:tc>
        <w:tc>
          <w:tcPr>
            <w:tcW w:w="765" w:type="dxa"/>
            <w:tcBorders>
              <w:top w:val="single" w:sz="4" w:space="0" w:color="000000"/>
              <w:left w:val="nil"/>
              <w:bottom w:val="single" w:sz="4" w:space="0" w:color="auto"/>
              <w:right w:val="single" w:sz="4" w:space="0" w:color="auto"/>
            </w:tcBorders>
            <w:shd w:val="clear" w:color="000000" w:fill="F5DADD"/>
            <w:noWrap/>
            <w:vAlign w:val="center"/>
            <w:hideMark/>
          </w:tcPr>
          <w:p w14:paraId="45B56130"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2011</w:t>
            </w:r>
          </w:p>
        </w:tc>
        <w:tc>
          <w:tcPr>
            <w:tcW w:w="765" w:type="dxa"/>
            <w:tcBorders>
              <w:top w:val="single" w:sz="4" w:space="0" w:color="000000"/>
              <w:left w:val="single" w:sz="4" w:space="0" w:color="auto"/>
              <w:bottom w:val="single" w:sz="4" w:space="0" w:color="auto"/>
              <w:right w:val="single" w:sz="4" w:space="0" w:color="auto"/>
            </w:tcBorders>
            <w:shd w:val="clear" w:color="000000" w:fill="F5DADD"/>
            <w:noWrap/>
            <w:vAlign w:val="center"/>
            <w:hideMark/>
          </w:tcPr>
          <w:p w14:paraId="5A5E5756"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2012</w:t>
            </w:r>
          </w:p>
        </w:tc>
        <w:tc>
          <w:tcPr>
            <w:tcW w:w="765" w:type="dxa"/>
            <w:tcBorders>
              <w:top w:val="single" w:sz="4" w:space="0" w:color="000000"/>
              <w:left w:val="single" w:sz="4" w:space="0" w:color="auto"/>
              <w:bottom w:val="single" w:sz="4" w:space="0" w:color="auto"/>
              <w:right w:val="single" w:sz="4" w:space="0" w:color="auto"/>
            </w:tcBorders>
            <w:shd w:val="clear" w:color="000000" w:fill="F5DADD"/>
            <w:noWrap/>
            <w:vAlign w:val="center"/>
            <w:hideMark/>
          </w:tcPr>
          <w:p w14:paraId="70496378"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2013</w:t>
            </w:r>
          </w:p>
        </w:tc>
        <w:tc>
          <w:tcPr>
            <w:tcW w:w="765" w:type="dxa"/>
            <w:tcBorders>
              <w:top w:val="single" w:sz="4" w:space="0" w:color="000000"/>
              <w:left w:val="single" w:sz="4" w:space="0" w:color="auto"/>
              <w:bottom w:val="single" w:sz="4" w:space="0" w:color="auto"/>
              <w:right w:val="single" w:sz="4" w:space="0" w:color="auto"/>
            </w:tcBorders>
            <w:shd w:val="clear" w:color="000000" w:fill="F5DADD"/>
            <w:noWrap/>
            <w:vAlign w:val="center"/>
            <w:hideMark/>
          </w:tcPr>
          <w:p w14:paraId="4A79DBA5"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2014</w:t>
            </w:r>
          </w:p>
        </w:tc>
        <w:tc>
          <w:tcPr>
            <w:tcW w:w="765" w:type="dxa"/>
            <w:tcBorders>
              <w:top w:val="single" w:sz="4" w:space="0" w:color="000000"/>
              <w:left w:val="single" w:sz="4" w:space="0" w:color="auto"/>
              <w:bottom w:val="single" w:sz="4" w:space="0" w:color="auto"/>
              <w:right w:val="single" w:sz="4" w:space="0" w:color="auto"/>
            </w:tcBorders>
            <w:shd w:val="clear" w:color="000000" w:fill="F5DADD"/>
            <w:noWrap/>
            <w:vAlign w:val="center"/>
            <w:hideMark/>
          </w:tcPr>
          <w:p w14:paraId="3FEC15E5"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2015</w:t>
            </w:r>
          </w:p>
        </w:tc>
        <w:tc>
          <w:tcPr>
            <w:tcW w:w="765" w:type="dxa"/>
            <w:tcBorders>
              <w:top w:val="single" w:sz="4" w:space="0" w:color="000000"/>
              <w:left w:val="single" w:sz="4" w:space="0" w:color="auto"/>
              <w:bottom w:val="single" w:sz="4" w:space="0" w:color="auto"/>
              <w:right w:val="single" w:sz="4" w:space="0" w:color="auto"/>
            </w:tcBorders>
            <w:shd w:val="clear" w:color="000000" w:fill="F5DADD"/>
            <w:noWrap/>
            <w:vAlign w:val="center"/>
            <w:hideMark/>
          </w:tcPr>
          <w:p w14:paraId="5F10BA92"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2016</w:t>
            </w:r>
          </w:p>
        </w:tc>
        <w:tc>
          <w:tcPr>
            <w:tcW w:w="765" w:type="dxa"/>
            <w:tcBorders>
              <w:top w:val="single" w:sz="4" w:space="0" w:color="000000"/>
              <w:left w:val="single" w:sz="4" w:space="0" w:color="auto"/>
              <w:bottom w:val="single" w:sz="4" w:space="0" w:color="auto"/>
              <w:right w:val="single" w:sz="4" w:space="0" w:color="auto"/>
            </w:tcBorders>
            <w:shd w:val="clear" w:color="000000" w:fill="F5DADD"/>
            <w:noWrap/>
            <w:vAlign w:val="center"/>
            <w:hideMark/>
          </w:tcPr>
          <w:p w14:paraId="1FD25EB7"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2017</w:t>
            </w:r>
          </w:p>
        </w:tc>
        <w:tc>
          <w:tcPr>
            <w:tcW w:w="765" w:type="dxa"/>
            <w:tcBorders>
              <w:top w:val="single" w:sz="4" w:space="0" w:color="000000"/>
              <w:left w:val="single" w:sz="4" w:space="0" w:color="auto"/>
              <w:bottom w:val="single" w:sz="4" w:space="0" w:color="auto"/>
              <w:right w:val="single" w:sz="4" w:space="0" w:color="auto"/>
            </w:tcBorders>
            <w:shd w:val="clear" w:color="000000" w:fill="F5DADD"/>
            <w:noWrap/>
            <w:vAlign w:val="center"/>
            <w:hideMark/>
          </w:tcPr>
          <w:p w14:paraId="648846A1"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2018</w:t>
            </w:r>
          </w:p>
        </w:tc>
        <w:tc>
          <w:tcPr>
            <w:tcW w:w="765" w:type="dxa"/>
            <w:tcBorders>
              <w:top w:val="single" w:sz="4" w:space="0" w:color="000000"/>
              <w:left w:val="single" w:sz="4" w:space="0" w:color="auto"/>
              <w:bottom w:val="single" w:sz="4" w:space="0" w:color="auto"/>
              <w:right w:val="single" w:sz="4" w:space="0" w:color="auto"/>
            </w:tcBorders>
            <w:shd w:val="clear" w:color="000000" w:fill="F5DADD"/>
            <w:noWrap/>
            <w:vAlign w:val="center"/>
            <w:hideMark/>
          </w:tcPr>
          <w:p w14:paraId="5B0A7883"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2019</w:t>
            </w:r>
          </w:p>
        </w:tc>
        <w:tc>
          <w:tcPr>
            <w:tcW w:w="765" w:type="dxa"/>
            <w:tcBorders>
              <w:top w:val="single" w:sz="4" w:space="0" w:color="000000"/>
              <w:left w:val="single" w:sz="4" w:space="0" w:color="auto"/>
              <w:bottom w:val="single" w:sz="4" w:space="0" w:color="auto"/>
              <w:right w:val="single" w:sz="4" w:space="0" w:color="auto"/>
            </w:tcBorders>
            <w:shd w:val="clear" w:color="000000" w:fill="F5DADD"/>
            <w:vAlign w:val="center"/>
          </w:tcPr>
          <w:p w14:paraId="3BBE1441"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2020</w:t>
            </w:r>
          </w:p>
        </w:tc>
        <w:tc>
          <w:tcPr>
            <w:tcW w:w="765" w:type="dxa"/>
            <w:tcBorders>
              <w:top w:val="single" w:sz="4" w:space="0" w:color="000000"/>
              <w:left w:val="single" w:sz="4" w:space="0" w:color="auto"/>
              <w:bottom w:val="single" w:sz="4" w:space="0" w:color="auto"/>
              <w:right w:val="nil"/>
            </w:tcBorders>
            <w:shd w:val="clear" w:color="000000" w:fill="F5DADD"/>
            <w:vAlign w:val="center"/>
          </w:tcPr>
          <w:p w14:paraId="56B602CC" w14:textId="059C3931" w:rsidR="00DD771A" w:rsidRDefault="00DD771A" w:rsidP="00DD771A">
            <w:pPr>
              <w:spacing w:after="0" w:line="240" w:lineRule="auto"/>
              <w:jc w:val="center"/>
              <w:rPr>
                <w:rFonts w:cs="Arial"/>
                <w:sz w:val="16"/>
                <w:szCs w:val="16"/>
              </w:rPr>
            </w:pPr>
            <w:r>
              <w:rPr>
                <w:rFonts w:cs="Arial"/>
                <w:sz w:val="16"/>
                <w:szCs w:val="16"/>
              </w:rPr>
              <w:t>2021</w:t>
            </w:r>
          </w:p>
        </w:tc>
      </w:tr>
      <w:tr w:rsidR="00DD771A" w:rsidRPr="00166BEB" w14:paraId="610E58C1" w14:textId="77777777" w:rsidTr="00DD771A">
        <w:trPr>
          <w:trHeight w:val="300"/>
        </w:trPr>
        <w:tc>
          <w:tcPr>
            <w:tcW w:w="1380" w:type="dxa"/>
            <w:tcBorders>
              <w:top w:val="nil"/>
              <w:left w:val="nil"/>
              <w:bottom w:val="nil"/>
              <w:right w:val="nil"/>
            </w:tcBorders>
            <w:shd w:val="clear" w:color="auto" w:fill="auto"/>
            <w:noWrap/>
            <w:vAlign w:val="center"/>
            <w:hideMark/>
          </w:tcPr>
          <w:p w14:paraId="74829109" w14:textId="77777777" w:rsidR="00DD771A" w:rsidRPr="00166BEB" w:rsidRDefault="00DD771A" w:rsidP="00DD771A">
            <w:pPr>
              <w:spacing w:after="0" w:line="240" w:lineRule="auto"/>
              <w:rPr>
                <w:rFonts w:cs="Arial"/>
                <w:b/>
                <w:bCs/>
                <w:sz w:val="16"/>
                <w:szCs w:val="16"/>
                <w:highlight w:val="yellow"/>
              </w:rPr>
            </w:pPr>
            <w:r>
              <w:rPr>
                <w:rFonts w:cs="Arial"/>
                <w:b/>
                <w:bCs/>
                <w:sz w:val="16"/>
                <w:szCs w:val="16"/>
              </w:rPr>
              <w:t>EU27</w:t>
            </w:r>
          </w:p>
        </w:tc>
        <w:tc>
          <w:tcPr>
            <w:tcW w:w="765" w:type="dxa"/>
            <w:tcBorders>
              <w:top w:val="nil"/>
              <w:left w:val="single" w:sz="4" w:space="0" w:color="000000"/>
              <w:bottom w:val="nil"/>
              <w:right w:val="single" w:sz="4" w:space="0" w:color="auto"/>
            </w:tcBorders>
            <w:shd w:val="clear" w:color="auto" w:fill="auto"/>
            <w:noWrap/>
            <w:vAlign w:val="center"/>
            <w:hideMark/>
          </w:tcPr>
          <w:p w14:paraId="5002FEFA" w14:textId="77777777" w:rsidR="00DD771A" w:rsidRPr="00166BEB" w:rsidRDefault="00DD771A" w:rsidP="00DD771A">
            <w:pPr>
              <w:spacing w:after="0" w:line="240" w:lineRule="auto"/>
              <w:jc w:val="center"/>
              <w:rPr>
                <w:rFonts w:cs="Arial"/>
                <w:b/>
                <w:bCs/>
                <w:sz w:val="16"/>
                <w:szCs w:val="16"/>
                <w:highlight w:val="yellow"/>
              </w:rPr>
            </w:pPr>
            <w:r>
              <w:rPr>
                <w:rFonts w:cs="Arial"/>
                <w:b/>
                <w:bCs/>
                <w:sz w:val="16"/>
                <w:szCs w:val="16"/>
              </w:rPr>
              <w:t>2,8</w:t>
            </w:r>
          </w:p>
        </w:tc>
        <w:tc>
          <w:tcPr>
            <w:tcW w:w="765" w:type="dxa"/>
            <w:tcBorders>
              <w:top w:val="nil"/>
              <w:left w:val="single" w:sz="4" w:space="0" w:color="auto"/>
              <w:bottom w:val="nil"/>
              <w:right w:val="single" w:sz="4" w:space="0" w:color="auto"/>
            </w:tcBorders>
            <w:shd w:val="clear" w:color="auto" w:fill="auto"/>
            <w:noWrap/>
            <w:vAlign w:val="center"/>
            <w:hideMark/>
          </w:tcPr>
          <w:p w14:paraId="1DFCAEA4" w14:textId="77777777" w:rsidR="00DD771A" w:rsidRPr="00166BEB" w:rsidRDefault="00DD771A" w:rsidP="00DD771A">
            <w:pPr>
              <w:spacing w:after="0" w:line="240" w:lineRule="auto"/>
              <w:jc w:val="center"/>
              <w:rPr>
                <w:rFonts w:cs="Arial"/>
                <w:b/>
                <w:bCs/>
                <w:sz w:val="16"/>
                <w:szCs w:val="16"/>
                <w:highlight w:val="yellow"/>
              </w:rPr>
            </w:pPr>
            <w:r>
              <w:rPr>
                <w:rFonts w:cs="Arial"/>
                <w:b/>
                <w:bCs/>
                <w:sz w:val="16"/>
                <w:szCs w:val="16"/>
              </w:rPr>
              <w:t>2,7</w:t>
            </w:r>
          </w:p>
        </w:tc>
        <w:tc>
          <w:tcPr>
            <w:tcW w:w="765" w:type="dxa"/>
            <w:tcBorders>
              <w:top w:val="nil"/>
              <w:left w:val="single" w:sz="4" w:space="0" w:color="auto"/>
              <w:bottom w:val="nil"/>
              <w:right w:val="single" w:sz="4" w:space="0" w:color="auto"/>
            </w:tcBorders>
            <w:shd w:val="clear" w:color="auto" w:fill="auto"/>
            <w:noWrap/>
            <w:vAlign w:val="center"/>
            <w:hideMark/>
          </w:tcPr>
          <w:p w14:paraId="01C479B0" w14:textId="77777777" w:rsidR="00DD771A" w:rsidRPr="00166BEB" w:rsidRDefault="00DD771A" w:rsidP="00DD771A">
            <w:pPr>
              <w:spacing w:after="0" w:line="240" w:lineRule="auto"/>
              <w:jc w:val="center"/>
              <w:rPr>
                <w:rFonts w:cs="Arial"/>
                <w:b/>
                <w:bCs/>
                <w:sz w:val="16"/>
                <w:szCs w:val="16"/>
                <w:highlight w:val="yellow"/>
              </w:rPr>
            </w:pPr>
            <w:r>
              <w:rPr>
                <w:rFonts w:cs="Arial"/>
                <w:b/>
                <w:bCs/>
                <w:sz w:val="16"/>
                <w:szCs w:val="16"/>
              </w:rPr>
              <w:t>2,4</w:t>
            </w:r>
          </w:p>
        </w:tc>
        <w:tc>
          <w:tcPr>
            <w:tcW w:w="765" w:type="dxa"/>
            <w:tcBorders>
              <w:top w:val="nil"/>
              <w:left w:val="single" w:sz="4" w:space="0" w:color="auto"/>
              <w:bottom w:val="nil"/>
              <w:right w:val="single" w:sz="4" w:space="0" w:color="auto"/>
            </w:tcBorders>
            <w:shd w:val="clear" w:color="auto" w:fill="auto"/>
            <w:noWrap/>
            <w:vAlign w:val="center"/>
            <w:hideMark/>
          </w:tcPr>
          <w:p w14:paraId="697CF993" w14:textId="77777777" w:rsidR="00DD771A" w:rsidRPr="00166BEB" w:rsidRDefault="00DD771A" w:rsidP="00DD771A">
            <w:pPr>
              <w:spacing w:after="0" w:line="240" w:lineRule="auto"/>
              <w:jc w:val="center"/>
              <w:rPr>
                <w:rFonts w:cs="Arial"/>
                <w:b/>
                <w:bCs/>
                <w:sz w:val="16"/>
                <w:szCs w:val="16"/>
                <w:highlight w:val="yellow"/>
              </w:rPr>
            </w:pPr>
            <w:r>
              <w:rPr>
                <w:rFonts w:cs="Arial"/>
                <w:b/>
                <w:bCs/>
                <w:sz w:val="16"/>
                <w:szCs w:val="16"/>
              </w:rPr>
              <w:t>2,5</w:t>
            </w:r>
          </w:p>
        </w:tc>
        <w:tc>
          <w:tcPr>
            <w:tcW w:w="765" w:type="dxa"/>
            <w:tcBorders>
              <w:top w:val="nil"/>
              <w:left w:val="single" w:sz="4" w:space="0" w:color="auto"/>
              <w:bottom w:val="nil"/>
              <w:right w:val="single" w:sz="4" w:space="0" w:color="auto"/>
            </w:tcBorders>
            <w:shd w:val="clear" w:color="auto" w:fill="auto"/>
            <w:noWrap/>
            <w:vAlign w:val="center"/>
            <w:hideMark/>
          </w:tcPr>
          <w:p w14:paraId="7A7F75C9" w14:textId="77777777" w:rsidR="00DD771A" w:rsidRPr="00166BEB" w:rsidRDefault="00DD771A" w:rsidP="00DD771A">
            <w:pPr>
              <w:spacing w:after="0" w:line="240" w:lineRule="auto"/>
              <w:jc w:val="center"/>
              <w:rPr>
                <w:rFonts w:cs="Arial"/>
                <w:b/>
                <w:bCs/>
                <w:sz w:val="16"/>
                <w:szCs w:val="16"/>
                <w:highlight w:val="yellow"/>
              </w:rPr>
            </w:pPr>
            <w:r>
              <w:rPr>
                <w:rFonts w:cs="Arial"/>
                <w:b/>
                <w:bCs/>
                <w:sz w:val="16"/>
                <w:szCs w:val="16"/>
              </w:rPr>
              <w:t>2,6</w:t>
            </w:r>
          </w:p>
        </w:tc>
        <w:tc>
          <w:tcPr>
            <w:tcW w:w="765" w:type="dxa"/>
            <w:tcBorders>
              <w:top w:val="nil"/>
              <w:left w:val="single" w:sz="4" w:space="0" w:color="auto"/>
              <w:bottom w:val="nil"/>
              <w:right w:val="single" w:sz="4" w:space="0" w:color="auto"/>
            </w:tcBorders>
            <w:shd w:val="clear" w:color="auto" w:fill="auto"/>
            <w:noWrap/>
            <w:vAlign w:val="center"/>
            <w:hideMark/>
          </w:tcPr>
          <w:p w14:paraId="06D69AC2" w14:textId="77777777" w:rsidR="00DD771A" w:rsidRPr="00166BEB" w:rsidRDefault="00DD771A" w:rsidP="00DD771A">
            <w:pPr>
              <w:spacing w:after="0" w:line="240" w:lineRule="auto"/>
              <w:jc w:val="center"/>
              <w:rPr>
                <w:rFonts w:cs="Arial"/>
                <w:b/>
                <w:bCs/>
                <w:sz w:val="16"/>
                <w:szCs w:val="16"/>
                <w:highlight w:val="yellow"/>
              </w:rPr>
            </w:pPr>
            <w:r>
              <w:rPr>
                <w:rFonts w:cs="Arial"/>
                <w:b/>
                <w:bCs/>
                <w:sz w:val="16"/>
                <w:szCs w:val="16"/>
              </w:rPr>
              <w:t>2,3</w:t>
            </w:r>
          </w:p>
        </w:tc>
        <w:tc>
          <w:tcPr>
            <w:tcW w:w="765" w:type="dxa"/>
            <w:tcBorders>
              <w:top w:val="nil"/>
              <w:left w:val="single" w:sz="4" w:space="0" w:color="auto"/>
              <w:bottom w:val="nil"/>
              <w:right w:val="single" w:sz="4" w:space="0" w:color="auto"/>
            </w:tcBorders>
            <w:shd w:val="clear" w:color="auto" w:fill="auto"/>
            <w:noWrap/>
            <w:vAlign w:val="center"/>
            <w:hideMark/>
          </w:tcPr>
          <w:p w14:paraId="71FBA5F7" w14:textId="77777777" w:rsidR="00DD771A" w:rsidRPr="00166BEB" w:rsidRDefault="00DD771A" w:rsidP="00DD771A">
            <w:pPr>
              <w:spacing w:after="0" w:line="240" w:lineRule="auto"/>
              <w:jc w:val="center"/>
              <w:rPr>
                <w:rFonts w:cs="Arial"/>
                <w:b/>
                <w:bCs/>
                <w:sz w:val="16"/>
                <w:szCs w:val="16"/>
                <w:highlight w:val="yellow"/>
              </w:rPr>
            </w:pPr>
            <w:r>
              <w:rPr>
                <w:rFonts w:cs="Arial"/>
                <w:b/>
                <w:bCs/>
                <w:sz w:val="16"/>
                <w:szCs w:val="16"/>
              </w:rPr>
              <w:t>2,3</w:t>
            </w:r>
          </w:p>
        </w:tc>
        <w:tc>
          <w:tcPr>
            <w:tcW w:w="765" w:type="dxa"/>
            <w:tcBorders>
              <w:top w:val="nil"/>
              <w:left w:val="single" w:sz="4" w:space="0" w:color="auto"/>
              <w:bottom w:val="nil"/>
              <w:right w:val="single" w:sz="4" w:space="0" w:color="auto"/>
            </w:tcBorders>
            <w:shd w:val="clear" w:color="auto" w:fill="auto"/>
            <w:noWrap/>
            <w:vAlign w:val="center"/>
            <w:hideMark/>
          </w:tcPr>
          <w:p w14:paraId="5E1AFC59" w14:textId="77777777" w:rsidR="00DD771A" w:rsidRPr="00166BEB" w:rsidRDefault="00DD771A" w:rsidP="00DD771A">
            <w:pPr>
              <w:spacing w:after="0" w:line="240" w:lineRule="auto"/>
              <w:jc w:val="center"/>
              <w:rPr>
                <w:rFonts w:cs="Arial"/>
                <w:b/>
                <w:bCs/>
                <w:sz w:val="16"/>
                <w:szCs w:val="16"/>
                <w:highlight w:val="yellow"/>
              </w:rPr>
            </w:pPr>
            <w:r>
              <w:rPr>
                <w:rFonts w:cs="Arial"/>
                <w:b/>
                <w:bCs/>
                <w:sz w:val="16"/>
                <w:szCs w:val="16"/>
              </w:rPr>
              <w:t>2,2</w:t>
            </w:r>
          </w:p>
        </w:tc>
        <w:tc>
          <w:tcPr>
            <w:tcW w:w="765" w:type="dxa"/>
            <w:tcBorders>
              <w:top w:val="nil"/>
              <w:left w:val="single" w:sz="4" w:space="0" w:color="auto"/>
              <w:bottom w:val="nil"/>
              <w:right w:val="single" w:sz="4" w:space="0" w:color="auto"/>
            </w:tcBorders>
            <w:shd w:val="clear" w:color="auto" w:fill="auto"/>
            <w:noWrap/>
            <w:vAlign w:val="center"/>
            <w:hideMark/>
          </w:tcPr>
          <w:p w14:paraId="4C4FD9D8" w14:textId="77777777" w:rsidR="00DD771A" w:rsidRPr="00166BEB" w:rsidRDefault="00DD771A" w:rsidP="00DD771A">
            <w:pPr>
              <w:spacing w:after="0" w:line="240" w:lineRule="auto"/>
              <w:jc w:val="center"/>
              <w:rPr>
                <w:rFonts w:cs="Arial"/>
                <w:b/>
                <w:bCs/>
                <w:sz w:val="16"/>
                <w:szCs w:val="16"/>
                <w:highlight w:val="yellow"/>
              </w:rPr>
            </w:pPr>
            <w:r>
              <w:rPr>
                <w:rFonts w:cs="Arial"/>
                <w:b/>
                <w:bCs/>
                <w:sz w:val="16"/>
                <w:szCs w:val="16"/>
              </w:rPr>
              <w:t>2,2</w:t>
            </w:r>
          </w:p>
        </w:tc>
        <w:tc>
          <w:tcPr>
            <w:tcW w:w="765" w:type="dxa"/>
            <w:tcBorders>
              <w:top w:val="nil"/>
              <w:left w:val="single" w:sz="4" w:space="0" w:color="auto"/>
              <w:bottom w:val="nil"/>
              <w:right w:val="single" w:sz="4" w:space="0" w:color="auto"/>
            </w:tcBorders>
            <w:shd w:val="clear" w:color="auto" w:fill="D9D9D9"/>
            <w:vAlign w:val="center"/>
          </w:tcPr>
          <w:p w14:paraId="2E650272" w14:textId="77777777" w:rsidR="00DD771A" w:rsidRPr="00166BEB" w:rsidRDefault="00DD771A" w:rsidP="00DD771A">
            <w:pPr>
              <w:spacing w:after="0" w:line="240" w:lineRule="auto"/>
              <w:jc w:val="center"/>
              <w:rPr>
                <w:rFonts w:cs="Arial"/>
                <w:b/>
                <w:bCs/>
                <w:sz w:val="16"/>
                <w:szCs w:val="16"/>
                <w:highlight w:val="yellow"/>
              </w:rPr>
            </w:pPr>
            <w:r>
              <w:rPr>
                <w:rFonts w:cs="Arial"/>
                <w:b/>
                <w:bCs/>
                <w:sz w:val="16"/>
                <w:szCs w:val="16"/>
              </w:rPr>
              <w:t>2,1</w:t>
            </w:r>
          </w:p>
        </w:tc>
        <w:tc>
          <w:tcPr>
            <w:tcW w:w="765" w:type="dxa"/>
            <w:tcBorders>
              <w:top w:val="nil"/>
              <w:left w:val="single" w:sz="4" w:space="0" w:color="auto"/>
              <w:bottom w:val="nil"/>
              <w:right w:val="nil"/>
            </w:tcBorders>
            <w:vAlign w:val="center"/>
          </w:tcPr>
          <w:p w14:paraId="624E1E01" w14:textId="554AB676" w:rsidR="00DD771A" w:rsidRPr="00166BEB" w:rsidRDefault="00DD771A" w:rsidP="00DD771A">
            <w:pPr>
              <w:spacing w:after="0" w:line="240" w:lineRule="auto"/>
              <w:jc w:val="center"/>
              <w:rPr>
                <w:rFonts w:cs="Arial"/>
                <w:b/>
                <w:bCs/>
                <w:sz w:val="16"/>
                <w:szCs w:val="16"/>
                <w:highlight w:val="yellow"/>
              </w:rPr>
            </w:pPr>
            <w:r>
              <w:rPr>
                <w:rFonts w:cs="Arial"/>
                <w:b/>
                <w:bCs/>
                <w:sz w:val="16"/>
                <w:szCs w:val="16"/>
              </w:rPr>
              <w:t>2,2</w:t>
            </w:r>
          </w:p>
        </w:tc>
        <w:tc>
          <w:tcPr>
            <w:tcW w:w="160" w:type="dxa"/>
            <w:tcBorders>
              <w:top w:val="nil"/>
              <w:left w:val="nil"/>
              <w:bottom w:val="nil"/>
              <w:right w:val="nil"/>
            </w:tcBorders>
          </w:tcPr>
          <w:p w14:paraId="741B941F" w14:textId="1F964126" w:rsidR="00DD771A" w:rsidRPr="00166BEB" w:rsidRDefault="00DD771A" w:rsidP="00DD771A">
            <w:pPr>
              <w:spacing w:after="0" w:line="240" w:lineRule="auto"/>
              <w:jc w:val="center"/>
              <w:rPr>
                <w:rFonts w:cs="Arial"/>
                <w:b/>
                <w:bCs/>
                <w:sz w:val="16"/>
                <w:szCs w:val="16"/>
                <w:highlight w:val="yellow"/>
              </w:rPr>
            </w:pPr>
          </w:p>
        </w:tc>
      </w:tr>
      <w:tr w:rsidR="00DD771A" w:rsidRPr="00166BEB" w14:paraId="31020F47" w14:textId="77777777" w:rsidTr="00DD771A">
        <w:trPr>
          <w:trHeight w:val="300"/>
        </w:trPr>
        <w:tc>
          <w:tcPr>
            <w:tcW w:w="1380" w:type="dxa"/>
            <w:tcBorders>
              <w:top w:val="nil"/>
              <w:left w:val="nil"/>
              <w:bottom w:val="nil"/>
              <w:right w:val="nil"/>
            </w:tcBorders>
            <w:shd w:val="clear" w:color="auto" w:fill="auto"/>
            <w:noWrap/>
            <w:vAlign w:val="center"/>
            <w:hideMark/>
          </w:tcPr>
          <w:p w14:paraId="7E6FC8BD"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Belgie</w:t>
            </w:r>
          </w:p>
        </w:tc>
        <w:tc>
          <w:tcPr>
            <w:tcW w:w="765" w:type="dxa"/>
            <w:tcBorders>
              <w:top w:val="nil"/>
              <w:left w:val="single" w:sz="4" w:space="0" w:color="000000"/>
              <w:bottom w:val="nil"/>
              <w:right w:val="single" w:sz="4" w:space="0" w:color="auto"/>
            </w:tcBorders>
            <w:shd w:val="clear" w:color="auto" w:fill="auto"/>
            <w:noWrap/>
            <w:vAlign w:val="center"/>
            <w:hideMark/>
          </w:tcPr>
          <w:p w14:paraId="2174F8B1"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4,5</w:t>
            </w:r>
          </w:p>
        </w:tc>
        <w:tc>
          <w:tcPr>
            <w:tcW w:w="765" w:type="dxa"/>
            <w:tcBorders>
              <w:top w:val="nil"/>
              <w:left w:val="single" w:sz="4" w:space="0" w:color="auto"/>
              <w:bottom w:val="nil"/>
              <w:right w:val="single" w:sz="4" w:space="0" w:color="auto"/>
            </w:tcBorders>
            <w:shd w:val="clear" w:color="auto" w:fill="auto"/>
            <w:noWrap/>
            <w:vAlign w:val="center"/>
            <w:hideMark/>
          </w:tcPr>
          <w:p w14:paraId="1F7565DC"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2,1</w:t>
            </w:r>
          </w:p>
        </w:tc>
        <w:tc>
          <w:tcPr>
            <w:tcW w:w="765" w:type="dxa"/>
            <w:tcBorders>
              <w:top w:val="nil"/>
              <w:left w:val="single" w:sz="4" w:space="0" w:color="auto"/>
              <w:bottom w:val="nil"/>
              <w:right w:val="single" w:sz="4" w:space="0" w:color="auto"/>
            </w:tcBorders>
            <w:shd w:val="clear" w:color="auto" w:fill="auto"/>
            <w:noWrap/>
            <w:vAlign w:val="center"/>
            <w:hideMark/>
          </w:tcPr>
          <w:p w14:paraId="75D16E4D"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3,1</w:t>
            </w:r>
          </w:p>
        </w:tc>
        <w:tc>
          <w:tcPr>
            <w:tcW w:w="765" w:type="dxa"/>
            <w:tcBorders>
              <w:top w:val="nil"/>
              <w:left w:val="single" w:sz="4" w:space="0" w:color="auto"/>
              <w:bottom w:val="nil"/>
              <w:right w:val="single" w:sz="4" w:space="0" w:color="auto"/>
            </w:tcBorders>
            <w:shd w:val="clear" w:color="000000" w:fill="DBDBDB"/>
            <w:noWrap/>
            <w:vAlign w:val="center"/>
            <w:hideMark/>
          </w:tcPr>
          <w:p w14:paraId="7E8187D0"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1,7</w:t>
            </w:r>
          </w:p>
        </w:tc>
        <w:tc>
          <w:tcPr>
            <w:tcW w:w="765" w:type="dxa"/>
            <w:tcBorders>
              <w:top w:val="nil"/>
              <w:left w:val="single" w:sz="4" w:space="0" w:color="auto"/>
              <w:bottom w:val="nil"/>
              <w:right w:val="single" w:sz="4" w:space="0" w:color="auto"/>
            </w:tcBorders>
            <w:shd w:val="clear" w:color="auto" w:fill="auto"/>
            <w:noWrap/>
            <w:vAlign w:val="center"/>
            <w:hideMark/>
          </w:tcPr>
          <w:p w14:paraId="4A4442E7"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2,4</w:t>
            </w:r>
          </w:p>
        </w:tc>
        <w:tc>
          <w:tcPr>
            <w:tcW w:w="765" w:type="dxa"/>
            <w:tcBorders>
              <w:top w:val="nil"/>
              <w:left w:val="single" w:sz="4" w:space="0" w:color="auto"/>
              <w:bottom w:val="nil"/>
              <w:right w:val="single" w:sz="4" w:space="0" w:color="auto"/>
            </w:tcBorders>
            <w:shd w:val="clear" w:color="auto" w:fill="auto"/>
            <w:noWrap/>
            <w:vAlign w:val="center"/>
            <w:hideMark/>
          </w:tcPr>
          <w:p w14:paraId="37C77A00"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2,3</w:t>
            </w:r>
          </w:p>
        </w:tc>
        <w:tc>
          <w:tcPr>
            <w:tcW w:w="765" w:type="dxa"/>
            <w:tcBorders>
              <w:top w:val="nil"/>
              <w:left w:val="single" w:sz="4" w:space="0" w:color="auto"/>
              <w:bottom w:val="nil"/>
              <w:right w:val="single" w:sz="4" w:space="0" w:color="auto"/>
            </w:tcBorders>
            <w:shd w:val="clear" w:color="auto" w:fill="auto"/>
            <w:noWrap/>
            <w:vAlign w:val="center"/>
            <w:hideMark/>
          </w:tcPr>
          <w:p w14:paraId="7AA022EB"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2,3</w:t>
            </w:r>
          </w:p>
        </w:tc>
        <w:tc>
          <w:tcPr>
            <w:tcW w:w="765" w:type="dxa"/>
            <w:tcBorders>
              <w:top w:val="nil"/>
              <w:left w:val="single" w:sz="4" w:space="0" w:color="auto"/>
              <w:bottom w:val="nil"/>
              <w:right w:val="single" w:sz="4" w:space="0" w:color="auto"/>
            </w:tcBorders>
            <w:shd w:val="clear" w:color="auto" w:fill="auto"/>
            <w:noWrap/>
            <w:vAlign w:val="center"/>
            <w:hideMark/>
          </w:tcPr>
          <w:p w14:paraId="6C68982A"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2,7</w:t>
            </w:r>
          </w:p>
        </w:tc>
        <w:tc>
          <w:tcPr>
            <w:tcW w:w="765" w:type="dxa"/>
            <w:tcBorders>
              <w:top w:val="nil"/>
              <w:left w:val="single" w:sz="4" w:space="0" w:color="auto"/>
              <w:bottom w:val="nil"/>
              <w:right w:val="single" w:sz="4" w:space="0" w:color="auto"/>
            </w:tcBorders>
            <w:shd w:val="clear" w:color="auto" w:fill="auto"/>
            <w:noWrap/>
            <w:vAlign w:val="center"/>
            <w:hideMark/>
          </w:tcPr>
          <w:p w14:paraId="03A27AC6"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1,9</w:t>
            </w:r>
          </w:p>
        </w:tc>
        <w:tc>
          <w:tcPr>
            <w:tcW w:w="765" w:type="dxa"/>
            <w:tcBorders>
              <w:top w:val="nil"/>
              <w:left w:val="single" w:sz="4" w:space="0" w:color="auto"/>
              <w:bottom w:val="nil"/>
              <w:right w:val="single" w:sz="4" w:space="0" w:color="auto"/>
            </w:tcBorders>
            <w:shd w:val="clear" w:color="auto" w:fill="D9D9D9"/>
            <w:vAlign w:val="center"/>
          </w:tcPr>
          <w:p w14:paraId="0B4CA69F"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2,1</w:t>
            </w:r>
          </w:p>
        </w:tc>
        <w:tc>
          <w:tcPr>
            <w:tcW w:w="765" w:type="dxa"/>
            <w:tcBorders>
              <w:top w:val="nil"/>
              <w:left w:val="single" w:sz="4" w:space="0" w:color="auto"/>
              <w:bottom w:val="nil"/>
              <w:right w:val="nil"/>
            </w:tcBorders>
            <w:vAlign w:val="center"/>
          </w:tcPr>
          <w:p w14:paraId="1A408AF4" w14:textId="2E46A668" w:rsidR="00DD771A" w:rsidRPr="00166BEB" w:rsidRDefault="00DD771A" w:rsidP="00DD771A">
            <w:pPr>
              <w:spacing w:after="0" w:line="240" w:lineRule="auto"/>
              <w:jc w:val="center"/>
              <w:rPr>
                <w:rFonts w:cs="Arial"/>
                <w:sz w:val="16"/>
                <w:szCs w:val="16"/>
                <w:highlight w:val="yellow"/>
              </w:rPr>
            </w:pPr>
            <w:r>
              <w:rPr>
                <w:rFonts w:cs="Arial"/>
                <w:sz w:val="16"/>
                <w:szCs w:val="16"/>
              </w:rPr>
              <w:t>2,1</w:t>
            </w:r>
          </w:p>
        </w:tc>
        <w:tc>
          <w:tcPr>
            <w:tcW w:w="160" w:type="dxa"/>
            <w:tcBorders>
              <w:top w:val="nil"/>
              <w:left w:val="nil"/>
              <w:bottom w:val="nil"/>
              <w:right w:val="nil"/>
            </w:tcBorders>
          </w:tcPr>
          <w:p w14:paraId="16A0C714" w14:textId="69E1E5FA" w:rsidR="00DD771A" w:rsidRPr="00166BEB" w:rsidRDefault="00DD771A" w:rsidP="00DD771A">
            <w:pPr>
              <w:spacing w:after="0" w:line="240" w:lineRule="auto"/>
              <w:jc w:val="center"/>
              <w:rPr>
                <w:rFonts w:cs="Arial"/>
                <w:sz w:val="16"/>
                <w:szCs w:val="16"/>
                <w:highlight w:val="yellow"/>
              </w:rPr>
            </w:pPr>
          </w:p>
        </w:tc>
      </w:tr>
      <w:tr w:rsidR="00DD771A" w:rsidRPr="00166BEB" w14:paraId="01D72450" w14:textId="77777777" w:rsidTr="00DD771A">
        <w:trPr>
          <w:trHeight w:val="300"/>
        </w:trPr>
        <w:tc>
          <w:tcPr>
            <w:tcW w:w="1380" w:type="dxa"/>
            <w:tcBorders>
              <w:top w:val="nil"/>
              <w:left w:val="nil"/>
              <w:bottom w:val="nil"/>
              <w:right w:val="nil"/>
            </w:tcBorders>
            <w:shd w:val="clear" w:color="auto" w:fill="auto"/>
            <w:noWrap/>
            <w:vAlign w:val="center"/>
            <w:hideMark/>
          </w:tcPr>
          <w:p w14:paraId="3710D56F"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Bulharsko</w:t>
            </w:r>
          </w:p>
        </w:tc>
        <w:tc>
          <w:tcPr>
            <w:tcW w:w="765" w:type="dxa"/>
            <w:tcBorders>
              <w:top w:val="nil"/>
              <w:left w:val="single" w:sz="4" w:space="0" w:color="000000"/>
              <w:bottom w:val="nil"/>
              <w:right w:val="single" w:sz="4" w:space="0" w:color="auto"/>
            </w:tcBorders>
            <w:shd w:val="clear" w:color="auto" w:fill="auto"/>
            <w:noWrap/>
            <w:vAlign w:val="center"/>
            <w:hideMark/>
          </w:tcPr>
          <w:p w14:paraId="1BD8D779"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4,6</w:t>
            </w:r>
          </w:p>
        </w:tc>
        <w:tc>
          <w:tcPr>
            <w:tcW w:w="765" w:type="dxa"/>
            <w:tcBorders>
              <w:top w:val="nil"/>
              <w:left w:val="single" w:sz="4" w:space="0" w:color="auto"/>
              <w:bottom w:val="nil"/>
              <w:right w:val="single" w:sz="4" w:space="0" w:color="auto"/>
            </w:tcBorders>
            <w:shd w:val="clear" w:color="auto" w:fill="auto"/>
            <w:noWrap/>
            <w:vAlign w:val="center"/>
            <w:hideMark/>
          </w:tcPr>
          <w:p w14:paraId="68CEEFC2"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4,7</w:t>
            </w:r>
          </w:p>
        </w:tc>
        <w:tc>
          <w:tcPr>
            <w:tcW w:w="765" w:type="dxa"/>
            <w:tcBorders>
              <w:top w:val="nil"/>
              <w:left w:val="single" w:sz="4" w:space="0" w:color="auto"/>
              <w:bottom w:val="nil"/>
              <w:right w:val="single" w:sz="4" w:space="0" w:color="auto"/>
            </w:tcBorders>
            <w:shd w:val="clear" w:color="auto" w:fill="auto"/>
            <w:noWrap/>
            <w:vAlign w:val="center"/>
            <w:hideMark/>
          </w:tcPr>
          <w:p w14:paraId="65D0C528"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3,7</w:t>
            </w:r>
          </w:p>
        </w:tc>
        <w:tc>
          <w:tcPr>
            <w:tcW w:w="765" w:type="dxa"/>
            <w:tcBorders>
              <w:top w:val="nil"/>
              <w:left w:val="single" w:sz="4" w:space="0" w:color="auto"/>
              <w:bottom w:val="nil"/>
              <w:right w:val="single" w:sz="4" w:space="0" w:color="auto"/>
            </w:tcBorders>
            <w:shd w:val="clear" w:color="auto" w:fill="auto"/>
            <w:noWrap/>
            <w:vAlign w:val="center"/>
            <w:hideMark/>
          </w:tcPr>
          <w:p w14:paraId="15288E03"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5,4</w:t>
            </w:r>
          </w:p>
        </w:tc>
        <w:tc>
          <w:tcPr>
            <w:tcW w:w="765" w:type="dxa"/>
            <w:tcBorders>
              <w:top w:val="nil"/>
              <w:left w:val="single" w:sz="4" w:space="0" w:color="auto"/>
              <w:bottom w:val="nil"/>
              <w:right w:val="single" w:sz="4" w:space="0" w:color="auto"/>
            </w:tcBorders>
            <w:shd w:val="clear" w:color="auto" w:fill="auto"/>
            <w:noWrap/>
            <w:vAlign w:val="center"/>
            <w:hideMark/>
          </w:tcPr>
          <w:p w14:paraId="4FDCD3F1"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4,3</w:t>
            </w:r>
          </w:p>
        </w:tc>
        <w:tc>
          <w:tcPr>
            <w:tcW w:w="765" w:type="dxa"/>
            <w:tcBorders>
              <w:top w:val="nil"/>
              <w:left w:val="single" w:sz="4" w:space="0" w:color="auto"/>
              <w:bottom w:val="nil"/>
              <w:right w:val="single" w:sz="4" w:space="0" w:color="auto"/>
            </w:tcBorders>
            <w:shd w:val="clear" w:color="auto" w:fill="auto"/>
            <w:noWrap/>
            <w:vAlign w:val="center"/>
            <w:hideMark/>
          </w:tcPr>
          <w:p w14:paraId="65BBAFFF"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3,7</w:t>
            </w:r>
          </w:p>
        </w:tc>
        <w:tc>
          <w:tcPr>
            <w:tcW w:w="765" w:type="dxa"/>
            <w:tcBorders>
              <w:top w:val="nil"/>
              <w:left w:val="single" w:sz="4" w:space="0" w:color="auto"/>
              <w:bottom w:val="nil"/>
              <w:right w:val="single" w:sz="4" w:space="0" w:color="auto"/>
            </w:tcBorders>
            <w:shd w:val="clear" w:color="auto" w:fill="auto"/>
            <w:noWrap/>
            <w:vAlign w:val="center"/>
            <w:hideMark/>
          </w:tcPr>
          <w:p w14:paraId="6C5BB59B"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4,3</w:t>
            </w:r>
          </w:p>
        </w:tc>
        <w:tc>
          <w:tcPr>
            <w:tcW w:w="765" w:type="dxa"/>
            <w:tcBorders>
              <w:top w:val="nil"/>
              <w:left w:val="single" w:sz="4" w:space="0" w:color="auto"/>
              <w:bottom w:val="nil"/>
              <w:right w:val="single" w:sz="4" w:space="0" w:color="auto"/>
            </w:tcBorders>
            <w:shd w:val="clear" w:color="auto" w:fill="auto"/>
            <w:noWrap/>
            <w:vAlign w:val="center"/>
            <w:hideMark/>
          </w:tcPr>
          <w:p w14:paraId="1552F1B3"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3,8</w:t>
            </w:r>
          </w:p>
        </w:tc>
        <w:tc>
          <w:tcPr>
            <w:tcW w:w="765" w:type="dxa"/>
            <w:tcBorders>
              <w:top w:val="nil"/>
              <w:left w:val="single" w:sz="4" w:space="0" w:color="auto"/>
              <w:bottom w:val="nil"/>
              <w:right w:val="single" w:sz="4" w:space="0" w:color="auto"/>
            </w:tcBorders>
            <w:shd w:val="clear" w:color="auto" w:fill="auto"/>
            <w:noWrap/>
            <w:vAlign w:val="center"/>
            <w:hideMark/>
          </w:tcPr>
          <w:p w14:paraId="2A0F1334"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4,1</w:t>
            </w:r>
          </w:p>
        </w:tc>
        <w:tc>
          <w:tcPr>
            <w:tcW w:w="765" w:type="dxa"/>
            <w:tcBorders>
              <w:top w:val="nil"/>
              <w:left w:val="single" w:sz="4" w:space="0" w:color="auto"/>
              <w:bottom w:val="nil"/>
              <w:right w:val="single" w:sz="4" w:space="0" w:color="auto"/>
            </w:tcBorders>
            <w:shd w:val="clear" w:color="auto" w:fill="D9D9D9"/>
            <w:vAlign w:val="center"/>
          </w:tcPr>
          <w:p w14:paraId="1F608E0E"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4,5</w:t>
            </w:r>
          </w:p>
        </w:tc>
        <w:tc>
          <w:tcPr>
            <w:tcW w:w="765" w:type="dxa"/>
            <w:tcBorders>
              <w:top w:val="nil"/>
              <w:left w:val="single" w:sz="4" w:space="0" w:color="auto"/>
              <w:bottom w:val="nil"/>
              <w:right w:val="nil"/>
            </w:tcBorders>
            <w:vAlign w:val="center"/>
          </w:tcPr>
          <w:p w14:paraId="06666A03" w14:textId="676ABFF1" w:rsidR="00DD771A" w:rsidRPr="00166BEB" w:rsidRDefault="00DD771A" w:rsidP="00DD771A">
            <w:pPr>
              <w:spacing w:after="0" w:line="240" w:lineRule="auto"/>
              <w:jc w:val="center"/>
              <w:rPr>
                <w:rFonts w:cs="Arial"/>
                <w:sz w:val="16"/>
                <w:szCs w:val="16"/>
                <w:highlight w:val="yellow"/>
              </w:rPr>
            </w:pPr>
            <w:r>
              <w:rPr>
                <w:rFonts w:cs="Arial"/>
                <w:sz w:val="16"/>
                <w:szCs w:val="16"/>
              </w:rPr>
              <w:t>3,5</w:t>
            </w:r>
          </w:p>
        </w:tc>
        <w:tc>
          <w:tcPr>
            <w:tcW w:w="160" w:type="dxa"/>
            <w:tcBorders>
              <w:top w:val="nil"/>
              <w:left w:val="nil"/>
              <w:bottom w:val="nil"/>
              <w:right w:val="nil"/>
            </w:tcBorders>
          </w:tcPr>
          <w:p w14:paraId="56367298" w14:textId="391F7208" w:rsidR="00DD771A" w:rsidRPr="00166BEB" w:rsidRDefault="00DD771A" w:rsidP="00DD771A">
            <w:pPr>
              <w:spacing w:after="0" w:line="240" w:lineRule="auto"/>
              <w:jc w:val="center"/>
              <w:rPr>
                <w:rFonts w:cs="Arial"/>
                <w:sz w:val="16"/>
                <w:szCs w:val="16"/>
                <w:highlight w:val="yellow"/>
              </w:rPr>
            </w:pPr>
          </w:p>
        </w:tc>
      </w:tr>
      <w:tr w:rsidR="00DD771A" w:rsidRPr="00166BEB" w14:paraId="2D670F40" w14:textId="21FDA50C" w:rsidTr="00DD771A">
        <w:trPr>
          <w:gridAfter w:val="1"/>
          <w:wAfter w:w="160" w:type="dxa"/>
          <w:trHeight w:val="300"/>
        </w:trPr>
        <w:tc>
          <w:tcPr>
            <w:tcW w:w="1380" w:type="dxa"/>
            <w:tcBorders>
              <w:top w:val="nil"/>
              <w:left w:val="nil"/>
              <w:bottom w:val="nil"/>
              <w:right w:val="nil"/>
            </w:tcBorders>
            <w:shd w:val="clear" w:color="auto" w:fill="auto"/>
            <w:noWrap/>
            <w:vAlign w:val="center"/>
            <w:hideMark/>
          </w:tcPr>
          <w:p w14:paraId="3598C48A" w14:textId="77777777" w:rsidR="00DD771A" w:rsidRPr="00166BEB" w:rsidRDefault="00DD771A" w:rsidP="00DD771A">
            <w:pPr>
              <w:spacing w:after="0" w:line="240" w:lineRule="auto"/>
              <w:ind w:firstLineChars="100" w:firstLine="160"/>
              <w:rPr>
                <w:rFonts w:cs="Arial"/>
                <w:b/>
                <w:bCs/>
                <w:sz w:val="16"/>
                <w:szCs w:val="16"/>
                <w:highlight w:val="yellow"/>
              </w:rPr>
            </w:pPr>
            <w:r>
              <w:rPr>
                <w:rFonts w:cs="Arial"/>
                <w:b/>
                <w:bCs/>
                <w:sz w:val="16"/>
                <w:szCs w:val="16"/>
              </w:rPr>
              <w:t>Česko</w:t>
            </w:r>
          </w:p>
        </w:tc>
        <w:tc>
          <w:tcPr>
            <w:tcW w:w="765" w:type="dxa"/>
            <w:tcBorders>
              <w:top w:val="nil"/>
              <w:left w:val="single" w:sz="4" w:space="0" w:color="000000"/>
              <w:bottom w:val="nil"/>
              <w:right w:val="single" w:sz="4" w:space="0" w:color="auto"/>
            </w:tcBorders>
            <w:shd w:val="clear" w:color="auto" w:fill="auto"/>
            <w:noWrap/>
            <w:vAlign w:val="center"/>
            <w:hideMark/>
          </w:tcPr>
          <w:p w14:paraId="40B8B3CF" w14:textId="77777777" w:rsidR="00DD771A" w:rsidRPr="00166BEB" w:rsidRDefault="00DD771A" w:rsidP="00DD771A">
            <w:pPr>
              <w:spacing w:after="0" w:line="240" w:lineRule="auto"/>
              <w:jc w:val="center"/>
              <w:rPr>
                <w:rFonts w:cs="Arial"/>
                <w:b/>
                <w:bCs/>
                <w:sz w:val="16"/>
                <w:szCs w:val="16"/>
                <w:highlight w:val="yellow"/>
              </w:rPr>
            </w:pPr>
            <w:r>
              <w:rPr>
                <w:rFonts w:cs="Arial"/>
                <w:b/>
                <w:bCs/>
                <w:sz w:val="16"/>
                <w:szCs w:val="16"/>
              </w:rPr>
              <w:t>4,0</w:t>
            </w:r>
          </w:p>
        </w:tc>
        <w:tc>
          <w:tcPr>
            <w:tcW w:w="765" w:type="dxa"/>
            <w:tcBorders>
              <w:top w:val="nil"/>
              <w:left w:val="single" w:sz="4" w:space="0" w:color="auto"/>
              <w:bottom w:val="nil"/>
              <w:right w:val="single" w:sz="4" w:space="0" w:color="auto"/>
            </w:tcBorders>
            <w:shd w:val="clear" w:color="auto" w:fill="auto"/>
            <w:noWrap/>
            <w:vAlign w:val="center"/>
            <w:hideMark/>
          </w:tcPr>
          <w:p w14:paraId="08D6D63B" w14:textId="77777777" w:rsidR="00DD771A" w:rsidRPr="00166BEB" w:rsidRDefault="00DD771A" w:rsidP="00DD771A">
            <w:pPr>
              <w:spacing w:after="0" w:line="240" w:lineRule="auto"/>
              <w:jc w:val="center"/>
              <w:rPr>
                <w:rFonts w:cs="Arial"/>
                <w:b/>
                <w:bCs/>
                <w:sz w:val="16"/>
                <w:szCs w:val="16"/>
                <w:highlight w:val="yellow"/>
              </w:rPr>
            </w:pPr>
            <w:r>
              <w:rPr>
                <w:rFonts w:cs="Arial"/>
                <w:b/>
                <w:bCs/>
                <w:sz w:val="16"/>
                <w:szCs w:val="16"/>
              </w:rPr>
              <w:t>3,0</w:t>
            </w:r>
          </w:p>
        </w:tc>
        <w:tc>
          <w:tcPr>
            <w:tcW w:w="765" w:type="dxa"/>
            <w:tcBorders>
              <w:top w:val="nil"/>
              <w:left w:val="single" w:sz="4" w:space="0" w:color="auto"/>
              <w:bottom w:val="nil"/>
              <w:right w:val="single" w:sz="4" w:space="0" w:color="auto"/>
            </w:tcBorders>
            <w:shd w:val="clear" w:color="auto" w:fill="auto"/>
            <w:noWrap/>
            <w:vAlign w:val="center"/>
            <w:hideMark/>
          </w:tcPr>
          <w:p w14:paraId="34E55A98" w14:textId="77777777" w:rsidR="00DD771A" w:rsidRPr="00166BEB" w:rsidRDefault="00DD771A" w:rsidP="00DD771A">
            <w:pPr>
              <w:spacing w:after="0" w:line="240" w:lineRule="auto"/>
              <w:jc w:val="center"/>
              <w:rPr>
                <w:rFonts w:cs="Arial"/>
                <w:b/>
                <w:bCs/>
                <w:sz w:val="16"/>
                <w:szCs w:val="16"/>
                <w:highlight w:val="yellow"/>
              </w:rPr>
            </w:pPr>
            <w:r>
              <w:rPr>
                <w:rFonts w:cs="Arial"/>
                <w:b/>
                <w:bCs/>
                <w:sz w:val="16"/>
                <w:szCs w:val="16"/>
              </w:rPr>
              <w:t>2,7</w:t>
            </w:r>
          </w:p>
        </w:tc>
        <w:tc>
          <w:tcPr>
            <w:tcW w:w="765" w:type="dxa"/>
            <w:tcBorders>
              <w:top w:val="nil"/>
              <w:left w:val="single" w:sz="4" w:space="0" w:color="auto"/>
              <w:bottom w:val="nil"/>
              <w:right w:val="single" w:sz="4" w:space="0" w:color="auto"/>
            </w:tcBorders>
            <w:shd w:val="clear" w:color="auto" w:fill="auto"/>
            <w:noWrap/>
            <w:vAlign w:val="center"/>
            <w:hideMark/>
          </w:tcPr>
          <w:p w14:paraId="5DD145CB" w14:textId="77777777" w:rsidR="00DD771A" w:rsidRPr="00166BEB" w:rsidRDefault="00DD771A" w:rsidP="00DD771A">
            <w:pPr>
              <w:spacing w:after="0" w:line="240" w:lineRule="auto"/>
              <w:jc w:val="center"/>
              <w:rPr>
                <w:rFonts w:cs="Arial"/>
                <w:b/>
                <w:bCs/>
                <w:sz w:val="16"/>
                <w:szCs w:val="16"/>
                <w:highlight w:val="yellow"/>
              </w:rPr>
            </w:pPr>
            <w:r>
              <w:rPr>
                <w:rFonts w:cs="Arial"/>
                <w:b/>
                <w:bCs/>
                <w:sz w:val="16"/>
                <w:szCs w:val="16"/>
              </w:rPr>
              <w:t>2,6</w:t>
            </w:r>
          </w:p>
        </w:tc>
        <w:tc>
          <w:tcPr>
            <w:tcW w:w="765" w:type="dxa"/>
            <w:tcBorders>
              <w:top w:val="nil"/>
              <w:left w:val="single" w:sz="4" w:space="0" w:color="auto"/>
              <w:bottom w:val="nil"/>
              <w:right w:val="single" w:sz="4" w:space="0" w:color="auto"/>
            </w:tcBorders>
            <w:shd w:val="clear" w:color="auto" w:fill="auto"/>
            <w:noWrap/>
            <w:vAlign w:val="center"/>
            <w:hideMark/>
          </w:tcPr>
          <w:p w14:paraId="406F6F03" w14:textId="77777777" w:rsidR="00DD771A" w:rsidRPr="00166BEB" w:rsidRDefault="00DD771A" w:rsidP="00DD771A">
            <w:pPr>
              <w:spacing w:after="0" w:line="240" w:lineRule="auto"/>
              <w:jc w:val="center"/>
              <w:rPr>
                <w:rFonts w:cs="Arial"/>
                <w:b/>
                <w:bCs/>
                <w:sz w:val="16"/>
                <w:szCs w:val="16"/>
                <w:highlight w:val="yellow"/>
              </w:rPr>
            </w:pPr>
            <w:r>
              <w:rPr>
                <w:rFonts w:cs="Arial"/>
                <w:b/>
                <w:bCs/>
                <w:sz w:val="16"/>
                <w:szCs w:val="16"/>
              </w:rPr>
              <w:t>3,4</w:t>
            </w:r>
          </w:p>
        </w:tc>
        <w:tc>
          <w:tcPr>
            <w:tcW w:w="765" w:type="dxa"/>
            <w:tcBorders>
              <w:top w:val="nil"/>
              <w:left w:val="single" w:sz="4" w:space="0" w:color="auto"/>
              <w:bottom w:val="nil"/>
              <w:right w:val="single" w:sz="4" w:space="0" w:color="auto"/>
            </w:tcBorders>
            <w:shd w:val="clear" w:color="auto" w:fill="auto"/>
            <w:noWrap/>
            <w:vAlign w:val="center"/>
            <w:hideMark/>
          </w:tcPr>
          <w:p w14:paraId="0E02A002" w14:textId="77777777" w:rsidR="00DD771A" w:rsidRPr="00166BEB" w:rsidRDefault="00DD771A" w:rsidP="00DD771A">
            <w:pPr>
              <w:spacing w:after="0" w:line="240" w:lineRule="auto"/>
              <w:jc w:val="center"/>
              <w:rPr>
                <w:rFonts w:cs="Arial"/>
                <w:b/>
                <w:bCs/>
                <w:sz w:val="16"/>
                <w:szCs w:val="16"/>
                <w:highlight w:val="yellow"/>
              </w:rPr>
            </w:pPr>
            <w:r>
              <w:rPr>
                <w:rFonts w:cs="Arial"/>
                <w:b/>
                <w:bCs/>
                <w:sz w:val="16"/>
                <w:szCs w:val="16"/>
              </w:rPr>
              <w:t>2,2</w:t>
            </w:r>
          </w:p>
        </w:tc>
        <w:tc>
          <w:tcPr>
            <w:tcW w:w="765" w:type="dxa"/>
            <w:tcBorders>
              <w:top w:val="nil"/>
              <w:left w:val="single" w:sz="4" w:space="0" w:color="auto"/>
              <w:bottom w:val="nil"/>
              <w:right w:val="single" w:sz="4" w:space="0" w:color="auto"/>
            </w:tcBorders>
            <w:shd w:val="clear" w:color="auto" w:fill="auto"/>
            <w:noWrap/>
            <w:vAlign w:val="center"/>
            <w:hideMark/>
          </w:tcPr>
          <w:p w14:paraId="15C11F02" w14:textId="77777777" w:rsidR="00DD771A" w:rsidRPr="00166BEB" w:rsidRDefault="00DD771A" w:rsidP="00DD771A">
            <w:pPr>
              <w:spacing w:after="0" w:line="240" w:lineRule="auto"/>
              <w:jc w:val="center"/>
              <w:rPr>
                <w:rFonts w:cs="Arial"/>
                <w:b/>
                <w:bCs/>
                <w:sz w:val="16"/>
                <w:szCs w:val="16"/>
                <w:highlight w:val="yellow"/>
              </w:rPr>
            </w:pPr>
            <w:r>
              <w:rPr>
                <w:rFonts w:cs="Arial"/>
                <w:b/>
                <w:bCs/>
                <w:sz w:val="16"/>
                <w:szCs w:val="16"/>
              </w:rPr>
              <w:t>2,1</w:t>
            </w:r>
          </w:p>
        </w:tc>
        <w:tc>
          <w:tcPr>
            <w:tcW w:w="765" w:type="dxa"/>
            <w:tcBorders>
              <w:top w:val="nil"/>
              <w:left w:val="single" w:sz="4" w:space="0" w:color="auto"/>
              <w:bottom w:val="nil"/>
              <w:right w:val="single" w:sz="4" w:space="0" w:color="auto"/>
            </w:tcBorders>
            <w:shd w:val="clear" w:color="auto" w:fill="auto"/>
            <w:noWrap/>
            <w:vAlign w:val="center"/>
            <w:hideMark/>
          </w:tcPr>
          <w:p w14:paraId="2CCF3EA2" w14:textId="77777777" w:rsidR="00DD771A" w:rsidRPr="00166BEB" w:rsidRDefault="00DD771A" w:rsidP="00DD771A">
            <w:pPr>
              <w:spacing w:after="0" w:line="240" w:lineRule="auto"/>
              <w:jc w:val="center"/>
              <w:rPr>
                <w:rFonts w:cs="Arial"/>
                <w:b/>
                <w:bCs/>
                <w:sz w:val="16"/>
                <w:szCs w:val="16"/>
                <w:highlight w:val="yellow"/>
              </w:rPr>
            </w:pPr>
            <w:r>
              <w:rPr>
                <w:rFonts w:cs="Arial"/>
                <w:b/>
                <w:bCs/>
                <w:sz w:val="16"/>
                <w:szCs w:val="16"/>
              </w:rPr>
              <w:t>2,9</w:t>
            </w:r>
          </w:p>
        </w:tc>
        <w:tc>
          <w:tcPr>
            <w:tcW w:w="765" w:type="dxa"/>
            <w:tcBorders>
              <w:top w:val="nil"/>
              <w:left w:val="single" w:sz="4" w:space="0" w:color="auto"/>
              <w:bottom w:val="nil"/>
              <w:right w:val="single" w:sz="4" w:space="0" w:color="auto"/>
            </w:tcBorders>
            <w:shd w:val="clear" w:color="auto" w:fill="auto"/>
            <w:noWrap/>
            <w:vAlign w:val="center"/>
            <w:hideMark/>
          </w:tcPr>
          <w:p w14:paraId="25A29B74" w14:textId="77777777" w:rsidR="00DD771A" w:rsidRPr="00166BEB" w:rsidRDefault="00DD771A" w:rsidP="00DD771A">
            <w:pPr>
              <w:spacing w:after="0" w:line="240" w:lineRule="auto"/>
              <w:jc w:val="center"/>
              <w:rPr>
                <w:rFonts w:cs="Arial"/>
                <w:b/>
                <w:bCs/>
                <w:sz w:val="16"/>
                <w:szCs w:val="16"/>
                <w:highlight w:val="yellow"/>
              </w:rPr>
            </w:pPr>
            <w:r>
              <w:rPr>
                <w:rFonts w:cs="Arial"/>
                <w:b/>
                <w:bCs/>
                <w:sz w:val="16"/>
                <w:szCs w:val="16"/>
              </w:rPr>
              <w:t>2,4</w:t>
            </w:r>
          </w:p>
        </w:tc>
        <w:tc>
          <w:tcPr>
            <w:tcW w:w="765" w:type="dxa"/>
            <w:tcBorders>
              <w:top w:val="nil"/>
              <w:left w:val="single" w:sz="4" w:space="0" w:color="auto"/>
              <w:bottom w:val="nil"/>
              <w:right w:val="single" w:sz="4" w:space="0" w:color="auto"/>
            </w:tcBorders>
            <w:shd w:val="clear" w:color="auto" w:fill="D9D9D9"/>
            <w:vAlign w:val="center"/>
          </w:tcPr>
          <w:p w14:paraId="6A32795F" w14:textId="77777777" w:rsidR="00DD771A" w:rsidRPr="00166BEB" w:rsidRDefault="00DD771A" w:rsidP="00DD771A">
            <w:pPr>
              <w:spacing w:after="0" w:line="240" w:lineRule="auto"/>
              <w:jc w:val="center"/>
              <w:rPr>
                <w:rFonts w:cs="Arial"/>
                <w:b/>
                <w:bCs/>
                <w:sz w:val="16"/>
                <w:szCs w:val="16"/>
                <w:highlight w:val="yellow"/>
              </w:rPr>
            </w:pPr>
            <w:r>
              <w:rPr>
                <w:rFonts w:cs="Arial"/>
                <w:b/>
                <w:bCs/>
                <w:sz w:val="16"/>
                <w:szCs w:val="16"/>
              </w:rPr>
              <w:t>2,5</w:t>
            </w:r>
          </w:p>
        </w:tc>
        <w:tc>
          <w:tcPr>
            <w:tcW w:w="765" w:type="dxa"/>
            <w:tcBorders>
              <w:top w:val="nil"/>
              <w:left w:val="single" w:sz="4" w:space="0" w:color="auto"/>
              <w:bottom w:val="nil"/>
              <w:right w:val="nil"/>
            </w:tcBorders>
            <w:shd w:val="clear" w:color="auto" w:fill="D9D9D9"/>
            <w:vAlign w:val="center"/>
          </w:tcPr>
          <w:p w14:paraId="1AB17A6E" w14:textId="05526A6E" w:rsidR="00DD771A" w:rsidRDefault="00DD771A" w:rsidP="00DD771A">
            <w:pPr>
              <w:spacing w:after="0" w:line="240" w:lineRule="auto"/>
              <w:jc w:val="center"/>
              <w:rPr>
                <w:rFonts w:cs="Arial"/>
                <w:b/>
                <w:bCs/>
                <w:sz w:val="16"/>
                <w:szCs w:val="16"/>
              </w:rPr>
            </w:pPr>
            <w:r>
              <w:rPr>
                <w:rFonts w:cs="Arial"/>
                <w:b/>
                <w:bCs/>
                <w:sz w:val="16"/>
                <w:szCs w:val="16"/>
              </w:rPr>
              <w:t>2,0</w:t>
            </w:r>
          </w:p>
        </w:tc>
      </w:tr>
      <w:tr w:rsidR="00DD771A" w:rsidRPr="00166BEB" w14:paraId="610362E0" w14:textId="77777777" w:rsidTr="00DD771A">
        <w:trPr>
          <w:trHeight w:val="300"/>
        </w:trPr>
        <w:tc>
          <w:tcPr>
            <w:tcW w:w="1380" w:type="dxa"/>
            <w:tcBorders>
              <w:top w:val="nil"/>
              <w:left w:val="nil"/>
              <w:bottom w:val="nil"/>
              <w:right w:val="nil"/>
            </w:tcBorders>
            <w:shd w:val="clear" w:color="auto" w:fill="auto"/>
            <w:noWrap/>
            <w:vAlign w:val="center"/>
            <w:hideMark/>
          </w:tcPr>
          <w:p w14:paraId="65C0C6A4"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Dánsko</w:t>
            </w:r>
          </w:p>
        </w:tc>
        <w:tc>
          <w:tcPr>
            <w:tcW w:w="765" w:type="dxa"/>
            <w:tcBorders>
              <w:top w:val="nil"/>
              <w:left w:val="single" w:sz="4" w:space="0" w:color="000000"/>
              <w:bottom w:val="nil"/>
              <w:right w:val="single" w:sz="4" w:space="0" w:color="auto"/>
            </w:tcBorders>
            <w:shd w:val="clear" w:color="auto" w:fill="auto"/>
            <w:noWrap/>
            <w:vAlign w:val="center"/>
            <w:hideMark/>
          </w:tcPr>
          <w:p w14:paraId="2F916ADB"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3,2</w:t>
            </w:r>
          </w:p>
        </w:tc>
        <w:tc>
          <w:tcPr>
            <w:tcW w:w="765" w:type="dxa"/>
            <w:tcBorders>
              <w:top w:val="nil"/>
              <w:left w:val="single" w:sz="4" w:space="0" w:color="auto"/>
              <w:bottom w:val="nil"/>
              <w:right w:val="single" w:sz="4" w:space="0" w:color="auto"/>
            </w:tcBorders>
            <w:shd w:val="clear" w:color="auto" w:fill="auto"/>
            <w:noWrap/>
            <w:vAlign w:val="center"/>
            <w:hideMark/>
          </w:tcPr>
          <w:p w14:paraId="78BD0EE6"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3,0</w:t>
            </w:r>
          </w:p>
        </w:tc>
        <w:tc>
          <w:tcPr>
            <w:tcW w:w="765" w:type="dxa"/>
            <w:tcBorders>
              <w:top w:val="nil"/>
              <w:left w:val="single" w:sz="4" w:space="0" w:color="auto"/>
              <w:bottom w:val="nil"/>
              <w:right w:val="single" w:sz="4" w:space="0" w:color="auto"/>
            </w:tcBorders>
            <w:shd w:val="clear" w:color="auto" w:fill="auto"/>
            <w:noWrap/>
            <w:vAlign w:val="center"/>
            <w:hideMark/>
          </w:tcPr>
          <w:p w14:paraId="07F1885E"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2,3</w:t>
            </w:r>
          </w:p>
        </w:tc>
        <w:tc>
          <w:tcPr>
            <w:tcW w:w="765" w:type="dxa"/>
            <w:tcBorders>
              <w:top w:val="nil"/>
              <w:left w:val="single" w:sz="4" w:space="0" w:color="auto"/>
              <w:bottom w:val="nil"/>
              <w:right w:val="single" w:sz="4" w:space="0" w:color="auto"/>
            </w:tcBorders>
            <w:shd w:val="clear" w:color="auto" w:fill="auto"/>
            <w:noWrap/>
            <w:vAlign w:val="center"/>
            <w:hideMark/>
          </w:tcPr>
          <w:p w14:paraId="58092689"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1,9</w:t>
            </w:r>
          </w:p>
        </w:tc>
        <w:tc>
          <w:tcPr>
            <w:tcW w:w="765" w:type="dxa"/>
            <w:tcBorders>
              <w:top w:val="nil"/>
              <w:left w:val="single" w:sz="4" w:space="0" w:color="auto"/>
              <w:bottom w:val="nil"/>
              <w:right w:val="single" w:sz="4" w:space="0" w:color="auto"/>
            </w:tcBorders>
            <w:shd w:val="clear" w:color="auto" w:fill="auto"/>
            <w:noWrap/>
            <w:vAlign w:val="center"/>
            <w:hideMark/>
          </w:tcPr>
          <w:p w14:paraId="72182BEF"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1,4</w:t>
            </w:r>
          </w:p>
        </w:tc>
        <w:tc>
          <w:tcPr>
            <w:tcW w:w="765" w:type="dxa"/>
            <w:tcBorders>
              <w:top w:val="nil"/>
              <w:left w:val="single" w:sz="4" w:space="0" w:color="auto"/>
              <w:bottom w:val="nil"/>
              <w:right w:val="single" w:sz="4" w:space="0" w:color="auto"/>
            </w:tcBorders>
            <w:shd w:val="clear" w:color="auto" w:fill="auto"/>
            <w:noWrap/>
            <w:vAlign w:val="center"/>
            <w:hideMark/>
          </w:tcPr>
          <w:p w14:paraId="245A6BAF"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1,9</w:t>
            </w:r>
          </w:p>
        </w:tc>
        <w:tc>
          <w:tcPr>
            <w:tcW w:w="765" w:type="dxa"/>
            <w:tcBorders>
              <w:top w:val="nil"/>
              <w:left w:val="single" w:sz="4" w:space="0" w:color="auto"/>
              <w:bottom w:val="nil"/>
              <w:right w:val="single" w:sz="4" w:space="0" w:color="auto"/>
            </w:tcBorders>
            <w:shd w:val="clear" w:color="auto" w:fill="auto"/>
            <w:noWrap/>
            <w:vAlign w:val="center"/>
            <w:hideMark/>
          </w:tcPr>
          <w:p w14:paraId="3BE1D5CB"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1,3</w:t>
            </w:r>
          </w:p>
        </w:tc>
        <w:tc>
          <w:tcPr>
            <w:tcW w:w="765" w:type="dxa"/>
            <w:tcBorders>
              <w:top w:val="nil"/>
              <w:left w:val="single" w:sz="4" w:space="0" w:color="auto"/>
              <w:bottom w:val="nil"/>
              <w:right w:val="single" w:sz="4" w:space="0" w:color="auto"/>
            </w:tcBorders>
            <w:shd w:val="clear" w:color="auto" w:fill="auto"/>
            <w:noWrap/>
            <w:vAlign w:val="center"/>
            <w:hideMark/>
          </w:tcPr>
          <w:p w14:paraId="61D38F95"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1,9</w:t>
            </w:r>
          </w:p>
        </w:tc>
        <w:tc>
          <w:tcPr>
            <w:tcW w:w="765" w:type="dxa"/>
            <w:tcBorders>
              <w:top w:val="nil"/>
              <w:left w:val="single" w:sz="4" w:space="0" w:color="auto"/>
              <w:bottom w:val="nil"/>
              <w:right w:val="single" w:sz="4" w:space="0" w:color="auto"/>
            </w:tcBorders>
            <w:shd w:val="clear" w:color="auto" w:fill="auto"/>
            <w:noWrap/>
            <w:vAlign w:val="center"/>
            <w:hideMark/>
          </w:tcPr>
          <w:p w14:paraId="0C3821DF"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2,9</w:t>
            </w:r>
          </w:p>
        </w:tc>
        <w:tc>
          <w:tcPr>
            <w:tcW w:w="765" w:type="dxa"/>
            <w:tcBorders>
              <w:top w:val="nil"/>
              <w:left w:val="single" w:sz="4" w:space="0" w:color="auto"/>
              <w:bottom w:val="nil"/>
              <w:right w:val="single" w:sz="4" w:space="0" w:color="auto"/>
            </w:tcBorders>
            <w:shd w:val="clear" w:color="auto" w:fill="D9D9D9"/>
            <w:vAlign w:val="center"/>
          </w:tcPr>
          <w:p w14:paraId="60781A36"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2,0</w:t>
            </w:r>
          </w:p>
        </w:tc>
        <w:tc>
          <w:tcPr>
            <w:tcW w:w="765" w:type="dxa"/>
            <w:tcBorders>
              <w:top w:val="nil"/>
              <w:left w:val="single" w:sz="4" w:space="0" w:color="auto"/>
              <w:bottom w:val="nil"/>
              <w:right w:val="nil"/>
            </w:tcBorders>
            <w:vAlign w:val="center"/>
          </w:tcPr>
          <w:p w14:paraId="4C5314E7" w14:textId="45C9A453" w:rsidR="00DD771A" w:rsidRPr="00166BEB" w:rsidRDefault="00DD771A" w:rsidP="00DD771A">
            <w:pPr>
              <w:spacing w:after="0" w:line="240" w:lineRule="auto"/>
              <w:jc w:val="center"/>
              <w:rPr>
                <w:rFonts w:cs="Arial"/>
                <w:sz w:val="16"/>
                <w:szCs w:val="16"/>
                <w:highlight w:val="yellow"/>
              </w:rPr>
            </w:pPr>
            <w:r>
              <w:rPr>
                <w:rFonts w:cs="Arial"/>
                <w:sz w:val="16"/>
                <w:szCs w:val="16"/>
              </w:rPr>
              <w:t>2,0</w:t>
            </w:r>
          </w:p>
        </w:tc>
        <w:tc>
          <w:tcPr>
            <w:tcW w:w="160" w:type="dxa"/>
            <w:tcBorders>
              <w:top w:val="nil"/>
              <w:left w:val="nil"/>
              <w:bottom w:val="nil"/>
              <w:right w:val="nil"/>
            </w:tcBorders>
          </w:tcPr>
          <w:p w14:paraId="7A927E47" w14:textId="25B282DD" w:rsidR="00DD771A" w:rsidRPr="00166BEB" w:rsidRDefault="00DD771A" w:rsidP="00DD771A">
            <w:pPr>
              <w:spacing w:after="0" w:line="240" w:lineRule="auto"/>
              <w:jc w:val="center"/>
              <w:rPr>
                <w:rFonts w:cs="Arial"/>
                <w:sz w:val="16"/>
                <w:szCs w:val="16"/>
                <w:highlight w:val="yellow"/>
              </w:rPr>
            </w:pPr>
          </w:p>
        </w:tc>
      </w:tr>
      <w:tr w:rsidR="00DD771A" w:rsidRPr="00166BEB" w14:paraId="16147F5D" w14:textId="77777777" w:rsidTr="00DD771A">
        <w:trPr>
          <w:trHeight w:val="300"/>
        </w:trPr>
        <w:tc>
          <w:tcPr>
            <w:tcW w:w="1380" w:type="dxa"/>
            <w:tcBorders>
              <w:top w:val="nil"/>
              <w:left w:val="nil"/>
              <w:bottom w:val="nil"/>
              <w:right w:val="nil"/>
            </w:tcBorders>
            <w:shd w:val="clear" w:color="auto" w:fill="auto"/>
            <w:noWrap/>
            <w:vAlign w:val="center"/>
            <w:hideMark/>
          </w:tcPr>
          <w:p w14:paraId="59F51998"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Estonsko</w:t>
            </w:r>
          </w:p>
        </w:tc>
        <w:tc>
          <w:tcPr>
            <w:tcW w:w="765" w:type="dxa"/>
            <w:tcBorders>
              <w:top w:val="nil"/>
              <w:left w:val="single" w:sz="4" w:space="0" w:color="000000"/>
              <w:bottom w:val="nil"/>
              <w:right w:val="single" w:sz="4" w:space="0" w:color="auto"/>
            </w:tcBorders>
            <w:shd w:val="clear" w:color="auto" w:fill="auto"/>
            <w:noWrap/>
            <w:vAlign w:val="center"/>
            <w:hideMark/>
          </w:tcPr>
          <w:p w14:paraId="2AE3BD7A"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3,5</w:t>
            </w:r>
          </w:p>
        </w:tc>
        <w:tc>
          <w:tcPr>
            <w:tcW w:w="765" w:type="dxa"/>
            <w:tcBorders>
              <w:top w:val="nil"/>
              <w:left w:val="single" w:sz="4" w:space="0" w:color="auto"/>
              <w:bottom w:val="nil"/>
              <w:right w:val="single" w:sz="4" w:space="0" w:color="auto"/>
            </w:tcBorders>
            <w:shd w:val="clear" w:color="auto" w:fill="auto"/>
            <w:noWrap/>
            <w:vAlign w:val="center"/>
            <w:hideMark/>
          </w:tcPr>
          <w:p w14:paraId="7DE8C250"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1,9</w:t>
            </w:r>
          </w:p>
        </w:tc>
        <w:tc>
          <w:tcPr>
            <w:tcW w:w="765" w:type="dxa"/>
            <w:tcBorders>
              <w:top w:val="nil"/>
              <w:left w:val="single" w:sz="4" w:space="0" w:color="auto"/>
              <w:bottom w:val="nil"/>
              <w:right w:val="single" w:sz="4" w:space="0" w:color="auto"/>
            </w:tcBorders>
            <w:shd w:val="clear" w:color="auto" w:fill="auto"/>
            <w:noWrap/>
            <w:vAlign w:val="center"/>
            <w:hideMark/>
          </w:tcPr>
          <w:p w14:paraId="657384D3"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3,5</w:t>
            </w:r>
          </w:p>
        </w:tc>
        <w:tc>
          <w:tcPr>
            <w:tcW w:w="765" w:type="dxa"/>
            <w:tcBorders>
              <w:top w:val="nil"/>
              <w:left w:val="single" w:sz="4" w:space="0" w:color="auto"/>
              <w:bottom w:val="nil"/>
              <w:right w:val="single" w:sz="4" w:space="0" w:color="auto"/>
            </w:tcBorders>
            <w:shd w:val="clear" w:color="auto" w:fill="auto"/>
            <w:noWrap/>
            <w:vAlign w:val="center"/>
            <w:hideMark/>
          </w:tcPr>
          <w:p w14:paraId="1BBB85F8"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2,2</w:t>
            </w:r>
          </w:p>
        </w:tc>
        <w:tc>
          <w:tcPr>
            <w:tcW w:w="765" w:type="dxa"/>
            <w:tcBorders>
              <w:top w:val="nil"/>
              <w:left w:val="single" w:sz="4" w:space="0" w:color="auto"/>
              <w:bottom w:val="nil"/>
              <w:right w:val="single" w:sz="4" w:space="0" w:color="auto"/>
            </w:tcBorders>
            <w:shd w:val="clear" w:color="auto" w:fill="auto"/>
            <w:noWrap/>
            <w:vAlign w:val="center"/>
            <w:hideMark/>
          </w:tcPr>
          <w:p w14:paraId="040F437A"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2,5</w:t>
            </w:r>
          </w:p>
        </w:tc>
        <w:tc>
          <w:tcPr>
            <w:tcW w:w="765" w:type="dxa"/>
            <w:tcBorders>
              <w:top w:val="nil"/>
              <w:left w:val="single" w:sz="4" w:space="0" w:color="auto"/>
              <w:bottom w:val="nil"/>
              <w:right w:val="single" w:sz="4" w:space="0" w:color="auto"/>
            </w:tcBorders>
            <w:shd w:val="clear" w:color="auto" w:fill="auto"/>
            <w:noWrap/>
            <w:vAlign w:val="center"/>
            <w:hideMark/>
          </w:tcPr>
          <w:p w14:paraId="589C64A1"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4,6</w:t>
            </w:r>
          </w:p>
        </w:tc>
        <w:tc>
          <w:tcPr>
            <w:tcW w:w="765" w:type="dxa"/>
            <w:tcBorders>
              <w:top w:val="nil"/>
              <w:left w:val="single" w:sz="4" w:space="0" w:color="auto"/>
              <w:bottom w:val="nil"/>
              <w:right w:val="single" w:sz="4" w:space="0" w:color="auto"/>
            </w:tcBorders>
            <w:shd w:val="clear" w:color="auto" w:fill="auto"/>
            <w:noWrap/>
            <w:vAlign w:val="center"/>
            <w:hideMark/>
          </w:tcPr>
          <w:p w14:paraId="02CD4F01"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1,0</w:t>
            </w:r>
          </w:p>
        </w:tc>
        <w:tc>
          <w:tcPr>
            <w:tcW w:w="765" w:type="dxa"/>
            <w:tcBorders>
              <w:top w:val="nil"/>
              <w:left w:val="single" w:sz="4" w:space="0" w:color="auto"/>
              <w:bottom w:val="nil"/>
              <w:right w:val="single" w:sz="4" w:space="0" w:color="auto"/>
            </w:tcBorders>
            <w:shd w:val="clear" w:color="auto" w:fill="auto"/>
            <w:noWrap/>
            <w:vAlign w:val="center"/>
            <w:hideMark/>
          </w:tcPr>
          <w:p w14:paraId="195C9D07"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1,9</w:t>
            </w:r>
          </w:p>
        </w:tc>
        <w:tc>
          <w:tcPr>
            <w:tcW w:w="765" w:type="dxa"/>
            <w:tcBorders>
              <w:top w:val="nil"/>
              <w:left w:val="single" w:sz="4" w:space="0" w:color="auto"/>
              <w:bottom w:val="nil"/>
              <w:right w:val="single" w:sz="4" w:space="0" w:color="auto"/>
            </w:tcBorders>
            <w:shd w:val="clear" w:color="auto" w:fill="auto"/>
            <w:noWrap/>
            <w:vAlign w:val="center"/>
            <w:hideMark/>
          </w:tcPr>
          <w:p w14:paraId="1100C9D9"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2,5</w:t>
            </w:r>
          </w:p>
        </w:tc>
        <w:tc>
          <w:tcPr>
            <w:tcW w:w="765" w:type="dxa"/>
            <w:tcBorders>
              <w:top w:val="nil"/>
              <w:left w:val="single" w:sz="4" w:space="0" w:color="auto"/>
              <w:bottom w:val="nil"/>
              <w:right w:val="single" w:sz="4" w:space="0" w:color="auto"/>
            </w:tcBorders>
            <w:shd w:val="clear" w:color="auto" w:fill="D9D9D9"/>
            <w:vAlign w:val="center"/>
          </w:tcPr>
          <w:p w14:paraId="664C4C11"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2,1</w:t>
            </w:r>
          </w:p>
        </w:tc>
        <w:tc>
          <w:tcPr>
            <w:tcW w:w="765" w:type="dxa"/>
            <w:tcBorders>
              <w:top w:val="nil"/>
              <w:left w:val="single" w:sz="4" w:space="0" w:color="auto"/>
              <w:bottom w:val="nil"/>
              <w:right w:val="nil"/>
            </w:tcBorders>
            <w:vAlign w:val="center"/>
          </w:tcPr>
          <w:p w14:paraId="35C336A4" w14:textId="63B1DDFD" w:rsidR="00DD771A" w:rsidRPr="00166BEB" w:rsidRDefault="00DD771A" w:rsidP="00DD771A">
            <w:pPr>
              <w:spacing w:after="0" w:line="240" w:lineRule="auto"/>
              <w:jc w:val="center"/>
              <w:rPr>
                <w:rFonts w:cs="Arial"/>
                <w:sz w:val="16"/>
                <w:szCs w:val="16"/>
                <w:highlight w:val="yellow"/>
              </w:rPr>
            </w:pPr>
            <w:r>
              <w:rPr>
                <w:rFonts w:cs="Arial"/>
                <w:sz w:val="16"/>
                <w:szCs w:val="16"/>
              </w:rPr>
              <w:t>2,5</w:t>
            </w:r>
          </w:p>
        </w:tc>
        <w:tc>
          <w:tcPr>
            <w:tcW w:w="160" w:type="dxa"/>
            <w:tcBorders>
              <w:top w:val="nil"/>
              <w:left w:val="nil"/>
              <w:bottom w:val="nil"/>
              <w:right w:val="nil"/>
            </w:tcBorders>
          </w:tcPr>
          <w:p w14:paraId="180F17E6" w14:textId="2A55B9BC" w:rsidR="00DD771A" w:rsidRPr="00166BEB" w:rsidRDefault="00DD771A" w:rsidP="00DD771A">
            <w:pPr>
              <w:spacing w:after="0" w:line="240" w:lineRule="auto"/>
              <w:jc w:val="center"/>
              <w:rPr>
                <w:rFonts w:cs="Arial"/>
                <w:sz w:val="16"/>
                <w:szCs w:val="16"/>
                <w:highlight w:val="yellow"/>
              </w:rPr>
            </w:pPr>
          </w:p>
        </w:tc>
      </w:tr>
      <w:tr w:rsidR="00DD771A" w:rsidRPr="00166BEB" w14:paraId="40824BBA" w14:textId="77777777" w:rsidTr="00DD771A">
        <w:trPr>
          <w:trHeight w:val="300"/>
        </w:trPr>
        <w:tc>
          <w:tcPr>
            <w:tcW w:w="1380" w:type="dxa"/>
            <w:tcBorders>
              <w:top w:val="nil"/>
              <w:left w:val="nil"/>
              <w:bottom w:val="nil"/>
              <w:right w:val="nil"/>
            </w:tcBorders>
            <w:shd w:val="clear" w:color="auto" w:fill="auto"/>
            <w:noWrap/>
            <w:vAlign w:val="center"/>
            <w:hideMark/>
          </w:tcPr>
          <w:p w14:paraId="2B66DE17"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Finsko</w:t>
            </w:r>
          </w:p>
        </w:tc>
        <w:tc>
          <w:tcPr>
            <w:tcW w:w="765" w:type="dxa"/>
            <w:tcBorders>
              <w:top w:val="nil"/>
              <w:left w:val="single" w:sz="4" w:space="0" w:color="000000"/>
              <w:bottom w:val="nil"/>
              <w:right w:val="single" w:sz="4" w:space="0" w:color="auto"/>
            </w:tcBorders>
            <w:shd w:val="clear" w:color="auto" w:fill="auto"/>
            <w:noWrap/>
            <w:vAlign w:val="center"/>
            <w:hideMark/>
          </w:tcPr>
          <w:p w14:paraId="2462E0E3"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1,6</w:t>
            </w:r>
          </w:p>
        </w:tc>
        <w:tc>
          <w:tcPr>
            <w:tcW w:w="765" w:type="dxa"/>
            <w:tcBorders>
              <w:top w:val="nil"/>
              <w:left w:val="single" w:sz="4" w:space="0" w:color="auto"/>
              <w:bottom w:val="nil"/>
              <w:right w:val="single" w:sz="4" w:space="0" w:color="auto"/>
            </w:tcBorders>
            <w:shd w:val="clear" w:color="auto" w:fill="auto"/>
            <w:noWrap/>
            <w:vAlign w:val="center"/>
            <w:hideMark/>
          </w:tcPr>
          <w:p w14:paraId="005A37B7"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1,9</w:t>
            </w:r>
          </w:p>
        </w:tc>
        <w:tc>
          <w:tcPr>
            <w:tcW w:w="765" w:type="dxa"/>
            <w:tcBorders>
              <w:top w:val="nil"/>
              <w:left w:val="single" w:sz="4" w:space="0" w:color="auto"/>
              <w:bottom w:val="nil"/>
              <w:right w:val="single" w:sz="4" w:space="0" w:color="auto"/>
            </w:tcBorders>
            <w:shd w:val="clear" w:color="auto" w:fill="auto"/>
            <w:noWrap/>
            <w:vAlign w:val="center"/>
            <w:hideMark/>
          </w:tcPr>
          <w:p w14:paraId="20181364"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1,2</w:t>
            </w:r>
          </w:p>
        </w:tc>
        <w:tc>
          <w:tcPr>
            <w:tcW w:w="765" w:type="dxa"/>
            <w:tcBorders>
              <w:top w:val="nil"/>
              <w:left w:val="single" w:sz="4" w:space="0" w:color="auto"/>
              <w:bottom w:val="nil"/>
              <w:right w:val="single" w:sz="4" w:space="0" w:color="auto"/>
            </w:tcBorders>
            <w:shd w:val="clear" w:color="auto" w:fill="auto"/>
            <w:noWrap/>
            <w:vAlign w:val="center"/>
            <w:hideMark/>
          </w:tcPr>
          <w:p w14:paraId="56ACA7BD"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1,7</w:t>
            </w:r>
          </w:p>
        </w:tc>
        <w:tc>
          <w:tcPr>
            <w:tcW w:w="765" w:type="dxa"/>
            <w:tcBorders>
              <w:top w:val="nil"/>
              <w:left w:val="single" w:sz="4" w:space="0" w:color="auto"/>
              <w:bottom w:val="nil"/>
              <w:right w:val="single" w:sz="4" w:space="0" w:color="auto"/>
            </w:tcBorders>
            <w:shd w:val="clear" w:color="auto" w:fill="auto"/>
            <w:noWrap/>
            <w:vAlign w:val="center"/>
            <w:hideMark/>
          </w:tcPr>
          <w:p w14:paraId="38ABDFAB"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1,8</w:t>
            </w:r>
          </w:p>
        </w:tc>
        <w:tc>
          <w:tcPr>
            <w:tcW w:w="765" w:type="dxa"/>
            <w:tcBorders>
              <w:top w:val="nil"/>
              <w:left w:val="single" w:sz="4" w:space="0" w:color="auto"/>
              <w:bottom w:val="nil"/>
              <w:right w:val="single" w:sz="4" w:space="0" w:color="auto"/>
            </w:tcBorders>
            <w:shd w:val="clear" w:color="auto" w:fill="auto"/>
            <w:noWrap/>
            <w:vAlign w:val="center"/>
            <w:hideMark/>
          </w:tcPr>
          <w:p w14:paraId="34B06D14"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1,6</w:t>
            </w:r>
          </w:p>
        </w:tc>
        <w:tc>
          <w:tcPr>
            <w:tcW w:w="765" w:type="dxa"/>
            <w:tcBorders>
              <w:top w:val="nil"/>
              <w:left w:val="single" w:sz="4" w:space="0" w:color="auto"/>
              <w:bottom w:val="nil"/>
              <w:right w:val="single" w:sz="4" w:space="0" w:color="auto"/>
            </w:tcBorders>
            <w:shd w:val="clear" w:color="auto" w:fill="auto"/>
            <w:noWrap/>
            <w:vAlign w:val="center"/>
            <w:hideMark/>
          </w:tcPr>
          <w:p w14:paraId="6F555674"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1,4</w:t>
            </w:r>
          </w:p>
        </w:tc>
        <w:tc>
          <w:tcPr>
            <w:tcW w:w="765" w:type="dxa"/>
            <w:tcBorders>
              <w:top w:val="nil"/>
              <w:left w:val="single" w:sz="4" w:space="0" w:color="auto"/>
              <w:bottom w:val="nil"/>
              <w:right w:val="single" w:sz="4" w:space="0" w:color="auto"/>
            </w:tcBorders>
            <w:shd w:val="clear" w:color="auto" w:fill="auto"/>
            <w:noWrap/>
            <w:vAlign w:val="center"/>
            <w:hideMark/>
          </w:tcPr>
          <w:p w14:paraId="37E29734"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1,3</w:t>
            </w:r>
          </w:p>
        </w:tc>
        <w:tc>
          <w:tcPr>
            <w:tcW w:w="765" w:type="dxa"/>
            <w:tcBorders>
              <w:top w:val="nil"/>
              <w:left w:val="single" w:sz="4" w:space="0" w:color="auto"/>
              <w:bottom w:val="nil"/>
              <w:right w:val="single" w:sz="4" w:space="0" w:color="auto"/>
            </w:tcBorders>
            <w:shd w:val="clear" w:color="auto" w:fill="auto"/>
            <w:noWrap/>
            <w:vAlign w:val="center"/>
            <w:hideMark/>
          </w:tcPr>
          <w:p w14:paraId="0ACF717F"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1,3</w:t>
            </w:r>
          </w:p>
        </w:tc>
        <w:tc>
          <w:tcPr>
            <w:tcW w:w="765" w:type="dxa"/>
            <w:tcBorders>
              <w:top w:val="nil"/>
              <w:left w:val="single" w:sz="4" w:space="0" w:color="auto"/>
              <w:bottom w:val="nil"/>
              <w:right w:val="single" w:sz="4" w:space="0" w:color="auto"/>
            </w:tcBorders>
            <w:shd w:val="clear" w:color="auto" w:fill="D9D9D9"/>
            <w:vAlign w:val="center"/>
          </w:tcPr>
          <w:p w14:paraId="5341D32D"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1,3</w:t>
            </w:r>
          </w:p>
        </w:tc>
        <w:tc>
          <w:tcPr>
            <w:tcW w:w="765" w:type="dxa"/>
            <w:tcBorders>
              <w:top w:val="nil"/>
              <w:left w:val="single" w:sz="4" w:space="0" w:color="auto"/>
              <w:bottom w:val="nil"/>
              <w:right w:val="nil"/>
            </w:tcBorders>
            <w:vAlign w:val="center"/>
          </w:tcPr>
          <w:p w14:paraId="246300EB" w14:textId="399E2AF2" w:rsidR="00DD771A" w:rsidRPr="00166BEB" w:rsidRDefault="00DD771A" w:rsidP="00DD771A">
            <w:pPr>
              <w:spacing w:after="0" w:line="240" w:lineRule="auto"/>
              <w:jc w:val="center"/>
              <w:rPr>
                <w:rFonts w:cs="Arial"/>
                <w:sz w:val="16"/>
                <w:szCs w:val="16"/>
                <w:highlight w:val="yellow"/>
              </w:rPr>
            </w:pPr>
            <w:r>
              <w:rPr>
                <w:rFonts w:cs="Arial"/>
                <w:sz w:val="16"/>
                <w:szCs w:val="16"/>
              </w:rPr>
              <w:t>1,0</w:t>
            </w:r>
          </w:p>
        </w:tc>
        <w:tc>
          <w:tcPr>
            <w:tcW w:w="160" w:type="dxa"/>
            <w:tcBorders>
              <w:top w:val="nil"/>
              <w:left w:val="nil"/>
              <w:bottom w:val="nil"/>
              <w:right w:val="nil"/>
            </w:tcBorders>
          </w:tcPr>
          <w:p w14:paraId="1F4F4E79" w14:textId="1D140726" w:rsidR="00DD771A" w:rsidRPr="00166BEB" w:rsidRDefault="00DD771A" w:rsidP="00DD771A">
            <w:pPr>
              <w:spacing w:after="0" w:line="240" w:lineRule="auto"/>
              <w:jc w:val="center"/>
              <w:rPr>
                <w:rFonts w:cs="Arial"/>
                <w:sz w:val="16"/>
                <w:szCs w:val="16"/>
                <w:highlight w:val="yellow"/>
              </w:rPr>
            </w:pPr>
          </w:p>
        </w:tc>
      </w:tr>
      <w:tr w:rsidR="00DD771A" w:rsidRPr="00166BEB" w14:paraId="22D5CBC8" w14:textId="77777777" w:rsidTr="00DD771A">
        <w:trPr>
          <w:trHeight w:val="300"/>
        </w:trPr>
        <w:tc>
          <w:tcPr>
            <w:tcW w:w="1380" w:type="dxa"/>
            <w:tcBorders>
              <w:top w:val="nil"/>
              <w:left w:val="nil"/>
              <w:bottom w:val="nil"/>
              <w:right w:val="nil"/>
            </w:tcBorders>
            <w:shd w:val="clear" w:color="auto" w:fill="auto"/>
            <w:noWrap/>
            <w:vAlign w:val="center"/>
            <w:hideMark/>
          </w:tcPr>
          <w:p w14:paraId="619FFB41"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Francie</w:t>
            </w:r>
          </w:p>
        </w:tc>
        <w:tc>
          <w:tcPr>
            <w:tcW w:w="765" w:type="dxa"/>
            <w:tcBorders>
              <w:top w:val="nil"/>
              <w:left w:val="single" w:sz="4" w:space="0" w:color="000000"/>
              <w:bottom w:val="nil"/>
              <w:right w:val="single" w:sz="4" w:space="0" w:color="auto"/>
            </w:tcBorders>
            <w:shd w:val="clear" w:color="auto" w:fill="auto"/>
            <w:noWrap/>
            <w:vAlign w:val="center"/>
            <w:hideMark/>
          </w:tcPr>
          <w:p w14:paraId="5176E0E7"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8,1</w:t>
            </w:r>
          </w:p>
        </w:tc>
        <w:tc>
          <w:tcPr>
            <w:tcW w:w="765" w:type="dxa"/>
            <w:tcBorders>
              <w:top w:val="nil"/>
              <w:left w:val="single" w:sz="4" w:space="0" w:color="auto"/>
              <w:bottom w:val="nil"/>
              <w:right w:val="single" w:sz="4" w:space="0" w:color="auto"/>
            </w:tcBorders>
            <w:shd w:val="clear" w:color="auto" w:fill="auto"/>
            <w:noWrap/>
            <w:vAlign w:val="center"/>
            <w:hideMark/>
          </w:tcPr>
          <w:p w14:paraId="589ED429"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3,5</w:t>
            </w:r>
          </w:p>
        </w:tc>
        <w:tc>
          <w:tcPr>
            <w:tcW w:w="765" w:type="dxa"/>
            <w:tcBorders>
              <w:top w:val="nil"/>
              <w:left w:val="single" w:sz="4" w:space="0" w:color="auto"/>
              <w:bottom w:val="nil"/>
              <w:right w:val="single" w:sz="4" w:space="0" w:color="auto"/>
            </w:tcBorders>
            <w:shd w:val="clear" w:color="auto" w:fill="auto"/>
            <w:noWrap/>
            <w:vAlign w:val="center"/>
            <w:hideMark/>
          </w:tcPr>
          <w:p w14:paraId="603E055B"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3,7</w:t>
            </w:r>
          </w:p>
        </w:tc>
        <w:tc>
          <w:tcPr>
            <w:tcW w:w="765" w:type="dxa"/>
            <w:tcBorders>
              <w:top w:val="nil"/>
              <w:left w:val="single" w:sz="4" w:space="0" w:color="auto"/>
              <w:bottom w:val="nil"/>
              <w:right w:val="single" w:sz="4" w:space="0" w:color="auto"/>
            </w:tcBorders>
            <w:shd w:val="clear" w:color="000000" w:fill="DBDBDB"/>
            <w:noWrap/>
            <w:vAlign w:val="center"/>
            <w:hideMark/>
          </w:tcPr>
          <w:p w14:paraId="46605371"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3,7</w:t>
            </w:r>
          </w:p>
        </w:tc>
        <w:tc>
          <w:tcPr>
            <w:tcW w:w="765" w:type="dxa"/>
            <w:tcBorders>
              <w:top w:val="nil"/>
              <w:left w:val="single" w:sz="4" w:space="0" w:color="auto"/>
              <w:bottom w:val="nil"/>
              <w:right w:val="single" w:sz="4" w:space="0" w:color="auto"/>
            </w:tcBorders>
            <w:shd w:val="clear" w:color="auto" w:fill="auto"/>
            <w:noWrap/>
            <w:vAlign w:val="center"/>
            <w:hideMark/>
          </w:tcPr>
          <w:p w14:paraId="786DF8A7"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4,0</w:t>
            </w:r>
          </w:p>
        </w:tc>
        <w:tc>
          <w:tcPr>
            <w:tcW w:w="765" w:type="dxa"/>
            <w:tcBorders>
              <w:top w:val="nil"/>
              <w:left w:val="single" w:sz="4" w:space="0" w:color="auto"/>
              <w:bottom w:val="nil"/>
              <w:right w:val="single" w:sz="4" w:space="0" w:color="auto"/>
            </w:tcBorders>
            <w:shd w:val="clear" w:color="auto" w:fill="auto"/>
            <w:noWrap/>
            <w:vAlign w:val="center"/>
            <w:hideMark/>
          </w:tcPr>
          <w:p w14:paraId="2DE9205F"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4,1</w:t>
            </w:r>
          </w:p>
        </w:tc>
        <w:tc>
          <w:tcPr>
            <w:tcW w:w="765" w:type="dxa"/>
            <w:tcBorders>
              <w:top w:val="nil"/>
              <w:left w:val="single" w:sz="4" w:space="0" w:color="auto"/>
              <w:bottom w:val="nil"/>
              <w:right w:val="single" w:sz="4" w:space="0" w:color="auto"/>
            </w:tcBorders>
            <w:shd w:val="clear" w:color="000000" w:fill="DBDBDB"/>
            <w:noWrap/>
            <w:vAlign w:val="center"/>
            <w:hideMark/>
          </w:tcPr>
          <w:p w14:paraId="638BA02C"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3,6</w:t>
            </w:r>
          </w:p>
        </w:tc>
        <w:tc>
          <w:tcPr>
            <w:tcW w:w="765" w:type="dxa"/>
            <w:tcBorders>
              <w:top w:val="nil"/>
              <w:left w:val="single" w:sz="4" w:space="0" w:color="auto"/>
              <w:bottom w:val="nil"/>
              <w:right w:val="single" w:sz="4" w:space="0" w:color="auto"/>
            </w:tcBorders>
            <w:shd w:val="clear" w:color="auto" w:fill="auto"/>
            <w:noWrap/>
            <w:vAlign w:val="center"/>
            <w:hideMark/>
          </w:tcPr>
          <w:p w14:paraId="7E8C92A5"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3,7</w:t>
            </w:r>
          </w:p>
        </w:tc>
        <w:tc>
          <w:tcPr>
            <w:tcW w:w="765" w:type="dxa"/>
            <w:tcBorders>
              <w:top w:val="nil"/>
              <w:left w:val="single" w:sz="4" w:space="0" w:color="auto"/>
              <w:bottom w:val="nil"/>
              <w:right w:val="single" w:sz="4" w:space="0" w:color="auto"/>
            </w:tcBorders>
            <w:shd w:val="clear" w:color="auto" w:fill="auto"/>
            <w:noWrap/>
            <w:vAlign w:val="center"/>
            <w:hideMark/>
          </w:tcPr>
          <w:p w14:paraId="71E2BBE6"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4,8</w:t>
            </w:r>
          </w:p>
        </w:tc>
        <w:tc>
          <w:tcPr>
            <w:tcW w:w="765" w:type="dxa"/>
            <w:tcBorders>
              <w:top w:val="nil"/>
              <w:left w:val="single" w:sz="4" w:space="0" w:color="auto"/>
              <w:bottom w:val="nil"/>
              <w:right w:val="single" w:sz="4" w:space="0" w:color="auto"/>
            </w:tcBorders>
            <w:shd w:val="clear" w:color="auto" w:fill="D9D9D9"/>
            <w:vAlign w:val="center"/>
          </w:tcPr>
          <w:p w14:paraId="224F5F6B"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3,2</w:t>
            </w:r>
          </w:p>
        </w:tc>
        <w:tc>
          <w:tcPr>
            <w:tcW w:w="765" w:type="dxa"/>
            <w:tcBorders>
              <w:top w:val="nil"/>
              <w:left w:val="single" w:sz="4" w:space="0" w:color="auto"/>
              <w:bottom w:val="nil"/>
              <w:right w:val="nil"/>
            </w:tcBorders>
            <w:vAlign w:val="center"/>
          </w:tcPr>
          <w:p w14:paraId="41B03122" w14:textId="03E25F4F" w:rsidR="00DD771A" w:rsidRPr="00166BEB" w:rsidRDefault="00DD771A" w:rsidP="00DD771A">
            <w:pPr>
              <w:spacing w:after="0" w:line="240" w:lineRule="auto"/>
              <w:jc w:val="center"/>
              <w:rPr>
                <w:rFonts w:cs="Arial"/>
                <w:sz w:val="16"/>
                <w:szCs w:val="16"/>
                <w:highlight w:val="yellow"/>
              </w:rPr>
            </w:pPr>
            <w:r>
              <w:rPr>
                <w:rFonts w:cs="Arial"/>
                <w:sz w:val="16"/>
                <w:szCs w:val="16"/>
              </w:rPr>
              <w:t>4,5</w:t>
            </w:r>
          </w:p>
        </w:tc>
        <w:tc>
          <w:tcPr>
            <w:tcW w:w="160" w:type="dxa"/>
            <w:tcBorders>
              <w:top w:val="nil"/>
              <w:left w:val="nil"/>
              <w:bottom w:val="nil"/>
              <w:right w:val="nil"/>
            </w:tcBorders>
          </w:tcPr>
          <w:p w14:paraId="5A0C3EE5" w14:textId="0526EF1F" w:rsidR="00DD771A" w:rsidRPr="00166BEB" w:rsidRDefault="00DD771A" w:rsidP="00DD771A">
            <w:pPr>
              <w:spacing w:after="0" w:line="240" w:lineRule="auto"/>
              <w:jc w:val="center"/>
              <w:rPr>
                <w:rFonts w:cs="Arial"/>
                <w:sz w:val="16"/>
                <w:szCs w:val="16"/>
                <w:highlight w:val="yellow"/>
              </w:rPr>
            </w:pPr>
          </w:p>
        </w:tc>
      </w:tr>
      <w:tr w:rsidR="00DD771A" w:rsidRPr="00166BEB" w14:paraId="48282C75" w14:textId="77777777" w:rsidTr="00DD771A">
        <w:trPr>
          <w:trHeight w:val="300"/>
        </w:trPr>
        <w:tc>
          <w:tcPr>
            <w:tcW w:w="1380" w:type="dxa"/>
            <w:tcBorders>
              <w:top w:val="nil"/>
              <w:left w:val="nil"/>
              <w:bottom w:val="nil"/>
              <w:right w:val="nil"/>
            </w:tcBorders>
            <w:shd w:val="clear" w:color="auto" w:fill="auto"/>
            <w:noWrap/>
            <w:vAlign w:val="center"/>
            <w:hideMark/>
          </w:tcPr>
          <w:p w14:paraId="7EF78368"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Chorvatsko</w:t>
            </w:r>
          </w:p>
        </w:tc>
        <w:tc>
          <w:tcPr>
            <w:tcW w:w="765" w:type="dxa"/>
            <w:tcBorders>
              <w:top w:val="nil"/>
              <w:left w:val="single" w:sz="4" w:space="0" w:color="000000"/>
              <w:bottom w:val="nil"/>
              <w:right w:val="single" w:sz="4" w:space="0" w:color="auto"/>
            </w:tcBorders>
            <w:shd w:val="clear" w:color="auto" w:fill="auto"/>
            <w:noWrap/>
            <w:vAlign w:val="center"/>
            <w:hideMark/>
          </w:tcPr>
          <w:p w14:paraId="78791F1E"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3,5</w:t>
            </w:r>
          </w:p>
        </w:tc>
        <w:tc>
          <w:tcPr>
            <w:tcW w:w="765" w:type="dxa"/>
            <w:tcBorders>
              <w:top w:val="nil"/>
              <w:left w:val="single" w:sz="4" w:space="0" w:color="auto"/>
              <w:bottom w:val="nil"/>
              <w:right w:val="single" w:sz="4" w:space="0" w:color="auto"/>
            </w:tcBorders>
            <w:shd w:val="clear" w:color="auto" w:fill="auto"/>
            <w:noWrap/>
            <w:vAlign w:val="center"/>
            <w:hideMark/>
          </w:tcPr>
          <w:p w14:paraId="59ABC94B"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4,6</w:t>
            </w:r>
          </w:p>
        </w:tc>
        <w:tc>
          <w:tcPr>
            <w:tcW w:w="765" w:type="dxa"/>
            <w:tcBorders>
              <w:top w:val="nil"/>
              <w:left w:val="single" w:sz="4" w:space="0" w:color="auto"/>
              <w:bottom w:val="nil"/>
              <w:right w:val="single" w:sz="4" w:space="0" w:color="auto"/>
            </w:tcBorders>
            <w:shd w:val="clear" w:color="auto" w:fill="auto"/>
            <w:noWrap/>
            <w:vAlign w:val="center"/>
            <w:hideMark/>
          </w:tcPr>
          <w:p w14:paraId="2E5624C7"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2,4</w:t>
            </w:r>
          </w:p>
        </w:tc>
        <w:tc>
          <w:tcPr>
            <w:tcW w:w="765" w:type="dxa"/>
            <w:tcBorders>
              <w:top w:val="nil"/>
              <w:left w:val="single" w:sz="4" w:space="0" w:color="auto"/>
              <w:bottom w:val="nil"/>
              <w:right w:val="single" w:sz="4" w:space="0" w:color="auto"/>
            </w:tcBorders>
            <w:shd w:val="clear" w:color="auto" w:fill="auto"/>
            <w:noWrap/>
            <w:vAlign w:val="center"/>
            <w:hideMark/>
          </w:tcPr>
          <w:p w14:paraId="39CDBAAA"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2,3</w:t>
            </w:r>
          </w:p>
        </w:tc>
        <w:tc>
          <w:tcPr>
            <w:tcW w:w="765" w:type="dxa"/>
            <w:tcBorders>
              <w:top w:val="nil"/>
              <w:left w:val="single" w:sz="4" w:space="0" w:color="auto"/>
              <w:bottom w:val="nil"/>
              <w:right w:val="single" w:sz="4" w:space="0" w:color="auto"/>
            </w:tcBorders>
            <w:shd w:val="clear" w:color="auto" w:fill="auto"/>
            <w:noWrap/>
            <w:vAlign w:val="center"/>
            <w:hideMark/>
          </w:tcPr>
          <w:p w14:paraId="247ED377"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2,7</w:t>
            </w:r>
          </w:p>
        </w:tc>
        <w:tc>
          <w:tcPr>
            <w:tcW w:w="765" w:type="dxa"/>
            <w:tcBorders>
              <w:top w:val="nil"/>
              <w:left w:val="single" w:sz="4" w:space="0" w:color="auto"/>
              <w:bottom w:val="nil"/>
              <w:right w:val="single" w:sz="4" w:space="0" w:color="auto"/>
            </w:tcBorders>
            <w:shd w:val="clear" w:color="auto" w:fill="auto"/>
            <w:noWrap/>
            <w:vAlign w:val="center"/>
            <w:hideMark/>
          </w:tcPr>
          <w:p w14:paraId="30834F8D"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3,1</w:t>
            </w:r>
          </w:p>
        </w:tc>
        <w:tc>
          <w:tcPr>
            <w:tcW w:w="765" w:type="dxa"/>
            <w:tcBorders>
              <w:top w:val="nil"/>
              <w:left w:val="single" w:sz="4" w:space="0" w:color="auto"/>
              <w:bottom w:val="nil"/>
              <w:right w:val="single" w:sz="4" w:space="0" w:color="auto"/>
            </w:tcBorders>
            <w:shd w:val="clear" w:color="auto" w:fill="auto"/>
            <w:noWrap/>
            <w:vAlign w:val="center"/>
            <w:hideMark/>
          </w:tcPr>
          <w:p w14:paraId="388FAD77"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2,8</w:t>
            </w:r>
          </w:p>
        </w:tc>
        <w:tc>
          <w:tcPr>
            <w:tcW w:w="765" w:type="dxa"/>
            <w:tcBorders>
              <w:top w:val="nil"/>
              <w:left w:val="single" w:sz="4" w:space="0" w:color="auto"/>
              <w:bottom w:val="nil"/>
              <w:right w:val="single" w:sz="4" w:space="0" w:color="auto"/>
            </w:tcBorders>
            <w:shd w:val="clear" w:color="auto" w:fill="auto"/>
            <w:noWrap/>
            <w:vAlign w:val="center"/>
            <w:hideMark/>
          </w:tcPr>
          <w:p w14:paraId="7AFE6E84"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3,3</w:t>
            </w:r>
          </w:p>
        </w:tc>
        <w:tc>
          <w:tcPr>
            <w:tcW w:w="765" w:type="dxa"/>
            <w:tcBorders>
              <w:top w:val="nil"/>
              <w:left w:val="single" w:sz="4" w:space="0" w:color="auto"/>
              <w:bottom w:val="nil"/>
              <w:right w:val="single" w:sz="4" w:space="0" w:color="auto"/>
            </w:tcBorders>
            <w:shd w:val="clear" w:color="auto" w:fill="auto"/>
            <w:noWrap/>
            <w:vAlign w:val="center"/>
            <w:hideMark/>
          </w:tcPr>
          <w:p w14:paraId="0DE2B850"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3,0</w:t>
            </w:r>
          </w:p>
        </w:tc>
        <w:tc>
          <w:tcPr>
            <w:tcW w:w="765" w:type="dxa"/>
            <w:tcBorders>
              <w:top w:val="nil"/>
              <w:left w:val="single" w:sz="4" w:space="0" w:color="auto"/>
              <w:bottom w:val="nil"/>
              <w:right w:val="single" w:sz="4" w:space="0" w:color="auto"/>
            </w:tcBorders>
            <w:shd w:val="clear" w:color="auto" w:fill="D9D9D9"/>
            <w:vAlign w:val="center"/>
          </w:tcPr>
          <w:p w14:paraId="4DC5A05D"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3,1</w:t>
            </w:r>
          </w:p>
        </w:tc>
        <w:tc>
          <w:tcPr>
            <w:tcW w:w="765" w:type="dxa"/>
            <w:tcBorders>
              <w:top w:val="nil"/>
              <w:left w:val="single" w:sz="4" w:space="0" w:color="auto"/>
              <w:bottom w:val="nil"/>
              <w:right w:val="nil"/>
            </w:tcBorders>
            <w:vAlign w:val="center"/>
          </w:tcPr>
          <w:p w14:paraId="50423565" w14:textId="1E6F0190" w:rsidR="00DD771A" w:rsidRPr="00166BEB" w:rsidRDefault="00DD771A" w:rsidP="00DD771A">
            <w:pPr>
              <w:spacing w:after="0" w:line="240" w:lineRule="auto"/>
              <w:jc w:val="center"/>
              <w:rPr>
                <w:rFonts w:cs="Arial"/>
                <w:sz w:val="16"/>
                <w:szCs w:val="16"/>
                <w:highlight w:val="yellow"/>
              </w:rPr>
            </w:pPr>
            <w:r>
              <w:rPr>
                <w:rFonts w:cs="Arial"/>
                <w:sz w:val="16"/>
                <w:szCs w:val="16"/>
              </w:rPr>
              <w:t>2,4</w:t>
            </w:r>
          </w:p>
        </w:tc>
        <w:tc>
          <w:tcPr>
            <w:tcW w:w="160" w:type="dxa"/>
            <w:tcBorders>
              <w:top w:val="nil"/>
              <w:left w:val="nil"/>
              <w:bottom w:val="nil"/>
              <w:right w:val="nil"/>
            </w:tcBorders>
          </w:tcPr>
          <w:p w14:paraId="31A5FEAE" w14:textId="1F59BA06" w:rsidR="00DD771A" w:rsidRPr="00166BEB" w:rsidRDefault="00DD771A" w:rsidP="00DD771A">
            <w:pPr>
              <w:spacing w:after="0" w:line="240" w:lineRule="auto"/>
              <w:jc w:val="center"/>
              <w:rPr>
                <w:rFonts w:cs="Arial"/>
                <w:sz w:val="16"/>
                <w:szCs w:val="16"/>
                <w:highlight w:val="yellow"/>
              </w:rPr>
            </w:pPr>
          </w:p>
        </w:tc>
      </w:tr>
      <w:tr w:rsidR="00DD771A" w:rsidRPr="00166BEB" w14:paraId="31568EE5" w14:textId="77777777" w:rsidTr="00DD771A">
        <w:trPr>
          <w:trHeight w:val="300"/>
        </w:trPr>
        <w:tc>
          <w:tcPr>
            <w:tcW w:w="1380" w:type="dxa"/>
            <w:tcBorders>
              <w:top w:val="nil"/>
              <w:left w:val="nil"/>
              <w:bottom w:val="nil"/>
              <w:right w:val="nil"/>
            </w:tcBorders>
            <w:shd w:val="clear" w:color="auto" w:fill="auto"/>
            <w:noWrap/>
            <w:vAlign w:val="center"/>
            <w:hideMark/>
          </w:tcPr>
          <w:p w14:paraId="483E56C6"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Irsko</w:t>
            </w:r>
          </w:p>
        </w:tc>
        <w:tc>
          <w:tcPr>
            <w:tcW w:w="765" w:type="dxa"/>
            <w:tcBorders>
              <w:top w:val="nil"/>
              <w:left w:val="single" w:sz="4" w:space="0" w:color="000000"/>
              <w:bottom w:val="nil"/>
              <w:right w:val="single" w:sz="4" w:space="0" w:color="auto"/>
            </w:tcBorders>
            <w:shd w:val="clear" w:color="auto" w:fill="auto"/>
            <w:noWrap/>
            <w:vAlign w:val="center"/>
            <w:hideMark/>
          </w:tcPr>
          <w:p w14:paraId="1A93D4B5"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4,2</w:t>
            </w:r>
          </w:p>
        </w:tc>
        <w:tc>
          <w:tcPr>
            <w:tcW w:w="765" w:type="dxa"/>
            <w:tcBorders>
              <w:top w:val="nil"/>
              <w:left w:val="single" w:sz="4" w:space="0" w:color="auto"/>
              <w:bottom w:val="nil"/>
              <w:right w:val="single" w:sz="4" w:space="0" w:color="auto"/>
            </w:tcBorders>
            <w:shd w:val="clear" w:color="auto" w:fill="auto"/>
            <w:noWrap/>
            <w:vAlign w:val="center"/>
            <w:hideMark/>
          </w:tcPr>
          <w:p w14:paraId="3453D103"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3,4</w:t>
            </w:r>
          </w:p>
        </w:tc>
        <w:tc>
          <w:tcPr>
            <w:tcW w:w="765" w:type="dxa"/>
            <w:tcBorders>
              <w:top w:val="nil"/>
              <w:left w:val="single" w:sz="4" w:space="0" w:color="auto"/>
              <w:bottom w:val="nil"/>
              <w:right w:val="single" w:sz="4" w:space="0" w:color="auto"/>
            </w:tcBorders>
            <w:shd w:val="clear" w:color="auto" w:fill="auto"/>
            <w:noWrap/>
            <w:vAlign w:val="center"/>
            <w:hideMark/>
          </w:tcPr>
          <w:p w14:paraId="0E862ED8"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2,7</w:t>
            </w:r>
          </w:p>
        </w:tc>
        <w:tc>
          <w:tcPr>
            <w:tcW w:w="765" w:type="dxa"/>
            <w:tcBorders>
              <w:top w:val="nil"/>
              <w:left w:val="single" w:sz="4" w:space="0" w:color="auto"/>
              <w:bottom w:val="nil"/>
              <w:right w:val="single" w:sz="4" w:space="0" w:color="auto"/>
            </w:tcBorders>
            <w:shd w:val="clear" w:color="auto" w:fill="auto"/>
            <w:noWrap/>
            <w:vAlign w:val="center"/>
            <w:hideMark/>
          </w:tcPr>
          <w:p w14:paraId="4CBFC446"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3,1</w:t>
            </w:r>
          </w:p>
        </w:tc>
        <w:tc>
          <w:tcPr>
            <w:tcW w:w="765" w:type="dxa"/>
            <w:tcBorders>
              <w:top w:val="nil"/>
              <w:left w:val="single" w:sz="4" w:space="0" w:color="auto"/>
              <w:bottom w:val="nil"/>
              <w:right w:val="single" w:sz="4" w:space="0" w:color="auto"/>
            </w:tcBorders>
            <w:shd w:val="clear" w:color="auto" w:fill="auto"/>
            <w:noWrap/>
            <w:vAlign w:val="center"/>
            <w:hideMark/>
          </w:tcPr>
          <w:p w14:paraId="73D986EC"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2,9</w:t>
            </w:r>
          </w:p>
        </w:tc>
        <w:tc>
          <w:tcPr>
            <w:tcW w:w="765" w:type="dxa"/>
            <w:tcBorders>
              <w:top w:val="nil"/>
              <w:left w:val="single" w:sz="4" w:space="0" w:color="auto"/>
              <w:bottom w:val="nil"/>
              <w:right w:val="single" w:sz="4" w:space="0" w:color="auto"/>
            </w:tcBorders>
            <w:shd w:val="clear" w:color="auto" w:fill="auto"/>
            <w:noWrap/>
            <w:vAlign w:val="center"/>
            <w:hideMark/>
          </w:tcPr>
          <w:p w14:paraId="7B19EF3C"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2,7</w:t>
            </w:r>
          </w:p>
        </w:tc>
        <w:tc>
          <w:tcPr>
            <w:tcW w:w="765" w:type="dxa"/>
            <w:tcBorders>
              <w:top w:val="nil"/>
              <w:left w:val="single" w:sz="4" w:space="0" w:color="auto"/>
              <w:bottom w:val="nil"/>
              <w:right w:val="single" w:sz="4" w:space="0" w:color="auto"/>
            </w:tcBorders>
            <w:shd w:val="clear" w:color="auto" w:fill="auto"/>
            <w:noWrap/>
            <w:vAlign w:val="center"/>
            <w:hideMark/>
          </w:tcPr>
          <w:p w14:paraId="2CFBD965"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2,5</w:t>
            </w:r>
          </w:p>
        </w:tc>
        <w:tc>
          <w:tcPr>
            <w:tcW w:w="765" w:type="dxa"/>
            <w:tcBorders>
              <w:top w:val="nil"/>
              <w:left w:val="single" w:sz="4" w:space="0" w:color="auto"/>
              <w:bottom w:val="nil"/>
              <w:right w:val="single" w:sz="4" w:space="0" w:color="auto"/>
            </w:tcBorders>
            <w:shd w:val="clear" w:color="auto" w:fill="auto"/>
            <w:noWrap/>
            <w:vAlign w:val="center"/>
            <w:hideMark/>
          </w:tcPr>
          <w:p w14:paraId="54CFB043"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2,0</w:t>
            </w:r>
          </w:p>
        </w:tc>
        <w:tc>
          <w:tcPr>
            <w:tcW w:w="765" w:type="dxa"/>
            <w:tcBorders>
              <w:top w:val="nil"/>
              <w:left w:val="single" w:sz="4" w:space="0" w:color="auto"/>
              <w:bottom w:val="nil"/>
              <w:right w:val="single" w:sz="4" w:space="0" w:color="auto"/>
            </w:tcBorders>
            <w:shd w:val="clear" w:color="auto" w:fill="auto"/>
            <w:noWrap/>
            <w:vAlign w:val="center"/>
            <w:hideMark/>
          </w:tcPr>
          <w:p w14:paraId="3EA9D980"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2,7</w:t>
            </w:r>
          </w:p>
        </w:tc>
        <w:tc>
          <w:tcPr>
            <w:tcW w:w="765" w:type="dxa"/>
            <w:tcBorders>
              <w:top w:val="nil"/>
              <w:left w:val="single" w:sz="4" w:space="0" w:color="auto"/>
              <w:bottom w:val="nil"/>
              <w:right w:val="single" w:sz="4" w:space="0" w:color="auto"/>
            </w:tcBorders>
            <w:shd w:val="clear" w:color="auto" w:fill="D9D9D9"/>
            <w:vAlign w:val="center"/>
          </w:tcPr>
          <w:p w14:paraId="1509D134"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2,4</w:t>
            </w:r>
          </w:p>
        </w:tc>
        <w:tc>
          <w:tcPr>
            <w:tcW w:w="765" w:type="dxa"/>
            <w:tcBorders>
              <w:top w:val="nil"/>
              <w:left w:val="single" w:sz="4" w:space="0" w:color="auto"/>
              <w:bottom w:val="nil"/>
              <w:right w:val="nil"/>
            </w:tcBorders>
            <w:vAlign w:val="center"/>
          </w:tcPr>
          <w:p w14:paraId="0E1DA192" w14:textId="239BBD11" w:rsidR="00DD771A" w:rsidRPr="00166BEB" w:rsidRDefault="00DD771A" w:rsidP="00DD771A">
            <w:pPr>
              <w:spacing w:after="0" w:line="240" w:lineRule="auto"/>
              <w:jc w:val="center"/>
              <w:rPr>
                <w:rFonts w:cs="Arial"/>
                <w:sz w:val="16"/>
                <w:szCs w:val="16"/>
                <w:highlight w:val="yellow"/>
              </w:rPr>
            </w:pPr>
            <w:r>
              <w:rPr>
                <w:rFonts w:cs="Arial"/>
                <w:sz w:val="16"/>
                <w:szCs w:val="16"/>
              </w:rPr>
              <w:t>2,1</w:t>
            </w:r>
          </w:p>
        </w:tc>
        <w:tc>
          <w:tcPr>
            <w:tcW w:w="160" w:type="dxa"/>
            <w:tcBorders>
              <w:top w:val="nil"/>
              <w:left w:val="nil"/>
              <w:bottom w:val="nil"/>
              <w:right w:val="nil"/>
            </w:tcBorders>
          </w:tcPr>
          <w:p w14:paraId="34AB793B" w14:textId="17074CE5" w:rsidR="00DD771A" w:rsidRPr="00166BEB" w:rsidRDefault="00DD771A" w:rsidP="00DD771A">
            <w:pPr>
              <w:spacing w:after="0" w:line="240" w:lineRule="auto"/>
              <w:jc w:val="center"/>
              <w:rPr>
                <w:rFonts w:cs="Arial"/>
                <w:sz w:val="16"/>
                <w:szCs w:val="16"/>
                <w:highlight w:val="yellow"/>
              </w:rPr>
            </w:pPr>
          </w:p>
        </w:tc>
      </w:tr>
      <w:tr w:rsidR="00DD771A" w:rsidRPr="00166BEB" w14:paraId="765DEC00" w14:textId="77777777" w:rsidTr="00DD771A">
        <w:trPr>
          <w:trHeight w:val="300"/>
        </w:trPr>
        <w:tc>
          <w:tcPr>
            <w:tcW w:w="1380" w:type="dxa"/>
            <w:tcBorders>
              <w:top w:val="nil"/>
              <w:left w:val="nil"/>
              <w:bottom w:val="nil"/>
              <w:right w:val="nil"/>
            </w:tcBorders>
            <w:shd w:val="clear" w:color="auto" w:fill="auto"/>
            <w:noWrap/>
            <w:vAlign w:val="center"/>
            <w:hideMark/>
          </w:tcPr>
          <w:p w14:paraId="60B4C573"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Itálie</w:t>
            </w:r>
          </w:p>
        </w:tc>
        <w:tc>
          <w:tcPr>
            <w:tcW w:w="765" w:type="dxa"/>
            <w:tcBorders>
              <w:top w:val="nil"/>
              <w:left w:val="single" w:sz="4" w:space="0" w:color="000000"/>
              <w:bottom w:val="nil"/>
              <w:right w:val="single" w:sz="4" w:space="0" w:color="auto"/>
            </w:tcBorders>
            <w:shd w:val="clear" w:color="auto" w:fill="auto"/>
            <w:noWrap/>
            <w:vAlign w:val="center"/>
            <w:hideMark/>
          </w:tcPr>
          <w:p w14:paraId="1207B9F3"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3,3</w:t>
            </w:r>
          </w:p>
        </w:tc>
        <w:tc>
          <w:tcPr>
            <w:tcW w:w="765" w:type="dxa"/>
            <w:tcBorders>
              <w:top w:val="nil"/>
              <w:left w:val="single" w:sz="4" w:space="0" w:color="auto"/>
              <w:bottom w:val="nil"/>
              <w:right w:val="single" w:sz="4" w:space="0" w:color="auto"/>
            </w:tcBorders>
            <w:shd w:val="clear" w:color="auto" w:fill="auto"/>
            <w:noWrap/>
            <w:vAlign w:val="center"/>
            <w:hideMark/>
          </w:tcPr>
          <w:p w14:paraId="4D756BB4"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2,9</w:t>
            </w:r>
          </w:p>
        </w:tc>
        <w:tc>
          <w:tcPr>
            <w:tcW w:w="765" w:type="dxa"/>
            <w:tcBorders>
              <w:top w:val="nil"/>
              <w:left w:val="single" w:sz="4" w:space="0" w:color="auto"/>
              <w:bottom w:val="nil"/>
              <w:right w:val="single" w:sz="4" w:space="0" w:color="auto"/>
            </w:tcBorders>
            <w:shd w:val="clear" w:color="auto" w:fill="auto"/>
            <w:noWrap/>
            <w:vAlign w:val="center"/>
            <w:hideMark/>
          </w:tcPr>
          <w:p w14:paraId="2CB1BCB9"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3,0</w:t>
            </w:r>
          </w:p>
        </w:tc>
        <w:tc>
          <w:tcPr>
            <w:tcW w:w="765" w:type="dxa"/>
            <w:tcBorders>
              <w:top w:val="nil"/>
              <w:left w:val="single" w:sz="4" w:space="0" w:color="auto"/>
              <w:bottom w:val="nil"/>
              <w:right w:val="single" w:sz="4" w:space="0" w:color="auto"/>
            </w:tcBorders>
            <w:shd w:val="clear" w:color="auto" w:fill="auto"/>
            <w:noWrap/>
            <w:vAlign w:val="center"/>
            <w:hideMark/>
          </w:tcPr>
          <w:p w14:paraId="39A1C100"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3,0</w:t>
            </w:r>
          </w:p>
        </w:tc>
        <w:tc>
          <w:tcPr>
            <w:tcW w:w="765" w:type="dxa"/>
            <w:tcBorders>
              <w:top w:val="nil"/>
              <w:left w:val="single" w:sz="4" w:space="0" w:color="auto"/>
              <w:bottom w:val="nil"/>
              <w:right w:val="single" w:sz="4" w:space="0" w:color="auto"/>
            </w:tcBorders>
            <w:shd w:val="clear" w:color="auto" w:fill="auto"/>
            <w:noWrap/>
            <w:vAlign w:val="center"/>
            <w:hideMark/>
          </w:tcPr>
          <w:p w14:paraId="0D75F4E5"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3,1</w:t>
            </w:r>
          </w:p>
        </w:tc>
        <w:tc>
          <w:tcPr>
            <w:tcW w:w="765" w:type="dxa"/>
            <w:tcBorders>
              <w:top w:val="nil"/>
              <w:left w:val="single" w:sz="4" w:space="0" w:color="auto"/>
              <w:bottom w:val="nil"/>
              <w:right w:val="single" w:sz="4" w:space="0" w:color="auto"/>
            </w:tcBorders>
            <w:shd w:val="clear" w:color="auto" w:fill="auto"/>
            <w:noWrap/>
            <w:vAlign w:val="center"/>
            <w:hideMark/>
          </w:tcPr>
          <w:p w14:paraId="0140AB25"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2,6</w:t>
            </w:r>
          </w:p>
        </w:tc>
        <w:tc>
          <w:tcPr>
            <w:tcW w:w="765" w:type="dxa"/>
            <w:tcBorders>
              <w:top w:val="nil"/>
              <w:left w:val="single" w:sz="4" w:space="0" w:color="auto"/>
              <w:bottom w:val="nil"/>
              <w:right w:val="single" w:sz="4" w:space="0" w:color="auto"/>
            </w:tcBorders>
            <w:shd w:val="clear" w:color="auto" w:fill="auto"/>
            <w:noWrap/>
            <w:vAlign w:val="center"/>
            <w:hideMark/>
          </w:tcPr>
          <w:p w14:paraId="28F25587"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2,5</w:t>
            </w:r>
          </w:p>
        </w:tc>
        <w:tc>
          <w:tcPr>
            <w:tcW w:w="765" w:type="dxa"/>
            <w:tcBorders>
              <w:top w:val="nil"/>
              <w:left w:val="single" w:sz="4" w:space="0" w:color="auto"/>
              <w:bottom w:val="nil"/>
              <w:right w:val="single" w:sz="4" w:space="0" w:color="auto"/>
            </w:tcBorders>
            <w:shd w:val="clear" w:color="auto" w:fill="auto"/>
            <w:noWrap/>
            <w:vAlign w:val="center"/>
            <w:hideMark/>
          </w:tcPr>
          <w:p w14:paraId="73C7E087"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2,7</w:t>
            </w:r>
          </w:p>
        </w:tc>
        <w:tc>
          <w:tcPr>
            <w:tcW w:w="765" w:type="dxa"/>
            <w:tcBorders>
              <w:top w:val="nil"/>
              <w:left w:val="single" w:sz="4" w:space="0" w:color="auto"/>
              <w:bottom w:val="nil"/>
              <w:right w:val="single" w:sz="4" w:space="0" w:color="auto"/>
            </w:tcBorders>
            <w:shd w:val="clear" w:color="auto" w:fill="auto"/>
            <w:noWrap/>
            <w:vAlign w:val="center"/>
            <w:hideMark/>
          </w:tcPr>
          <w:p w14:paraId="55FD8122"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2,6</w:t>
            </w:r>
          </w:p>
        </w:tc>
        <w:tc>
          <w:tcPr>
            <w:tcW w:w="765" w:type="dxa"/>
            <w:tcBorders>
              <w:top w:val="nil"/>
              <w:left w:val="single" w:sz="4" w:space="0" w:color="auto"/>
              <w:bottom w:val="nil"/>
              <w:right w:val="single" w:sz="4" w:space="0" w:color="auto"/>
            </w:tcBorders>
            <w:shd w:val="clear" w:color="auto" w:fill="D9D9D9"/>
            <w:vAlign w:val="center"/>
          </w:tcPr>
          <w:p w14:paraId="794FCEBD"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3,0</w:t>
            </w:r>
          </w:p>
        </w:tc>
        <w:tc>
          <w:tcPr>
            <w:tcW w:w="765" w:type="dxa"/>
            <w:tcBorders>
              <w:top w:val="nil"/>
              <w:left w:val="single" w:sz="4" w:space="0" w:color="auto"/>
              <w:bottom w:val="nil"/>
              <w:right w:val="nil"/>
            </w:tcBorders>
            <w:vAlign w:val="center"/>
          </w:tcPr>
          <w:p w14:paraId="2C97E8D3" w14:textId="28B10128" w:rsidR="00DD771A" w:rsidRPr="00166BEB" w:rsidRDefault="00DD771A" w:rsidP="00DD771A">
            <w:pPr>
              <w:spacing w:after="0" w:line="240" w:lineRule="auto"/>
              <w:jc w:val="center"/>
              <w:rPr>
                <w:rFonts w:cs="Arial"/>
                <w:sz w:val="16"/>
                <w:szCs w:val="16"/>
                <w:highlight w:val="yellow"/>
              </w:rPr>
            </w:pPr>
            <w:r>
              <w:rPr>
                <w:rFonts w:cs="Arial"/>
                <w:sz w:val="16"/>
                <w:szCs w:val="16"/>
              </w:rPr>
              <w:t>3,2</w:t>
            </w:r>
          </w:p>
        </w:tc>
        <w:tc>
          <w:tcPr>
            <w:tcW w:w="160" w:type="dxa"/>
            <w:tcBorders>
              <w:top w:val="nil"/>
              <w:left w:val="nil"/>
              <w:bottom w:val="nil"/>
              <w:right w:val="nil"/>
            </w:tcBorders>
          </w:tcPr>
          <w:p w14:paraId="05BB1D41" w14:textId="21CC103E" w:rsidR="00DD771A" w:rsidRPr="00166BEB" w:rsidRDefault="00DD771A" w:rsidP="00DD771A">
            <w:pPr>
              <w:spacing w:after="0" w:line="240" w:lineRule="auto"/>
              <w:jc w:val="center"/>
              <w:rPr>
                <w:rFonts w:cs="Arial"/>
                <w:sz w:val="16"/>
                <w:szCs w:val="16"/>
                <w:highlight w:val="yellow"/>
              </w:rPr>
            </w:pPr>
          </w:p>
        </w:tc>
      </w:tr>
      <w:tr w:rsidR="00DD771A" w:rsidRPr="00166BEB" w14:paraId="33A13588" w14:textId="77777777" w:rsidTr="00DD771A">
        <w:trPr>
          <w:trHeight w:val="300"/>
        </w:trPr>
        <w:tc>
          <w:tcPr>
            <w:tcW w:w="1380" w:type="dxa"/>
            <w:tcBorders>
              <w:top w:val="nil"/>
              <w:left w:val="nil"/>
              <w:bottom w:val="nil"/>
              <w:right w:val="nil"/>
            </w:tcBorders>
            <w:shd w:val="clear" w:color="auto" w:fill="auto"/>
            <w:noWrap/>
            <w:vAlign w:val="center"/>
            <w:hideMark/>
          </w:tcPr>
          <w:p w14:paraId="0C33AE58"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Kypr</w:t>
            </w:r>
          </w:p>
        </w:tc>
        <w:tc>
          <w:tcPr>
            <w:tcW w:w="765" w:type="dxa"/>
            <w:tcBorders>
              <w:top w:val="nil"/>
              <w:left w:val="single" w:sz="4" w:space="0" w:color="000000"/>
              <w:bottom w:val="nil"/>
              <w:right w:val="single" w:sz="4" w:space="0" w:color="auto"/>
            </w:tcBorders>
            <w:shd w:val="clear" w:color="auto" w:fill="auto"/>
            <w:noWrap/>
            <w:vAlign w:val="center"/>
            <w:hideMark/>
          </w:tcPr>
          <w:p w14:paraId="35B420A3"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4,0</w:t>
            </w:r>
          </w:p>
        </w:tc>
        <w:tc>
          <w:tcPr>
            <w:tcW w:w="765" w:type="dxa"/>
            <w:tcBorders>
              <w:top w:val="nil"/>
              <w:left w:val="single" w:sz="4" w:space="0" w:color="auto"/>
              <w:bottom w:val="nil"/>
              <w:right w:val="single" w:sz="4" w:space="0" w:color="auto"/>
            </w:tcBorders>
            <w:shd w:val="clear" w:color="auto" w:fill="auto"/>
            <w:noWrap/>
            <w:vAlign w:val="center"/>
            <w:hideMark/>
          </w:tcPr>
          <w:p w14:paraId="5A54EFAB"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3,9</w:t>
            </w:r>
          </w:p>
        </w:tc>
        <w:tc>
          <w:tcPr>
            <w:tcW w:w="765" w:type="dxa"/>
            <w:tcBorders>
              <w:top w:val="nil"/>
              <w:left w:val="single" w:sz="4" w:space="0" w:color="auto"/>
              <w:bottom w:val="nil"/>
              <w:right w:val="single" w:sz="4" w:space="0" w:color="auto"/>
            </w:tcBorders>
            <w:shd w:val="clear" w:color="auto" w:fill="auto"/>
            <w:noWrap/>
            <w:vAlign w:val="center"/>
            <w:hideMark/>
          </w:tcPr>
          <w:p w14:paraId="077B66E4"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3,7</w:t>
            </w:r>
          </w:p>
        </w:tc>
        <w:tc>
          <w:tcPr>
            <w:tcW w:w="765" w:type="dxa"/>
            <w:tcBorders>
              <w:top w:val="nil"/>
              <w:left w:val="single" w:sz="4" w:space="0" w:color="auto"/>
              <w:bottom w:val="nil"/>
              <w:right w:val="single" w:sz="4" w:space="0" w:color="auto"/>
            </w:tcBorders>
            <w:shd w:val="clear" w:color="auto" w:fill="auto"/>
            <w:noWrap/>
            <w:vAlign w:val="center"/>
            <w:hideMark/>
          </w:tcPr>
          <w:p w14:paraId="2426DE4B"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2,6</w:t>
            </w:r>
          </w:p>
        </w:tc>
        <w:tc>
          <w:tcPr>
            <w:tcW w:w="765" w:type="dxa"/>
            <w:tcBorders>
              <w:top w:val="nil"/>
              <w:left w:val="single" w:sz="4" w:space="0" w:color="auto"/>
              <w:bottom w:val="nil"/>
              <w:right w:val="single" w:sz="4" w:space="0" w:color="auto"/>
            </w:tcBorders>
            <w:shd w:val="clear" w:color="auto" w:fill="auto"/>
            <w:noWrap/>
            <w:vAlign w:val="center"/>
            <w:hideMark/>
          </w:tcPr>
          <w:p w14:paraId="022AB632"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1,5</w:t>
            </w:r>
          </w:p>
        </w:tc>
        <w:tc>
          <w:tcPr>
            <w:tcW w:w="765" w:type="dxa"/>
            <w:tcBorders>
              <w:top w:val="nil"/>
              <w:left w:val="single" w:sz="4" w:space="0" w:color="auto"/>
              <w:bottom w:val="nil"/>
              <w:right w:val="single" w:sz="4" w:space="0" w:color="auto"/>
            </w:tcBorders>
            <w:shd w:val="clear" w:color="auto" w:fill="auto"/>
            <w:noWrap/>
            <w:vAlign w:val="center"/>
            <w:hideMark/>
          </w:tcPr>
          <w:p w14:paraId="3B9C5290"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1,9</w:t>
            </w:r>
          </w:p>
        </w:tc>
        <w:tc>
          <w:tcPr>
            <w:tcW w:w="765" w:type="dxa"/>
            <w:tcBorders>
              <w:top w:val="nil"/>
              <w:left w:val="single" w:sz="4" w:space="0" w:color="auto"/>
              <w:bottom w:val="nil"/>
              <w:right w:val="single" w:sz="4" w:space="0" w:color="auto"/>
            </w:tcBorders>
            <w:shd w:val="clear" w:color="auto" w:fill="auto"/>
            <w:noWrap/>
            <w:vAlign w:val="center"/>
            <w:hideMark/>
          </w:tcPr>
          <w:p w14:paraId="77183335"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0,9</w:t>
            </w:r>
          </w:p>
        </w:tc>
        <w:tc>
          <w:tcPr>
            <w:tcW w:w="765" w:type="dxa"/>
            <w:tcBorders>
              <w:top w:val="nil"/>
              <w:left w:val="single" w:sz="4" w:space="0" w:color="auto"/>
              <w:bottom w:val="nil"/>
              <w:right w:val="single" w:sz="4" w:space="0" w:color="auto"/>
            </w:tcBorders>
            <w:shd w:val="clear" w:color="auto" w:fill="auto"/>
            <w:noWrap/>
            <w:vAlign w:val="center"/>
            <w:hideMark/>
          </w:tcPr>
          <w:p w14:paraId="76716160"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4,5</w:t>
            </w:r>
          </w:p>
        </w:tc>
        <w:tc>
          <w:tcPr>
            <w:tcW w:w="765" w:type="dxa"/>
            <w:tcBorders>
              <w:top w:val="nil"/>
              <w:left w:val="single" w:sz="4" w:space="0" w:color="auto"/>
              <w:bottom w:val="nil"/>
              <w:right w:val="single" w:sz="4" w:space="0" w:color="auto"/>
            </w:tcBorders>
            <w:shd w:val="clear" w:color="auto" w:fill="auto"/>
            <w:noWrap/>
            <w:vAlign w:val="center"/>
            <w:hideMark/>
          </w:tcPr>
          <w:p w14:paraId="76B19A14"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3,9</w:t>
            </w:r>
          </w:p>
        </w:tc>
        <w:tc>
          <w:tcPr>
            <w:tcW w:w="765" w:type="dxa"/>
            <w:tcBorders>
              <w:top w:val="nil"/>
              <w:left w:val="single" w:sz="4" w:space="0" w:color="auto"/>
              <w:bottom w:val="nil"/>
              <w:right w:val="single" w:sz="4" w:space="0" w:color="auto"/>
            </w:tcBorders>
            <w:shd w:val="clear" w:color="auto" w:fill="D9D9D9"/>
            <w:vAlign w:val="center"/>
          </w:tcPr>
          <w:p w14:paraId="1670FB5D"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5,1</w:t>
            </w:r>
          </w:p>
        </w:tc>
        <w:tc>
          <w:tcPr>
            <w:tcW w:w="765" w:type="dxa"/>
            <w:tcBorders>
              <w:top w:val="nil"/>
              <w:left w:val="single" w:sz="4" w:space="0" w:color="auto"/>
              <w:bottom w:val="nil"/>
              <w:right w:val="nil"/>
            </w:tcBorders>
            <w:vAlign w:val="center"/>
          </w:tcPr>
          <w:p w14:paraId="54935FBB" w14:textId="2986160D" w:rsidR="00DD771A" w:rsidRPr="00166BEB" w:rsidRDefault="00DD771A" w:rsidP="00DD771A">
            <w:pPr>
              <w:spacing w:after="0" w:line="240" w:lineRule="auto"/>
              <w:jc w:val="center"/>
              <w:rPr>
                <w:rFonts w:cs="Arial"/>
                <w:sz w:val="16"/>
                <w:szCs w:val="16"/>
                <w:highlight w:val="yellow"/>
              </w:rPr>
            </w:pPr>
            <w:r>
              <w:rPr>
                <w:rFonts w:cs="Arial"/>
                <w:sz w:val="16"/>
                <w:szCs w:val="16"/>
              </w:rPr>
              <w:t>2,1</w:t>
            </w:r>
          </w:p>
        </w:tc>
        <w:tc>
          <w:tcPr>
            <w:tcW w:w="160" w:type="dxa"/>
            <w:tcBorders>
              <w:top w:val="nil"/>
              <w:left w:val="nil"/>
              <w:bottom w:val="nil"/>
              <w:right w:val="nil"/>
            </w:tcBorders>
          </w:tcPr>
          <w:p w14:paraId="0767C946" w14:textId="5ACBB95F" w:rsidR="00DD771A" w:rsidRPr="00166BEB" w:rsidRDefault="00DD771A" w:rsidP="00DD771A">
            <w:pPr>
              <w:spacing w:after="0" w:line="240" w:lineRule="auto"/>
              <w:jc w:val="center"/>
              <w:rPr>
                <w:rFonts w:cs="Arial"/>
                <w:sz w:val="16"/>
                <w:szCs w:val="16"/>
                <w:highlight w:val="yellow"/>
              </w:rPr>
            </w:pPr>
          </w:p>
        </w:tc>
      </w:tr>
      <w:tr w:rsidR="00DD771A" w:rsidRPr="00166BEB" w14:paraId="5E2420FF" w14:textId="77777777" w:rsidTr="00DD771A">
        <w:trPr>
          <w:trHeight w:val="300"/>
        </w:trPr>
        <w:tc>
          <w:tcPr>
            <w:tcW w:w="1380" w:type="dxa"/>
            <w:tcBorders>
              <w:top w:val="nil"/>
              <w:left w:val="nil"/>
              <w:bottom w:val="nil"/>
              <w:right w:val="nil"/>
            </w:tcBorders>
            <w:shd w:val="clear" w:color="auto" w:fill="auto"/>
            <w:noWrap/>
            <w:vAlign w:val="center"/>
            <w:hideMark/>
          </w:tcPr>
          <w:p w14:paraId="4A8F7799"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Litva</w:t>
            </w:r>
          </w:p>
        </w:tc>
        <w:tc>
          <w:tcPr>
            <w:tcW w:w="765" w:type="dxa"/>
            <w:tcBorders>
              <w:top w:val="nil"/>
              <w:left w:val="single" w:sz="4" w:space="0" w:color="000000"/>
              <w:bottom w:val="nil"/>
              <w:right w:val="single" w:sz="4" w:space="0" w:color="auto"/>
            </w:tcBorders>
            <w:shd w:val="clear" w:color="auto" w:fill="auto"/>
            <w:noWrap/>
            <w:vAlign w:val="center"/>
            <w:hideMark/>
          </w:tcPr>
          <w:p w14:paraId="7CEC1693"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4,8</w:t>
            </w:r>
          </w:p>
        </w:tc>
        <w:tc>
          <w:tcPr>
            <w:tcW w:w="765" w:type="dxa"/>
            <w:tcBorders>
              <w:top w:val="nil"/>
              <w:left w:val="single" w:sz="4" w:space="0" w:color="auto"/>
              <w:bottom w:val="nil"/>
              <w:right w:val="single" w:sz="4" w:space="0" w:color="auto"/>
            </w:tcBorders>
            <w:shd w:val="clear" w:color="auto" w:fill="auto"/>
            <w:noWrap/>
            <w:vAlign w:val="center"/>
            <w:hideMark/>
          </w:tcPr>
          <w:p w14:paraId="082AF81F"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6,3</w:t>
            </w:r>
          </w:p>
        </w:tc>
        <w:tc>
          <w:tcPr>
            <w:tcW w:w="765" w:type="dxa"/>
            <w:tcBorders>
              <w:top w:val="nil"/>
              <w:left w:val="single" w:sz="4" w:space="0" w:color="auto"/>
              <w:bottom w:val="nil"/>
              <w:right w:val="single" w:sz="4" w:space="0" w:color="auto"/>
            </w:tcBorders>
            <w:shd w:val="clear" w:color="auto" w:fill="auto"/>
            <w:noWrap/>
            <w:vAlign w:val="center"/>
            <w:hideMark/>
          </w:tcPr>
          <w:p w14:paraId="737D7455"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5,0</w:t>
            </w:r>
          </w:p>
        </w:tc>
        <w:tc>
          <w:tcPr>
            <w:tcW w:w="765" w:type="dxa"/>
            <w:tcBorders>
              <w:top w:val="nil"/>
              <w:left w:val="single" w:sz="4" w:space="0" w:color="auto"/>
              <w:bottom w:val="nil"/>
              <w:right w:val="single" w:sz="4" w:space="0" w:color="auto"/>
            </w:tcBorders>
            <w:shd w:val="clear" w:color="auto" w:fill="auto"/>
            <w:noWrap/>
            <w:vAlign w:val="center"/>
            <w:hideMark/>
          </w:tcPr>
          <w:p w14:paraId="2EE4CE20"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5,6</w:t>
            </w:r>
          </w:p>
        </w:tc>
        <w:tc>
          <w:tcPr>
            <w:tcW w:w="765" w:type="dxa"/>
            <w:tcBorders>
              <w:top w:val="nil"/>
              <w:left w:val="single" w:sz="4" w:space="0" w:color="auto"/>
              <w:bottom w:val="nil"/>
              <w:right w:val="single" w:sz="4" w:space="0" w:color="auto"/>
            </w:tcBorders>
            <w:shd w:val="clear" w:color="auto" w:fill="auto"/>
            <w:noWrap/>
            <w:vAlign w:val="center"/>
            <w:hideMark/>
          </w:tcPr>
          <w:p w14:paraId="1AC4752C"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4,3</w:t>
            </w:r>
          </w:p>
        </w:tc>
        <w:tc>
          <w:tcPr>
            <w:tcW w:w="765" w:type="dxa"/>
            <w:tcBorders>
              <w:top w:val="nil"/>
              <w:left w:val="single" w:sz="4" w:space="0" w:color="auto"/>
              <w:bottom w:val="nil"/>
              <w:right w:val="single" w:sz="4" w:space="0" w:color="auto"/>
            </w:tcBorders>
            <w:shd w:val="clear" w:color="auto" w:fill="auto"/>
            <w:noWrap/>
            <w:vAlign w:val="center"/>
            <w:hideMark/>
          </w:tcPr>
          <w:p w14:paraId="7DCFE0C3"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4,4</w:t>
            </w:r>
          </w:p>
        </w:tc>
        <w:tc>
          <w:tcPr>
            <w:tcW w:w="765" w:type="dxa"/>
            <w:tcBorders>
              <w:top w:val="nil"/>
              <w:left w:val="single" w:sz="4" w:space="0" w:color="auto"/>
              <w:bottom w:val="nil"/>
              <w:right w:val="single" w:sz="4" w:space="0" w:color="auto"/>
            </w:tcBorders>
            <w:shd w:val="clear" w:color="auto" w:fill="auto"/>
            <w:noWrap/>
            <w:vAlign w:val="center"/>
            <w:hideMark/>
          </w:tcPr>
          <w:p w14:paraId="2AEE997E"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3,5</w:t>
            </w:r>
          </w:p>
        </w:tc>
        <w:tc>
          <w:tcPr>
            <w:tcW w:w="765" w:type="dxa"/>
            <w:tcBorders>
              <w:top w:val="nil"/>
              <w:left w:val="single" w:sz="4" w:space="0" w:color="auto"/>
              <w:bottom w:val="nil"/>
              <w:right w:val="single" w:sz="4" w:space="0" w:color="auto"/>
            </w:tcBorders>
            <w:shd w:val="clear" w:color="auto" w:fill="auto"/>
            <w:noWrap/>
            <w:vAlign w:val="center"/>
            <w:hideMark/>
          </w:tcPr>
          <w:p w14:paraId="1E834BF8"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3,9</w:t>
            </w:r>
          </w:p>
        </w:tc>
        <w:tc>
          <w:tcPr>
            <w:tcW w:w="765" w:type="dxa"/>
            <w:tcBorders>
              <w:top w:val="nil"/>
              <w:left w:val="single" w:sz="4" w:space="0" w:color="auto"/>
              <w:bottom w:val="nil"/>
              <w:right w:val="single" w:sz="4" w:space="0" w:color="auto"/>
            </w:tcBorders>
            <w:shd w:val="clear" w:color="auto" w:fill="auto"/>
            <w:noWrap/>
            <w:vAlign w:val="center"/>
            <w:hideMark/>
          </w:tcPr>
          <w:p w14:paraId="2E0630BA"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3,6</w:t>
            </w:r>
          </w:p>
        </w:tc>
        <w:tc>
          <w:tcPr>
            <w:tcW w:w="765" w:type="dxa"/>
            <w:tcBorders>
              <w:top w:val="nil"/>
              <w:left w:val="single" w:sz="4" w:space="0" w:color="auto"/>
              <w:bottom w:val="nil"/>
              <w:right w:val="single" w:sz="4" w:space="0" w:color="auto"/>
            </w:tcBorders>
            <w:shd w:val="clear" w:color="auto" w:fill="D9D9D9"/>
            <w:vAlign w:val="center"/>
          </w:tcPr>
          <w:p w14:paraId="3E881BEC"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3,8</w:t>
            </w:r>
          </w:p>
        </w:tc>
        <w:tc>
          <w:tcPr>
            <w:tcW w:w="765" w:type="dxa"/>
            <w:tcBorders>
              <w:top w:val="nil"/>
              <w:left w:val="single" w:sz="4" w:space="0" w:color="auto"/>
              <w:bottom w:val="nil"/>
              <w:right w:val="nil"/>
            </w:tcBorders>
            <w:vAlign w:val="center"/>
          </w:tcPr>
          <w:p w14:paraId="2112AACD" w14:textId="1808C53F" w:rsidR="00DD771A" w:rsidRPr="00166BEB" w:rsidRDefault="00DD771A" w:rsidP="00DD771A">
            <w:pPr>
              <w:spacing w:after="0" w:line="240" w:lineRule="auto"/>
              <w:jc w:val="center"/>
              <w:rPr>
                <w:rFonts w:cs="Arial"/>
                <w:sz w:val="16"/>
                <w:szCs w:val="16"/>
                <w:highlight w:val="yellow"/>
              </w:rPr>
            </w:pPr>
            <w:r>
              <w:rPr>
                <w:rFonts w:cs="Arial"/>
                <w:sz w:val="16"/>
                <w:szCs w:val="16"/>
              </w:rPr>
              <w:t>5,5</w:t>
            </w:r>
          </w:p>
        </w:tc>
        <w:tc>
          <w:tcPr>
            <w:tcW w:w="160" w:type="dxa"/>
            <w:tcBorders>
              <w:top w:val="nil"/>
              <w:left w:val="nil"/>
              <w:bottom w:val="nil"/>
              <w:right w:val="nil"/>
            </w:tcBorders>
          </w:tcPr>
          <w:p w14:paraId="06A40A19" w14:textId="34CC6A31" w:rsidR="00DD771A" w:rsidRPr="00166BEB" w:rsidRDefault="00DD771A" w:rsidP="00DD771A">
            <w:pPr>
              <w:spacing w:after="0" w:line="240" w:lineRule="auto"/>
              <w:jc w:val="center"/>
              <w:rPr>
                <w:rFonts w:cs="Arial"/>
                <w:sz w:val="16"/>
                <w:szCs w:val="16"/>
                <w:highlight w:val="yellow"/>
              </w:rPr>
            </w:pPr>
          </w:p>
        </w:tc>
      </w:tr>
      <w:tr w:rsidR="00DD771A" w:rsidRPr="00166BEB" w14:paraId="178734EA" w14:textId="77777777" w:rsidTr="00DD771A">
        <w:trPr>
          <w:trHeight w:val="300"/>
        </w:trPr>
        <w:tc>
          <w:tcPr>
            <w:tcW w:w="1380" w:type="dxa"/>
            <w:tcBorders>
              <w:top w:val="nil"/>
              <w:left w:val="nil"/>
              <w:bottom w:val="nil"/>
              <w:right w:val="nil"/>
            </w:tcBorders>
            <w:shd w:val="clear" w:color="auto" w:fill="auto"/>
            <w:noWrap/>
            <w:vAlign w:val="center"/>
            <w:hideMark/>
          </w:tcPr>
          <w:p w14:paraId="2B12AE28"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Lotyšsko</w:t>
            </w:r>
          </w:p>
        </w:tc>
        <w:tc>
          <w:tcPr>
            <w:tcW w:w="765" w:type="dxa"/>
            <w:tcBorders>
              <w:top w:val="nil"/>
              <w:left w:val="single" w:sz="4" w:space="0" w:color="000000"/>
              <w:bottom w:val="nil"/>
              <w:right w:val="single" w:sz="4" w:space="0" w:color="auto"/>
            </w:tcBorders>
            <w:shd w:val="clear" w:color="auto" w:fill="auto"/>
            <w:noWrap/>
            <w:vAlign w:val="center"/>
            <w:hideMark/>
          </w:tcPr>
          <w:p w14:paraId="06AFEE01"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6,1</w:t>
            </w:r>
          </w:p>
        </w:tc>
        <w:tc>
          <w:tcPr>
            <w:tcW w:w="765" w:type="dxa"/>
            <w:tcBorders>
              <w:top w:val="nil"/>
              <w:left w:val="single" w:sz="4" w:space="0" w:color="auto"/>
              <w:bottom w:val="nil"/>
              <w:right w:val="single" w:sz="4" w:space="0" w:color="auto"/>
            </w:tcBorders>
            <w:shd w:val="clear" w:color="auto" w:fill="auto"/>
            <w:noWrap/>
            <w:vAlign w:val="center"/>
            <w:hideMark/>
          </w:tcPr>
          <w:p w14:paraId="264A5C0E"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5,3</w:t>
            </w:r>
          </w:p>
        </w:tc>
        <w:tc>
          <w:tcPr>
            <w:tcW w:w="765" w:type="dxa"/>
            <w:tcBorders>
              <w:top w:val="nil"/>
              <w:left w:val="single" w:sz="4" w:space="0" w:color="auto"/>
              <w:bottom w:val="nil"/>
              <w:right w:val="single" w:sz="4" w:space="0" w:color="auto"/>
            </w:tcBorders>
            <w:shd w:val="clear" w:color="auto" w:fill="auto"/>
            <w:noWrap/>
            <w:vAlign w:val="center"/>
            <w:hideMark/>
          </w:tcPr>
          <w:p w14:paraId="0DBA47B3"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4,5</w:t>
            </w:r>
          </w:p>
        </w:tc>
        <w:tc>
          <w:tcPr>
            <w:tcW w:w="765" w:type="dxa"/>
            <w:tcBorders>
              <w:top w:val="nil"/>
              <w:left w:val="single" w:sz="4" w:space="0" w:color="auto"/>
              <w:bottom w:val="nil"/>
              <w:right w:val="single" w:sz="4" w:space="0" w:color="auto"/>
            </w:tcBorders>
            <w:shd w:val="clear" w:color="auto" w:fill="auto"/>
            <w:noWrap/>
            <w:vAlign w:val="center"/>
            <w:hideMark/>
          </w:tcPr>
          <w:p w14:paraId="3E5D63DC"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6,0</w:t>
            </w:r>
          </w:p>
        </w:tc>
        <w:tc>
          <w:tcPr>
            <w:tcW w:w="765" w:type="dxa"/>
            <w:tcBorders>
              <w:top w:val="nil"/>
              <w:left w:val="single" w:sz="4" w:space="0" w:color="auto"/>
              <w:bottom w:val="nil"/>
              <w:right w:val="single" w:sz="4" w:space="0" w:color="auto"/>
            </w:tcBorders>
            <w:shd w:val="clear" w:color="auto" w:fill="auto"/>
            <w:noWrap/>
            <w:vAlign w:val="center"/>
            <w:hideMark/>
          </w:tcPr>
          <w:p w14:paraId="1FCCD3DA"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4,1</w:t>
            </w:r>
          </w:p>
        </w:tc>
        <w:tc>
          <w:tcPr>
            <w:tcW w:w="765" w:type="dxa"/>
            <w:tcBorders>
              <w:top w:val="nil"/>
              <w:left w:val="single" w:sz="4" w:space="0" w:color="auto"/>
              <w:bottom w:val="nil"/>
              <w:right w:val="single" w:sz="4" w:space="0" w:color="auto"/>
            </w:tcBorders>
            <w:shd w:val="clear" w:color="auto" w:fill="auto"/>
            <w:noWrap/>
            <w:vAlign w:val="center"/>
            <w:hideMark/>
          </w:tcPr>
          <w:p w14:paraId="0FE81F60"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5,5</w:t>
            </w:r>
          </w:p>
        </w:tc>
        <w:tc>
          <w:tcPr>
            <w:tcW w:w="765" w:type="dxa"/>
            <w:tcBorders>
              <w:top w:val="nil"/>
              <w:left w:val="single" w:sz="4" w:space="0" w:color="auto"/>
              <w:bottom w:val="nil"/>
              <w:right w:val="single" w:sz="4" w:space="0" w:color="auto"/>
            </w:tcBorders>
            <w:shd w:val="clear" w:color="auto" w:fill="auto"/>
            <w:noWrap/>
            <w:vAlign w:val="center"/>
            <w:hideMark/>
          </w:tcPr>
          <w:p w14:paraId="57085CCC"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2,8</w:t>
            </w:r>
          </w:p>
        </w:tc>
        <w:tc>
          <w:tcPr>
            <w:tcW w:w="765" w:type="dxa"/>
            <w:tcBorders>
              <w:top w:val="nil"/>
              <w:left w:val="single" w:sz="4" w:space="0" w:color="auto"/>
              <w:bottom w:val="nil"/>
              <w:right w:val="single" w:sz="4" w:space="0" w:color="auto"/>
            </w:tcBorders>
            <w:shd w:val="clear" w:color="auto" w:fill="auto"/>
            <w:noWrap/>
            <w:vAlign w:val="center"/>
            <w:hideMark/>
          </w:tcPr>
          <w:p w14:paraId="76DCDD6A"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4,7</w:t>
            </w:r>
          </w:p>
        </w:tc>
        <w:tc>
          <w:tcPr>
            <w:tcW w:w="765" w:type="dxa"/>
            <w:tcBorders>
              <w:top w:val="nil"/>
              <w:left w:val="single" w:sz="4" w:space="0" w:color="auto"/>
              <w:bottom w:val="nil"/>
              <w:right w:val="single" w:sz="4" w:space="0" w:color="auto"/>
            </w:tcBorders>
            <w:shd w:val="clear" w:color="auto" w:fill="auto"/>
            <w:noWrap/>
            <w:vAlign w:val="center"/>
            <w:hideMark/>
          </w:tcPr>
          <w:p w14:paraId="12272D83"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3,4</w:t>
            </w:r>
          </w:p>
        </w:tc>
        <w:tc>
          <w:tcPr>
            <w:tcW w:w="765" w:type="dxa"/>
            <w:tcBorders>
              <w:top w:val="nil"/>
              <w:left w:val="single" w:sz="4" w:space="0" w:color="auto"/>
              <w:bottom w:val="nil"/>
              <w:right w:val="single" w:sz="4" w:space="0" w:color="auto"/>
            </w:tcBorders>
            <w:shd w:val="clear" w:color="auto" w:fill="D9D9D9"/>
            <w:vAlign w:val="center"/>
          </w:tcPr>
          <w:p w14:paraId="0409B3C4"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3,2</w:t>
            </w:r>
          </w:p>
        </w:tc>
        <w:tc>
          <w:tcPr>
            <w:tcW w:w="765" w:type="dxa"/>
            <w:tcBorders>
              <w:top w:val="nil"/>
              <w:left w:val="single" w:sz="4" w:space="0" w:color="auto"/>
              <w:bottom w:val="nil"/>
              <w:right w:val="nil"/>
            </w:tcBorders>
            <w:vAlign w:val="center"/>
          </w:tcPr>
          <w:p w14:paraId="030ADD8C" w14:textId="2383B12B" w:rsidR="00DD771A" w:rsidRPr="00166BEB" w:rsidRDefault="00DD771A" w:rsidP="00DD771A">
            <w:pPr>
              <w:spacing w:after="0" w:line="240" w:lineRule="auto"/>
              <w:jc w:val="center"/>
              <w:rPr>
                <w:rFonts w:cs="Arial"/>
                <w:sz w:val="16"/>
                <w:szCs w:val="16"/>
                <w:highlight w:val="yellow"/>
              </w:rPr>
            </w:pPr>
            <w:r>
              <w:rPr>
                <w:rFonts w:cs="Arial"/>
                <w:sz w:val="16"/>
                <w:szCs w:val="16"/>
              </w:rPr>
              <w:t>4,7</w:t>
            </w:r>
          </w:p>
        </w:tc>
        <w:tc>
          <w:tcPr>
            <w:tcW w:w="160" w:type="dxa"/>
            <w:tcBorders>
              <w:top w:val="nil"/>
              <w:left w:val="nil"/>
              <w:bottom w:val="nil"/>
              <w:right w:val="nil"/>
            </w:tcBorders>
          </w:tcPr>
          <w:p w14:paraId="03420A06" w14:textId="642F3B82" w:rsidR="00DD771A" w:rsidRPr="00166BEB" w:rsidRDefault="00DD771A" w:rsidP="00DD771A">
            <w:pPr>
              <w:spacing w:after="0" w:line="240" w:lineRule="auto"/>
              <w:jc w:val="center"/>
              <w:rPr>
                <w:rFonts w:cs="Arial"/>
                <w:sz w:val="16"/>
                <w:szCs w:val="16"/>
                <w:highlight w:val="yellow"/>
              </w:rPr>
            </w:pPr>
          </w:p>
        </w:tc>
      </w:tr>
      <w:tr w:rsidR="00DD771A" w:rsidRPr="00166BEB" w14:paraId="69900108" w14:textId="77777777" w:rsidTr="00DD771A">
        <w:trPr>
          <w:trHeight w:val="300"/>
        </w:trPr>
        <w:tc>
          <w:tcPr>
            <w:tcW w:w="1380" w:type="dxa"/>
            <w:tcBorders>
              <w:top w:val="nil"/>
              <w:left w:val="nil"/>
              <w:bottom w:val="nil"/>
              <w:right w:val="nil"/>
            </w:tcBorders>
            <w:shd w:val="clear" w:color="auto" w:fill="auto"/>
            <w:noWrap/>
            <w:vAlign w:val="center"/>
            <w:hideMark/>
          </w:tcPr>
          <w:p w14:paraId="3905B958"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Lucembursko</w:t>
            </w:r>
          </w:p>
        </w:tc>
        <w:tc>
          <w:tcPr>
            <w:tcW w:w="765" w:type="dxa"/>
            <w:tcBorders>
              <w:top w:val="nil"/>
              <w:left w:val="single" w:sz="4" w:space="0" w:color="000000"/>
              <w:bottom w:val="nil"/>
              <w:right w:val="single" w:sz="4" w:space="0" w:color="auto"/>
            </w:tcBorders>
            <w:shd w:val="clear" w:color="auto" w:fill="auto"/>
            <w:noWrap/>
            <w:vAlign w:val="center"/>
            <w:hideMark/>
          </w:tcPr>
          <w:p w14:paraId="2BA448A0"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3,6</w:t>
            </w:r>
          </w:p>
        </w:tc>
        <w:tc>
          <w:tcPr>
            <w:tcW w:w="765" w:type="dxa"/>
            <w:tcBorders>
              <w:top w:val="nil"/>
              <w:left w:val="single" w:sz="4" w:space="0" w:color="auto"/>
              <w:bottom w:val="nil"/>
              <w:right w:val="single" w:sz="4" w:space="0" w:color="auto"/>
            </w:tcBorders>
            <w:shd w:val="clear" w:color="auto" w:fill="auto"/>
            <w:noWrap/>
            <w:vAlign w:val="center"/>
            <w:hideMark/>
          </w:tcPr>
          <w:p w14:paraId="5882EBEE"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5,2</w:t>
            </w:r>
          </w:p>
        </w:tc>
        <w:tc>
          <w:tcPr>
            <w:tcW w:w="765" w:type="dxa"/>
            <w:tcBorders>
              <w:top w:val="nil"/>
              <w:left w:val="single" w:sz="4" w:space="0" w:color="auto"/>
              <w:bottom w:val="nil"/>
              <w:right w:val="single" w:sz="4" w:space="0" w:color="auto"/>
            </w:tcBorders>
            <w:shd w:val="clear" w:color="auto" w:fill="auto"/>
            <w:noWrap/>
            <w:vAlign w:val="center"/>
            <w:hideMark/>
          </w:tcPr>
          <w:p w14:paraId="31A1E014"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1,6</w:t>
            </w:r>
          </w:p>
        </w:tc>
        <w:tc>
          <w:tcPr>
            <w:tcW w:w="765" w:type="dxa"/>
            <w:tcBorders>
              <w:top w:val="nil"/>
              <w:left w:val="single" w:sz="4" w:space="0" w:color="auto"/>
              <w:bottom w:val="nil"/>
              <w:right w:val="single" w:sz="4" w:space="0" w:color="auto"/>
            </w:tcBorders>
            <w:shd w:val="clear" w:color="auto" w:fill="auto"/>
            <w:noWrap/>
            <w:vAlign w:val="center"/>
            <w:hideMark/>
          </w:tcPr>
          <w:p w14:paraId="2A1E3835"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3,7</w:t>
            </w:r>
          </w:p>
        </w:tc>
        <w:tc>
          <w:tcPr>
            <w:tcW w:w="765" w:type="dxa"/>
            <w:tcBorders>
              <w:top w:val="nil"/>
              <w:left w:val="single" w:sz="4" w:space="0" w:color="auto"/>
              <w:bottom w:val="nil"/>
              <w:right w:val="single" w:sz="4" w:space="0" w:color="auto"/>
            </w:tcBorders>
            <w:shd w:val="clear" w:color="auto" w:fill="auto"/>
            <w:noWrap/>
            <w:vAlign w:val="center"/>
            <w:hideMark/>
          </w:tcPr>
          <w:p w14:paraId="645F1408"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4,4</w:t>
            </w:r>
          </w:p>
        </w:tc>
        <w:tc>
          <w:tcPr>
            <w:tcW w:w="765" w:type="dxa"/>
            <w:tcBorders>
              <w:top w:val="nil"/>
              <w:left w:val="single" w:sz="4" w:space="0" w:color="auto"/>
              <w:bottom w:val="nil"/>
              <w:right w:val="single" w:sz="4" w:space="0" w:color="auto"/>
            </w:tcBorders>
            <w:shd w:val="clear" w:color="auto" w:fill="auto"/>
            <w:noWrap/>
            <w:vAlign w:val="center"/>
            <w:hideMark/>
          </w:tcPr>
          <w:p w14:paraId="2E905B63"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10,8</w:t>
            </w:r>
          </w:p>
        </w:tc>
        <w:tc>
          <w:tcPr>
            <w:tcW w:w="765" w:type="dxa"/>
            <w:tcBorders>
              <w:top w:val="nil"/>
              <w:left w:val="single" w:sz="4" w:space="0" w:color="auto"/>
              <w:bottom w:val="nil"/>
              <w:right w:val="single" w:sz="4" w:space="0" w:color="auto"/>
            </w:tcBorders>
            <w:shd w:val="clear" w:color="auto" w:fill="auto"/>
            <w:noWrap/>
            <w:vAlign w:val="center"/>
            <w:hideMark/>
          </w:tcPr>
          <w:p w14:paraId="730EAEB1"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2,6</w:t>
            </w:r>
          </w:p>
        </w:tc>
        <w:tc>
          <w:tcPr>
            <w:tcW w:w="765" w:type="dxa"/>
            <w:tcBorders>
              <w:top w:val="nil"/>
              <w:left w:val="single" w:sz="4" w:space="0" w:color="auto"/>
              <w:bottom w:val="nil"/>
              <w:right w:val="single" w:sz="4" w:space="0" w:color="auto"/>
            </w:tcBorders>
            <w:shd w:val="clear" w:color="auto" w:fill="auto"/>
            <w:noWrap/>
            <w:vAlign w:val="center"/>
            <w:hideMark/>
          </w:tcPr>
          <w:p w14:paraId="1550B251"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6,4</w:t>
            </w:r>
          </w:p>
        </w:tc>
        <w:tc>
          <w:tcPr>
            <w:tcW w:w="765" w:type="dxa"/>
            <w:tcBorders>
              <w:top w:val="nil"/>
              <w:left w:val="single" w:sz="4" w:space="0" w:color="auto"/>
              <w:bottom w:val="nil"/>
              <w:right w:val="single" w:sz="4" w:space="0" w:color="auto"/>
            </w:tcBorders>
            <w:shd w:val="clear" w:color="auto" w:fill="auto"/>
            <w:noWrap/>
            <w:vAlign w:val="center"/>
            <w:hideMark/>
          </w:tcPr>
          <w:p w14:paraId="53D58433"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5,2</w:t>
            </w:r>
          </w:p>
        </w:tc>
        <w:tc>
          <w:tcPr>
            <w:tcW w:w="765" w:type="dxa"/>
            <w:tcBorders>
              <w:top w:val="nil"/>
              <w:left w:val="single" w:sz="4" w:space="0" w:color="auto"/>
              <w:bottom w:val="nil"/>
              <w:right w:val="single" w:sz="4" w:space="0" w:color="auto"/>
            </w:tcBorders>
            <w:shd w:val="clear" w:color="auto" w:fill="D9D9D9"/>
            <w:vAlign w:val="center"/>
          </w:tcPr>
          <w:p w14:paraId="413D69E6"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2,3</w:t>
            </w:r>
          </w:p>
        </w:tc>
        <w:tc>
          <w:tcPr>
            <w:tcW w:w="765" w:type="dxa"/>
            <w:tcBorders>
              <w:top w:val="nil"/>
              <w:left w:val="single" w:sz="4" w:space="0" w:color="auto"/>
              <w:bottom w:val="nil"/>
              <w:right w:val="nil"/>
            </w:tcBorders>
            <w:vAlign w:val="center"/>
          </w:tcPr>
          <w:p w14:paraId="3F3CAE0D" w14:textId="0E3089B4" w:rsidR="00DD771A" w:rsidRPr="00166BEB" w:rsidRDefault="00DD771A" w:rsidP="00DD771A">
            <w:pPr>
              <w:spacing w:after="0" w:line="240" w:lineRule="auto"/>
              <w:jc w:val="center"/>
              <w:rPr>
                <w:rFonts w:cs="Arial"/>
                <w:sz w:val="16"/>
                <w:szCs w:val="16"/>
                <w:highlight w:val="yellow"/>
              </w:rPr>
            </w:pPr>
            <w:r>
              <w:rPr>
                <w:rFonts w:cs="Arial"/>
                <w:sz w:val="16"/>
                <w:szCs w:val="16"/>
              </w:rPr>
              <w:t>3,1</w:t>
            </w:r>
          </w:p>
        </w:tc>
        <w:tc>
          <w:tcPr>
            <w:tcW w:w="160" w:type="dxa"/>
            <w:tcBorders>
              <w:top w:val="nil"/>
              <w:left w:val="nil"/>
              <w:bottom w:val="nil"/>
              <w:right w:val="nil"/>
            </w:tcBorders>
          </w:tcPr>
          <w:p w14:paraId="6C14806F" w14:textId="52E1E5E0" w:rsidR="00DD771A" w:rsidRPr="00166BEB" w:rsidRDefault="00DD771A" w:rsidP="00DD771A">
            <w:pPr>
              <w:spacing w:after="0" w:line="240" w:lineRule="auto"/>
              <w:jc w:val="center"/>
              <w:rPr>
                <w:rFonts w:cs="Arial"/>
                <w:sz w:val="16"/>
                <w:szCs w:val="16"/>
                <w:highlight w:val="yellow"/>
              </w:rPr>
            </w:pPr>
          </w:p>
        </w:tc>
      </w:tr>
      <w:tr w:rsidR="00DD771A" w:rsidRPr="00166BEB" w14:paraId="0673F302" w14:textId="77777777" w:rsidTr="00DD771A">
        <w:trPr>
          <w:trHeight w:val="300"/>
        </w:trPr>
        <w:tc>
          <w:tcPr>
            <w:tcW w:w="1380" w:type="dxa"/>
            <w:tcBorders>
              <w:top w:val="nil"/>
              <w:left w:val="nil"/>
              <w:bottom w:val="nil"/>
              <w:right w:val="nil"/>
            </w:tcBorders>
            <w:shd w:val="clear" w:color="auto" w:fill="auto"/>
            <w:noWrap/>
            <w:vAlign w:val="center"/>
            <w:hideMark/>
          </w:tcPr>
          <w:p w14:paraId="54848086"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Maďarsko</w:t>
            </w:r>
          </w:p>
        </w:tc>
        <w:tc>
          <w:tcPr>
            <w:tcW w:w="765" w:type="dxa"/>
            <w:tcBorders>
              <w:top w:val="nil"/>
              <w:left w:val="single" w:sz="4" w:space="0" w:color="000000"/>
              <w:bottom w:val="nil"/>
              <w:right w:val="single" w:sz="4" w:space="0" w:color="auto"/>
            </w:tcBorders>
            <w:shd w:val="clear" w:color="auto" w:fill="auto"/>
            <w:noWrap/>
            <w:vAlign w:val="center"/>
            <w:hideMark/>
          </w:tcPr>
          <w:p w14:paraId="7A436EBE"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3,6</w:t>
            </w:r>
          </w:p>
        </w:tc>
        <w:tc>
          <w:tcPr>
            <w:tcW w:w="765" w:type="dxa"/>
            <w:tcBorders>
              <w:top w:val="nil"/>
              <w:left w:val="single" w:sz="4" w:space="0" w:color="auto"/>
              <w:bottom w:val="nil"/>
              <w:right w:val="single" w:sz="4" w:space="0" w:color="auto"/>
            </w:tcBorders>
            <w:shd w:val="clear" w:color="auto" w:fill="auto"/>
            <w:noWrap/>
            <w:vAlign w:val="center"/>
            <w:hideMark/>
          </w:tcPr>
          <w:p w14:paraId="07FC559B"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2,0</w:t>
            </w:r>
          </w:p>
        </w:tc>
        <w:tc>
          <w:tcPr>
            <w:tcW w:w="765" w:type="dxa"/>
            <w:tcBorders>
              <w:top w:val="nil"/>
              <w:left w:val="single" w:sz="4" w:space="0" w:color="auto"/>
              <w:bottom w:val="nil"/>
              <w:right w:val="single" w:sz="4" w:space="0" w:color="auto"/>
            </w:tcBorders>
            <w:shd w:val="clear" w:color="auto" w:fill="auto"/>
            <w:noWrap/>
            <w:vAlign w:val="center"/>
            <w:hideMark/>
          </w:tcPr>
          <w:p w14:paraId="766CC20B"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1,8</w:t>
            </w:r>
          </w:p>
        </w:tc>
        <w:tc>
          <w:tcPr>
            <w:tcW w:w="765" w:type="dxa"/>
            <w:tcBorders>
              <w:top w:val="nil"/>
              <w:left w:val="single" w:sz="4" w:space="0" w:color="auto"/>
              <w:bottom w:val="nil"/>
              <w:right w:val="single" w:sz="4" w:space="0" w:color="auto"/>
            </w:tcBorders>
            <w:shd w:val="clear" w:color="auto" w:fill="auto"/>
            <w:noWrap/>
            <w:vAlign w:val="center"/>
            <w:hideMark/>
          </w:tcPr>
          <w:p w14:paraId="455D1CAD"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2,9</w:t>
            </w:r>
          </w:p>
        </w:tc>
        <w:tc>
          <w:tcPr>
            <w:tcW w:w="765" w:type="dxa"/>
            <w:tcBorders>
              <w:top w:val="nil"/>
              <w:left w:val="single" w:sz="4" w:space="0" w:color="auto"/>
              <w:bottom w:val="nil"/>
              <w:right w:val="single" w:sz="4" w:space="0" w:color="auto"/>
            </w:tcBorders>
            <w:shd w:val="clear" w:color="auto" w:fill="auto"/>
            <w:noWrap/>
            <w:vAlign w:val="center"/>
            <w:hideMark/>
          </w:tcPr>
          <w:p w14:paraId="2021FC48"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2,9</w:t>
            </w:r>
          </w:p>
        </w:tc>
        <w:tc>
          <w:tcPr>
            <w:tcW w:w="765" w:type="dxa"/>
            <w:tcBorders>
              <w:top w:val="nil"/>
              <w:left w:val="single" w:sz="4" w:space="0" w:color="auto"/>
              <w:bottom w:val="nil"/>
              <w:right w:val="single" w:sz="4" w:space="0" w:color="auto"/>
            </w:tcBorders>
            <w:shd w:val="clear" w:color="auto" w:fill="auto"/>
            <w:noWrap/>
            <w:vAlign w:val="center"/>
            <w:hideMark/>
          </w:tcPr>
          <w:p w14:paraId="52D80B0E"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2,8</w:t>
            </w:r>
          </w:p>
        </w:tc>
        <w:tc>
          <w:tcPr>
            <w:tcW w:w="765" w:type="dxa"/>
            <w:tcBorders>
              <w:top w:val="nil"/>
              <w:left w:val="single" w:sz="4" w:space="0" w:color="auto"/>
              <w:bottom w:val="nil"/>
              <w:right w:val="single" w:sz="4" w:space="0" w:color="auto"/>
            </w:tcBorders>
            <w:shd w:val="clear" w:color="auto" w:fill="auto"/>
            <w:noWrap/>
            <w:vAlign w:val="center"/>
            <w:hideMark/>
          </w:tcPr>
          <w:p w14:paraId="452CFB11"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2,6</w:t>
            </w:r>
          </w:p>
        </w:tc>
        <w:tc>
          <w:tcPr>
            <w:tcW w:w="765" w:type="dxa"/>
            <w:tcBorders>
              <w:top w:val="nil"/>
              <w:left w:val="single" w:sz="4" w:space="0" w:color="auto"/>
              <w:bottom w:val="nil"/>
              <w:right w:val="single" w:sz="4" w:space="0" w:color="auto"/>
            </w:tcBorders>
            <w:shd w:val="clear" w:color="auto" w:fill="auto"/>
            <w:noWrap/>
            <w:vAlign w:val="center"/>
            <w:hideMark/>
          </w:tcPr>
          <w:p w14:paraId="69A892FD"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2,4</w:t>
            </w:r>
          </w:p>
        </w:tc>
        <w:tc>
          <w:tcPr>
            <w:tcW w:w="765" w:type="dxa"/>
            <w:tcBorders>
              <w:top w:val="nil"/>
              <w:left w:val="single" w:sz="4" w:space="0" w:color="auto"/>
              <w:bottom w:val="nil"/>
              <w:right w:val="single" w:sz="4" w:space="0" w:color="auto"/>
            </w:tcBorders>
            <w:shd w:val="clear" w:color="auto" w:fill="auto"/>
            <w:noWrap/>
            <w:vAlign w:val="center"/>
            <w:hideMark/>
          </w:tcPr>
          <w:p w14:paraId="031BEF9F"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2,6</w:t>
            </w:r>
          </w:p>
        </w:tc>
        <w:tc>
          <w:tcPr>
            <w:tcW w:w="765" w:type="dxa"/>
            <w:tcBorders>
              <w:top w:val="nil"/>
              <w:left w:val="single" w:sz="4" w:space="0" w:color="auto"/>
              <w:bottom w:val="nil"/>
              <w:right w:val="single" w:sz="4" w:space="0" w:color="auto"/>
            </w:tcBorders>
            <w:shd w:val="clear" w:color="auto" w:fill="D9D9D9"/>
            <w:vAlign w:val="center"/>
          </w:tcPr>
          <w:p w14:paraId="61C455F7"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2,2</w:t>
            </w:r>
          </w:p>
        </w:tc>
        <w:tc>
          <w:tcPr>
            <w:tcW w:w="765" w:type="dxa"/>
            <w:tcBorders>
              <w:top w:val="nil"/>
              <w:left w:val="single" w:sz="4" w:space="0" w:color="auto"/>
              <w:bottom w:val="nil"/>
              <w:right w:val="nil"/>
            </w:tcBorders>
            <w:vAlign w:val="center"/>
          </w:tcPr>
          <w:p w14:paraId="64B1B955" w14:textId="771F7203" w:rsidR="00DD771A" w:rsidRPr="00166BEB" w:rsidRDefault="00DD771A" w:rsidP="00DD771A">
            <w:pPr>
              <w:spacing w:after="0" w:line="240" w:lineRule="auto"/>
              <w:jc w:val="center"/>
              <w:rPr>
                <w:rFonts w:cs="Arial"/>
                <w:sz w:val="16"/>
                <w:szCs w:val="16"/>
                <w:highlight w:val="yellow"/>
              </w:rPr>
            </w:pPr>
            <w:r>
              <w:rPr>
                <w:rFonts w:cs="Arial"/>
                <w:sz w:val="16"/>
                <w:szCs w:val="16"/>
              </w:rPr>
              <w:t>2,5</w:t>
            </w:r>
          </w:p>
        </w:tc>
        <w:tc>
          <w:tcPr>
            <w:tcW w:w="160" w:type="dxa"/>
            <w:tcBorders>
              <w:top w:val="nil"/>
              <w:left w:val="nil"/>
              <w:bottom w:val="nil"/>
              <w:right w:val="nil"/>
            </w:tcBorders>
          </w:tcPr>
          <w:p w14:paraId="4422CF35" w14:textId="15EDF3E1" w:rsidR="00DD771A" w:rsidRPr="00166BEB" w:rsidRDefault="00DD771A" w:rsidP="00DD771A">
            <w:pPr>
              <w:spacing w:after="0" w:line="240" w:lineRule="auto"/>
              <w:jc w:val="center"/>
              <w:rPr>
                <w:rFonts w:cs="Arial"/>
                <w:sz w:val="16"/>
                <w:szCs w:val="16"/>
                <w:highlight w:val="yellow"/>
              </w:rPr>
            </w:pPr>
          </w:p>
        </w:tc>
      </w:tr>
      <w:tr w:rsidR="00DD771A" w:rsidRPr="00166BEB" w14:paraId="0C8E6715" w14:textId="77777777" w:rsidTr="00DD771A">
        <w:trPr>
          <w:trHeight w:val="300"/>
        </w:trPr>
        <w:tc>
          <w:tcPr>
            <w:tcW w:w="1380" w:type="dxa"/>
            <w:tcBorders>
              <w:top w:val="nil"/>
              <w:left w:val="nil"/>
              <w:bottom w:val="nil"/>
              <w:right w:val="nil"/>
            </w:tcBorders>
            <w:shd w:val="clear" w:color="auto" w:fill="auto"/>
            <w:noWrap/>
            <w:vAlign w:val="center"/>
            <w:hideMark/>
          </w:tcPr>
          <w:p w14:paraId="293E4388"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Malta</w:t>
            </w:r>
          </w:p>
        </w:tc>
        <w:tc>
          <w:tcPr>
            <w:tcW w:w="765" w:type="dxa"/>
            <w:tcBorders>
              <w:top w:val="nil"/>
              <w:left w:val="single" w:sz="4" w:space="0" w:color="000000"/>
              <w:bottom w:val="nil"/>
              <w:right w:val="single" w:sz="4" w:space="0" w:color="auto"/>
            </w:tcBorders>
            <w:shd w:val="clear" w:color="auto" w:fill="auto"/>
            <w:noWrap/>
            <w:vAlign w:val="center"/>
            <w:hideMark/>
          </w:tcPr>
          <w:p w14:paraId="54B18DE6"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0,8</w:t>
            </w:r>
          </w:p>
        </w:tc>
        <w:tc>
          <w:tcPr>
            <w:tcW w:w="765" w:type="dxa"/>
            <w:tcBorders>
              <w:top w:val="nil"/>
              <w:left w:val="single" w:sz="4" w:space="0" w:color="auto"/>
              <w:bottom w:val="nil"/>
              <w:right w:val="single" w:sz="4" w:space="0" w:color="auto"/>
            </w:tcBorders>
            <w:shd w:val="clear" w:color="auto" w:fill="auto"/>
            <w:noWrap/>
            <w:vAlign w:val="center"/>
            <w:hideMark/>
          </w:tcPr>
          <w:p w14:paraId="3A9D940F"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7,6</w:t>
            </w:r>
          </w:p>
        </w:tc>
        <w:tc>
          <w:tcPr>
            <w:tcW w:w="765" w:type="dxa"/>
            <w:tcBorders>
              <w:top w:val="nil"/>
              <w:left w:val="single" w:sz="4" w:space="0" w:color="auto"/>
              <w:bottom w:val="nil"/>
              <w:right w:val="single" w:sz="4" w:space="0" w:color="auto"/>
            </w:tcBorders>
            <w:shd w:val="clear" w:color="auto" w:fill="auto"/>
            <w:noWrap/>
            <w:vAlign w:val="center"/>
            <w:hideMark/>
          </w:tcPr>
          <w:p w14:paraId="4A45E5AE"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4,7</w:t>
            </w:r>
          </w:p>
        </w:tc>
        <w:tc>
          <w:tcPr>
            <w:tcW w:w="765" w:type="dxa"/>
            <w:tcBorders>
              <w:top w:val="nil"/>
              <w:left w:val="single" w:sz="4" w:space="0" w:color="auto"/>
              <w:bottom w:val="nil"/>
              <w:right w:val="single" w:sz="4" w:space="0" w:color="auto"/>
            </w:tcBorders>
            <w:shd w:val="clear" w:color="auto" w:fill="auto"/>
            <w:noWrap/>
            <w:vAlign w:val="center"/>
            <w:hideMark/>
          </w:tcPr>
          <w:p w14:paraId="76892311"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4,6</w:t>
            </w:r>
          </w:p>
        </w:tc>
        <w:tc>
          <w:tcPr>
            <w:tcW w:w="765" w:type="dxa"/>
            <w:tcBorders>
              <w:top w:val="nil"/>
              <w:left w:val="single" w:sz="4" w:space="0" w:color="auto"/>
              <w:bottom w:val="nil"/>
              <w:right w:val="single" w:sz="4" w:space="0" w:color="auto"/>
            </w:tcBorders>
            <w:shd w:val="clear" w:color="auto" w:fill="auto"/>
            <w:noWrap/>
            <w:vAlign w:val="center"/>
            <w:hideMark/>
          </w:tcPr>
          <w:p w14:paraId="061341BC"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3,5</w:t>
            </w:r>
          </w:p>
        </w:tc>
        <w:tc>
          <w:tcPr>
            <w:tcW w:w="765" w:type="dxa"/>
            <w:tcBorders>
              <w:top w:val="nil"/>
              <w:left w:val="single" w:sz="4" w:space="0" w:color="auto"/>
              <w:bottom w:val="nil"/>
              <w:right w:val="single" w:sz="4" w:space="0" w:color="auto"/>
            </w:tcBorders>
            <w:shd w:val="clear" w:color="auto" w:fill="auto"/>
            <w:noWrap/>
            <w:vAlign w:val="center"/>
            <w:hideMark/>
          </w:tcPr>
          <w:p w14:paraId="2BCD74D5"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4,0</w:t>
            </w:r>
          </w:p>
        </w:tc>
        <w:tc>
          <w:tcPr>
            <w:tcW w:w="765" w:type="dxa"/>
            <w:tcBorders>
              <w:top w:val="nil"/>
              <w:left w:val="single" w:sz="4" w:space="0" w:color="auto"/>
              <w:bottom w:val="nil"/>
              <w:right w:val="single" w:sz="4" w:space="0" w:color="auto"/>
            </w:tcBorders>
            <w:shd w:val="clear" w:color="auto" w:fill="auto"/>
            <w:noWrap/>
            <w:vAlign w:val="center"/>
            <w:hideMark/>
          </w:tcPr>
          <w:p w14:paraId="0407D750"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0,6</w:t>
            </w:r>
          </w:p>
        </w:tc>
        <w:tc>
          <w:tcPr>
            <w:tcW w:w="765" w:type="dxa"/>
            <w:tcBorders>
              <w:top w:val="nil"/>
              <w:left w:val="single" w:sz="4" w:space="0" w:color="auto"/>
              <w:bottom w:val="nil"/>
              <w:right w:val="single" w:sz="4" w:space="0" w:color="auto"/>
            </w:tcBorders>
            <w:shd w:val="clear" w:color="auto" w:fill="auto"/>
            <w:noWrap/>
            <w:vAlign w:val="center"/>
            <w:hideMark/>
          </w:tcPr>
          <w:p w14:paraId="3BDBD9ED"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2,3</w:t>
            </w:r>
          </w:p>
        </w:tc>
        <w:tc>
          <w:tcPr>
            <w:tcW w:w="765" w:type="dxa"/>
            <w:tcBorders>
              <w:top w:val="nil"/>
              <w:left w:val="single" w:sz="4" w:space="0" w:color="auto"/>
              <w:bottom w:val="nil"/>
              <w:right w:val="single" w:sz="4" w:space="0" w:color="auto"/>
            </w:tcBorders>
            <w:shd w:val="clear" w:color="auto" w:fill="auto"/>
            <w:noWrap/>
            <w:vAlign w:val="center"/>
            <w:hideMark/>
          </w:tcPr>
          <w:p w14:paraId="7C4425F9"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1,5</w:t>
            </w:r>
          </w:p>
        </w:tc>
        <w:tc>
          <w:tcPr>
            <w:tcW w:w="765" w:type="dxa"/>
            <w:tcBorders>
              <w:top w:val="nil"/>
              <w:left w:val="single" w:sz="4" w:space="0" w:color="auto"/>
              <w:bottom w:val="nil"/>
              <w:right w:val="single" w:sz="4" w:space="0" w:color="auto"/>
            </w:tcBorders>
            <w:shd w:val="clear" w:color="auto" w:fill="D9D9D9"/>
            <w:vAlign w:val="center"/>
          </w:tcPr>
          <w:p w14:paraId="5D71A93B"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4,7</w:t>
            </w:r>
          </w:p>
        </w:tc>
        <w:tc>
          <w:tcPr>
            <w:tcW w:w="765" w:type="dxa"/>
            <w:tcBorders>
              <w:top w:val="nil"/>
              <w:left w:val="single" w:sz="4" w:space="0" w:color="auto"/>
              <w:bottom w:val="nil"/>
              <w:right w:val="nil"/>
            </w:tcBorders>
            <w:vAlign w:val="center"/>
          </w:tcPr>
          <w:p w14:paraId="0C1660AD" w14:textId="0C65E311" w:rsidR="00DD771A" w:rsidRPr="00166BEB" w:rsidRDefault="00DD771A" w:rsidP="00DD771A">
            <w:pPr>
              <w:spacing w:after="0" w:line="240" w:lineRule="auto"/>
              <w:jc w:val="center"/>
              <w:rPr>
                <w:rFonts w:cs="Arial"/>
                <w:sz w:val="16"/>
                <w:szCs w:val="16"/>
                <w:highlight w:val="yellow"/>
              </w:rPr>
            </w:pPr>
            <w:r>
              <w:rPr>
                <w:rFonts w:cs="Arial"/>
                <w:sz w:val="16"/>
                <w:szCs w:val="16"/>
              </w:rPr>
              <w:t>5,0</w:t>
            </w:r>
          </w:p>
        </w:tc>
        <w:tc>
          <w:tcPr>
            <w:tcW w:w="160" w:type="dxa"/>
            <w:tcBorders>
              <w:top w:val="nil"/>
              <w:left w:val="nil"/>
              <w:bottom w:val="nil"/>
              <w:right w:val="nil"/>
            </w:tcBorders>
          </w:tcPr>
          <w:p w14:paraId="6C762C4D" w14:textId="111FCD5F" w:rsidR="00DD771A" w:rsidRPr="00166BEB" w:rsidRDefault="00DD771A" w:rsidP="00DD771A">
            <w:pPr>
              <w:spacing w:after="0" w:line="240" w:lineRule="auto"/>
              <w:jc w:val="center"/>
              <w:rPr>
                <w:rFonts w:cs="Arial"/>
                <w:sz w:val="16"/>
                <w:szCs w:val="16"/>
                <w:highlight w:val="yellow"/>
              </w:rPr>
            </w:pPr>
          </w:p>
        </w:tc>
      </w:tr>
      <w:tr w:rsidR="00DD771A" w:rsidRPr="00166BEB" w14:paraId="63FD5470" w14:textId="77777777" w:rsidTr="00DD771A">
        <w:trPr>
          <w:trHeight w:val="300"/>
        </w:trPr>
        <w:tc>
          <w:tcPr>
            <w:tcW w:w="1380" w:type="dxa"/>
            <w:tcBorders>
              <w:top w:val="nil"/>
              <w:left w:val="nil"/>
              <w:bottom w:val="nil"/>
              <w:right w:val="nil"/>
            </w:tcBorders>
            <w:shd w:val="clear" w:color="auto" w:fill="auto"/>
            <w:noWrap/>
            <w:vAlign w:val="center"/>
            <w:hideMark/>
          </w:tcPr>
          <w:p w14:paraId="4E1553B0"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Německo</w:t>
            </w:r>
          </w:p>
        </w:tc>
        <w:tc>
          <w:tcPr>
            <w:tcW w:w="765" w:type="dxa"/>
            <w:tcBorders>
              <w:top w:val="nil"/>
              <w:left w:val="single" w:sz="4" w:space="0" w:color="000000"/>
              <w:bottom w:val="nil"/>
              <w:right w:val="single" w:sz="4" w:space="0" w:color="auto"/>
            </w:tcBorders>
            <w:shd w:val="clear" w:color="auto" w:fill="auto"/>
            <w:noWrap/>
            <w:vAlign w:val="center"/>
            <w:hideMark/>
          </w:tcPr>
          <w:p w14:paraId="23387695"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1,5</w:t>
            </w:r>
          </w:p>
        </w:tc>
        <w:tc>
          <w:tcPr>
            <w:tcW w:w="765" w:type="dxa"/>
            <w:tcBorders>
              <w:top w:val="nil"/>
              <w:left w:val="single" w:sz="4" w:space="0" w:color="auto"/>
              <w:bottom w:val="nil"/>
              <w:right w:val="single" w:sz="4" w:space="0" w:color="auto"/>
            </w:tcBorders>
            <w:shd w:val="clear" w:color="auto" w:fill="auto"/>
            <w:noWrap/>
            <w:vAlign w:val="center"/>
            <w:hideMark/>
          </w:tcPr>
          <w:p w14:paraId="4829FE55"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1,5</w:t>
            </w:r>
          </w:p>
        </w:tc>
        <w:tc>
          <w:tcPr>
            <w:tcW w:w="765" w:type="dxa"/>
            <w:tcBorders>
              <w:top w:val="nil"/>
              <w:left w:val="single" w:sz="4" w:space="0" w:color="auto"/>
              <w:bottom w:val="nil"/>
              <w:right w:val="single" w:sz="4" w:space="0" w:color="auto"/>
            </w:tcBorders>
            <w:shd w:val="clear" w:color="auto" w:fill="auto"/>
            <w:noWrap/>
            <w:vAlign w:val="center"/>
            <w:hideMark/>
          </w:tcPr>
          <w:p w14:paraId="0E0ED24E"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1,3</w:t>
            </w:r>
          </w:p>
        </w:tc>
        <w:tc>
          <w:tcPr>
            <w:tcW w:w="765" w:type="dxa"/>
            <w:tcBorders>
              <w:top w:val="nil"/>
              <w:left w:val="single" w:sz="4" w:space="0" w:color="auto"/>
              <w:bottom w:val="nil"/>
              <w:right w:val="single" w:sz="4" w:space="0" w:color="auto"/>
            </w:tcBorders>
            <w:shd w:val="clear" w:color="auto" w:fill="auto"/>
            <w:noWrap/>
            <w:vAlign w:val="center"/>
            <w:hideMark/>
          </w:tcPr>
          <w:p w14:paraId="69A6C27D"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1,4</w:t>
            </w:r>
          </w:p>
        </w:tc>
        <w:tc>
          <w:tcPr>
            <w:tcW w:w="765" w:type="dxa"/>
            <w:tcBorders>
              <w:top w:val="nil"/>
              <w:left w:val="single" w:sz="4" w:space="0" w:color="auto"/>
              <w:bottom w:val="nil"/>
              <w:right w:val="single" w:sz="4" w:space="0" w:color="auto"/>
            </w:tcBorders>
            <w:shd w:val="clear" w:color="auto" w:fill="auto"/>
            <w:noWrap/>
            <w:vAlign w:val="center"/>
            <w:hideMark/>
          </w:tcPr>
          <w:p w14:paraId="3D80328A"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1,3</w:t>
            </w:r>
          </w:p>
        </w:tc>
        <w:tc>
          <w:tcPr>
            <w:tcW w:w="765" w:type="dxa"/>
            <w:tcBorders>
              <w:top w:val="nil"/>
              <w:left w:val="single" w:sz="4" w:space="0" w:color="auto"/>
              <w:bottom w:val="nil"/>
              <w:right w:val="single" w:sz="4" w:space="0" w:color="auto"/>
            </w:tcBorders>
            <w:shd w:val="clear" w:color="auto" w:fill="auto"/>
            <w:noWrap/>
            <w:vAlign w:val="center"/>
            <w:hideMark/>
          </w:tcPr>
          <w:p w14:paraId="7A1FBF02"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1,1</w:t>
            </w:r>
          </w:p>
        </w:tc>
        <w:tc>
          <w:tcPr>
            <w:tcW w:w="765" w:type="dxa"/>
            <w:tcBorders>
              <w:top w:val="nil"/>
              <w:left w:val="single" w:sz="4" w:space="0" w:color="auto"/>
              <w:bottom w:val="nil"/>
              <w:right w:val="single" w:sz="4" w:space="0" w:color="auto"/>
            </w:tcBorders>
            <w:shd w:val="clear" w:color="auto" w:fill="auto"/>
            <w:noWrap/>
            <w:vAlign w:val="center"/>
            <w:hideMark/>
          </w:tcPr>
          <w:p w14:paraId="2EEF98A1"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1,2</w:t>
            </w:r>
          </w:p>
        </w:tc>
        <w:tc>
          <w:tcPr>
            <w:tcW w:w="765" w:type="dxa"/>
            <w:tcBorders>
              <w:top w:val="nil"/>
              <w:left w:val="single" w:sz="4" w:space="0" w:color="auto"/>
              <w:bottom w:val="nil"/>
              <w:right w:val="single" w:sz="4" w:space="0" w:color="auto"/>
            </w:tcBorders>
            <w:shd w:val="clear" w:color="auto" w:fill="auto"/>
            <w:noWrap/>
            <w:vAlign w:val="center"/>
            <w:hideMark/>
          </w:tcPr>
          <w:p w14:paraId="38BF175B"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1,0</w:t>
            </w:r>
          </w:p>
        </w:tc>
        <w:tc>
          <w:tcPr>
            <w:tcW w:w="765" w:type="dxa"/>
            <w:tcBorders>
              <w:top w:val="nil"/>
              <w:left w:val="single" w:sz="4" w:space="0" w:color="auto"/>
              <w:bottom w:val="nil"/>
              <w:right w:val="single" w:sz="4" w:space="0" w:color="auto"/>
            </w:tcBorders>
            <w:shd w:val="clear" w:color="auto" w:fill="auto"/>
            <w:noWrap/>
            <w:vAlign w:val="center"/>
            <w:hideMark/>
          </w:tcPr>
          <w:p w14:paraId="15EFC0BF"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1,1</w:t>
            </w:r>
          </w:p>
        </w:tc>
        <w:tc>
          <w:tcPr>
            <w:tcW w:w="765" w:type="dxa"/>
            <w:tcBorders>
              <w:top w:val="nil"/>
              <w:left w:val="single" w:sz="4" w:space="0" w:color="auto"/>
              <w:bottom w:val="nil"/>
              <w:right w:val="single" w:sz="4" w:space="0" w:color="auto"/>
            </w:tcBorders>
            <w:shd w:val="clear" w:color="auto" w:fill="D9D9D9"/>
            <w:vAlign w:val="center"/>
          </w:tcPr>
          <w:p w14:paraId="29C22C31"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1,0</w:t>
            </w:r>
          </w:p>
        </w:tc>
        <w:tc>
          <w:tcPr>
            <w:tcW w:w="765" w:type="dxa"/>
            <w:tcBorders>
              <w:top w:val="nil"/>
              <w:left w:val="single" w:sz="4" w:space="0" w:color="auto"/>
              <w:bottom w:val="nil"/>
              <w:right w:val="nil"/>
            </w:tcBorders>
            <w:vAlign w:val="center"/>
          </w:tcPr>
          <w:p w14:paraId="542ADAA7" w14:textId="3BC4ADF6" w:rsidR="00DD771A" w:rsidRPr="00166BEB" w:rsidRDefault="00DD771A" w:rsidP="00DD771A">
            <w:pPr>
              <w:spacing w:after="0" w:line="240" w:lineRule="auto"/>
              <w:jc w:val="center"/>
              <w:rPr>
                <w:rFonts w:cs="Arial"/>
                <w:sz w:val="16"/>
                <w:szCs w:val="16"/>
                <w:highlight w:val="yellow"/>
              </w:rPr>
            </w:pPr>
            <w:r>
              <w:rPr>
                <w:rFonts w:cs="Arial"/>
                <w:sz w:val="16"/>
                <w:szCs w:val="16"/>
              </w:rPr>
              <w:t>1,1</w:t>
            </w:r>
          </w:p>
        </w:tc>
        <w:tc>
          <w:tcPr>
            <w:tcW w:w="160" w:type="dxa"/>
            <w:tcBorders>
              <w:top w:val="nil"/>
              <w:left w:val="nil"/>
              <w:bottom w:val="nil"/>
              <w:right w:val="nil"/>
            </w:tcBorders>
          </w:tcPr>
          <w:p w14:paraId="19260E3F" w14:textId="518771F0" w:rsidR="00DD771A" w:rsidRPr="00166BEB" w:rsidRDefault="00DD771A" w:rsidP="00DD771A">
            <w:pPr>
              <w:spacing w:after="0" w:line="240" w:lineRule="auto"/>
              <w:jc w:val="center"/>
              <w:rPr>
                <w:rFonts w:cs="Arial"/>
                <w:sz w:val="16"/>
                <w:szCs w:val="16"/>
                <w:highlight w:val="yellow"/>
              </w:rPr>
            </w:pPr>
          </w:p>
        </w:tc>
      </w:tr>
      <w:tr w:rsidR="00DD771A" w:rsidRPr="00166BEB" w14:paraId="00A88B8B" w14:textId="77777777" w:rsidTr="00DD771A">
        <w:trPr>
          <w:trHeight w:val="300"/>
        </w:trPr>
        <w:tc>
          <w:tcPr>
            <w:tcW w:w="1380" w:type="dxa"/>
            <w:tcBorders>
              <w:top w:val="nil"/>
              <w:left w:val="nil"/>
              <w:bottom w:val="nil"/>
              <w:right w:val="nil"/>
            </w:tcBorders>
            <w:shd w:val="clear" w:color="auto" w:fill="auto"/>
            <w:noWrap/>
            <w:vAlign w:val="center"/>
            <w:hideMark/>
          </w:tcPr>
          <w:p w14:paraId="089D2675"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Nizozemsko</w:t>
            </w:r>
          </w:p>
        </w:tc>
        <w:tc>
          <w:tcPr>
            <w:tcW w:w="765" w:type="dxa"/>
            <w:tcBorders>
              <w:top w:val="nil"/>
              <w:left w:val="single" w:sz="4" w:space="0" w:color="000000"/>
              <w:bottom w:val="nil"/>
              <w:right w:val="single" w:sz="4" w:space="0" w:color="auto"/>
            </w:tcBorders>
            <w:shd w:val="clear" w:color="auto" w:fill="auto"/>
            <w:noWrap/>
            <w:vAlign w:val="center"/>
            <w:hideMark/>
          </w:tcPr>
          <w:p w14:paraId="0FD8FAD9"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0,7</w:t>
            </w:r>
          </w:p>
        </w:tc>
        <w:tc>
          <w:tcPr>
            <w:tcW w:w="765" w:type="dxa"/>
            <w:tcBorders>
              <w:top w:val="nil"/>
              <w:left w:val="single" w:sz="4" w:space="0" w:color="auto"/>
              <w:bottom w:val="nil"/>
              <w:right w:val="single" w:sz="4" w:space="0" w:color="auto"/>
            </w:tcBorders>
            <w:shd w:val="clear" w:color="auto" w:fill="auto"/>
            <w:noWrap/>
            <w:vAlign w:val="center"/>
            <w:hideMark/>
          </w:tcPr>
          <w:p w14:paraId="121C0DFB"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0,7</w:t>
            </w:r>
          </w:p>
        </w:tc>
        <w:tc>
          <w:tcPr>
            <w:tcW w:w="765" w:type="dxa"/>
            <w:tcBorders>
              <w:top w:val="nil"/>
              <w:left w:val="single" w:sz="4" w:space="0" w:color="auto"/>
              <w:bottom w:val="nil"/>
              <w:right w:val="single" w:sz="4" w:space="0" w:color="auto"/>
            </w:tcBorders>
            <w:shd w:val="clear" w:color="auto" w:fill="auto"/>
            <w:noWrap/>
            <w:vAlign w:val="center"/>
            <w:hideMark/>
          </w:tcPr>
          <w:p w14:paraId="59512408"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0,8</w:t>
            </w:r>
          </w:p>
        </w:tc>
        <w:tc>
          <w:tcPr>
            <w:tcW w:w="765" w:type="dxa"/>
            <w:tcBorders>
              <w:top w:val="nil"/>
              <w:left w:val="single" w:sz="4" w:space="0" w:color="auto"/>
              <w:bottom w:val="nil"/>
              <w:right w:val="single" w:sz="4" w:space="0" w:color="auto"/>
            </w:tcBorders>
            <w:shd w:val="clear" w:color="000000" w:fill="DBDBDB"/>
            <w:noWrap/>
            <w:vAlign w:val="center"/>
            <w:hideMark/>
          </w:tcPr>
          <w:p w14:paraId="18E03C8C"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1,0</w:t>
            </w:r>
          </w:p>
        </w:tc>
        <w:tc>
          <w:tcPr>
            <w:tcW w:w="765" w:type="dxa"/>
            <w:tcBorders>
              <w:top w:val="nil"/>
              <w:left w:val="single" w:sz="4" w:space="0" w:color="auto"/>
              <w:bottom w:val="nil"/>
              <w:right w:val="single" w:sz="4" w:space="0" w:color="auto"/>
            </w:tcBorders>
            <w:shd w:val="clear" w:color="auto" w:fill="auto"/>
            <w:noWrap/>
            <w:vAlign w:val="center"/>
            <w:hideMark/>
          </w:tcPr>
          <w:p w14:paraId="6D7F8114"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0,8</w:t>
            </w:r>
          </w:p>
        </w:tc>
        <w:tc>
          <w:tcPr>
            <w:tcW w:w="765" w:type="dxa"/>
            <w:tcBorders>
              <w:top w:val="nil"/>
              <w:left w:val="single" w:sz="4" w:space="0" w:color="auto"/>
              <w:bottom w:val="nil"/>
              <w:right w:val="single" w:sz="4" w:space="0" w:color="auto"/>
            </w:tcBorders>
            <w:shd w:val="clear" w:color="auto" w:fill="auto"/>
            <w:noWrap/>
            <w:vAlign w:val="center"/>
            <w:hideMark/>
          </w:tcPr>
          <w:p w14:paraId="4F87BB46"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0,7</w:t>
            </w:r>
          </w:p>
        </w:tc>
        <w:tc>
          <w:tcPr>
            <w:tcW w:w="765" w:type="dxa"/>
            <w:tcBorders>
              <w:top w:val="nil"/>
              <w:left w:val="single" w:sz="4" w:space="0" w:color="auto"/>
              <w:bottom w:val="nil"/>
              <w:right w:val="single" w:sz="4" w:space="0" w:color="auto"/>
            </w:tcBorders>
            <w:shd w:val="clear" w:color="auto" w:fill="auto"/>
            <w:noWrap/>
            <w:vAlign w:val="center"/>
            <w:hideMark/>
          </w:tcPr>
          <w:p w14:paraId="2528528F"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0,8</w:t>
            </w:r>
          </w:p>
        </w:tc>
        <w:tc>
          <w:tcPr>
            <w:tcW w:w="765" w:type="dxa"/>
            <w:tcBorders>
              <w:top w:val="nil"/>
              <w:left w:val="single" w:sz="4" w:space="0" w:color="auto"/>
              <w:bottom w:val="nil"/>
              <w:right w:val="single" w:sz="4" w:space="0" w:color="auto"/>
            </w:tcBorders>
            <w:shd w:val="clear" w:color="auto" w:fill="auto"/>
            <w:noWrap/>
            <w:vAlign w:val="center"/>
            <w:hideMark/>
          </w:tcPr>
          <w:p w14:paraId="16F40188"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0,9</w:t>
            </w:r>
          </w:p>
        </w:tc>
        <w:tc>
          <w:tcPr>
            <w:tcW w:w="765" w:type="dxa"/>
            <w:tcBorders>
              <w:top w:val="nil"/>
              <w:left w:val="single" w:sz="4" w:space="0" w:color="auto"/>
              <w:bottom w:val="nil"/>
              <w:right w:val="single" w:sz="4" w:space="0" w:color="auto"/>
            </w:tcBorders>
            <w:shd w:val="clear" w:color="auto" w:fill="auto"/>
            <w:noWrap/>
            <w:vAlign w:val="center"/>
            <w:hideMark/>
          </w:tcPr>
          <w:p w14:paraId="29EB801F"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0,7</w:t>
            </w:r>
          </w:p>
        </w:tc>
        <w:tc>
          <w:tcPr>
            <w:tcW w:w="765" w:type="dxa"/>
            <w:tcBorders>
              <w:top w:val="nil"/>
              <w:left w:val="single" w:sz="4" w:space="0" w:color="auto"/>
              <w:bottom w:val="nil"/>
              <w:right w:val="single" w:sz="4" w:space="0" w:color="auto"/>
            </w:tcBorders>
            <w:shd w:val="clear" w:color="auto" w:fill="D9D9D9"/>
            <w:vAlign w:val="center"/>
          </w:tcPr>
          <w:p w14:paraId="4A9EE433"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0,5</w:t>
            </w:r>
          </w:p>
        </w:tc>
        <w:tc>
          <w:tcPr>
            <w:tcW w:w="765" w:type="dxa"/>
            <w:tcBorders>
              <w:top w:val="nil"/>
              <w:left w:val="single" w:sz="4" w:space="0" w:color="auto"/>
              <w:bottom w:val="nil"/>
              <w:right w:val="nil"/>
            </w:tcBorders>
            <w:vAlign w:val="center"/>
          </w:tcPr>
          <w:p w14:paraId="79406E49" w14:textId="03528558" w:rsidR="00DD771A" w:rsidRPr="00166BEB" w:rsidRDefault="00DD771A" w:rsidP="00DD771A">
            <w:pPr>
              <w:spacing w:after="0" w:line="240" w:lineRule="auto"/>
              <w:jc w:val="center"/>
              <w:rPr>
                <w:rFonts w:cs="Arial"/>
                <w:sz w:val="16"/>
                <w:szCs w:val="16"/>
                <w:highlight w:val="yellow"/>
              </w:rPr>
            </w:pPr>
            <w:r>
              <w:rPr>
                <w:rFonts w:cs="Arial"/>
                <w:sz w:val="16"/>
                <w:szCs w:val="16"/>
              </w:rPr>
              <w:t>0,4</w:t>
            </w:r>
          </w:p>
        </w:tc>
        <w:tc>
          <w:tcPr>
            <w:tcW w:w="160" w:type="dxa"/>
            <w:tcBorders>
              <w:top w:val="nil"/>
              <w:left w:val="nil"/>
              <w:bottom w:val="nil"/>
              <w:right w:val="nil"/>
            </w:tcBorders>
          </w:tcPr>
          <w:p w14:paraId="4CA5688B" w14:textId="0B132A0A" w:rsidR="00DD771A" w:rsidRPr="00166BEB" w:rsidRDefault="00DD771A" w:rsidP="00DD771A">
            <w:pPr>
              <w:spacing w:after="0" w:line="240" w:lineRule="auto"/>
              <w:jc w:val="center"/>
              <w:rPr>
                <w:rFonts w:cs="Arial"/>
                <w:sz w:val="16"/>
                <w:szCs w:val="16"/>
                <w:highlight w:val="yellow"/>
              </w:rPr>
            </w:pPr>
          </w:p>
        </w:tc>
      </w:tr>
      <w:tr w:rsidR="00DD771A" w:rsidRPr="00166BEB" w14:paraId="7668D42C" w14:textId="77777777" w:rsidTr="00DD771A">
        <w:trPr>
          <w:trHeight w:val="300"/>
        </w:trPr>
        <w:tc>
          <w:tcPr>
            <w:tcW w:w="1380" w:type="dxa"/>
            <w:tcBorders>
              <w:top w:val="nil"/>
              <w:left w:val="nil"/>
              <w:bottom w:val="nil"/>
              <w:right w:val="nil"/>
            </w:tcBorders>
            <w:shd w:val="clear" w:color="auto" w:fill="auto"/>
            <w:noWrap/>
            <w:vAlign w:val="center"/>
            <w:hideMark/>
          </w:tcPr>
          <w:p w14:paraId="5CFE0E50"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Polsko</w:t>
            </w:r>
          </w:p>
        </w:tc>
        <w:tc>
          <w:tcPr>
            <w:tcW w:w="765" w:type="dxa"/>
            <w:tcBorders>
              <w:top w:val="nil"/>
              <w:left w:val="single" w:sz="4" w:space="0" w:color="000000"/>
              <w:bottom w:val="nil"/>
              <w:right w:val="single" w:sz="4" w:space="0" w:color="auto"/>
            </w:tcBorders>
            <w:shd w:val="clear" w:color="auto" w:fill="auto"/>
            <w:noWrap/>
            <w:vAlign w:val="center"/>
            <w:hideMark/>
          </w:tcPr>
          <w:p w14:paraId="19780375"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2,7</w:t>
            </w:r>
          </w:p>
        </w:tc>
        <w:tc>
          <w:tcPr>
            <w:tcW w:w="765" w:type="dxa"/>
            <w:tcBorders>
              <w:top w:val="nil"/>
              <w:left w:val="single" w:sz="4" w:space="0" w:color="auto"/>
              <w:bottom w:val="nil"/>
              <w:right w:val="single" w:sz="4" w:space="0" w:color="auto"/>
            </w:tcBorders>
            <w:shd w:val="clear" w:color="auto" w:fill="auto"/>
            <w:noWrap/>
            <w:vAlign w:val="center"/>
            <w:hideMark/>
          </w:tcPr>
          <w:p w14:paraId="2C297021"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2,6</w:t>
            </w:r>
          </w:p>
        </w:tc>
        <w:tc>
          <w:tcPr>
            <w:tcW w:w="765" w:type="dxa"/>
            <w:tcBorders>
              <w:top w:val="nil"/>
              <w:left w:val="single" w:sz="4" w:space="0" w:color="auto"/>
              <w:bottom w:val="nil"/>
              <w:right w:val="single" w:sz="4" w:space="0" w:color="auto"/>
            </w:tcBorders>
            <w:shd w:val="clear" w:color="auto" w:fill="auto"/>
            <w:noWrap/>
            <w:vAlign w:val="center"/>
            <w:hideMark/>
          </w:tcPr>
          <w:p w14:paraId="4CBF668C"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1,9</w:t>
            </w:r>
          </w:p>
        </w:tc>
        <w:tc>
          <w:tcPr>
            <w:tcW w:w="765" w:type="dxa"/>
            <w:tcBorders>
              <w:top w:val="nil"/>
              <w:left w:val="single" w:sz="4" w:space="0" w:color="auto"/>
              <w:bottom w:val="nil"/>
              <w:right w:val="single" w:sz="4" w:space="0" w:color="auto"/>
            </w:tcBorders>
            <w:shd w:val="clear" w:color="auto" w:fill="auto"/>
            <w:noWrap/>
            <w:vAlign w:val="center"/>
            <w:hideMark/>
          </w:tcPr>
          <w:p w14:paraId="65CDEA6A"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1,9</w:t>
            </w:r>
          </w:p>
        </w:tc>
        <w:tc>
          <w:tcPr>
            <w:tcW w:w="765" w:type="dxa"/>
            <w:tcBorders>
              <w:top w:val="nil"/>
              <w:left w:val="single" w:sz="4" w:space="0" w:color="auto"/>
              <w:bottom w:val="nil"/>
              <w:right w:val="single" w:sz="4" w:space="0" w:color="auto"/>
            </w:tcBorders>
            <w:shd w:val="clear" w:color="auto" w:fill="auto"/>
            <w:noWrap/>
            <w:vAlign w:val="center"/>
            <w:hideMark/>
          </w:tcPr>
          <w:p w14:paraId="27A6D161"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2,0</w:t>
            </w:r>
          </w:p>
        </w:tc>
        <w:tc>
          <w:tcPr>
            <w:tcW w:w="765" w:type="dxa"/>
            <w:tcBorders>
              <w:top w:val="nil"/>
              <w:left w:val="single" w:sz="4" w:space="0" w:color="auto"/>
              <w:bottom w:val="nil"/>
              <w:right w:val="single" w:sz="4" w:space="0" w:color="auto"/>
            </w:tcBorders>
            <w:shd w:val="clear" w:color="auto" w:fill="auto"/>
            <w:noWrap/>
            <w:vAlign w:val="center"/>
            <w:hideMark/>
          </w:tcPr>
          <w:p w14:paraId="45BB4D28"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1,6</w:t>
            </w:r>
          </w:p>
        </w:tc>
        <w:tc>
          <w:tcPr>
            <w:tcW w:w="765" w:type="dxa"/>
            <w:tcBorders>
              <w:top w:val="nil"/>
              <w:left w:val="single" w:sz="4" w:space="0" w:color="auto"/>
              <w:bottom w:val="nil"/>
              <w:right w:val="single" w:sz="4" w:space="0" w:color="auto"/>
            </w:tcBorders>
            <w:shd w:val="clear" w:color="auto" w:fill="auto"/>
            <w:noWrap/>
            <w:vAlign w:val="center"/>
            <w:hideMark/>
          </w:tcPr>
          <w:p w14:paraId="3D8BC5FB"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1,8</w:t>
            </w:r>
          </w:p>
        </w:tc>
        <w:tc>
          <w:tcPr>
            <w:tcW w:w="765" w:type="dxa"/>
            <w:tcBorders>
              <w:top w:val="nil"/>
              <w:left w:val="single" w:sz="4" w:space="0" w:color="auto"/>
              <w:bottom w:val="nil"/>
              <w:right w:val="single" w:sz="4" w:space="0" w:color="auto"/>
            </w:tcBorders>
            <w:shd w:val="clear" w:color="auto" w:fill="auto"/>
            <w:noWrap/>
            <w:vAlign w:val="center"/>
            <w:hideMark/>
          </w:tcPr>
          <w:p w14:paraId="36370ED8"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1,8</w:t>
            </w:r>
          </w:p>
        </w:tc>
        <w:tc>
          <w:tcPr>
            <w:tcW w:w="765" w:type="dxa"/>
            <w:tcBorders>
              <w:top w:val="nil"/>
              <w:left w:val="single" w:sz="4" w:space="0" w:color="auto"/>
              <w:bottom w:val="nil"/>
              <w:right w:val="single" w:sz="4" w:space="0" w:color="auto"/>
            </w:tcBorders>
            <w:shd w:val="clear" w:color="auto" w:fill="auto"/>
            <w:noWrap/>
            <w:vAlign w:val="center"/>
            <w:hideMark/>
          </w:tcPr>
          <w:p w14:paraId="79413414"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1,1</w:t>
            </w:r>
          </w:p>
        </w:tc>
        <w:tc>
          <w:tcPr>
            <w:tcW w:w="765" w:type="dxa"/>
            <w:tcBorders>
              <w:top w:val="nil"/>
              <w:left w:val="single" w:sz="4" w:space="0" w:color="auto"/>
              <w:bottom w:val="nil"/>
              <w:right w:val="single" w:sz="4" w:space="0" w:color="auto"/>
            </w:tcBorders>
            <w:shd w:val="clear" w:color="auto" w:fill="D9D9D9"/>
            <w:vAlign w:val="center"/>
          </w:tcPr>
          <w:p w14:paraId="5577EBA2"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1,5</w:t>
            </w:r>
          </w:p>
        </w:tc>
        <w:tc>
          <w:tcPr>
            <w:tcW w:w="765" w:type="dxa"/>
            <w:tcBorders>
              <w:top w:val="nil"/>
              <w:left w:val="single" w:sz="4" w:space="0" w:color="auto"/>
              <w:bottom w:val="nil"/>
              <w:right w:val="nil"/>
            </w:tcBorders>
            <w:vAlign w:val="center"/>
          </w:tcPr>
          <w:p w14:paraId="58C287E2" w14:textId="0FD245AE" w:rsidR="00DD771A" w:rsidRPr="00166BEB" w:rsidRDefault="00DD771A" w:rsidP="00DD771A">
            <w:pPr>
              <w:spacing w:after="0" w:line="240" w:lineRule="auto"/>
              <w:jc w:val="center"/>
              <w:rPr>
                <w:rFonts w:cs="Arial"/>
                <w:sz w:val="16"/>
                <w:szCs w:val="16"/>
                <w:highlight w:val="yellow"/>
              </w:rPr>
            </w:pPr>
            <w:r>
              <w:rPr>
                <w:rFonts w:cs="Arial"/>
                <w:sz w:val="16"/>
                <w:szCs w:val="16"/>
              </w:rPr>
              <w:t>1,8</w:t>
            </w:r>
          </w:p>
        </w:tc>
        <w:tc>
          <w:tcPr>
            <w:tcW w:w="160" w:type="dxa"/>
            <w:tcBorders>
              <w:top w:val="nil"/>
              <w:left w:val="nil"/>
              <w:bottom w:val="nil"/>
              <w:right w:val="nil"/>
            </w:tcBorders>
          </w:tcPr>
          <w:p w14:paraId="7497962B" w14:textId="37D3F09D" w:rsidR="00DD771A" w:rsidRPr="00166BEB" w:rsidRDefault="00DD771A" w:rsidP="00DD771A">
            <w:pPr>
              <w:spacing w:after="0" w:line="240" w:lineRule="auto"/>
              <w:jc w:val="center"/>
              <w:rPr>
                <w:rFonts w:cs="Arial"/>
                <w:sz w:val="16"/>
                <w:szCs w:val="16"/>
                <w:highlight w:val="yellow"/>
              </w:rPr>
            </w:pPr>
          </w:p>
        </w:tc>
      </w:tr>
      <w:tr w:rsidR="00DD771A" w:rsidRPr="00166BEB" w14:paraId="01962C3B" w14:textId="77777777" w:rsidTr="00DD771A">
        <w:trPr>
          <w:trHeight w:val="300"/>
        </w:trPr>
        <w:tc>
          <w:tcPr>
            <w:tcW w:w="1380" w:type="dxa"/>
            <w:tcBorders>
              <w:top w:val="nil"/>
              <w:left w:val="nil"/>
              <w:bottom w:val="nil"/>
              <w:right w:val="nil"/>
            </w:tcBorders>
            <w:shd w:val="clear" w:color="auto" w:fill="auto"/>
            <w:noWrap/>
            <w:vAlign w:val="center"/>
            <w:hideMark/>
          </w:tcPr>
          <w:p w14:paraId="2EA09332"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Portugalsko</w:t>
            </w:r>
          </w:p>
        </w:tc>
        <w:tc>
          <w:tcPr>
            <w:tcW w:w="765" w:type="dxa"/>
            <w:tcBorders>
              <w:top w:val="nil"/>
              <w:left w:val="single" w:sz="4" w:space="0" w:color="000000"/>
              <w:bottom w:val="nil"/>
              <w:right w:val="single" w:sz="4" w:space="0" w:color="auto"/>
            </w:tcBorders>
            <w:shd w:val="clear" w:color="auto" w:fill="auto"/>
            <w:noWrap/>
            <w:vAlign w:val="center"/>
            <w:hideMark/>
          </w:tcPr>
          <w:p w14:paraId="613BBEB4"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4,9</w:t>
            </w:r>
          </w:p>
        </w:tc>
        <w:tc>
          <w:tcPr>
            <w:tcW w:w="765" w:type="dxa"/>
            <w:tcBorders>
              <w:top w:val="nil"/>
              <w:left w:val="single" w:sz="4" w:space="0" w:color="auto"/>
              <w:bottom w:val="nil"/>
              <w:right w:val="single" w:sz="4" w:space="0" w:color="auto"/>
            </w:tcBorders>
            <w:shd w:val="clear" w:color="auto" w:fill="auto"/>
            <w:noWrap/>
            <w:vAlign w:val="center"/>
            <w:hideMark/>
          </w:tcPr>
          <w:p w14:paraId="4C0FDB8D"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4,8</w:t>
            </w:r>
          </w:p>
        </w:tc>
        <w:tc>
          <w:tcPr>
            <w:tcW w:w="765" w:type="dxa"/>
            <w:tcBorders>
              <w:top w:val="nil"/>
              <w:left w:val="single" w:sz="4" w:space="0" w:color="auto"/>
              <w:bottom w:val="nil"/>
              <w:right w:val="single" w:sz="4" w:space="0" w:color="auto"/>
            </w:tcBorders>
            <w:shd w:val="clear" w:color="auto" w:fill="auto"/>
            <w:noWrap/>
            <w:vAlign w:val="center"/>
            <w:hideMark/>
          </w:tcPr>
          <w:p w14:paraId="17669A19"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4,5</w:t>
            </w:r>
          </w:p>
        </w:tc>
        <w:tc>
          <w:tcPr>
            <w:tcW w:w="765" w:type="dxa"/>
            <w:tcBorders>
              <w:top w:val="nil"/>
              <w:left w:val="single" w:sz="4" w:space="0" w:color="auto"/>
              <w:bottom w:val="nil"/>
              <w:right w:val="single" w:sz="4" w:space="0" w:color="auto"/>
            </w:tcBorders>
            <w:shd w:val="clear" w:color="auto" w:fill="auto"/>
            <w:noWrap/>
            <w:vAlign w:val="center"/>
            <w:hideMark/>
          </w:tcPr>
          <w:p w14:paraId="56327DCF"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4,7</w:t>
            </w:r>
          </w:p>
        </w:tc>
        <w:tc>
          <w:tcPr>
            <w:tcW w:w="765" w:type="dxa"/>
            <w:tcBorders>
              <w:top w:val="nil"/>
              <w:left w:val="single" w:sz="4" w:space="0" w:color="auto"/>
              <w:bottom w:val="nil"/>
              <w:right w:val="single" w:sz="4" w:space="0" w:color="auto"/>
            </w:tcBorders>
            <w:shd w:val="clear" w:color="auto" w:fill="auto"/>
            <w:noWrap/>
            <w:vAlign w:val="center"/>
            <w:hideMark/>
          </w:tcPr>
          <w:p w14:paraId="6A114809"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4,6</w:t>
            </w:r>
          </w:p>
        </w:tc>
        <w:tc>
          <w:tcPr>
            <w:tcW w:w="765" w:type="dxa"/>
            <w:tcBorders>
              <w:top w:val="nil"/>
              <w:left w:val="single" w:sz="4" w:space="0" w:color="auto"/>
              <w:bottom w:val="nil"/>
              <w:right w:val="single" w:sz="4" w:space="0" w:color="auto"/>
            </w:tcBorders>
            <w:shd w:val="clear" w:color="auto" w:fill="auto"/>
            <w:noWrap/>
            <w:vAlign w:val="center"/>
            <w:hideMark/>
          </w:tcPr>
          <w:p w14:paraId="3405794E"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4,0</w:t>
            </w:r>
          </w:p>
        </w:tc>
        <w:tc>
          <w:tcPr>
            <w:tcW w:w="765" w:type="dxa"/>
            <w:tcBorders>
              <w:top w:val="nil"/>
              <w:left w:val="single" w:sz="4" w:space="0" w:color="auto"/>
              <w:bottom w:val="nil"/>
              <w:right w:val="single" w:sz="4" w:space="0" w:color="auto"/>
            </w:tcBorders>
            <w:shd w:val="clear" w:color="auto" w:fill="auto"/>
            <w:noWrap/>
            <w:vAlign w:val="center"/>
            <w:hideMark/>
          </w:tcPr>
          <w:p w14:paraId="510B7EBA"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3,9</w:t>
            </w:r>
          </w:p>
        </w:tc>
        <w:tc>
          <w:tcPr>
            <w:tcW w:w="765" w:type="dxa"/>
            <w:tcBorders>
              <w:top w:val="nil"/>
              <w:left w:val="single" w:sz="4" w:space="0" w:color="auto"/>
              <w:bottom w:val="nil"/>
              <w:right w:val="single" w:sz="4" w:space="0" w:color="auto"/>
            </w:tcBorders>
            <w:shd w:val="clear" w:color="auto" w:fill="auto"/>
            <w:noWrap/>
            <w:vAlign w:val="center"/>
            <w:hideMark/>
          </w:tcPr>
          <w:p w14:paraId="410973CC"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2,7</w:t>
            </w:r>
          </w:p>
        </w:tc>
        <w:tc>
          <w:tcPr>
            <w:tcW w:w="765" w:type="dxa"/>
            <w:tcBorders>
              <w:top w:val="nil"/>
              <w:left w:val="single" w:sz="4" w:space="0" w:color="auto"/>
              <w:bottom w:val="nil"/>
              <w:right w:val="single" w:sz="4" w:space="0" w:color="auto"/>
            </w:tcBorders>
            <w:shd w:val="clear" w:color="auto" w:fill="auto"/>
            <w:noWrap/>
            <w:vAlign w:val="center"/>
            <w:hideMark/>
          </w:tcPr>
          <w:p w14:paraId="22AC24DD"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2,7</w:t>
            </w:r>
          </w:p>
        </w:tc>
        <w:tc>
          <w:tcPr>
            <w:tcW w:w="765" w:type="dxa"/>
            <w:tcBorders>
              <w:top w:val="nil"/>
              <w:left w:val="single" w:sz="4" w:space="0" w:color="auto"/>
              <w:bottom w:val="nil"/>
              <w:right w:val="single" w:sz="4" w:space="0" w:color="auto"/>
            </w:tcBorders>
            <w:shd w:val="clear" w:color="auto" w:fill="D9D9D9"/>
            <w:vAlign w:val="center"/>
          </w:tcPr>
          <w:p w14:paraId="410EFE43"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3,6</w:t>
            </w:r>
          </w:p>
        </w:tc>
        <w:tc>
          <w:tcPr>
            <w:tcW w:w="765" w:type="dxa"/>
            <w:tcBorders>
              <w:top w:val="nil"/>
              <w:left w:val="single" w:sz="4" w:space="0" w:color="auto"/>
              <w:bottom w:val="nil"/>
              <w:right w:val="nil"/>
            </w:tcBorders>
            <w:vAlign w:val="center"/>
          </w:tcPr>
          <w:p w14:paraId="71AC09DE" w14:textId="10C7ED59" w:rsidR="00DD771A" w:rsidRPr="00166BEB" w:rsidRDefault="00DD771A" w:rsidP="00DD771A">
            <w:pPr>
              <w:spacing w:after="0" w:line="240" w:lineRule="auto"/>
              <w:jc w:val="center"/>
              <w:rPr>
                <w:rFonts w:cs="Arial"/>
                <w:sz w:val="16"/>
                <w:szCs w:val="16"/>
                <w:highlight w:val="yellow"/>
              </w:rPr>
            </w:pPr>
            <w:r>
              <w:rPr>
                <w:rFonts w:cs="Arial"/>
                <w:sz w:val="16"/>
                <w:szCs w:val="16"/>
              </w:rPr>
              <w:t>2,8</w:t>
            </w:r>
          </w:p>
        </w:tc>
        <w:tc>
          <w:tcPr>
            <w:tcW w:w="160" w:type="dxa"/>
            <w:tcBorders>
              <w:top w:val="nil"/>
              <w:left w:val="nil"/>
              <w:bottom w:val="nil"/>
              <w:right w:val="nil"/>
            </w:tcBorders>
          </w:tcPr>
          <w:p w14:paraId="773D3138" w14:textId="39E3C291" w:rsidR="00DD771A" w:rsidRPr="00166BEB" w:rsidRDefault="00DD771A" w:rsidP="00DD771A">
            <w:pPr>
              <w:spacing w:after="0" w:line="240" w:lineRule="auto"/>
              <w:jc w:val="center"/>
              <w:rPr>
                <w:rFonts w:cs="Arial"/>
                <w:sz w:val="16"/>
                <w:szCs w:val="16"/>
                <w:highlight w:val="yellow"/>
              </w:rPr>
            </w:pPr>
          </w:p>
        </w:tc>
      </w:tr>
      <w:tr w:rsidR="00DD771A" w:rsidRPr="00166BEB" w14:paraId="4FE152ED" w14:textId="77777777" w:rsidTr="00DD771A">
        <w:trPr>
          <w:trHeight w:val="300"/>
        </w:trPr>
        <w:tc>
          <w:tcPr>
            <w:tcW w:w="1380" w:type="dxa"/>
            <w:tcBorders>
              <w:top w:val="nil"/>
              <w:left w:val="nil"/>
              <w:bottom w:val="nil"/>
              <w:right w:val="nil"/>
            </w:tcBorders>
            <w:shd w:val="clear" w:color="auto" w:fill="auto"/>
            <w:noWrap/>
            <w:vAlign w:val="center"/>
            <w:hideMark/>
          </w:tcPr>
          <w:p w14:paraId="792B82B6"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Rakousko</w:t>
            </w:r>
          </w:p>
        </w:tc>
        <w:tc>
          <w:tcPr>
            <w:tcW w:w="765" w:type="dxa"/>
            <w:tcBorders>
              <w:top w:val="nil"/>
              <w:left w:val="single" w:sz="4" w:space="0" w:color="000000"/>
              <w:bottom w:val="nil"/>
              <w:right w:val="single" w:sz="4" w:space="0" w:color="auto"/>
            </w:tcBorders>
            <w:shd w:val="clear" w:color="auto" w:fill="auto"/>
            <w:noWrap/>
            <w:vAlign w:val="center"/>
            <w:hideMark/>
          </w:tcPr>
          <w:p w14:paraId="15427190"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3,6</w:t>
            </w:r>
          </w:p>
        </w:tc>
        <w:tc>
          <w:tcPr>
            <w:tcW w:w="765" w:type="dxa"/>
            <w:tcBorders>
              <w:top w:val="nil"/>
              <w:left w:val="single" w:sz="4" w:space="0" w:color="auto"/>
              <w:bottom w:val="nil"/>
              <w:right w:val="single" w:sz="4" w:space="0" w:color="auto"/>
            </w:tcBorders>
            <w:shd w:val="clear" w:color="auto" w:fill="auto"/>
            <w:noWrap/>
            <w:vAlign w:val="center"/>
            <w:hideMark/>
          </w:tcPr>
          <w:p w14:paraId="310B607A"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4,4</w:t>
            </w:r>
          </w:p>
        </w:tc>
        <w:tc>
          <w:tcPr>
            <w:tcW w:w="765" w:type="dxa"/>
            <w:tcBorders>
              <w:top w:val="nil"/>
              <w:left w:val="single" w:sz="4" w:space="0" w:color="auto"/>
              <w:bottom w:val="nil"/>
              <w:right w:val="single" w:sz="4" w:space="0" w:color="auto"/>
            </w:tcBorders>
            <w:shd w:val="clear" w:color="auto" w:fill="auto"/>
            <w:noWrap/>
            <w:vAlign w:val="center"/>
            <w:hideMark/>
          </w:tcPr>
          <w:p w14:paraId="1C8106E2"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4,2</w:t>
            </w:r>
          </w:p>
        </w:tc>
        <w:tc>
          <w:tcPr>
            <w:tcW w:w="765" w:type="dxa"/>
            <w:tcBorders>
              <w:top w:val="nil"/>
              <w:left w:val="single" w:sz="4" w:space="0" w:color="auto"/>
              <w:bottom w:val="nil"/>
              <w:right w:val="single" w:sz="4" w:space="0" w:color="auto"/>
            </w:tcBorders>
            <w:shd w:val="clear" w:color="auto" w:fill="auto"/>
            <w:noWrap/>
            <w:vAlign w:val="center"/>
            <w:hideMark/>
          </w:tcPr>
          <w:p w14:paraId="1CF1C86C"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4,0</w:t>
            </w:r>
          </w:p>
        </w:tc>
        <w:tc>
          <w:tcPr>
            <w:tcW w:w="765" w:type="dxa"/>
            <w:tcBorders>
              <w:top w:val="nil"/>
              <w:left w:val="single" w:sz="4" w:space="0" w:color="auto"/>
              <w:bottom w:val="nil"/>
              <w:right w:val="single" w:sz="4" w:space="0" w:color="auto"/>
            </w:tcBorders>
            <w:shd w:val="clear" w:color="auto" w:fill="auto"/>
            <w:noWrap/>
            <w:vAlign w:val="center"/>
            <w:hideMark/>
          </w:tcPr>
          <w:p w14:paraId="02A2932E"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4,2</w:t>
            </w:r>
          </w:p>
        </w:tc>
        <w:tc>
          <w:tcPr>
            <w:tcW w:w="765" w:type="dxa"/>
            <w:tcBorders>
              <w:top w:val="nil"/>
              <w:left w:val="single" w:sz="4" w:space="0" w:color="auto"/>
              <w:bottom w:val="nil"/>
              <w:right w:val="single" w:sz="4" w:space="0" w:color="auto"/>
            </w:tcBorders>
            <w:shd w:val="clear" w:color="auto" w:fill="auto"/>
            <w:noWrap/>
            <w:vAlign w:val="center"/>
            <w:hideMark/>
          </w:tcPr>
          <w:p w14:paraId="31F50B2D"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5,4</w:t>
            </w:r>
          </w:p>
        </w:tc>
        <w:tc>
          <w:tcPr>
            <w:tcW w:w="765" w:type="dxa"/>
            <w:tcBorders>
              <w:top w:val="nil"/>
              <w:left w:val="single" w:sz="4" w:space="0" w:color="auto"/>
              <w:bottom w:val="nil"/>
              <w:right w:val="single" w:sz="4" w:space="0" w:color="auto"/>
            </w:tcBorders>
            <w:shd w:val="clear" w:color="auto" w:fill="auto"/>
            <w:noWrap/>
            <w:vAlign w:val="center"/>
            <w:hideMark/>
          </w:tcPr>
          <w:p w14:paraId="20BA916C"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4,1</w:t>
            </w:r>
          </w:p>
        </w:tc>
        <w:tc>
          <w:tcPr>
            <w:tcW w:w="765" w:type="dxa"/>
            <w:tcBorders>
              <w:top w:val="nil"/>
              <w:left w:val="single" w:sz="4" w:space="0" w:color="auto"/>
              <w:bottom w:val="nil"/>
              <w:right w:val="single" w:sz="4" w:space="0" w:color="auto"/>
            </w:tcBorders>
            <w:shd w:val="clear" w:color="auto" w:fill="auto"/>
            <w:noWrap/>
            <w:vAlign w:val="center"/>
            <w:hideMark/>
          </w:tcPr>
          <w:p w14:paraId="30699F12"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4,3</w:t>
            </w:r>
          </w:p>
        </w:tc>
        <w:tc>
          <w:tcPr>
            <w:tcW w:w="765" w:type="dxa"/>
            <w:tcBorders>
              <w:top w:val="nil"/>
              <w:left w:val="single" w:sz="4" w:space="0" w:color="auto"/>
              <w:bottom w:val="nil"/>
              <w:right w:val="single" w:sz="4" w:space="0" w:color="auto"/>
            </w:tcBorders>
            <w:shd w:val="clear" w:color="auto" w:fill="auto"/>
            <w:noWrap/>
            <w:vAlign w:val="center"/>
            <w:hideMark/>
          </w:tcPr>
          <w:p w14:paraId="5F085047"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3,5</w:t>
            </w:r>
          </w:p>
        </w:tc>
        <w:tc>
          <w:tcPr>
            <w:tcW w:w="765" w:type="dxa"/>
            <w:tcBorders>
              <w:top w:val="nil"/>
              <w:left w:val="single" w:sz="4" w:space="0" w:color="auto"/>
              <w:bottom w:val="nil"/>
              <w:right w:val="single" w:sz="4" w:space="0" w:color="auto"/>
            </w:tcBorders>
            <w:shd w:val="clear" w:color="auto" w:fill="D9D9D9"/>
            <w:vAlign w:val="center"/>
          </w:tcPr>
          <w:p w14:paraId="5CFC8C5B"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2,9</w:t>
            </w:r>
          </w:p>
        </w:tc>
        <w:tc>
          <w:tcPr>
            <w:tcW w:w="765" w:type="dxa"/>
            <w:tcBorders>
              <w:top w:val="nil"/>
              <w:left w:val="single" w:sz="4" w:space="0" w:color="auto"/>
              <w:bottom w:val="nil"/>
              <w:right w:val="nil"/>
            </w:tcBorders>
            <w:vAlign w:val="center"/>
          </w:tcPr>
          <w:p w14:paraId="5011C14B" w14:textId="60E91E3C" w:rsidR="00DD771A" w:rsidRPr="00166BEB" w:rsidRDefault="00DD771A" w:rsidP="00DD771A">
            <w:pPr>
              <w:spacing w:after="0" w:line="240" w:lineRule="auto"/>
              <w:jc w:val="center"/>
              <w:rPr>
                <w:rFonts w:cs="Arial"/>
                <w:sz w:val="16"/>
                <w:szCs w:val="16"/>
                <w:highlight w:val="yellow"/>
              </w:rPr>
            </w:pPr>
            <w:r>
              <w:rPr>
                <w:rFonts w:cs="Arial"/>
                <w:sz w:val="16"/>
                <w:szCs w:val="16"/>
              </w:rPr>
              <w:t>3,4</w:t>
            </w:r>
          </w:p>
        </w:tc>
        <w:tc>
          <w:tcPr>
            <w:tcW w:w="160" w:type="dxa"/>
            <w:tcBorders>
              <w:top w:val="nil"/>
              <w:left w:val="nil"/>
              <w:bottom w:val="nil"/>
              <w:right w:val="nil"/>
            </w:tcBorders>
          </w:tcPr>
          <w:p w14:paraId="5FA173B8" w14:textId="700377A4" w:rsidR="00DD771A" w:rsidRPr="00166BEB" w:rsidRDefault="00DD771A" w:rsidP="00DD771A">
            <w:pPr>
              <w:spacing w:after="0" w:line="240" w:lineRule="auto"/>
              <w:jc w:val="center"/>
              <w:rPr>
                <w:rFonts w:cs="Arial"/>
                <w:sz w:val="16"/>
                <w:szCs w:val="16"/>
                <w:highlight w:val="yellow"/>
              </w:rPr>
            </w:pPr>
          </w:p>
        </w:tc>
      </w:tr>
      <w:tr w:rsidR="00DD771A" w:rsidRPr="00166BEB" w14:paraId="3C8D198D" w14:textId="77777777" w:rsidTr="00DD771A">
        <w:trPr>
          <w:trHeight w:val="300"/>
        </w:trPr>
        <w:tc>
          <w:tcPr>
            <w:tcW w:w="1380" w:type="dxa"/>
            <w:tcBorders>
              <w:top w:val="nil"/>
              <w:left w:val="nil"/>
              <w:bottom w:val="nil"/>
              <w:right w:val="nil"/>
            </w:tcBorders>
            <w:shd w:val="clear" w:color="auto" w:fill="auto"/>
            <w:noWrap/>
            <w:vAlign w:val="center"/>
            <w:hideMark/>
          </w:tcPr>
          <w:p w14:paraId="12373C52"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Rumunsko</w:t>
            </w:r>
          </w:p>
        </w:tc>
        <w:tc>
          <w:tcPr>
            <w:tcW w:w="765" w:type="dxa"/>
            <w:tcBorders>
              <w:top w:val="nil"/>
              <w:left w:val="single" w:sz="4" w:space="0" w:color="000000"/>
              <w:bottom w:val="nil"/>
              <w:right w:val="single" w:sz="4" w:space="0" w:color="auto"/>
            </w:tcBorders>
            <w:shd w:val="clear" w:color="auto" w:fill="auto"/>
            <w:noWrap/>
            <w:vAlign w:val="center"/>
            <w:hideMark/>
          </w:tcPr>
          <w:p w14:paraId="6C11D0AE"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8,7</w:t>
            </w:r>
          </w:p>
        </w:tc>
        <w:tc>
          <w:tcPr>
            <w:tcW w:w="765" w:type="dxa"/>
            <w:tcBorders>
              <w:top w:val="nil"/>
              <w:left w:val="single" w:sz="4" w:space="0" w:color="auto"/>
              <w:bottom w:val="nil"/>
              <w:right w:val="single" w:sz="4" w:space="0" w:color="auto"/>
            </w:tcBorders>
            <w:shd w:val="clear" w:color="auto" w:fill="auto"/>
            <w:noWrap/>
            <w:vAlign w:val="center"/>
            <w:hideMark/>
          </w:tcPr>
          <w:p w14:paraId="027F9A93"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7,6</w:t>
            </w:r>
          </w:p>
        </w:tc>
        <w:tc>
          <w:tcPr>
            <w:tcW w:w="765" w:type="dxa"/>
            <w:tcBorders>
              <w:top w:val="nil"/>
              <w:left w:val="single" w:sz="4" w:space="0" w:color="auto"/>
              <w:bottom w:val="nil"/>
              <w:right w:val="single" w:sz="4" w:space="0" w:color="auto"/>
            </w:tcBorders>
            <w:shd w:val="clear" w:color="auto" w:fill="auto"/>
            <w:noWrap/>
            <w:vAlign w:val="center"/>
            <w:hideMark/>
          </w:tcPr>
          <w:p w14:paraId="7459BA83"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6,9</w:t>
            </w:r>
          </w:p>
        </w:tc>
        <w:tc>
          <w:tcPr>
            <w:tcW w:w="765" w:type="dxa"/>
            <w:tcBorders>
              <w:top w:val="nil"/>
              <w:left w:val="single" w:sz="4" w:space="0" w:color="auto"/>
              <w:bottom w:val="nil"/>
              <w:right w:val="single" w:sz="4" w:space="0" w:color="auto"/>
            </w:tcBorders>
            <w:shd w:val="clear" w:color="auto" w:fill="auto"/>
            <w:noWrap/>
            <w:vAlign w:val="center"/>
            <w:hideMark/>
          </w:tcPr>
          <w:p w14:paraId="31552DE0"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7,1</w:t>
            </w:r>
          </w:p>
        </w:tc>
        <w:tc>
          <w:tcPr>
            <w:tcW w:w="765" w:type="dxa"/>
            <w:tcBorders>
              <w:top w:val="nil"/>
              <w:left w:val="single" w:sz="4" w:space="0" w:color="auto"/>
              <w:bottom w:val="nil"/>
              <w:right w:val="single" w:sz="4" w:space="0" w:color="auto"/>
            </w:tcBorders>
            <w:shd w:val="clear" w:color="auto" w:fill="auto"/>
            <w:noWrap/>
            <w:vAlign w:val="center"/>
            <w:hideMark/>
          </w:tcPr>
          <w:p w14:paraId="2BCDC5B7"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7,5</w:t>
            </w:r>
          </w:p>
        </w:tc>
        <w:tc>
          <w:tcPr>
            <w:tcW w:w="765" w:type="dxa"/>
            <w:tcBorders>
              <w:top w:val="nil"/>
              <w:left w:val="single" w:sz="4" w:space="0" w:color="auto"/>
              <w:bottom w:val="nil"/>
              <w:right w:val="single" w:sz="4" w:space="0" w:color="auto"/>
            </w:tcBorders>
            <w:shd w:val="clear" w:color="auto" w:fill="auto"/>
            <w:noWrap/>
            <w:vAlign w:val="center"/>
            <w:hideMark/>
          </w:tcPr>
          <w:p w14:paraId="1026C112"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6,1</w:t>
            </w:r>
          </w:p>
        </w:tc>
        <w:tc>
          <w:tcPr>
            <w:tcW w:w="765" w:type="dxa"/>
            <w:tcBorders>
              <w:top w:val="nil"/>
              <w:left w:val="single" w:sz="4" w:space="0" w:color="auto"/>
              <w:bottom w:val="nil"/>
              <w:right w:val="single" w:sz="4" w:space="0" w:color="auto"/>
            </w:tcBorders>
            <w:shd w:val="clear" w:color="auto" w:fill="auto"/>
            <w:noWrap/>
            <w:vAlign w:val="center"/>
            <w:hideMark/>
          </w:tcPr>
          <w:p w14:paraId="39C97CDF"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5,7</w:t>
            </w:r>
          </w:p>
        </w:tc>
        <w:tc>
          <w:tcPr>
            <w:tcW w:w="765" w:type="dxa"/>
            <w:tcBorders>
              <w:top w:val="nil"/>
              <w:left w:val="single" w:sz="4" w:space="0" w:color="auto"/>
              <w:bottom w:val="nil"/>
              <w:right w:val="single" w:sz="4" w:space="0" w:color="auto"/>
            </w:tcBorders>
            <w:shd w:val="clear" w:color="auto" w:fill="auto"/>
            <w:noWrap/>
            <w:vAlign w:val="center"/>
            <w:hideMark/>
          </w:tcPr>
          <w:p w14:paraId="01C84CBC"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5,3</w:t>
            </w:r>
          </w:p>
        </w:tc>
        <w:tc>
          <w:tcPr>
            <w:tcW w:w="765" w:type="dxa"/>
            <w:tcBorders>
              <w:top w:val="nil"/>
              <w:left w:val="single" w:sz="4" w:space="0" w:color="auto"/>
              <w:bottom w:val="nil"/>
              <w:right w:val="single" w:sz="4" w:space="0" w:color="auto"/>
            </w:tcBorders>
            <w:shd w:val="clear" w:color="auto" w:fill="auto"/>
            <w:noWrap/>
            <w:vAlign w:val="center"/>
            <w:hideMark/>
          </w:tcPr>
          <w:p w14:paraId="7C3473FA"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3,4</w:t>
            </w:r>
          </w:p>
        </w:tc>
        <w:tc>
          <w:tcPr>
            <w:tcW w:w="765" w:type="dxa"/>
            <w:tcBorders>
              <w:top w:val="nil"/>
              <w:left w:val="single" w:sz="4" w:space="0" w:color="auto"/>
              <w:bottom w:val="nil"/>
              <w:right w:val="single" w:sz="4" w:space="0" w:color="auto"/>
            </w:tcBorders>
            <w:shd w:val="clear" w:color="auto" w:fill="D9D9D9"/>
            <w:vAlign w:val="center"/>
          </w:tcPr>
          <w:p w14:paraId="03523A0F"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4,0</w:t>
            </w:r>
          </w:p>
        </w:tc>
        <w:tc>
          <w:tcPr>
            <w:tcW w:w="765" w:type="dxa"/>
            <w:tcBorders>
              <w:top w:val="nil"/>
              <w:left w:val="single" w:sz="4" w:space="0" w:color="auto"/>
              <w:bottom w:val="nil"/>
              <w:right w:val="nil"/>
            </w:tcBorders>
            <w:vAlign w:val="center"/>
          </w:tcPr>
          <w:p w14:paraId="7F31FB74" w14:textId="6A39D8C2" w:rsidR="00DD771A" w:rsidRPr="00166BEB" w:rsidRDefault="00DD771A" w:rsidP="00DD771A">
            <w:pPr>
              <w:spacing w:after="0" w:line="240" w:lineRule="auto"/>
              <w:jc w:val="center"/>
              <w:rPr>
                <w:rFonts w:cs="Arial"/>
                <w:sz w:val="16"/>
                <w:szCs w:val="16"/>
                <w:highlight w:val="yellow"/>
              </w:rPr>
            </w:pPr>
            <w:r>
              <w:rPr>
                <w:rFonts w:cs="Arial"/>
                <w:sz w:val="16"/>
                <w:szCs w:val="16"/>
              </w:rPr>
              <w:t>3,8</w:t>
            </w:r>
          </w:p>
        </w:tc>
        <w:tc>
          <w:tcPr>
            <w:tcW w:w="160" w:type="dxa"/>
            <w:tcBorders>
              <w:top w:val="nil"/>
              <w:left w:val="nil"/>
              <w:bottom w:val="nil"/>
              <w:right w:val="nil"/>
            </w:tcBorders>
          </w:tcPr>
          <w:p w14:paraId="0489FBCA" w14:textId="543137AE" w:rsidR="00DD771A" w:rsidRPr="00166BEB" w:rsidRDefault="00DD771A" w:rsidP="00DD771A">
            <w:pPr>
              <w:spacing w:after="0" w:line="240" w:lineRule="auto"/>
              <w:jc w:val="center"/>
              <w:rPr>
                <w:rFonts w:cs="Arial"/>
                <w:sz w:val="16"/>
                <w:szCs w:val="16"/>
                <w:highlight w:val="yellow"/>
              </w:rPr>
            </w:pPr>
          </w:p>
        </w:tc>
      </w:tr>
      <w:tr w:rsidR="00DD771A" w:rsidRPr="00166BEB" w14:paraId="5434F5CF" w14:textId="77777777" w:rsidTr="00DD771A">
        <w:trPr>
          <w:trHeight w:val="300"/>
        </w:trPr>
        <w:tc>
          <w:tcPr>
            <w:tcW w:w="1380" w:type="dxa"/>
            <w:tcBorders>
              <w:top w:val="nil"/>
              <w:left w:val="nil"/>
              <w:bottom w:val="nil"/>
              <w:right w:val="nil"/>
            </w:tcBorders>
            <w:shd w:val="clear" w:color="auto" w:fill="auto"/>
            <w:noWrap/>
            <w:vAlign w:val="center"/>
            <w:hideMark/>
          </w:tcPr>
          <w:p w14:paraId="0C1A044B"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Řecko</w:t>
            </w:r>
          </w:p>
        </w:tc>
        <w:tc>
          <w:tcPr>
            <w:tcW w:w="765" w:type="dxa"/>
            <w:tcBorders>
              <w:top w:val="nil"/>
              <w:left w:val="single" w:sz="4" w:space="0" w:color="000000"/>
              <w:bottom w:val="nil"/>
              <w:right w:val="single" w:sz="4" w:space="0" w:color="auto"/>
            </w:tcBorders>
            <w:shd w:val="clear" w:color="auto" w:fill="auto"/>
            <w:noWrap/>
            <w:vAlign w:val="center"/>
            <w:hideMark/>
          </w:tcPr>
          <w:p w14:paraId="5D235FC6"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1,4</w:t>
            </w:r>
          </w:p>
        </w:tc>
        <w:tc>
          <w:tcPr>
            <w:tcW w:w="765" w:type="dxa"/>
            <w:tcBorders>
              <w:top w:val="nil"/>
              <w:left w:val="single" w:sz="4" w:space="0" w:color="auto"/>
              <w:bottom w:val="nil"/>
              <w:right w:val="single" w:sz="4" w:space="0" w:color="auto"/>
            </w:tcBorders>
            <w:shd w:val="clear" w:color="auto" w:fill="auto"/>
            <w:noWrap/>
            <w:vAlign w:val="center"/>
            <w:hideMark/>
          </w:tcPr>
          <w:p w14:paraId="311E276A"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1,3</w:t>
            </w:r>
          </w:p>
        </w:tc>
        <w:tc>
          <w:tcPr>
            <w:tcW w:w="765" w:type="dxa"/>
            <w:tcBorders>
              <w:top w:val="nil"/>
              <w:left w:val="single" w:sz="4" w:space="0" w:color="auto"/>
              <w:bottom w:val="nil"/>
              <w:right w:val="single" w:sz="4" w:space="0" w:color="auto"/>
            </w:tcBorders>
            <w:shd w:val="clear" w:color="auto" w:fill="auto"/>
            <w:noWrap/>
            <w:vAlign w:val="center"/>
            <w:hideMark/>
          </w:tcPr>
          <w:p w14:paraId="6CDAEA57"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1,2</w:t>
            </w:r>
          </w:p>
        </w:tc>
        <w:tc>
          <w:tcPr>
            <w:tcW w:w="765" w:type="dxa"/>
            <w:tcBorders>
              <w:top w:val="nil"/>
              <w:left w:val="single" w:sz="4" w:space="0" w:color="auto"/>
              <w:bottom w:val="nil"/>
              <w:right w:val="single" w:sz="4" w:space="0" w:color="auto"/>
            </w:tcBorders>
            <w:shd w:val="clear" w:color="000000" w:fill="DBDBDB"/>
            <w:noWrap/>
            <w:vAlign w:val="center"/>
            <w:hideMark/>
          </w:tcPr>
          <w:p w14:paraId="255D0DD5"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1,2</w:t>
            </w:r>
          </w:p>
        </w:tc>
        <w:tc>
          <w:tcPr>
            <w:tcW w:w="765" w:type="dxa"/>
            <w:tcBorders>
              <w:top w:val="nil"/>
              <w:left w:val="single" w:sz="4" w:space="0" w:color="auto"/>
              <w:bottom w:val="nil"/>
              <w:right w:val="single" w:sz="4" w:space="0" w:color="auto"/>
            </w:tcBorders>
            <w:shd w:val="clear" w:color="auto" w:fill="auto"/>
            <w:noWrap/>
            <w:vAlign w:val="center"/>
            <w:hideMark/>
          </w:tcPr>
          <w:p w14:paraId="7DE87287"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2,4</w:t>
            </w:r>
          </w:p>
        </w:tc>
        <w:tc>
          <w:tcPr>
            <w:tcW w:w="765" w:type="dxa"/>
            <w:tcBorders>
              <w:top w:val="nil"/>
              <w:left w:val="single" w:sz="4" w:space="0" w:color="auto"/>
              <w:bottom w:val="nil"/>
              <w:right w:val="single" w:sz="4" w:space="0" w:color="auto"/>
            </w:tcBorders>
            <w:shd w:val="clear" w:color="auto" w:fill="auto"/>
            <w:noWrap/>
            <w:vAlign w:val="center"/>
            <w:hideMark/>
          </w:tcPr>
          <w:p w14:paraId="597E9030"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1,9</w:t>
            </w:r>
          </w:p>
        </w:tc>
        <w:tc>
          <w:tcPr>
            <w:tcW w:w="765" w:type="dxa"/>
            <w:tcBorders>
              <w:top w:val="nil"/>
              <w:left w:val="single" w:sz="4" w:space="0" w:color="auto"/>
              <w:bottom w:val="nil"/>
              <w:right w:val="single" w:sz="4" w:space="0" w:color="auto"/>
            </w:tcBorders>
            <w:shd w:val="clear" w:color="auto" w:fill="auto"/>
            <w:noWrap/>
            <w:vAlign w:val="center"/>
            <w:hideMark/>
          </w:tcPr>
          <w:p w14:paraId="676E780C"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2,0</w:t>
            </w:r>
          </w:p>
        </w:tc>
        <w:tc>
          <w:tcPr>
            <w:tcW w:w="765" w:type="dxa"/>
            <w:tcBorders>
              <w:top w:val="nil"/>
              <w:left w:val="single" w:sz="4" w:space="0" w:color="auto"/>
              <w:bottom w:val="nil"/>
              <w:right w:val="single" w:sz="4" w:space="0" w:color="auto"/>
            </w:tcBorders>
            <w:shd w:val="clear" w:color="auto" w:fill="auto"/>
            <w:noWrap/>
            <w:vAlign w:val="center"/>
            <w:hideMark/>
          </w:tcPr>
          <w:p w14:paraId="140052CF"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1,7</w:t>
            </w:r>
          </w:p>
        </w:tc>
        <w:tc>
          <w:tcPr>
            <w:tcW w:w="765" w:type="dxa"/>
            <w:tcBorders>
              <w:top w:val="nil"/>
              <w:left w:val="single" w:sz="4" w:space="0" w:color="auto"/>
              <w:bottom w:val="nil"/>
              <w:right w:val="single" w:sz="4" w:space="0" w:color="auto"/>
            </w:tcBorders>
            <w:shd w:val="clear" w:color="auto" w:fill="auto"/>
            <w:noWrap/>
            <w:vAlign w:val="center"/>
            <w:hideMark/>
          </w:tcPr>
          <w:p w14:paraId="6B7578A2"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1,6</w:t>
            </w:r>
          </w:p>
        </w:tc>
        <w:tc>
          <w:tcPr>
            <w:tcW w:w="765" w:type="dxa"/>
            <w:tcBorders>
              <w:top w:val="nil"/>
              <w:left w:val="single" w:sz="4" w:space="0" w:color="auto"/>
              <w:bottom w:val="nil"/>
              <w:right w:val="single" w:sz="4" w:space="0" w:color="auto"/>
            </w:tcBorders>
            <w:shd w:val="clear" w:color="auto" w:fill="D9D9D9"/>
            <w:vAlign w:val="center"/>
          </w:tcPr>
          <w:p w14:paraId="14A1C9DA"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1,4</w:t>
            </w:r>
          </w:p>
        </w:tc>
        <w:tc>
          <w:tcPr>
            <w:tcW w:w="765" w:type="dxa"/>
            <w:tcBorders>
              <w:top w:val="nil"/>
              <w:left w:val="single" w:sz="4" w:space="0" w:color="auto"/>
              <w:bottom w:val="nil"/>
              <w:right w:val="nil"/>
            </w:tcBorders>
            <w:vAlign w:val="center"/>
          </w:tcPr>
          <w:p w14:paraId="004579D7" w14:textId="483D7912" w:rsidR="00DD771A" w:rsidRPr="00166BEB" w:rsidRDefault="00DD771A" w:rsidP="00DD771A">
            <w:pPr>
              <w:spacing w:after="0" w:line="240" w:lineRule="auto"/>
              <w:jc w:val="center"/>
              <w:rPr>
                <w:rFonts w:cs="Arial"/>
                <w:sz w:val="16"/>
                <w:szCs w:val="16"/>
                <w:highlight w:val="yellow"/>
              </w:rPr>
            </w:pPr>
            <w:r>
              <w:rPr>
                <w:rFonts w:cs="Arial"/>
                <w:sz w:val="16"/>
                <w:szCs w:val="16"/>
              </w:rPr>
              <w:t>1,1</w:t>
            </w:r>
          </w:p>
        </w:tc>
        <w:tc>
          <w:tcPr>
            <w:tcW w:w="160" w:type="dxa"/>
            <w:tcBorders>
              <w:top w:val="nil"/>
              <w:left w:val="nil"/>
              <w:bottom w:val="nil"/>
              <w:right w:val="nil"/>
            </w:tcBorders>
          </w:tcPr>
          <w:p w14:paraId="1DC9725C" w14:textId="3B888AE6" w:rsidR="00DD771A" w:rsidRPr="00166BEB" w:rsidRDefault="00DD771A" w:rsidP="00DD771A">
            <w:pPr>
              <w:spacing w:after="0" w:line="240" w:lineRule="auto"/>
              <w:jc w:val="center"/>
              <w:rPr>
                <w:rFonts w:cs="Arial"/>
                <w:sz w:val="16"/>
                <w:szCs w:val="16"/>
                <w:highlight w:val="yellow"/>
              </w:rPr>
            </w:pPr>
          </w:p>
        </w:tc>
      </w:tr>
      <w:tr w:rsidR="00DD771A" w:rsidRPr="00166BEB" w14:paraId="0F0C112F" w14:textId="77777777" w:rsidTr="00DD771A">
        <w:trPr>
          <w:trHeight w:val="300"/>
        </w:trPr>
        <w:tc>
          <w:tcPr>
            <w:tcW w:w="1380" w:type="dxa"/>
            <w:tcBorders>
              <w:top w:val="nil"/>
              <w:left w:val="nil"/>
              <w:bottom w:val="nil"/>
              <w:right w:val="nil"/>
            </w:tcBorders>
            <w:shd w:val="clear" w:color="auto" w:fill="auto"/>
            <w:noWrap/>
            <w:vAlign w:val="center"/>
            <w:hideMark/>
          </w:tcPr>
          <w:p w14:paraId="0EC6DD7E"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Slovensko</w:t>
            </w:r>
          </w:p>
        </w:tc>
        <w:tc>
          <w:tcPr>
            <w:tcW w:w="765" w:type="dxa"/>
            <w:tcBorders>
              <w:top w:val="nil"/>
              <w:left w:val="single" w:sz="4" w:space="0" w:color="000000"/>
              <w:bottom w:val="nil"/>
              <w:right w:val="single" w:sz="4" w:space="0" w:color="auto"/>
            </w:tcBorders>
            <w:shd w:val="clear" w:color="auto" w:fill="auto"/>
            <w:noWrap/>
            <w:vAlign w:val="center"/>
            <w:hideMark/>
          </w:tcPr>
          <w:p w14:paraId="7E2BF5B3"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2,3</w:t>
            </w:r>
          </w:p>
        </w:tc>
        <w:tc>
          <w:tcPr>
            <w:tcW w:w="765" w:type="dxa"/>
            <w:tcBorders>
              <w:top w:val="nil"/>
              <w:left w:val="single" w:sz="4" w:space="0" w:color="auto"/>
              <w:bottom w:val="nil"/>
              <w:right w:val="single" w:sz="4" w:space="0" w:color="auto"/>
            </w:tcBorders>
            <w:shd w:val="clear" w:color="auto" w:fill="auto"/>
            <w:noWrap/>
            <w:vAlign w:val="center"/>
            <w:hideMark/>
          </w:tcPr>
          <w:p w14:paraId="777DC671"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3,1</w:t>
            </w:r>
          </w:p>
        </w:tc>
        <w:tc>
          <w:tcPr>
            <w:tcW w:w="765" w:type="dxa"/>
            <w:tcBorders>
              <w:top w:val="nil"/>
              <w:left w:val="single" w:sz="4" w:space="0" w:color="auto"/>
              <w:bottom w:val="nil"/>
              <w:right w:val="single" w:sz="4" w:space="0" w:color="auto"/>
            </w:tcBorders>
            <w:shd w:val="clear" w:color="auto" w:fill="auto"/>
            <w:noWrap/>
            <w:vAlign w:val="center"/>
            <w:hideMark/>
          </w:tcPr>
          <w:p w14:paraId="2F32C4FA"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3,3</w:t>
            </w:r>
          </w:p>
        </w:tc>
        <w:tc>
          <w:tcPr>
            <w:tcW w:w="765" w:type="dxa"/>
            <w:tcBorders>
              <w:top w:val="nil"/>
              <w:left w:val="single" w:sz="4" w:space="0" w:color="auto"/>
              <w:bottom w:val="nil"/>
              <w:right w:val="single" w:sz="4" w:space="0" w:color="auto"/>
            </w:tcBorders>
            <w:shd w:val="clear" w:color="auto" w:fill="auto"/>
            <w:noWrap/>
            <w:vAlign w:val="center"/>
            <w:hideMark/>
          </w:tcPr>
          <w:p w14:paraId="49BB8243"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2,3</w:t>
            </w:r>
          </w:p>
        </w:tc>
        <w:tc>
          <w:tcPr>
            <w:tcW w:w="765" w:type="dxa"/>
            <w:tcBorders>
              <w:top w:val="nil"/>
              <w:left w:val="single" w:sz="4" w:space="0" w:color="auto"/>
              <w:bottom w:val="nil"/>
              <w:right w:val="single" w:sz="4" w:space="0" w:color="auto"/>
            </w:tcBorders>
            <w:shd w:val="clear" w:color="auto" w:fill="auto"/>
            <w:noWrap/>
            <w:vAlign w:val="center"/>
            <w:hideMark/>
          </w:tcPr>
          <w:p w14:paraId="39811D35"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3,6</w:t>
            </w:r>
          </w:p>
        </w:tc>
        <w:tc>
          <w:tcPr>
            <w:tcW w:w="765" w:type="dxa"/>
            <w:tcBorders>
              <w:top w:val="nil"/>
              <w:left w:val="single" w:sz="4" w:space="0" w:color="auto"/>
              <w:bottom w:val="nil"/>
              <w:right w:val="single" w:sz="4" w:space="0" w:color="auto"/>
            </w:tcBorders>
            <w:shd w:val="clear" w:color="auto" w:fill="auto"/>
            <w:noWrap/>
            <w:vAlign w:val="center"/>
            <w:hideMark/>
          </w:tcPr>
          <w:p w14:paraId="294A3E11"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2,7</w:t>
            </w:r>
          </w:p>
        </w:tc>
        <w:tc>
          <w:tcPr>
            <w:tcW w:w="765" w:type="dxa"/>
            <w:tcBorders>
              <w:top w:val="nil"/>
              <w:left w:val="single" w:sz="4" w:space="0" w:color="auto"/>
              <w:bottom w:val="nil"/>
              <w:right w:val="single" w:sz="4" w:space="0" w:color="auto"/>
            </w:tcBorders>
            <w:shd w:val="clear" w:color="auto" w:fill="auto"/>
            <w:noWrap/>
            <w:vAlign w:val="center"/>
            <w:hideMark/>
          </w:tcPr>
          <w:p w14:paraId="203BD46A"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2,8</w:t>
            </w:r>
          </w:p>
        </w:tc>
        <w:tc>
          <w:tcPr>
            <w:tcW w:w="765" w:type="dxa"/>
            <w:tcBorders>
              <w:top w:val="nil"/>
              <w:left w:val="single" w:sz="4" w:space="0" w:color="auto"/>
              <w:bottom w:val="nil"/>
              <w:right w:val="single" w:sz="4" w:space="0" w:color="auto"/>
            </w:tcBorders>
            <w:shd w:val="clear" w:color="auto" w:fill="auto"/>
            <w:noWrap/>
            <w:vAlign w:val="center"/>
            <w:hideMark/>
          </w:tcPr>
          <w:p w14:paraId="3250AFDD"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2,6</w:t>
            </w:r>
          </w:p>
        </w:tc>
        <w:tc>
          <w:tcPr>
            <w:tcW w:w="765" w:type="dxa"/>
            <w:tcBorders>
              <w:top w:val="nil"/>
              <w:left w:val="single" w:sz="4" w:space="0" w:color="auto"/>
              <w:bottom w:val="nil"/>
              <w:right w:val="single" w:sz="4" w:space="0" w:color="auto"/>
            </w:tcBorders>
            <w:shd w:val="clear" w:color="auto" w:fill="auto"/>
            <w:noWrap/>
            <w:vAlign w:val="center"/>
            <w:hideMark/>
          </w:tcPr>
          <w:p w14:paraId="5C778474"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2,2</w:t>
            </w:r>
          </w:p>
        </w:tc>
        <w:tc>
          <w:tcPr>
            <w:tcW w:w="765" w:type="dxa"/>
            <w:tcBorders>
              <w:top w:val="nil"/>
              <w:left w:val="single" w:sz="4" w:space="0" w:color="auto"/>
              <w:bottom w:val="nil"/>
              <w:right w:val="single" w:sz="4" w:space="0" w:color="auto"/>
            </w:tcBorders>
            <w:shd w:val="clear" w:color="auto" w:fill="D9D9D9"/>
            <w:vAlign w:val="center"/>
          </w:tcPr>
          <w:p w14:paraId="702147CE"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2,2</w:t>
            </w:r>
          </w:p>
        </w:tc>
        <w:tc>
          <w:tcPr>
            <w:tcW w:w="765" w:type="dxa"/>
            <w:tcBorders>
              <w:top w:val="nil"/>
              <w:left w:val="single" w:sz="4" w:space="0" w:color="auto"/>
              <w:bottom w:val="nil"/>
              <w:right w:val="nil"/>
            </w:tcBorders>
            <w:vAlign w:val="center"/>
          </w:tcPr>
          <w:p w14:paraId="6F904AC5" w14:textId="795A8545" w:rsidR="00DD771A" w:rsidRPr="00166BEB" w:rsidRDefault="00DD771A" w:rsidP="00DD771A">
            <w:pPr>
              <w:spacing w:after="0" w:line="240" w:lineRule="auto"/>
              <w:jc w:val="center"/>
              <w:rPr>
                <w:rFonts w:cs="Arial"/>
                <w:sz w:val="16"/>
                <w:szCs w:val="16"/>
                <w:highlight w:val="yellow"/>
              </w:rPr>
            </w:pPr>
            <w:r>
              <w:rPr>
                <w:rFonts w:cs="Arial"/>
                <w:sz w:val="16"/>
                <w:szCs w:val="16"/>
              </w:rPr>
              <w:t>2,1</w:t>
            </w:r>
          </w:p>
        </w:tc>
        <w:tc>
          <w:tcPr>
            <w:tcW w:w="160" w:type="dxa"/>
            <w:tcBorders>
              <w:top w:val="nil"/>
              <w:left w:val="nil"/>
              <w:bottom w:val="nil"/>
              <w:right w:val="nil"/>
            </w:tcBorders>
          </w:tcPr>
          <w:p w14:paraId="47CC98BB" w14:textId="045FF03F" w:rsidR="00DD771A" w:rsidRPr="00166BEB" w:rsidRDefault="00DD771A" w:rsidP="00DD771A">
            <w:pPr>
              <w:spacing w:after="0" w:line="240" w:lineRule="auto"/>
              <w:jc w:val="center"/>
              <w:rPr>
                <w:rFonts w:cs="Arial"/>
                <w:sz w:val="16"/>
                <w:szCs w:val="16"/>
                <w:highlight w:val="yellow"/>
              </w:rPr>
            </w:pPr>
          </w:p>
        </w:tc>
      </w:tr>
      <w:tr w:rsidR="00DD771A" w:rsidRPr="00166BEB" w14:paraId="53E5EFC4" w14:textId="77777777" w:rsidTr="00DD771A">
        <w:trPr>
          <w:trHeight w:val="300"/>
        </w:trPr>
        <w:tc>
          <w:tcPr>
            <w:tcW w:w="1380" w:type="dxa"/>
            <w:tcBorders>
              <w:top w:val="nil"/>
              <w:left w:val="nil"/>
              <w:bottom w:val="nil"/>
              <w:right w:val="nil"/>
            </w:tcBorders>
            <w:shd w:val="clear" w:color="auto" w:fill="auto"/>
            <w:noWrap/>
            <w:vAlign w:val="center"/>
            <w:hideMark/>
          </w:tcPr>
          <w:p w14:paraId="5CFBE3FB"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Slovinsko</w:t>
            </w:r>
          </w:p>
        </w:tc>
        <w:tc>
          <w:tcPr>
            <w:tcW w:w="765" w:type="dxa"/>
            <w:tcBorders>
              <w:top w:val="nil"/>
              <w:left w:val="single" w:sz="4" w:space="0" w:color="000000"/>
              <w:bottom w:val="nil"/>
              <w:right w:val="single" w:sz="4" w:space="0" w:color="auto"/>
            </w:tcBorders>
            <w:shd w:val="clear" w:color="auto" w:fill="auto"/>
            <w:noWrap/>
            <w:vAlign w:val="center"/>
            <w:hideMark/>
          </w:tcPr>
          <w:p w14:paraId="4665FEF5"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4,2</w:t>
            </w:r>
          </w:p>
        </w:tc>
        <w:tc>
          <w:tcPr>
            <w:tcW w:w="765" w:type="dxa"/>
            <w:tcBorders>
              <w:top w:val="nil"/>
              <w:left w:val="single" w:sz="4" w:space="0" w:color="auto"/>
              <w:bottom w:val="nil"/>
              <w:right w:val="single" w:sz="4" w:space="0" w:color="auto"/>
            </w:tcBorders>
            <w:shd w:val="clear" w:color="auto" w:fill="auto"/>
            <w:noWrap/>
            <w:vAlign w:val="center"/>
            <w:hideMark/>
          </w:tcPr>
          <w:p w14:paraId="51F2D0A0"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3,2</w:t>
            </w:r>
          </w:p>
        </w:tc>
        <w:tc>
          <w:tcPr>
            <w:tcW w:w="765" w:type="dxa"/>
            <w:tcBorders>
              <w:top w:val="nil"/>
              <w:left w:val="single" w:sz="4" w:space="0" w:color="auto"/>
              <w:bottom w:val="nil"/>
              <w:right w:val="single" w:sz="4" w:space="0" w:color="auto"/>
            </w:tcBorders>
            <w:shd w:val="clear" w:color="auto" w:fill="auto"/>
            <w:noWrap/>
            <w:vAlign w:val="center"/>
            <w:hideMark/>
          </w:tcPr>
          <w:p w14:paraId="6B3A58DF"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3,0</w:t>
            </w:r>
          </w:p>
        </w:tc>
        <w:tc>
          <w:tcPr>
            <w:tcW w:w="765" w:type="dxa"/>
            <w:tcBorders>
              <w:top w:val="nil"/>
              <w:left w:val="single" w:sz="4" w:space="0" w:color="auto"/>
              <w:bottom w:val="nil"/>
              <w:right w:val="single" w:sz="4" w:space="0" w:color="auto"/>
            </w:tcBorders>
            <w:shd w:val="clear" w:color="auto" w:fill="auto"/>
            <w:noWrap/>
            <w:vAlign w:val="center"/>
            <w:hideMark/>
          </w:tcPr>
          <w:p w14:paraId="38705F8B"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4,0</w:t>
            </w:r>
          </w:p>
        </w:tc>
        <w:tc>
          <w:tcPr>
            <w:tcW w:w="765" w:type="dxa"/>
            <w:tcBorders>
              <w:top w:val="nil"/>
              <w:left w:val="single" w:sz="4" w:space="0" w:color="auto"/>
              <w:bottom w:val="nil"/>
              <w:right w:val="single" w:sz="4" w:space="0" w:color="auto"/>
            </w:tcBorders>
            <w:shd w:val="clear" w:color="auto" w:fill="auto"/>
            <w:noWrap/>
            <w:vAlign w:val="center"/>
            <w:hideMark/>
          </w:tcPr>
          <w:p w14:paraId="4A0E2D24"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3,6</w:t>
            </w:r>
          </w:p>
        </w:tc>
        <w:tc>
          <w:tcPr>
            <w:tcW w:w="765" w:type="dxa"/>
            <w:tcBorders>
              <w:top w:val="nil"/>
              <w:left w:val="single" w:sz="4" w:space="0" w:color="auto"/>
              <w:bottom w:val="nil"/>
              <w:right w:val="single" w:sz="4" w:space="0" w:color="auto"/>
            </w:tcBorders>
            <w:shd w:val="clear" w:color="auto" w:fill="auto"/>
            <w:noWrap/>
            <w:vAlign w:val="center"/>
            <w:hideMark/>
          </w:tcPr>
          <w:p w14:paraId="1CE68929"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2,2</w:t>
            </w:r>
          </w:p>
        </w:tc>
        <w:tc>
          <w:tcPr>
            <w:tcW w:w="765" w:type="dxa"/>
            <w:tcBorders>
              <w:top w:val="nil"/>
              <w:left w:val="single" w:sz="4" w:space="0" w:color="auto"/>
              <w:bottom w:val="nil"/>
              <w:right w:val="single" w:sz="4" w:space="0" w:color="auto"/>
            </w:tcBorders>
            <w:shd w:val="clear" w:color="auto" w:fill="auto"/>
            <w:noWrap/>
            <w:vAlign w:val="center"/>
            <w:hideMark/>
          </w:tcPr>
          <w:p w14:paraId="53289D85"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2,8</w:t>
            </w:r>
          </w:p>
        </w:tc>
        <w:tc>
          <w:tcPr>
            <w:tcW w:w="765" w:type="dxa"/>
            <w:tcBorders>
              <w:top w:val="nil"/>
              <w:left w:val="single" w:sz="4" w:space="0" w:color="auto"/>
              <w:bottom w:val="nil"/>
              <w:right w:val="single" w:sz="4" w:space="0" w:color="auto"/>
            </w:tcBorders>
            <w:shd w:val="clear" w:color="auto" w:fill="auto"/>
            <w:noWrap/>
            <w:vAlign w:val="center"/>
            <w:hideMark/>
          </w:tcPr>
          <w:p w14:paraId="582FD6EC"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2,1</w:t>
            </w:r>
          </w:p>
        </w:tc>
        <w:tc>
          <w:tcPr>
            <w:tcW w:w="765" w:type="dxa"/>
            <w:tcBorders>
              <w:top w:val="nil"/>
              <w:left w:val="single" w:sz="4" w:space="0" w:color="auto"/>
              <w:bottom w:val="nil"/>
              <w:right w:val="single" w:sz="4" w:space="0" w:color="auto"/>
            </w:tcBorders>
            <w:shd w:val="clear" w:color="auto" w:fill="auto"/>
            <w:noWrap/>
            <w:vAlign w:val="center"/>
            <w:hideMark/>
          </w:tcPr>
          <w:p w14:paraId="3E55133F"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1,9</w:t>
            </w:r>
          </w:p>
        </w:tc>
        <w:tc>
          <w:tcPr>
            <w:tcW w:w="765" w:type="dxa"/>
            <w:tcBorders>
              <w:top w:val="nil"/>
              <w:left w:val="single" w:sz="4" w:space="0" w:color="auto"/>
              <w:bottom w:val="nil"/>
              <w:right w:val="single" w:sz="4" w:space="0" w:color="auto"/>
            </w:tcBorders>
            <w:shd w:val="clear" w:color="auto" w:fill="D9D9D9"/>
            <w:vAlign w:val="center"/>
          </w:tcPr>
          <w:p w14:paraId="60D026DC"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2,3</w:t>
            </w:r>
          </w:p>
        </w:tc>
        <w:tc>
          <w:tcPr>
            <w:tcW w:w="765" w:type="dxa"/>
            <w:tcBorders>
              <w:top w:val="nil"/>
              <w:left w:val="single" w:sz="4" w:space="0" w:color="auto"/>
              <w:bottom w:val="nil"/>
              <w:right w:val="nil"/>
            </w:tcBorders>
            <w:vAlign w:val="center"/>
          </w:tcPr>
          <w:p w14:paraId="1DC4DE31" w14:textId="20B7B130" w:rsidR="00DD771A" w:rsidRPr="00166BEB" w:rsidRDefault="00DD771A" w:rsidP="00DD771A">
            <w:pPr>
              <w:spacing w:after="0" w:line="240" w:lineRule="auto"/>
              <w:jc w:val="center"/>
              <w:rPr>
                <w:rFonts w:cs="Arial"/>
                <w:sz w:val="16"/>
                <w:szCs w:val="16"/>
                <w:highlight w:val="yellow"/>
              </w:rPr>
            </w:pPr>
            <w:r>
              <w:rPr>
                <w:rFonts w:cs="Arial"/>
                <w:sz w:val="16"/>
                <w:szCs w:val="16"/>
              </w:rPr>
              <w:t>1,9</w:t>
            </w:r>
          </w:p>
        </w:tc>
        <w:tc>
          <w:tcPr>
            <w:tcW w:w="160" w:type="dxa"/>
            <w:tcBorders>
              <w:top w:val="nil"/>
              <w:left w:val="nil"/>
              <w:bottom w:val="nil"/>
              <w:right w:val="nil"/>
            </w:tcBorders>
          </w:tcPr>
          <w:p w14:paraId="2C6FB0FF" w14:textId="0D916463" w:rsidR="00DD771A" w:rsidRPr="00166BEB" w:rsidRDefault="00DD771A" w:rsidP="00DD771A">
            <w:pPr>
              <w:spacing w:after="0" w:line="240" w:lineRule="auto"/>
              <w:jc w:val="center"/>
              <w:rPr>
                <w:rFonts w:cs="Arial"/>
                <w:sz w:val="16"/>
                <w:szCs w:val="16"/>
                <w:highlight w:val="yellow"/>
              </w:rPr>
            </w:pPr>
          </w:p>
        </w:tc>
      </w:tr>
      <w:tr w:rsidR="00DD771A" w:rsidRPr="00166BEB" w14:paraId="53E17F26" w14:textId="77777777" w:rsidTr="00DD771A">
        <w:trPr>
          <w:trHeight w:val="300"/>
        </w:trPr>
        <w:tc>
          <w:tcPr>
            <w:tcW w:w="1380" w:type="dxa"/>
            <w:tcBorders>
              <w:top w:val="nil"/>
              <w:left w:val="nil"/>
              <w:bottom w:val="nil"/>
              <w:right w:val="nil"/>
            </w:tcBorders>
            <w:shd w:val="clear" w:color="auto" w:fill="auto"/>
            <w:noWrap/>
            <w:vAlign w:val="center"/>
            <w:hideMark/>
          </w:tcPr>
          <w:p w14:paraId="372C16D5"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Španělsko</w:t>
            </w:r>
          </w:p>
        </w:tc>
        <w:tc>
          <w:tcPr>
            <w:tcW w:w="765" w:type="dxa"/>
            <w:tcBorders>
              <w:top w:val="nil"/>
              <w:left w:val="single" w:sz="4" w:space="0" w:color="000000"/>
              <w:bottom w:val="nil"/>
              <w:right w:val="single" w:sz="4" w:space="0" w:color="auto"/>
            </w:tcBorders>
            <w:shd w:val="clear" w:color="000000" w:fill="DBDBDB"/>
            <w:noWrap/>
            <w:vAlign w:val="center"/>
            <w:hideMark/>
          </w:tcPr>
          <w:p w14:paraId="3174C10C"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3,3</w:t>
            </w:r>
          </w:p>
        </w:tc>
        <w:tc>
          <w:tcPr>
            <w:tcW w:w="765" w:type="dxa"/>
            <w:tcBorders>
              <w:top w:val="nil"/>
              <w:left w:val="single" w:sz="4" w:space="0" w:color="auto"/>
              <w:bottom w:val="nil"/>
              <w:right w:val="single" w:sz="4" w:space="0" w:color="auto"/>
            </w:tcBorders>
            <w:shd w:val="clear" w:color="auto" w:fill="auto"/>
            <w:noWrap/>
            <w:vAlign w:val="center"/>
            <w:hideMark/>
          </w:tcPr>
          <w:p w14:paraId="671EB0C4"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3,0</w:t>
            </w:r>
          </w:p>
        </w:tc>
        <w:tc>
          <w:tcPr>
            <w:tcW w:w="765" w:type="dxa"/>
            <w:tcBorders>
              <w:top w:val="nil"/>
              <w:left w:val="single" w:sz="4" w:space="0" w:color="auto"/>
              <w:bottom w:val="nil"/>
              <w:right w:val="single" w:sz="4" w:space="0" w:color="auto"/>
            </w:tcBorders>
            <w:shd w:val="clear" w:color="auto" w:fill="auto"/>
            <w:noWrap/>
            <w:vAlign w:val="center"/>
            <w:hideMark/>
          </w:tcPr>
          <w:p w14:paraId="1F702D04"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2,7</w:t>
            </w:r>
          </w:p>
        </w:tc>
        <w:tc>
          <w:tcPr>
            <w:tcW w:w="765" w:type="dxa"/>
            <w:tcBorders>
              <w:top w:val="nil"/>
              <w:left w:val="single" w:sz="4" w:space="0" w:color="auto"/>
              <w:bottom w:val="nil"/>
              <w:right w:val="single" w:sz="4" w:space="0" w:color="auto"/>
            </w:tcBorders>
            <w:shd w:val="clear" w:color="auto" w:fill="auto"/>
            <w:noWrap/>
            <w:vAlign w:val="center"/>
            <w:hideMark/>
          </w:tcPr>
          <w:p w14:paraId="2D7BB5D1"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3,1</w:t>
            </w:r>
          </w:p>
        </w:tc>
        <w:tc>
          <w:tcPr>
            <w:tcW w:w="765" w:type="dxa"/>
            <w:tcBorders>
              <w:top w:val="nil"/>
              <w:left w:val="single" w:sz="4" w:space="0" w:color="auto"/>
              <w:bottom w:val="nil"/>
              <w:right w:val="single" w:sz="4" w:space="0" w:color="auto"/>
            </w:tcBorders>
            <w:shd w:val="clear" w:color="auto" w:fill="auto"/>
            <w:noWrap/>
            <w:vAlign w:val="center"/>
            <w:hideMark/>
          </w:tcPr>
          <w:p w14:paraId="7DFAD1B6"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3,5</w:t>
            </w:r>
          </w:p>
        </w:tc>
        <w:tc>
          <w:tcPr>
            <w:tcW w:w="765" w:type="dxa"/>
            <w:tcBorders>
              <w:top w:val="nil"/>
              <w:left w:val="single" w:sz="4" w:space="0" w:color="auto"/>
              <w:bottom w:val="nil"/>
              <w:right w:val="single" w:sz="4" w:space="0" w:color="auto"/>
            </w:tcBorders>
            <w:shd w:val="clear" w:color="auto" w:fill="auto"/>
            <w:noWrap/>
            <w:vAlign w:val="center"/>
            <w:hideMark/>
          </w:tcPr>
          <w:p w14:paraId="1A4C3B90"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2,9</w:t>
            </w:r>
          </w:p>
        </w:tc>
        <w:tc>
          <w:tcPr>
            <w:tcW w:w="765" w:type="dxa"/>
            <w:tcBorders>
              <w:top w:val="nil"/>
              <w:left w:val="single" w:sz="4" w:space="0" w:color="auto"/>
              <w:bottom w:val="nil"/>
              <w:right w:val="single" w:sz="4" w:space="0" w:color="auto"/>
            </w:tcBorders>
            <w:shd w:val="clear" w:color="auto" w:fill="auto"/>
            <w:noWrap/>
            <w:vAlign w:val="center"/>
            <w:hideMark/>
          </w:tcPr>
          <w:p w14:paraId="7995D44F"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2,9</w:t>
            </w:r>
          </w:p>
        </w:tc>
        <w:tc>
          <w:tcPr>
            <w:tcW w:w="765" w:type="dxa"/>
            <w:tcBorders>
              <w:top w:val="nil"/>
              <w:left w:val="single" w:sz="4" w:space="0" w:color="auto"/>
              <w:bottom w:val="nil"/>
              <w:right w:val="single" w:sz="4" w:space="0" w:color="auto"/>
            </w:tcBorders>
            <w:shd w:val="clear" w:color="auto" w:fill="auto"/>
            <w:noWrap/>
            <w:vAlign w:val="center"/>
            <w:hideMark/>
          </w:tcPr>
          <w:p w14:paraId="03FEC21B"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2,8</w:t>
            </w:r>
          </w:p>
        </w:tc>
        <w:tc>
          <w:tcPr>
            <w:tcW w:w="765" w:type="dxa"/>
            <w:tcBorders>
              <w:top w:val="nil"/>
              <w:left w:val="single" w:sz="4" w:space="0" w:color="auto"/>
              <w:bottom w:val="nil"/>
              <w:right w:val="single" w:sz="4" w:space="0" w:color="auto"/>
            </w:tcBorders>
            <w:shd w:val="clear" w:color="auto" w:fill="auto"/>
            <w:noWrap/>
            <w:vAlign w:val="center"/>
            <w:hideMark/>
          </w:tcPr>
          <w:p w14:paraId="5F692C65"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3,3</w:t>
            </w:r>
          </w:p>
        </w:tc>
        <w:tc>
          <w:tcPr>
            <w:tcW w:w="765" w:type="dxa"/>
            <w:tcBorders>
              <w:top w:val="nil"/>
              <w:left w:val="single" w:sz="4" w:space="0" w:color="auto"/>
              <w:bottom w:val="nil"/>
              <w:right w:val="single" w:sz="4" w:space="0" w:color="auto"/>
            </w:tcBorders>
            <w:shd w:val="clear" w:color="auto" w:fill="D9D9D9"/>
            <w:vAlign w:val="center"/>
          </w:tcPr>
          <w:p w14:paraId="60D90D6F"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2,8</w:t>
            </w:r>
          </w:p>
        </w:tc>
        <w:tc>
          <w:tcPr>
            <w:tcW w:w="765" w:type="dxa"/>
            <w:tcBorders>
              <w:top w:val="nil"/>
              <w:left w:val="single" w:sz="4" w:space="0" w:color="auto"/>
              <w:bottom w:val="nil"/>
              <w:right w:val="nil"/>
            </w:tcBorders>
            <w:vAlign w:val="center"/>
          </w:tcPr>
          <w:p w14:paraId="47F1FA81" w14:textId="42154180" w:rsidR="00DD771A" w:rsidRPr="00166BEB" w:rsidRDefault="00DD771A" w:rsidP="00DD771A">
            <w:pPr>
              <w:spacing w:after="0" w:line="240" w:lineRule="auto"/>
              <w:jc w:val="center"/>
              <w:rPr>
                <w:rFonts w:cs="Arial"/>
                <w:sz w:val="16"/>
                <w:szCs w:val="16"/>
                <w:highlight w:val="yellow"/>
              </w:rPr>
            </w:pPr>
            <w:r>
              <w:rPr>
                <w:rFonts w:cs="Arial"/>
                <w:sz w:val="16"/>
                <w:szCs w:val="16"/>
              </w:rPr>
              <w:t>2,5</w:t>
            </w:r>
          </w:p>
        </w:tc>
        <w:tc>
          <w:tcPr>
            <w:tcW w:w="160" w:type="dxa"/>
            <w:tcBorders>
              <w:top w:val="nil"/>
              <w:left w:val="nil"/>
              <w:bottom w:val="nil"/>
              <w:right w:val="nil"/>
            </w:tcBorders>
          </w:tcPr>
          <w:p w14:paraId="01E54700" w14:textId="248CC86E" w:rsidR="00DD771A" w:rsidRPr="00166BEB" w:rsidRDefault="00DD771A" w:rsidP="00DD771A">
            <w:pPr>
              <w:spacing w:after="0" w:line="240" w:lineRule="auto"/>
              <w:jc w:val="center"/>
              <w:rPr>
                <w:rFonts w:cs="Arial"/>
                <w:sz w:val="16"/>
                <w:szCs w:val="16"/>
                <w:highlight w:val="yellow"/>
              </w:rPr>
            </w:pPr>
          </w:p>
        </w:tc>
      </w:tr>
      <w:tr w:rsidR="00DD771A" w:rsidRPr="00166BEB" w14:paraId="71C1BAE4" w14:textId="77777777" w:rsidTr="00DD771A">
        <w:trPr>
          <w:trHeight w:val="300"/>
        </w:trPr>
        <w:tc>
          <w:tcPr>
            <w:tcW w:w="1380" w:type="dxa"/>
            <w:tcBorders>
              <w:top w:val="nil"/>
              <w:left w:val="nil"/>
              <w:bottom w:val="nil"/>
              <w:right w:val="nil"/>
            </w:tcBorders>
            <w:shd w:val="clear" w:color="auto" w:fill="auto"/>
            <w:noWrap/>
            <w:vAlign w:val="center"/>
            <w:hideMark/>
          </w:tcPr>
          <w:p w14:paraId="0CD7BED6" w14:textId="77777777" w:rsidR="00DD771A" w:rsidRPr="00166BEB" w:rsidRDefault="00DD771A" w:rsidP="00DD771A">
            <w:pPr>
              <w:spacing w:after="0" w:line="240" w:lineRule="auto"/>
              <w:ind w:firstLineChars="100" w:firstLine="160"/>
              <w:rPr>
                <w:rFonts w:cs="Arial"/>
                <w:sz w:val="16"/>
                <w:szCs w:val="16"/>
                <w:highlight w:val="yellow"/>
              </w:rPr>
            </w:pPr>
            <w:r>
              <w:rPr>
                <w:rFonts w:cs="Arial"/>
                <w:sz w:val="16"/>
                <w:szCs w:val="16"/>
              </w:rPr>
              <w:t>Švédsko</w:t>
            </w:r>
          </w:p>
        </w:tc>
        <w:tc>
          <w:tcPr>
            <w:tcW w:w="765" w:type="dxa"/>
            <w:tcBorders>
              <w:top w:val="nil"/>
              <w:left w:val="single" w:sz="4" w:space="0" w:color="000000"/>
              <w:bottom w:val="nil"/>
              <w:right w:val="single" w:sz="4" w:space="0" w:color="auto"/>
            </w:tcBorders>
            <w:shd w:val="clear" w:color="auto" w:fill="auto"/>
            <w:noWrap/>
            <w:vAlign w:val="center"/>
            <w:hideMark/>
          </w:tcPr>
          <w:p w14:paraId="4BC0BCAE"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2,3</w:t>
            </w:r>
          </w:p>
        </w:tc>
        <w:tc>
          <w:tcPr>
            <w:tcW w:w="765" w:type="dxa"/>
            <w:tcBorders>
              <w:top w:val="nil"/>
              <w:left w:val="single" w:sz="4" w:space="0" w:color="auto"/>
              <w:bottom w:val="nil"/>
              <w:right w:val="single" w:sz="4" w:space="0" w:color="auto"/>
            </w:tcBorders>
            <w:shd w:val="clear" w:color="auto" w:fill="auto"/>
            <w:noWrap/>
            <w:vAlign w:val="center"/>
            <w:hideMark/>
          </w:tcPr>
          <w:p w14:paraId="3C134E1B"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1,4</w:t>
            </w:r>
          </w:p>
        </w:tc>
        <w:tc>
          <w:tcPr>
            <w:tcW w:w="765" w:type="dxa"/>
            <w:tcBorders>
              <w:top w:val="nil"/>
              <w:left w:val="single" w:sz="4" w:space="0" w:color="auto"/>
              <w:bottom w:val="nil"/>
              <w:right w:val="single" w:sz="4" w:space="0" w:color="auto"/>
            </w:tcBorders>
            <w:shd w:val="clear" w:color="auto" w:fill="auto"/>
            <w:noWrap/>
            <w:vAlign w:val="center"/>
            <w:hideMark/>
          </w:tcPr>
          <w:p w14:paraId="4BA8350E"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1,2</w:t>
            </w:r>
          </w:p>
        </w:tc>
        <w:tc>
          <w:tcPr>
            <w:tcW w:w="765" w:type="dxa"/>
            <w:tcBorders>
              <w:top w:val="nil"/>
              <w:left w:val="single" w:sz="4" w:space="0" w:color="auto"/>
              <w:bottom w:val="nil"/>
              <w:right w:val="single" w:sz="4" w:space="0" w:color="auto"/>
            </w:tcBorders>
            <w:shd w:val="clear" w:color="auto" w:fill="auto"/>
            <w:noWrap/>
            <w:vAlign w:val="center"/>
            <w:hideMark/>
          </w:tcPr>
          <w:p w14:paraId="0F082C5C"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1,5</w:t>
            </w:r>
          </w:p>
        </w:tc>
        <w:tc>
          <w:tcPr>
            <w:tcW w:w="765" w:type="dxa"/>
            <w:tcBorders>
              <w:top w:val="nil"/>
              <w:left w:val="single" w:sz="4" w:space="0" w:color="auto"/>
              <w:bottom w:val="nil"/>
              <w:right w:val="single" w:sz="4" w:space="0" w:color="auto"/>
            </w:tcBorders>
            <w:shd w:val="clear" w:color="auto" w:fill="auto"/>
            <w:noWrap/>
            <w:vAlign w:val="center"/>
            <w:hideMark/>
          </w:tcPr>
          <w:p w14:paraId="479A89D5"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1,2</w:t>
            </w:r>
          </w:p>
        </w:tc>
        <w:tc>
          <w:tcPr>
            <w:tcW w:w="765" w:type="dxa"/>
            <w:tcBorders>
              <w:top w:val="nil"/>
              <w:left w:val="single" w:sz="4" w:space="0" w:color="auto"/>
              <w:bottom w:val="nil"/>
              <w:right w:val="single" w:sz="4" w:space="0" w:color="auto"/>
            </w:tcBorders>
            <w:shd w:val="clear" w:color="auto" w:fill="auto"/>
            <w:noWrap/>
            <w:vAlign w:val="center"/>
            <w:hideMark/>
          </w:tcPr>
          <w:p w14:paraId="0EA68401"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1,2</w:t>
            </w:r>
          </w:p>
        </w:tc>
        <w:tc>
          <w:tcPr>
            <w:tcW w:w="765" w:type="dxa"/>
            <w:tcBorders>
              <w:top w:val="nil"/>
              <w:left w:val="single" w:sz="4" w:space="0" w:color="auto"/>
              <w:bottom w:val="nil"/>
              <w:right w:val="single" w:sz="4" w:space="0" w:color="auto"/>
            </w:tcBorders>
            <w:shd w:val="clear" w:color="auto" w:fill="auto"/>
            <w:noWrap/>
            <w:vAlign w:val="center"/>
            <w:hideMark/>
          </w:tcPr>
          <w:p w14:paraId="2522C2C0"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1,7</w:t>
            </w:r>
          </w:p>
        </w:tc>
        <w:tc>
          <w:tcPr>
            <w:tcW w:w="765" w:type="dxa"/>
            <w:tcBorders>
              <w:top w:val="nil"/>
              <w:left w:val="single" w:sz="4" w:space="0" w:color="auto"/>
              <w:bottom w:val="nil"/>
              <w:right w:val="single" w:sz="4" w:space="0" w:color="auto"/>
            </w:tcBorders>
            <w:shd w:val="clear" w:color="auto" w:fill="auto"/>
            <w:noWrap/>
            <w:vAlign w:val="center"/>
            <w:hideMark/>
          </w:tcPr>
          <w:p w14:paraId="419615EB"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1,7</w:t>
            </w:r>
          </w:p>
        </w:tc>
        <w:tc>
          <w:tcPr>
            <w:tcW w:w="765" w:type="dxa"/>
            <w:tcBorders>
              <w:top w:val="nil"/>
              <w:left w:val="single" w:sz="4" w:space="0" w:color="auto"/>
              <w:bottom w:val="nil"/>
              <w:right w:val="single" w:sz="4" w:space="0" w:color="auto"/>
            </w:tcBorders>
            <w:shd w:val="clear" w:color="auto" w:fill="auto"/>
            <w:noWrap/>
            <w:vAlign w:val="center"/>
            <w:hideMark/>
          </w:tcPr>
          <w:p w14:paraId="35D3ADDD"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1,1</w:t>
            </w:r>
          </w:p>
        </w:tc>
        <w:tc>
          <w:tcPr>
            <w:tcW w:w="765" w:type="dxa"/>
            <w:tcBorders>
              <w:top w:val="nil"/>
              <w:left w:val="single" w:sz="4" w:space="0" w:color="auto"/>
              <w:bottom w:val="nil"/>
              <w:right w:val="single" w:sz="4" w:space="0" w:color="auto"/>
            </w:tcBorders>
            <w:shd w:val="clear" w:color="auto" w:fill="D9D9D9"/>
            <w:vAlign w:val="center"/>
          </w:tcPr>
          <w:p w14:paraId="14C1DACB" w14:textId="77777777" w:rsidR="00DD771A" w:rsidRPr="00166BEB" w:rsidRDefault="00DD771A" w:rsidP="00DD771A">
            <w:pPr>
              <w:spacing w:after="0" w:line="240" w:lineRule="auto"/>
              <w:jc w:val="center"/>
              <w:rPr>
                <w:rFonts w:cs="Arial"/>
                <w:sz w:val="16"/>
                <w:szCs w:val="16"/>
                <w:highlight w:val="yellow"/>
              </w:rPr>
            </w:pPr>
            <w:r>
              <w:rPr>
                <w:rFonts w:cs="Arial"/>
                <w:sz w:val="16"/>
                <w:szCs w:val="16"/>
              </w:rPr>
              <w:t>0,8</w:t>
            </w:r>
          </w:p>
        </w:tc>
        <w:tc>
          <w:tcPr>
            <w:tcW w:w="765" w:type="dxa"/>
            <w:tcBorders>
              <w:top w:val="nil"/>
              <w:left w:val="single" w:sz="4" w:space="0" w:color="auto"/>
              <w:bottom w:val="nil"/>
              <w:right w:val="nil"/>
            </w:tcBorders>
            <w:vAlign w:val="center"/>
          </w:tcPr>
          <w:p w14:paraId="640DF8A4" w14:textId="447E94C8" w:rsidR="00DD771A" w:rsidRPr="00166BEB" w:rsidRDefault="00DD771A" w:rsidP="00DD771A">
            <w:pPr>
              <w:spacing w:after="0" w:line="240" w:lineRule="auto"/>
              <w:jc w:val="center"/>
              <w:rPr>
                <w:rFonts w:cs="Arial"/>
                <w:sz w:val="16"/>
                <w:szCs w:val="16"/>
                <w:highlight w:val="yellow"/>
              </w:rPr>
            </w:pPr>
            <w:r>
              <w:rPr>
                <w:rFonts w:cs="Arial"/>
                <w:sz w:val="16"/>
                <w:szCs w:val="16"/>
              </w:rPr>
              <w:t>1,1</w:t>
            </w:r>
          </w:p>
        </w:tc>
        <w:tc>
          <w:tcPr>
            <w:tcW w:w="160" w:type="dxa"/>
            <w:tcBorders>
              <w:top w:val="nil"/>
              <w:left w:val="nil"/>
              <w:bottom w:val="nil"/>
              <w:right w:val="nil"/>
            </w:tcBorders>
          </w:tcPr>
          <w:p w14:paraId="6BF3599D" w14:textId="2923F8D6" w:rsidR="00DD771A" w:rsidRPr="00166BEB" w:rsidRDefault="00DD771A" w:rsidP="00DD771A">
            <w:pPr>
              <w:spacing w:after="0" w:line="240" w:lineRule="auto"/>
              <w:jc w:val="center"/>
              <w:rPr>
                <w:rFonts w:cs="Arial"/>
                <w:sz w:val="16"/>
                <w:szCs w:val="16"/>
                <w:highlight w:val="yellow"/>
              </w:rPr>
            </w:pPr>
          </w:p>
        </w:tc>
      </w:tr>
    </w:tbl>
    <w:p w14:paraId="302BBB88" w14:textId="77777777" w:rsidR="00B33613" w:rsidRPr="00166BEB" w:rsidRDefault="00B33613" w:rsidP="00B33613">
      <w:pPr>
        <w:rPr>
          <w:highlight w:val="yellow"/>
        </w:rPr>
      </w:pPr>
    </w:p>
    <w:p w14:paraId="18C6303E" w14:textId="77777777" w:rsidR="00B33613" w:rsidRPr="00355A4B" w:rsidRDefault="00B33613" w:rsidP="00B33613">
      <w:pPr>
        <w:spacing w:after="0" w:line="240" w:lineRule="auto"/>
        <w:rPr>
          <w:rFonts w:cs="Arial"/>
          <w:sz w:val="16"/>
          <w:szCs w:val="16"/>
        </w:rPr>
      </w:pPr>
      <w:r w:rsidRPr="00355A4B">
        <w:rPr>
          <w:rFonts w:cs="Arial"/>
          <w:sz w:val="16"/>
          <w:szCs w:val="16"/>
          <w:highlight w:val="lightGray"/>
        </w:rPr>
        <w:t>Přerušení v časové řadě</w:t>
      </w:r>
    </w:p>
    <w:p w14:paraId="7DDA8330" w14:textId="0A4A1110" w:rsidR="00434CAA" w:rsidRDefault="00B33613" w:rsidP="00434CAA">
      <w:pPr>
        <w:spacing w:after="120"/>
        <w:jc w:val="both"/>
        <w:rPr>
          <w:sz w:val="16"/>
        </w:rPr>
      </w:pPr>
      <w:r w:rsidRPr="00355A4B">
        <w:rPr>
          <w:sz w:val="16"/>
        </w:rPr>
        <w:t xml:space="preserve">Zdroj: </w:t>
      </w:r>
      <w:proofErr w:type="spellStart"/>
      <w:r w:rsidRPr="00355A4B">
        <w:rPr>
          <w:sz w:val="16"/>
        </w:rPr>
        <w:t>Eurostat</w:t>
      </w:r>
      <w:proofErr w:type="spellEnd"/>
      <w:r w:rsidRPr="00355A4B">
        <w:rPr>
          <w:sz w:val="16"/>
        </w:rPr>
        <w:t xml:space="preserve"> (ESAW)</w:t>
      </w:r>
    </w:p>
    <w:p w14:paraId="567D4803" w14:textId="77777777" w:rsidR="00434CAA" w:rsidRDefault="00434CAA">
      <w:pPr>
        <w:spacing w:after="0" w:line="240" w:lineRule="auto"/>
        <w:rPr>
          <w:sz w:val="16"/>
        </w:rPr>
      </w:pPr>
      <w:r>
        <w:rPr>
          <w:sz w:val="16"/>
        </w:rPr>
        <w:br w:type="page"/>
      </w:r>
    </w:p>
    <w:p w14:paraId="7467A407" w14:textId="4FA47E37" w:rsidR="00B11FB3" w:rsidRDefault="00434CAA" w:rsidP="00434CAA">
      <w:pPr>
        <w:pStyle w:val="Nadpis3"/>
        <w:numPr>
          <w:ilvl w:val="1"/>
          <w:numId w:val="32"/>
        </w:numPr>
        <w:spacing w:after="100"/>
        <w:ind w:left="284" w:hanging="284"/>
      </w:pPr>
      <w:bookmarkStart w:id="41" w:name="_Toc54262807"/>
      <w:bookmarkStart w:id="42" w:name="_Toc149295408"/>
      <w:bookmarkStart w:id="43" w:name="_Toc167965232"/>
      <w:bookmarkStart w:id="44" w:name="_GoBack"/>
      <w:bookmarkEnd w:id="44"/>
      <w:r w:rsidRPr="00953F3B">
        <w:lastRenderedPageBreak/>
        <w:t>Závěrečné shrnutí</w:t>
      </w:r>
      <w:bookmarkEnd w:id="41"/>
      <w:bookmarkEnd w:id="42"/>
      <w:bookmarkEnd w:id="43"/>
    </w:p>
    <w:p w14:paraId="05C6BBFF" w14:textId="7399F9F8" w:rsidR="0021008E" w:rsidRPr="00251BF8" w:rsidRDefault="0021008E" w:rsidP="0021008E">
      <w:pPr>
        <w:pStyle w:val="Odstavecseseznamem"/>
        <w:numPr>
          <w:ilvl w:val="0"/>
          <w:numId w:val="32"/>
        </w:numPr>
        <w:spacing w:after="120"/>
        <w:contextualSpacing w:val="0"/>
        <w:jc w:val="both"/>
      </w:pPr>
      <w:r w:rsidRPr="00251BF8">
        <w:t>V roce 2023 bylo v Česku</w:t>
      </w:r>
      <w:r w:rsidRPr="00251BF8">
        <w:rPr>
          <w:b/>
        </w:rPr>
        <w:t xml:space="preserve"> </w:t>
      </w:r>
      <w:proofErr w:type="spellStart"/>
      <w:r w:rsidRPr="00251BF8">
        <w:rPr>
          <w:b/>
        </w:rPr>
        <w:t>nemocensky</w:t>
      </w:r>
      <w:proofErr w:type="spellEnd"/>
      <w:r w:rsidRPr="00251BF8">
        <w:rPr>
          <w:b/>
        </w:rPr>
        <w:t xml:space="preserve"> pojištěno </w:t>
      </w:r>
      <w:r w:rsidRPr="00251BF8">
        <w:t>celkem</w:t>
      </w:r>
      <w:r w:rsidRPr="00251BF8">
        <w:rPr>
          <w:b/>
        </w:rPr>
        <w:t xml:space="preserve"> 4 767 tis.</w:t>
      </w:r>
      <w:r w:rsidRPr="00251BF8">
        <w:t xml:space="preserve"> </w:t>
      </w:r>
      <w:r w:rsidRPr="00251BF8">
        <w:rPr>
          <w:b/>
        </w:rPr>
        <w:t>osob</w:t>
      </w:r>
      <w:r w:rsidRPr="00251BF8">
        <w:t xml:space="preserve">, tedy o 19 tis. </w:t>
      </w:r>
      <w:r w:rsidR="00492878" w:rsidRPr="00251BF8">
        <w:t xml:space="preserve">(0,4 %) </w:t>
      </w:r>
      <w:r w:rsidRPr="00251BF8">
        <w:t>více</w:t>
      </w:r>
      <w:r w:rsidRPr="00251BF8">
        <w:rPr>
          <w:szCs w:val="20"/>
        </w:rPr>
        <w:t xml:space="preserve"> než před rokem. Meziročně nejvýrazněji vzrostl počet pojištěných zaměstnanců v oblasti Zdravotní a</w:t>
      </w:r>
      <w:r w:rsidR="00492878" w:rsidRPr="00251BF8">
        <w:rPr>
          <w:szCs w:val="20"/>
        </w:rPr>
        <w:t> </w:t>
      </w:r>
      <w:r w:rsidRPr="00251BF8">
        <w:rPr>
          <w:szCs w:val="20"/>
        </w:rPr>
        <w:t>sociální péče (o 2</w:t>
      </w:r>
      <w:r w:rsidR="00492878" w:rsidRPr="00251BF8">
        <w:rPr>
          <w:szCs w:val="20"/>
        </w:rPr>
        <w:t>4</w:t>
      </w:r>
      <w:r w:rsidRPr="00251BF8">
        <w:rPr>
          <w:szCs w:val="20"/>
        </w:rPr>
        <w:t xml:space="preserve"> tis.; tj. 6 %), Administrativní a podpůrné činnosti (o 13 tis.; tj. 5 %) a Vzdělávání, kde se zvýšil počet pojištěnců o 1</w:t>
      </w:r>
      <w:r w:rsidR="00492878" w:rsidRPr="00251BF8">
        <w:rPr>
          <w:szCs w:val="20"/>
        </w:rPr>
        <w:t>1</w:t>
      </w:r>
      <w:r w:rsidRPr="00251BF8">
        <w:rPr>
          <w:szCs w:val="20"/>
        </w:rPr>
        <w:t xml:space="preserve"> tis.; resp. o 3 %.</w:t>
      </w:r>
    </w:p>
    <w:p w14:paraId="19A6661E" w14:textId="6CEB4807" w:rsidR="00492878" w:rsidRPr="00251BF8" w:rsidRDefault="00492878" w:rsidP="00492878">
      <w:pPr>
        <w:pStyle w:val="Odstavecseseznamem"/>
        <w:numPr>
          <w:ilvl w:val="0"/>
          <w:numId w:val="32"/>
        </w:numPr>
        <w:spacing w:after="120"/>
        <w:contextualSpacing w:val="0"/>
        <w:jc w:val="both"/>
      </w:pPr>
      <w:r w:rsidRPr="00251BF8">
        <w:t xml:space="preserve">Stejně jako loni (tehdy se tak stalo vůbec poprvé v desetileté historii) bylo mezi pojištěnci více žen (50,6 %) než mužů (49,4 %). V </w:t>
      </w:r>
      <w:r w:rsidR="001F5D31" w:rsidRPr="00251BF8">
        <w:t>roce</w:t>
      </w:r>
      <w:r w:rsidRPr="00251BF8">
        <w:t xml:space="preserve"> 2023 bylo </w:t>
      </w:r>
      <w:proofErr w:type="spellStart"/>
      <w:r w:rsidRPr="00251BF8">
        <w:t>nemocensky</w:t>
      </w:r>
      <w:proofErr w:type="spellEnd"/>
      <w:r w:rsidRPr="00251BF8">
        <w:t xml:space="preserve"> pojištěných 2 4</w:t>
      </w:r>
      <w:r w:rsidR="001F5D31" w:rsidRPr="00251BF8">
        <w:t>13</w:t>
      </w:r>
      <w:r w:rsidRPr="00251BF8">
        <w:t xml:space="preserve"> tis. žen a 2 3</w:t>
      </w:r>
      <w:r w:rsidR="001F5D31" w:rsidRPr="00251BF8">
        <w:t>54</w:t>
      </w:r>
      <w:r w:rsidRPr="00251BF8">
        <w:t xml:space="preserve"> tis. mužů. Meziročně vzrostl počet pojištěných žen o </w:t>
      </w:r>
      <w:r w:rsidR="001F5D31" w:rsidRPr="00251BF8">
        <w:t>24</w:t>
      </w:r>
      <w:r w:rsidRPr="00251BF8">
        <w:t xml:space="preserve"> t</w:t>
      </w:r>
      <w:r w:rsidR="001F5D31" w:rsidRPr="00251BF8">
        <w:t>is. (v relativním vyjádření o 1</w:t>
      </w:r>
      <w:r w:rsidRPr="00251BF8">
        <w:t xml:space="preserve"> %), zatímco počet mužů se o necel</w:t>
      </w:r>
      <w:r w:rsidR="001F5D31" w:rsidRPr="00251BF8">
        <w:t>ých</w:t>
      </w:r>
      <w:r w:rsidRPr="00251BF8">
        <w:t xml:space="preserve"> </w:t>
      </w:r>
      <w:r w:rsidR="001F5D31" w:rsidRPr="00251BF8">
        <w:t>5</w:t>
      </w:r>
      <w:r w:rsidRPr="00251BF8">
        <w:t> tis. (0,</w:t>
      </w:r>
      <w:r w:rsidR="001F5D31" w:rsidRPr="00251BF8">
        <w:t>2</w:t>
      </w:r>
      <w:r w:rsidRPr="00251BF8">
        <w:t xml:space="preserve"> %) snížil.</w:t>
      </w:r>
    </w:p>
    <w:p w14:paraId="2C755BDE" w14:textId="51574771" w:rsidR="001F5D31" w:rsidRPr="00251BF8" w:rsidRDefault="001F5D31" w:rsidP="001F5D31">
      <w:pPr>
        <w:pStyle w:val="Odstavecseseznamem"/>
        <w:numPr>
          <w:ilvl w:val="0"/>
          <w:numId w:val="32"/>
        </w:numPr>
        <w:spacing w:after="120"/>
        <w:contextualSpacing w:val="0"/>
        <w:jc w:val="both"/>
        <w:rPr>
          <w:i/>
        </w:rPr>
      </w:pPr>
      <w:r w:rsidRPr="00251BF8">
        <w:t xml:space="preserve">V roce 2023 bylo nahlášeno celkem </w:t>
      </w:r>
      <w:r w:rsidRPr="00251BF8">
        <w:rPr>
          <w:b/>
        </w:rPr>
        <w:t>2 535 tis.</w:t>
      </w:r>
      <w:r w:rsidRPr="00251BF8">
        <w:t xml:space="preserve"> </w:t>
      </w:r>
      <w:r w:rsidRPr="00251BF8">
        <w:rPr>
          <w:b/>
        </w:rPr>
        <w:t>případů dočasné pracovní neschopnosti</w:t>
      </w:r>
      <w:r w:rsidRPr="00251BF8">
        <w:t xml:space="preserve">. Ve srovnání s rokem 2019 (tedy obdobím před pandemií) přibylo 620 tis. případů. </w:t>
      </w:r>
      <w:r w:rsidRPr="00251BF8">
        <w:rPr>
          <w:b/>
        </w:rPr>
        <w:t xml:space="preserve">Ženy </w:t>
      </w:r>
      <w:r w:rsidRPr="00251BF8">
        <w:t xml:space="preserve">nahlásily </w:t>
      </w:r>
      <w:r w:rsidR="00B414B3" w:rsidRPr="00251BF8">
        <w:t xml:space="preserve">1 401 </w:t>
      </w:r>
      <w:r w:rsidRPr="00251BF8">
        <w:t xml:space="preserve">tis. neschopenek, zatímco </w:t>
      </w:r>
      <w:r w:rsidRPr="00251BF8">
        <w:rPr>
          <w:b/>
        </w:rPr>
        <w:t>muži</w:t>
      </w:r>
      <w:r w:rsidRPr="00251BF8">
        <w:t xml:space="preserve"> o </w:t>
      </w:r>
      <w:r w:rsidR="00B414B3" w:rsidRPr="00251BF8">
        <w:t xml:space="preserve">necelou </w:t>
      </w:r>
      <w:r w:rsidRPr="00251BF8">
        <w:t xml:space="preserve">čtvrtinu </w:t>
      </w:r>
      <w:r w:rsidRPr="00251BF8">
        <w:rPr>
          <w:b/>
        </w:rPr>
        <w:t>méně</w:t>
      </w:r>
      <w:r w:rsidRPr="00251BF8">
        <w:t xml:space="preserve">, a sice </w:t>
      </w:r>
      <w:r w:rsidR="00B414B3" w:rsidRPr="00251BF8">
        <w:t>1 134</w:t>
      </w:r>
      <w:r w:rsidRPr="00251BF8">
        <w:t xml:space="preserve"> tis.</w:t>
      </w:r>
    </w:p>
    <w:p w14:paraId="5D07E853" w14:textId="64658220" w:rsidR="00B414B3" w:rsidRPr="00251BF8" w:rsidRDefault="00B414B3" w:rsidP="00B414B3">
      <w:pPr>
        <w:pStyle w:val="Odstavecseseznamem"/>
        <w:numPr>
          <w:ilvl w:val="0"/>
          <w:numId w:val="32"/>
        </w:numPr>
        <w:spacing w:after="120"/>
        <w:contextualSpacing w:val="0"/>
        <w:jc w:val="both"/>
      </w:pPr>
      <w:r w:rsidRPr="00251BF8">
        <w:t xml:space="preserve">Srovnáme-li současný stav s obdobím před pandemií, počet </w:t>
      </w:r>
      <w:r w:rsidRPr="00251BF8">
        <w:rPr>
          <w:b/>
        </w:rPr>
        <w:t>neschopenek</w:t>
      </w:r>
      <w:r w:rsidRPr="00251BF8">
        <w:t xml:space="preserve"> </w:t>
      </w:r>
      <w:r w:rsidRPr="00251BF8">
        <w:rPr>
          <w:b/>
        </w:rPr>
        <w:t>pro nemoc</w:t>
      </w:r>
      <w:r w:rsidRPr="00251BF8">
        <w:t xml:space="preserve"> se zvýšil o 36 %. </w:t>
      </w:r>
      <w:r w:rsidRPr="00251BF8">
        <w:rPr>
          <w:b/>
        </w:rPr>
        <w:t>U mužů</w:t>
      </w:r>
      <w:r w:rsidRPr="00251BF8">
        <w:t xml:space="preserve"> vzrostl o 30 % (+232 tis.), </w:t>
      </w:r>
      <w:r w:rsidRPr="00251BF8">
        <w:rPr>
          <w:b/>
        </w:rPr>
        <w:t>u žen</w:t>
      </w:r>
      <w:r w:rsidRPr="00251BF8">
        <w:t xml:space="preserve"> o 41 % (+380 tis.). Celkem bylo v roce 2023 nahlášeno 2 323 tis. případů pracovní neschopnosti pro nemoc.</w:t>
      </w:r>
    </w:p>
    <w:p w14:paraId="302DB05D" w14:textId="5D35B884" w:rsidR="009F673D" w:rsidRPr="00251BF8" w:rsidRDefault="009F673D" w:rsidP="009F673D">
      <w:pPr>
        <w:pStyle w:val="Odstavecseseznamem"/>
        <w:numPr>
          <w:ilvl w:val="0"/>
          <w:numId w:val="32"/>
        </w:numPr>
        <w:spacing w:after="120"/>
        <w:contextualSpacing w:val="0"/>
        <w:jc w:val="both"/>
      </w:pPr>
      <w:r w:rsidRPr="00251BF8">
        <w:t xml:space="preserve">Pro </w:t>
      </w:r>
      <w:r w:rsidRPr="00251BF8">
        <w:rPr>
          <w:b/>
        </w:rPr>
        <w:t xml:space="preserve">pracovní úraz </w:t>
      </w:r>
      <w:r w:rsidRPr="00251BF8">
        <w:t>bylo nahlášeno 44 tis. neschopenek, tj. meziročně o 1,1 tis. méně. Došlo k </w:t>
      </w:r>
      <w:r w:rsidR="00C8357C" w:rsidRPr="00251BF8">
        <w:t>77</w:t>
      </w:r>
      <w:r w:rsidRPr="00251BF8">
        <w:t> </w:t>
      </w:r>
      <w:r w:rsidRPr="00251BF8">
        <w:rPr>
          <w:b/>
        </w:rPr>
        <w:t>smrtelným pracovním úrazům</w:t>
      </w:r>
      <w:r w:rsidRPr="00251BF8">
        <w:t xml:space="preserve">, </w:t>
      </w:r>
      <w:r w:rsidR="00DD5A0D" w:rsidRPr="00251BF8">
        <w:t xml:space="preserve">což je </w:t>
      </w:r>
      <w:r w:rsidRPr="00251BF8">
        <w:t xml:space="preserve">o </w:t>
      </w:r>
      <w:r w:rsidR="00C8357C" w:rsidRPr="00251BF8">
        <w:t>11</w:t>
      </w:r>
      <w:r w:rsidRPr="00251BF8">
        <w:t xml:space="preserve"> </w:t>
      </w:r>
      <w:r w:rsidR="00C8357C" w:rsidRPr="00251BF8">
        <w:t>méně</w:t>
      </w:r>
      <w:r w:rsidRPr="00251BF8">
        <w:t xml:space="preserve"> než v roce 2022.</w:t>
      </w:r>
    </w:p>
    <w:p w14:paraId="59EAEDF7" w14:textId="3A6E55BD" w:rsidR="009F673D" w:rsidRPr="00251BF8" w:rsidRDefault="009F673D" w:rsidP="009F673D">
      <w:pPr>
        <w:pStyle w:val="Odstavecseseznamem"/>
        <w:numPr>
          <w:ilvl w:val="0"/>
          <w:numId w:val="32"/>
        </w:numPr>
        <w:spacing w:after="120"/>
        <w:contextualSpacing w:val="0"/>
        <w:jc w:val="both"/>
      </w:pPr>
      <w:r w:rsidRPr="00251BF8">
        <w:t>V roce 2023</w:t>
      </w:r>
      <w:r w:rsidRPr="00251BF8">
        <w:rPr>
          <w:b/>
        </w:rPr>
        <w:t xml:space="preserve"> na 100 pojištěnců</w:t>
      </w:r>
      <w:r w:rsidRPr="00251BF8">
        <w:t xml:space="preserve"> připadalo 53 nově hlášených </w:t>
      </w:r>
      <w:r w:rsidRPr="00251BF8">
        <w:rPr>
          <w:b/>
        </w:rPr>
        <w:t>případů</w:t>
      </w:r>
      <w:r w:rsidRPr="00251BF8">
        <w:t xml:space="preserve"> dočasné </w:t>
      </w:r>
      <w:r w:rsidRPr="00251BF8">
        <w:rPr>
          <w:b/>
        </w:rPr>
        <w:t>pracovní neschopnosti</w:t>
      </w:r>
      <w:r w:rsidRPr="00251BF8">
        <w:t xml:space="preserve">. To je o 13 více než v roce 2019. Tento ukazatel oproti době před pandemií </w:t>
      </w:r>
      <w:r w:rsidR="00C12C70">
        <w:t xml:space="preserve">(2019) </w:t>
      </w:r>
      <w:r w:rsidRPr="00251BF8">
        <w:t xml:space="preserve">vzrostl ve všech odvětvových sekcích. Nejvíce </w:t>
      </w:r>
      <w:r w:rsidRPr="00251BF8">
        <w:rPr>
          <w:rFonts w:cs="Arial"/>
        </w:rPr>
        <w:t xml:space="preserve">v oblasti </w:t>
      </w:r>
      <w:r w:rsidRPr="00251BF8">
        <w:rPr>
          <w:rFonts w:cs="Arial"/>
          <w:b/>
        </w:rPr>
        <w:t>Vzdělávání</w:t>
      </w:r>
      <w:r w:rsidRPr="00251BF8">
        <w:rPr>
          <w:rFonts w:cs="Arial"/>
        </w:rPr>
        <w:t>, a to o 27 případů na 100 pojištěnců, tedy o 76 %.</w:t>
      </w:r>
    </w:p>
    <w:p w14:paraId="377CF52F" w14:textId="1CF5109C" w:rsidR="009F673D" w:rsidRPr="00251BF8" w:rsidRDefault="009F673D" w:rsidP="009F673D">
      <w:pPr>
        <w:pStyle w:val="Odstavecseseznamem"/>
        <w:numPr>
          <w:ilvl w:val="0"/>
          <w:numId w:val="32"/>
        </w:numPr>
        <w:spacing w:after="120"/>
        <w:contextualSpacing w:val="0"/>
        <w:jc w:val="both"/>
      </w:pPr>
      <w:r w:rsidRPr="00251BF8">
        <w:t xml:space="preserve">Celkově strávili pojištěnci ve sledovaném roce </w:t>
      </w:r>
      <w:r w:rsidRPr="00251BF8">
        <w:rPr>
          <w:b/>
        </w:rPr>
        <w:t>v pracovní neschopnosti 79 564 tis. dnů</w:t>
      </w:r>
      <w:r w:rsidRPr="00251BF8">
        <w:t>, což je o 2 % méně než v roce 2019.</w:t>
      </w:r>
    </w:p>
    <w:p w14:paraId="5AE1DD3A" w14:textId="55F7932F" w:rsidR="009F673D" w:rsidRPr="00251BF8" w:rsidRDefault="009F673D" w:rsidP="006E270F">
      <w:pPr>
        <w:pStyle w:val="Odstavecseseznamem"/>
        <w:numPr>
          <w:ilvl w:val="0"/>
          <w:numId w:val="32"/>
        </w:numPr>
        <w:spacing w:after="120"/>
        <w:contextualSpacing w:val="0"/>
        <w:jc w:val="both"/>
      </w:pPr>
      <w:r w:rsidRPr="00251BF8">
        <w:t xml:space="preserve">Zatímco během </w:t>
      </w:r>
      <w:proofErr w:type="spellStart"/>
      <w:r w:rsidRPr="00251BF8">
        <w:t>covidu</w:t>
      </w:r>
      <w:proofErr w:type="spellEnd"/>
      <w:r w:rsidRPr="00251BF8">
        <w:t xml:space="preserve"> se průměrná délka trvání případu pracovní neschopnosti snižovala (z důvodu velkého množství krátkodobých pracovních neschopností pro nemoc, tedy vč. karantén), v roce 2023 došlo v průměru k prodloužení neschopenky.</w:t>
      </w:r>
      <w:r w:rsidR="006E270F">
        <w:t xml:space="preserve"> </w:t>
      </w:r>
      <w:r w:rsidRPr="006E270F">
        <w:rPr>
          <w:b/>
        </w:rPr>
        <w:t>Průměrná délka</w:t>
      </w:r>
      <w:r w:rsidRPr="00251BF8">
        <w:t xml:space="preserve"> </w:t>
      </w:r>
      <w:r w:rsidRPr="006E270F">
        <w:rPr>
          <w:b/>
        </w:rPr>
        <w:t>trvání pracovní neschopnosti</w:t>
      </w:r>
      <w:r w:rsidRPr="00251BF8">
        <w:t xml:space="preserve"> meziročně vzrostla </w:t>
      </w:r>
      <w:proofErr w:type="gramStart"/>
      <w:r w:rsidRPr="00251BF8">
        <w:t>ze</w:t>
      </w:r>
      <w:proofErr w:type="gramEnd"/>
      <w:r w:rsidRPr="00251BF8">
        <w:t xml:space="preserve"> 26,3 dne v roce 2022 na 31,4 dne o rok později. Oproti roku 2019 klesla o</w:t>
      </w:r>
      <w:r w:rsidR="00957C5B">
        <w:t> </w:t>
      </w:r>
      <w:r w:rsidRPr="00251BF8">
        <w:t>11</w:t>
      </w:r>
      <w:r w:rsidR="00957C5B">
        <w:t> </w:t>
      </w:r>
      <w:r w:rsidRPr="00251BF8">
        <w:t>dnů.</w:t>
      </w:r>
    </w:p>
    <w:p w14:paraId="405243DD" w14:textId="4A10A272" w:rsidR="009F673D" w:rsidRPr="00251BF8" w:rsidRDefault="009F673D" w:rsidP="009F673D">
      <w:pPr>
        <w:pStyle w:val="Odstavecseseznamem"/>
        <w:numPr>
          <w:ilvl w:val="0"/>
          <w:numId w:val="32"/>
        </w:numPr>
        <w:spacing w:after="120"/>
        <w:contextualSpacing w:val="0"/>
        <w:jc w:val="both"/>
      </w:pPr>
      <w:r w:rsidRPr="00251BF8">
        <w:rPr>
          <w:b/>
        </w:rPr>
        <w:t>Ženy</w:t>
      </w:r>
      <w:r w:rsidRPr="00251BF8">
        <w:t xml:space="preserve"> strávily v pracovní neschopnosti v průměru na 1 případ 31 dnů, muži 31,9 dne. Ženám se meziročně prodloužila průměrná délka pobytu v pracovní neschopnosti o </w:t>
      </w:r>
      <w:r w:rsidR="009E75A6" w:rsidRPr="00251BF8">
        <w:t xml:space="preserve">4,4 </w:t>
      </w:r>
      <w:r w:rsidRPr="00251BF8">
        <w:t>dn</w:t>
      </w:r>
      <w:r w:rsidR="009E75A6" w:rsidRPr="00251BF8">
        <w:t>e</w:t>
      </w:r>
      <w:r w:rsidRPr="00251BF8">
        <w:t xml:space="preserve">, mužům o </w:t>
      </w:r>
      <w:r w:rsidR="009E75A6" w:rsidRPr="00251BF8">
        <w:t>5,</w:t>
      </w:r>
      <w:r w:rsidRPr="00251BF8">
        <w:t>8.</w:t>
      </w:r>
    </w:p>
    <w:p w14:paraId="4E1ADCDB" w14:textId="22EE82BB" w:rsidR="001907BB" w:rsidRPr="00251BF8" w:rsidRDefault="001907BB" w:rsidP="001907BB">
      <w:pPr>
        <w:pStyle w:val="Odstavecseseznamem"/>
        <w:numPr>
          <w:ilvl w:val="0"/>
          <w:numId w:val="32"/>
        </w:numPr>
        <w:spacing w:after="120"/>
        <w:contextualSpacing w:val="0"/>
        <w:jc w:val="both"/>
      </w:pPr>
      <w:r w:rsidRPr="00251BF8">
        <w:t>Nejdelší doba pracovní neschopnosti (45 dnů) byla v sekci Zemědělství, lesnictví, rybářství, Ubytování, stravování a pohostinství (43 dnů) a Stavebnictví (42 dnů). Nejkratší byla naopak v  Informačních a komunikačních činnostech (18) a ve Vzdělávání (20).</w:t>
      </w:r>
    </w:p>
    <w:p w14:paraId="3513FD0C" w14:textId="2F2DCC6F" w:rsidR="001907BB" w:rsidRPr="00251BF8" w:rsidRDefault="001907BB" w:rsidP="001907BB">
      <w:pPr>
        <w:pStyle w:val="Odstavecseseznamem"/>
        <w:numPr>
          <w:ilvl w:val="0"/>
          <w:numId w:val="32"/>
        </w:numPr>
        <w:spacing w:after="120"/>
        <w:contextualSpacing w:val="0"/>
        <w:jc w:val="both"/>
      </w:pPr>
      <w:r w:rsidRPr="00251BF8">
        <w:rPr>
          <w:b/>
        </w:rPr>
        <w:t xml:space="preserve">Průměrné procento dočasné pracovní neschopnosti </w:t>
      </w:r>
      <w:r w:rsidRPr="00251BF8">
        <w:t>v roce 2023 dosáhlo hodnoty 4,6. V případě mužů činila hodnota 4,2 %, u žen 4,9 %. Průměrné procento se oproti roku 2019 snížilo o 0,1 p. b.</w:t>
      </w:r>
    </w:p>
    <w:p w14:paraId="62A57896" w14:textId="777DB0A0" w:rsidR="001907BB" w:rsidRPr="00251BF8" w:rsidRDefault="001907BB" w:rsidP="001907BB">
      <w:pPr>
        <w:pStyle w:val="Odstavecseseznamem"/>
        <w:numPr>
          <w:ilvl w:val="0"/>
          <w:numId w:val="32"/>
        </w:numPr>
        <w:spacing w:after="120"/>
        <w:contextualSpacing w:val="0"/>
        <w:jc w:val="both"/>
      </w:pPr>
      <w:r w:rsidRPr="00251BF8">
        <w:t xml:space="preserve">Během roku 2023 v České republice kvůli dočasné pracovní neschopnosti </w:t>
      </w:r>
      <w:r w:rsidRPr="00251BF8">
        <w:rPr>
          <w:b/>
        </w:rPr>
        <w:t xml:space="preserve">denně na pracovištích chybělo 217 985 </w:t>
      </w:r>
      <w:proofErr w:type="spellStart"/>
      <w:r w:rsidRPr="00251BF8">
        <w:rPr>
          <w:b/>
        </w:rPr>
        <w:t>nemocensky</w:t>
      </w:r>
      <w:proofErr w:type="spellEnd"/>
      <w:r w:rsidRPr="00251BF8">
        <w:rPr>
          <w:b/>
        </w:rPr>
        <w:t xml:space="preserve"> pojištěných osob</w:t>
      </w:r>
      <w:r w:rsidRPr="00251BF8">
        <w:t>, což bylo ve srovnání s rokem 2019 přibližně o 4,5 tis. (2 %) zaměstnaných osob méně.</w:t>
      </w:r>
    </w:p>
    <w:p w14:paraId="2C094034" w14:textId="2F836EFE" w:rsidR="001907BB" w:rsidRPr="00251BF8" w:rsidRDefault="001907BB" w:rsidP="001907BB">
      <w:pPr>
        <w:pStyle w:val="Odstavecseseznamem"/>
        <w:numPr>
          <w:ilvl w:val="0"/>
          <w:numId w:val="32"/>
        </w:numPr>
        <w:spacing w:after="120"/>
        <w:contextualSpacing w:val="0"/>
        <w:jc w:val="both"/>
      </w:pPr>
      <w:r w:rsidRPr="00251BF8">
        <w:t xml:space="preserve">Více než dvě pětiny (42 %) případů pracovní neschopnosti byly spojeny s diagnózou </w:t>
      </w:r>
      <w:r w:rsidRPr="00251BF8">
        <w:rPr>
          <w:b/>
        </w:rPr>
        <w:t>nemoci dýchací soustavy</w:t>
      </w:r>
      <w:r w:rsidRPr="00251BF8">
        <w:t xml:space="preserve">. V průměru trvaly 12 dnů na případ. </w:t>
      </w:r>
      <w:r w:rsidRPr="00251BF8">
        <w:rPr>
          <w:b/>
        </w:rPr>
        <w:t xml:space="preserve">Nemoci pohybové soustavy </w:t>
      </w:r>
      <w:r w:rsidRPr="00251BF8">
        <w:t>způsobily 15 % pracovních neschopností s průměrnou délkou cca 2 měsíce.</w:t>
      </w:r>
    </w:p>
    <w:p w14:paraId="16201CD5" w14:textId="7BBEA1BD" w:rsidR="00B11FB3" w:rsidRPr="00251BF8" w:rsidRDefault="001907BB" w:rsidP="001907BB">
      <w:pPr>
        <w:pStyle w:val="Odstavecseseznamem"/>
        <w:numPr>
          <w:ilvl w:val="0"/>
          <w:numId w:val="32"/>
        </w:numPr>
        <w:spacing w:after="120"/>
        <w:contextualSpacing w:val="0"/>
        <w:jc w:val="both"/>
      </w:pPr>
      <w:r w:rsidRPr="00251BF8">
        <w:t xml:space="preserve">Za rok 2023 bylo pojištěncům vyplaceno nemocenské ve výši 32 mld. Kč. Meziročně výdaje klesly o 1 mld. Kč, tj. o </w:t>
      </w:r>
      <w:r w:rsidR="00335AC8" w:rsidRPr="00251BF8">
        <w:t>3,3</w:t>
      </w:r>
      <w:r w:rsidRPr="00251BF8">
        <w:t xml:space="preserve"> %. Výdaje na nemocenské v přepočtu na jednoho pojištěnce činily 6 646 Kč.</w:t>
      </w:r>
      <w:r w:rsidR="00B11FB3" w:rsidRPr="00251BF8">
        <w:br w:type="page"/>
      </w:r>
    </w:p>
    <w:p w14:paraId="28783180" w14:textId="5D640437" w:rsidR="00B11FB3" w:rsidRPr="008029B3" w:rsidRDefault="00B11FB3" w:rsidP="00B11FB3">
      <w:pPr>
        <w:pStyle w:val="Nadpis2"/>
      </w:pPr>
      <w:bookmarkStart w:id="45" w:name="_Toc136412159"/>
      <w:bookmarkStart w:id="46" w:name="_Toc167965233"/>
      <w:r w:rsidRPr="00251BF8">
        <w:lastRenderedPageBreak/>
        <w:t>5. Použité zkratky a značky</w:t>
      </w:r>
      <w:bookmarkEnd w:id="45"/>
      <w:bookmarkEnd w:id="46"/>
    </w:p>
    <w:p w14:paraId="260FC7DB" w14:textId="77777777" w:rsidR="00B11FB3" w:rsidRPr="009148AF" w:rsidRDefault="00B11FB3" w:rsidP="00B11FB3">
      <w:pPr>
        <w:pStyle w:val="Zkladntextodsazen"/>
        <w:spacing w:line="288" w:lineRule="auto"/>
        <w:ind w:left="0"/>
        <w:jc w:val="both"/>
        <w:rPr>
          <w:rFonts w:cs="Arial"/>
        </w:rPr>
      </w:pPr>
      <w:r w:rsidRPr="009148AF">
        <w:rPr>
          <w:rFonts w:cs="Arial"/>
        </w:rPr>
        <w:t>–</w:t>
      </w:r>
      <w:r w:rsidRPr="009148AF">
        <w:rPr>
          <w:rFonts w:cs="Arial"/>
        </w:rPr>
        <w:tab/>
      </w:r>
      <w:r w:rsidRPr="009148AF">
        <w:rPr>
          <w:rFonts w:cs="Arial"/>
        </w:rPr>
        <w:tab/>
        <w:t>pomlčka na místě čísla značí, že se jev nevyskytoval</w:t>
      </w:r>
    </w:p>
    <w:p w14:paraId="4672D38E" w14:textId="77777777" w:rsidR="00B11FB3" w:rsidRPr="009148AF" w:rsidRDefault="00B11FB3" w:rsidP="00B11FB3">
      <w:pPr>
        <w:pStyle w:val="Zkladntextodsazen"/>
        <w:spacing w:line="288" w:lineRule="auto"/>
        <w:ind w:left="0"/>
        <w:jc w:val="both"/>
        <w:rPr>
          <w:rFonts w:cs="Arial"/>
        </w:rPr>
      </w:pPr>
      <w:r w:rsidRPr="009148AF">
        <w:rPr>
          <w:rFonts w:cs="Arial"/>
        </w:rPr>
        <w:t>x</w:t>
      </w:r>
      <w:r w:rsidRPr="009148AF">
        <w:rPr>
          <w:rFonts w:cs="Arial"/>
        </w:rPr>
        <w:tab/>
      </w:r>
      <w:r w:rsidRPr="009148AF">
        <w:rPr>
          <w:rFonts w:cs="Arial"/>
        </w:rPr>
        <w:tab/>
        <w:t>křížek (písmeno „x“) na místě čísla značí, že zápis není možný z logických důvodů</w:t>
      </w:r>
    </w:p>
    <w:p w14:paraId="3E2AD4DD" w14:textId="77777777" w:rsidR="00B11FB3" w:rsidRPr="009148AF" w:rsidRDefault="00B11FB3" w:rsidP="00B11FB3">
      <w:pPr>
        <w:pStyle w:val="Zkladntextodsazen"/>
        <w:spacing w:line="288" w:lineRule="auto"/>
        <w:ind w:left="0"/>
        <w:jc w:val="both"/>
        <w:rPr>
          <w:rFonts w:cs="Arial"/>
        </w:rPr>
      </w:pPr>
      <w:r w:rsidRPr="009148AF">
        <w:rPr>
          <w:rFonts w:cs="Arial"/>
        </w:rPr>
        <w:t>0</w:t>
      </w:r>
      <w:r w:rsidRPr="009148AF">
        <w:rPr>
          <w:rFonts w:cs="Arial"/>
        </w:rPr>
        <w:tab/>
      </w:r>
      <w:r w:rsidRPr="009148AF">
        <w:rPr>
          <w:rFonts w:cs="Arial"/>
        </w:rPr>
        <w:tab/>
        <w:t>nula se používá pro označení číselných údajů menších než polovina zvolené měřicí jednotky</w:t>
      </w:r>
    </w:p>
    <w:p w14:paraId="0C34F9CE" w14:textId="77777777" w:rsidR="00B11FB3" w:rsidRPr="009148AF" w:rsidRDefault="00B11FB3" w:rsidP="00B11FB3">
      <w:pPr>
        <w:pStyle w:val="Zkladntextodsazen"/>
        <w:spacing w:line="288" w:lineRule="auto"/>
        <w:ind w:left="0"/>
        <w:jc w:val="both"/>
        <w:rPr>
          <w:rFonts w:cs="Arial"/>
        </w:rPr>
      </w:pPr>
      <w:r w:rsidRPr="009148AF">
        <w:rPr>
          <w:rFonts w:cs="Arial"/>
        </w:rPr>
        <w:t>i. d.</w:t>
      </w:r>
      <w:r w:rsidRPr="009148AF">
        <w:rPr>
          <w:rFonts w:cs="Arial"/>
        </w:rPr>
        <w:tab/>
      </w:r>
      <w:r w:rsidRPr="009148AF">
        <w:rPr>
          <w:rFonts w:cs="Arial"/>
        </w:rPr>
        <w:tab/>
        <w:t>značí důvěrná data (individuální údaje i důvěrné statistické údaje)</w:t>
      </w:r>
    </w:p>
    <w:p w14:paraId="67600D4E" w14:textId="77777777" w:rsidR="00B11FB3" w:rsidRPr="00B11FB3" w:rsidRDefault="00B11FB3" w:rsidP="00B11FB3">
      <w:pPr>
        <w:pStyle w:val="Zkladntextodsazen"/>
        <w:spacing w:line="288" w:lineRule="auto"/>
        <w:ind w:left="0"/>
        <w:jc w:val="both"/>
        <w:rPr>
          <w:rFonts w:cs="Arial"/>
          <w:highlight w:val="yellow"/>
        </w:rPr>
      </w:pPr>
    </w:p>
    <w:p w14:paraId="6AEB4F63" w14:textId="77777777" w:rsidR="00B11FB3" w:rsidRPr="009148AF" w:rsidRDefault="00B11FB3" w:rsidP="00B11FB3">
      <w:pPr>
        <w:pStyle w:val="Zkladntextodsazen"/>
        <w:spacing w:line="288" w:lineRule="auto"/>
        <w:ind w:left="0"/>
      </w:pPr>
      <w:r w:rsidRPr="009148AF">
        <w:t>CZ-NACE</w:t>
      </w:r>
      <w:r w:rsidRPr="009148AF">
        <w:tab/>
        <w:t>Klasifikace ekonomických činností</w:t>
      </w:r>
    </w:p>
    <w:p w14:paraId="2F8CF076" w14:textId="77777777" w:rsidR="00B11FB3" w:rsidRPr="009148AF" w:rsidRDefault="00B11FB3" w:rsidP="00B11FB3">
      <w:pPr>
        <w:pStyle w:val="Zkladntextodsazen"/>
        <w:spacing w:line="288" w:lineRule="auto"/>
        <w:ind w:left="0"/>
      </w:pPr>
      <w:r w:rsidRPr="009148AF">
        <w:t>ČBÚ</w:t>
      </w:r>
      <w:r w:rsidRPr="009148AF">
        <w:tab/>
      </w:r>
      <w:r w:rsidRPr="009148AF">
        <w:tab/>
        <w:t>Český báňský úřad</w:t>
      </w:r>
    </w:p>
    <w:p w14:paraId="4CF1A466" w14:textId="77777777" w:rsidR="00B11FB3" w:rsidRPr="009148AF" w:rsidRDefault="00B11FB3" w:rsidP="00B11FB3">
      <w:pPr>
        <w:pStyle w:val="Zkladntextodsazen"/>
        <w:spacing w:line="288" w:lineRule="auto"/>
        <w:ind w:left="0"/>
      </w:pPr>
      <w:r w:rsidRPr="009148AF">
        <w:t>ČR</w:t>
      </w:r>
      <w:r w:rsidRPr="009148AF">
        <w:tab/>
      </w:r>
      <w:r w:rsidRPr="009148AF">
        <w:tab/>
        <w:t>Česká republika</w:t>
      </w:r>
    </w:p>
    <w:p w14:paraId="6D3CCC78" w14:textId="77777777" w:rsidR="00B11FB3" w:rsidRPr="009148AF" w:rsidRDefault="00B11FB3" w:rsidP="00B11FB3">
      <w:pPr>
        <w:pStyle w:val="Zkladntextodsazen"/>
        <w:spacing w:line="288" w:lineRule="auto"/>
        <w:ind w:left="0"/>
      </w:pPr>
      <w:r w:rsidRPr="009148AF">
        <w:t>ČSSZ</w:t>
      </w:r>
      <w:r w:rsidRPr="009148AF">
        <w:tab/>
      </w:r>
      <w:r w:rsidRPr="009148AF">
        <w:tab/>
        <w:t>Česká správa sociálního zabezpečení</w:t>
      </w:r>
    </w:p>
    <w:p w14:paraId="507D1B9E" w14:textId="77777777" w:rsidR="00B11FB3" w:rsidRPr="009148AF" w:rsidRDefault="00B11FB3" w:rsidP="00B11FB3">
      <w:pPr>
        <w:pStyle w:val="Zkladntextodsazen"/>
        <w:spacing w:line="288" w:lineRule="auto"/>
        <w:ind w:left="0"/>
      </w:pPr>
      <w:r w:rsidRPr="009148AF">
        <w:t>ČSÚ</w:t>
      </w:r>
      <w:r w:rsidRPr="009148AF">
        <w:tab/>
      </w:r>
      <w:r w:rsidRPr="009148AF">
        <w:tab/>
        <w:t>Český statistický úřad</w:t>
      </w:r>
    </w:p>
    <w:p w14:paraId="6A995855" w14:textId="77777777" w:rsidR="00B11FB3" w:rsidRPr="009148AF" w:rsidRDefault="00B11FB3" w:rsidP="00B11FB3">
      <w:pPr>
        <w:pStyle w:val="Zkladntextodsazen"/>
        <w:spacing w:line="288" w:lineRule="auto"/>
        <w:ind w:left="0"/>
        <w:jc w:val="both"/>
        <w:rPr>
          <w:rFonts w:cs="Arial"/>
        </w:rPr>
      </w:pPr>
      <w:r w:rsidRPr="009148AF">
        <w:rPr>
          <w:rFonts w:cs="Arial"/>
        </w:rPr>
        <w:t>DPN</w:t>
      </w:r>
      <w:r w:rsidRPr="009148AF">
        <w:rPr>
          <w:rFonts w:cs="Arial"/>
        </w:rPr>
        <w:tab/>
      </w:r>
      <w:r w:rsidRPr="009148AF">
        <w:rPr>
          <w:rFonts w:cs="Arial"/>
        </w:rPr>
        <w:tab/>
        <w:t>dočasná pracovní neschopnost</w:t>
      </w:r>
    </w:p>
    <w:p w14:paraId="17DEB037" w14:textId="77777777" w:rsidR="00B11FB3" w:rsidRPr="009148AF" w:rsidRDefault="00B11FB3" w:rsidP="00B11FB3">
      <w:pPr>
        <w:pStyle w:val="Zkladntextodsazen"/>
        <w:spacing w:line="288" w:lineRule="auto"/>
        <w:ind w:left="0"/>
        <w:jc w:val="both"/>
        <w:rPr>
          <w:rFonts w:cs="Arial"/>
        </w:rPr>
      </w:pPr>
      <w:r w:rsidRPr="009148AF">
        <w:rPr>
          <w:rFonts w:cs="Arial"/>
        </w:rPr>
        <w:t>ESA</w:t>
      </w:r>
      <w:r w:rsidRPr="009148AF">
        <w:rPr>
          <w:rFonts w:cs="Arial"/>
        </w:rPr>
        <w:tab/>
      </w:r>
      <w:r w:rsidRPr="009148AF">
        <w:rPr>
          <w:rFonts w:cs="Arial"/>
        </w:rPr>
        <w:tab/>
        <w:t>Evropský systém účtů</w:t>
      </w:r>
    </w:p>
    <w:p w14:paraId="551AE0B5" w14:textId="77777777" w:rsidR="00B11FB3" w:rsidRPr="009148AF" w:rsidRDefault="00B11FB3" w:rsidP="00B11FB3">
      <w:pPr>
        <w:pStyle w:val="Zkladntextodsazen"/>
        <w:spacing w:line="288" w:lineRule="auto"/>
        <w:ind w:left="0"/>
        <w:jc w:val="both"/>
      </w:pPr>
      <w:r w:rsidRPr="009148AF">
        <w:rPr>
          <w:rFonts w:cs="Arial"/>
        </w:rPr>
        <w:t>ESAW</w:t>
      </w:r>
      <w:r w:rsidRPr="009148AF">
        <w:rPr>
          <w:rFonts w:cs="Arial"/>
        </w:rPr>
        <w:tab/>
      </w:r>
      <w:r w:rsidRPr="009148AF">
        <w:rPr>
          <w:rFonts w:cs="Arial"/>
        </w:rPr>
        <w:tab/>
      </w:r>
      <w:proofErr w:type="spellStart"/>
      <w:r w:rsidRPr="009148AF">
        <w:rPr>
          <w:rFonts w:cs="Arial"/>
        </w:rPr>
        <w:t>European</w:t>
      </w:r>
      <w:proofErr w:type="spellEnd"/>
      <w:r w:rsidRPr="009148AF">
        <w:rPr>
          <w:rFonts w:cs="Arial"/>
        </w:rPr>
        <w:t xml:space="preserve"> </w:t>
      </w:r>
      <w:proofErr w:type="spellStart"/>
      <w:r w:rsidRPr="009148AF">
        <w:rPr>
          <w:rFonts w:cs="Arial"/>
        </w:rPr>
        <w:t>Statistics</w:t>
      </w:r>
      <w:proofErr w:type="spellEnd"/>
      <w:r w:rsidRPr="009148AF">
        <w:rPr>
          <w:rFonts w:cs="Arial"/>
        </w:rPr>
        <w:t xml:space="preserve"> on </w:t>
      </w:r>
      <w:proofErr w:type="spellStart"/>
      <w:r w:rsidRPr="009148AF">
        <w:rPr>
          <w:rFonts w:cs="Arial"/>
        </w:rPr>
        <w:t>Accidents</w:t>
      </w:r>
      <w:proofErr w:type="spellEnd"/>
      <w:r w:rsidRPr="009148AF">
        <w:rPr>
          <w:rFonts w:cs="Arial"/>
        </w:rPr>
        <w:t xml:space="preserve"> </w:t>
      </w:r>
      <w:proofErr w:type="spellStart"/>
      <w:r w:rsidRPr="009148AF">
        <w:rPr>
          <w:rFonts w:cs="Arial"/>
        </w:rPr>
        <w:t>at</w:t>
      </w:r>
      <w:proofErr w:type="spellEnd"/>
      <w:r w:rsidRPr="009148AF">
        <w:rPr>
          <w:rFonts w:cs="Arial"/>
        </w:rPr>
        <w:t xml:space="preserve"> </w:t>
      </w:r>
      <w:proofErr w:type="spellStart"/>
      <w:r w:rsidRPr="009148AF">
        <w:rPr>
          <w:rFonts w:cs="Arial"/>
        </w:rPr>
        <w:t>Work</w:t>
      </w:r>
      <w:proofErr w:type="spellEnd"/>
    </w:p>
    <w:p w14:paraId="032B5879" w14:textId="77777777" w:rsidR="00B11FB3" w:rsidRPr="009148AF" w:rsidRDefault="00B11FB3" w:rsidP="00B11FB3">
      <w:pPr>
        <w:pStyle w:val="Zkladntextodsazen"/>
        <w:spacing w:line="288" w:lineRule="auto"/>
        <w:ind w:left="0"/>
      </w:pPr>
      <w:r w:rsidRPr="009148AF">
        <w:t>MKN-10</w:t>
      </w:r>
      <w:r w:rsidRPr="009148AF">
        <w:tab/>
        <w:t>Mezinárodní statistická klasifikace nemocí a přidružených zdravotních problémů</w:t>
      </w:r>
    </w:p>
    <w:p w14:paraId="30EDCFD5" w14:textId="77777777" w:rsidR="00B11FB3" w:rsidRPr="009148AF" w:rsidRDefault="00B11FB3" w:rsidP="00B11FB3">
      <w:pPr>
        <w:pStyle w:val="Zkladntextodsazen"/>
        <w:spacing w:line="288" w:lineRule="auto"/>
        <w:ind w:left="0"/>
      </w:pPr>
      <w:r w:rsidRPr="009148AF">
        <w:t>MPSV</w:t>
      </w:r>
      <w:r w:rsidRPr="009148AF">
        <w:tab/>
      </w:r>
      <w:r w:rsidRPr="009148AF">
        <w:tab/>
        <w:t>Ministerstvo práce a sociálních věcí České republiky</w:t>
      </w:r>
    </w:p>
    <w:p w14:paraId="2E4AE8DD" w14:textId="77777777" w:rsidR="00B11FB3" w:rsidRPr="009148AF" w:rsidRDefault="00B11FB3" w:rsidP="00B11FB3">
      <w:pPr>
        <w:pStyle w:val="Zkladntextodsazen"/>
        <w:spacing w:line="288" w:lineRule="auto"/>
        <w:ind w:left="0"/>
        <w:rPr>
          <w:rFonts w:cs="Arial"/>
        </w:rPr>
      </w:pPr>
      <w:proofErr w:type="spellStart"/>
      <w:r w:rsidRPr="009148AF">
        <w:rPr>
          <w:rFonts w:cs="Arial"/>
        </w:rPr>
        <w:t>Nem</w:t>
      </w:r>
      <w:proofErr w:type="spellEnd"/>
      <w:r w:rsidRPr="009148AF">
        <w:rPr>
          <w:rFonts w:cs="Arial"/>
        </w:rPr>
        <w:t xml:space="preserve"> </w:t>
      </w:r>
      <w:proofErr w:type="spellStart"/>
      <w:r w:rsidRPr="009148AF">
        <w:rPr>
          <w:rFonts w:cs="Arial"/>
        </w:rPr>
        <w:t>Úr</w:t>
      </w:r>
      <w:proofErr w:type="spellEnd"/>
      <w:r w:rsidRPr="009148AF">
        <w:rPr>
          <w:rFonts w:cs="Arial"/>
        </w:rPr>
        <w:t xml:space="preserve"> 1–02 </w:t>
      </w:r>
      <w:r w:rsidRPr="009148AF">
        <w:rPr>
          <w:rFonts w:cs="Arial"/>
        </w:rPr>
        <w:tab/>
        <w:t>Výkaz o pracovní neschopnosti pro nemoc a úraz</w:t>
      </w:r>
    </w:p>
    <w:p w14:paraId="0AD41F89" w14:textId="77777777" w:rsidR="00B11FB3" w:rsidRPr="009148AF" w:rsidRDefault="00B11FB3" w:rsidP="00B11FB3">
      <w:pPr>
        <w:pStyle w:val="Zkladntextodsazen"/>
        <w:spacing w:line="288" w:lineRule="auto"/>
        <w:ind w:left="0"/>
      </w:pPr>
      <w:r w:rsidRPr="009148AF">
        <w:t>OIP</w:t>
      </w:r>
      <w:r w:rsidRPr="009148AF">
        <w:tab/>
      </w:r>
      <w:r w:rsidRPr="009148AF">
        <w:tab/>
        <w:t>Oblastní inspektorát práce</w:t>
      </w:r>
    </w:p>
    <w:p w14:paraId="06CA758F" w14:textId="77777777" w:rsidR="00B11FB3" w:rsidRPr="009148AF" w:rsidRDefault="00B11FB3" w:rsidP="00B11FB3">
      <w:pPr>
        <w:pStyle w:val="Zkladntextodsazen"/>
        <w:spacing w:line="288" w:lineRule="auto"/>
        <w:ind w:left="0"/>
      </w:pPr>
      <w:r w:rsidRPr="009148AF">
        <w:t>OSSZ</w:t>
      </w:r>
      <w:r w:rsidRPr="009148AF">
        <w:tab/>
      </w:r>
      <w:r w:rsidRPr="009148AF">
        <w:tab/>
        <w:t>Okresní správa sociálního zabezpečení</w:t>
      </w:r>
    </w:p>
    <w:p w14:paraId="200C9790" w14:textId="77777777" w:rsidR="00B11FB3" w:rsidRPr="009148AF" w:rsidRDefault="00B11FB3" w:rsidP="00B11FB3">
      <w:pPr>
        <w:pStyle w:val="Zkladntextodsazen"/>
        <w:spacing w:line="288" w:lineRule="auto"/>
        <w:ind w:left="0"/>
      </w:pPr>
      <w:r w:rsidRPr="009148AF">
        <w:t>OSVČ</w:t>
      </w:r>
      <w:r w:rsidRPr="009148AF">
        <w:tab/>
      </w:r>
      <w:r w:rsidRPr="009148AF">
        <w:tab/>
        <w:t>osoba samostatně výdělečně činná</w:t>
      </w:r>
    </w:p>
    <w:p w14:paraId="1E1F3406" w14:textId="77777777" w:rsidR="00B11FB3" w:rsidRPr="009148AF" w:rsidRDefault="00B11FB3" w:rsidP="00B11FB3">
      <w:pPr>
        <w:pStyle w:val="Zkladntextodsazen"/>
        <w:spacing w:line="288" w:lineRule="auto"/>
        <w:ind w:left="0"/>
      </w:pPr>
      <w:r w:rsidRPr="009148AF">
        <w:t>PN</w:t>
      </w:r>
      <w:r w:rsidRPr="009148AF">
        <w:tab/>
      </w:r>
      <w:r w:rsidRPr="009148AF">
        <w:tab/>
        <w:t>pracovní neschopnost</w:t>
      </w:r>
    </w:p>
    <w:p w14:paraId="2E1B9350" w14:textId="77777777" w:rsidR="00B11FB3" w:rsidRPr="009148AF" w:rsidRDefault="00B11FB3" w:rsidP="00B11FB3">
      <w:pPr>
        <w:pStyle w:val="Zkladntextodsazen"/>
        <w:spacing w:line="288" w:lineRule="auto"/>
        <w:ind w:left="0"/>
      </w:pPr>
      <w:r w:rsidRPr="009148AF">
        <w:t>SÚIP</w:t>
      </w:r>
      <w:r w:rsidRPr="009148AF">
        <w:tab/>
      </w:r>
      <w:r w:rsidRPr="009148AF">
        <w:tab/>
        <w:t>Státní úřad inspekce práce</w:t>
      </w:r>
    </w:p>
    <w:p w14:paraId="7297A8B0" w14:textId="0350F6D5" w:rsidR="00B11FB3" w:rsidRPr="009148AF" w:rsidRDefault="00B11FB3" w:rsidP="00B11FB3">
      <w:pPr>
        <w:pStyle w:val="Zkladntextodsazen"/>
        <w:spacing w:line="288" w:lineRule="auto"/>
        <w:ind w:left="0"/>
      </w:pPr>
      <w:r w:rsidRPr="009148AF">
        <w:t>ÚZIS ČR</w:t>
      </w:r>
      <w:r w:rsidRPr="009148AF">
        <w:tab/>
        <w:t>Ústav zdravotnických informací a statistiky České republiky</w:t>
      </w:r>
    </w:p>
    <w:p w14:paraId="541A0D57" w14:textId="77777777" w:rsidR="00B11FB3" w:rsidRDefault="00B11FB3">
      <w:pPr>
        <w:spacing w:after="0" w:line="240" w:lineRule="auto"/>
        <w:rPr>
          <w:szCs w:val="20"/>
          <w:highlight w:val="yellow"/>
        </w:rPr>
      </w:pPr>
      <w:r>
        <w:rPr>
          <w:highlight w:val="yellow"/>
        </w:rPr>
        <w:br w:type="page"/>
      </w:r>
    </w:p>
    <w:p w14:paraId="3D2C457D" w14:textId="77777777" w:rsidR="00B11FB3" w:rsidRPr="00B923EE" w:rsidRDefault="00B11FB3" w:rsidP="00B11FB3">
      <w:pPr>
        <w:pStyle w:val="Nadpis2"/>
      </w:pPr>
      <w:bookmarkStart w:id="47" w:name="_Toc136412160"/>
      <w:bookmarkStart w:id="48" w:name="_Toc167965234"/>
      <w:r w:rsidRPr="00B923EE">
        <w:lastRenderedPageBreak/>
        <w:t>6. Tabulková část – seznam tabulek</w:t>
      </w:r>
      <w:bookmarkEnd w:id="47"/>
      <w:bookmarkEnd w:id="48"/>
    </w:p>
    <w:p w14:paraId="66729CCE" w14:textId="4336DE98" w:rsidR="00B11FB3" w:rsidRPr="00B923EE" w:rsidRDefault="00B11FB3" w:rsidP="00DD5A0D">
      <w:pPr>
        <w:spacing w:after="60"/>
        <w:rPr>
          <w:rFonts w:cs="Arial"/>
          <w:b/>
          <w:strike/>
        </w:rPr>
      </w:pPr>
      <w:r w:rsidRPr="00B923EE">
        <w:rPr>
          <w:rFonts w:cs="Arial"/>
          <w:b/>
        </w:rPr>
        <w:t>Pracovní neschopnost pro nemoc a úraz dle velikosti podniku</w:t>
      </w:r>
      <w:r w:rsidR="00B923EE" w:rsidRPr="00B923EE">
        <w:rPr>
          <w:rFonts w:cs="Arial"/>
          <w:b/>
        </w:rPr>
        <w:t xml:space="preserve"> (vč. </w:t>
      </w:r>
      <w:proofErr w:type="spellStart"/>
      <w:r w:rsidR="00B923EE" w:rsidRPr="00B923EE">
        <w:rPr>
          <w:rFonts w:cs="Arial"/>
          <w:b/>
        </w:rPr>
        <w:t>nemocensky</w:t>
      </w:r>
      <w:proofErr w:type="spellEnd"/>
      <w:r w:rsidR="00B923EE" w:rsidRPr="00B923EE">
        <w:rPr>
          <w:rFonts w:cs="Arial"/>
          <w:b/>
        </w:rPr>
        <w:t xml:space="preserve"> pojištěných OSVČ)</w:t>
      </w:r>
      <w:r w:rsidRPr="00B923EE">
        <w:rPr>
          <w:rFonts w:cs="Arial"/>
          <w:b/>
        </w:rPr>
        <w:t>, institucio</w:t>
      </w:r>
      <w:r w:rsidR="00B923EE" w:rsidRPr="00B923EE">
        <w:rPr>
          <w:rFonts w:cs="Arial"/>
          <w:b/>
        </w:rPr>
        <w:t>nálních sektorů, sekcí CZ-NACE</w:t>
      </w:r>
    </w:p>
    <w:p w14:paraId="55F68737" w14:textId="77777777" w:rsidR="00B11FB3" w:rsidRPr="00B923EE" w:rsidRDefault="00B11FB3" w:rsidP="00B11FB3">
      <w:pPr>
        <w:spacing w:after="0"/>
        <w:ind w:left="851" w:hanging="851"/>
      </w:pPr>
      <w:r w:rsidRPr="00B923EE">
        <w:t>Tab. 1: Základní ukazatele dočasné pracovní neschopnosti</w:t>
      </w:r>
    </w:p>
    <w:p w14:paraId="6DAE36E6" w14:textId="77777777" w:rsidR="00B11FB3" w:rsidRPr="00B923EE" w:rsidRDefault="00B11FB3" w:rsidP="00B11FB3">
      <w:pPr>
        <w:spacing w:after="0"/>
        <w:ind w:left="851" w:hanging="851"/>
      </w:pPr>
      <w:r w:rsidRPr="00B923EE">
        <w:t xml:space="preserve">Tab. 1.1: Počet </w:t>
      </w:r>
      <w:proofErr w:type="spellStart"/>
      <w:r w:rsidRPr="00B923EE">
        <w:t>nemocensky</w:t>
      </w:r>
      <w:proofErr w:type="spellEnd"/>
      <w:r w:rsidRPr="00B923EE">
        <w:t xml:space="preserve"> pojištěných</w:t>
      </w:r>
    </w:p>
    <w:p w14:paraId="4F7D014D" w14:textId="77777777" w:rsidR="00B11FB3" w:rsidRPr="00B923EE" w:rsidRDefault="00B11FB3" w:rsidP="00B11FB3">
      <w:pPr>
        <w:spacing w:after="0"/>
        <w:ind w:left="851" w:hanging="851"/>
      </w:pPr>
      <w:r w:rsidRPr="00B923EE">
        <w:t>Tab. 1.2: Počet nově hlášených případů dočasné pracovní neschopnosti</w:t>
      </w:r>
    </w:p>
    <w:p w14:paraId="09A7C89C" w14:textId="77777777" w:rsidR="00B11FB3" w:rsidRPr="00B923EE" w:rsidRDefault="00B11FB3" w:rsidP="00B11FB3">
      <w:pPr>
        <w:spacing w:after="0"/>
        <w:ind w:left="851" w:hanging="851"/>
      </w:pPr>
      <w:r w:rsidRPr="00B923EE">
        <w:t>Tab. 1.3: Počet kalendářních dnů dočasné pracovní neschopnosti</w:t>
      </w:r>
    </w:p>
    <w:p w14:paraId="04C7AFCA" w14:textId="77777777" w:rsidR="00B11FB3" w:rsidRPr="00B923EE" w:rsidRDefault="00B11FB3" w:rsidP="00B11FB3">
      <w:pPr>
        <w:spacing w:after="0"/>
        <w:ind w:left="851" w:hanging="851"/>
      </w:pPr>
      <w:r w:rsidRPr="00B923EE">
        <w:t>Tab. 1.4: Počet nově hlášených případů dočasné pracovní neschopnosti na 100 pojištěnců</w:t>
      </w:r>
    </w:p>
    <w:p w14:paraId="7BAF84D0" w14:textId="77777777" w:rsidR="00B11FB3" w:rsidRPr="00B923EE" w:rsidRDefault="00B11FB3" w:rsidP="00B11FB3">
      <w:pPr>
        <w:spacing w:after="0"/>
        <w:ind w:left="851" w:hanging="851"/>
      </w:pPr>
      <w:r w:rsidRPr="00B923EE">
        <w:t>Tab. 1.5: Průměrné procento dočasné pracovní neschopnosti</w:t>
      </w:r>
    </w:p>
    <w:p w14:paraId="178714C1" w14:textId="77777777" w:rsidR="00B11FB3" w:rsidRPr="00B923EE" w:rsidRDefault="00B11FB3" w:rsidP="00B11FB3">
      <w:pPr>
        <w:spacing w:after="0"/>
        <w:ind w:left="851" w:hanging="851"/>
      </w:pPr>
      <w:r w:rsidRPr="00B923EE">
        <w:t>Tab. 1.6: Počet kalendářních dnů dočasné pracovní neschopnosti na 1 nově hlášený případ</w:t>
      </w:r>
    </w:p>
    <w:p w14:paraId="3433E6E3" w14:textId="77777777" w:rsidR="00B11FB3" w:rsidRPr="00B923EE" w:rsidRDefault="00B11FB3" w:rsidP="00B11FB3">
      <w:pPr>
        <w:spacing w:after="120"/>
        <w:ind w:left="851" w:hanging="851"/>
      </w:pPr>
      <w:r w:rsidRPr="00B923EE">
        <w:t>Tab. 1.7: Průměrný denní stav dočasně práce neschopných</w:t>
      </w:r>
    </w:p>
    <w:p w14:paraId="462D63D6" w14:textId="77777777" w:rsidR="00B11FB3" w:rsidRPr="00B923EE" w:rsidRDefault="00B11FB3" w:rsidP="00B11FB3">
      <w:pPr>
        <w:spacing w:after="60"/>
        <w:ind w:left="851" w:hanging="851"/>
        <w:rPr>
          <w:rStyle w:val="Siln"/>
          <w:rFonts w:eastAsia="MS Gothic" w:cs="Arial"/>
        </w:rPr>
      </w:pPr>
      <w:r w:rsidRPr="00B923EE">
        <w:rPr>
          <w:rStyle w:val="Siln"/>
          <w:rFonts w:eastAsia="MS Gothic" w:cs="Arial"/>
        </w:rPr>
        <w:t xml:space="preserve">Pracovní neschopnost </w:t>
      </w:r>
      <w:r w:rsidRPr="00B923EE">
        <w:rPr>
          <w:rFonts w:cs="Arial"/>
          <w:b/>
        </w:rPr>
        <w:t>pro nemoc a úraz</w:t>
      </w:r>
      <w:r w:rsidRPr="00B923EE">
        <w:rPr>
          <w:rStyle w:val="Siln"/>
          <w:rFonts w:eastAsia="MS Gothic" w:cs="Arial"/>
        </w:rPr>
        <w:t xml:space="preserve"> dle sekcí a oddílů CZ-NACE</w:t>
      </w:r>
    </w:p>
    <w:p w14:paraId="565BEC9F" w14:textId="77777777" w:rsidR="00B11FB3" w:rsidRPr="00B923EE" w:rsidRDefault="00B11FB3" w:rsidP="00B11FB3">
      <w:pPr>
        <w:spacing w:after="0"/>
        <w:ind w:left="851" w:hanging="851"/>
        <w:rPr>
          <w:rFonts w:cs="Arial"/>
        </w:rPr>
      </w:pPr>
      <w:r w:rsidRPr="00B923EE">
        <w:rPr>
          <w:rFonts w:cs="Arial"/>
        </w:rPr>
        <w:t>Tab. 2: Základní ukazatele dočasné pracovní neschopnosti</w:t>
      </w:r>
    </w:p>
    <w:p w14:paraId="1F916E79" w14:textId="77777777" w:rsidR="00B11FB3" w:rsidRPr="00B923EE" w:rsidRDefault="00B11FB3" w:rsidP="00B11FB3">
      <w:pPr>
        <w:spacing w:after="0"/>
        <w:ind w:left="851" w:hanging="851"/>
        <w:rPr>
          <w:rFonts w:cs="Arial"/>
        </w:rPr>
      </w:pPr>
      <w:r w:rsidRPr="00B923EE">
        <w:rPr>
          <w:rFonts w:cs="Arial"/>
        </w:rPr>
        <w:t xml:space="preserve">Tab. 2.1: Počet </w:t>
      </w:r>
      <w:proofErr w:type="spellStart"/>
      <w:r w:rsidRPr="00B923EE">
        <w:rPr>
          <w:rFonts w:cs="Arial"/>
        </w:rPr>
        <w:t>nemocensky</w:t>
      </w:r>
      <w:proofErr w:type="spellEnd"/>
      <w:r w:rsidRPr="00B923EE">
        <w:rPr>
          <w:rFonts w:cs="Arial"/>
        </w:rPr>
        <w:t xml:space="preserve"> pojištěných</w:t>
      </w:r>
    </w:p>
    <w:p w14:paraId="2947E236" w14:textId="77777777" w:rsidR="00B11FB3" w:rsidRPr="00B923EE" w:rsidRDefault="00B11FB3" w:rsidP="00B11FB3">
      <w:pPr>
        <w:spacing w:after="0"/>
        <w:ind w:left="851" w:hanging="851"/>
        <w:rPr>
          <w:rFonts w:cs="Arial"/>
        </w:rPr>
      </w:pPr>
      <w:r w:rsidRPr="00B923EE">
        <w:rPr>
          <w:rFonts w:cs="Arial"/>
        </w:rPr>
        <w:t>Tab. 2.2: Počet nově hlášených případů dočasné pracovní neschopnosti</w:t>
      </w:r>
    </w:p>
    <w:p w14:paraId="45BE0BAE" w14:textId="77777777" w:rsidR="00B11FB3" w:rsidRPr="00B923EE" w:rsidRDefault="00B11FB3" w:rsidP="00B11FB3">
      <w:pPr>
        <w:spacing w:after="0"/>
        <w:ind w:left="851" w:hanging="851"/>
        <w:rPr>
          <w:rFonts w:cs="Arial"/>
        </w:rPr>
      </w:pPr>
      <w:r w:rsidRPr="00B923EE">
        <w:rPr>
          <w:rFonts w:cs="Arial"/>
        </w:rPr>
        <w:t>Tab. 2.3: Počet kalendářních dnů dočasné pracovní neschopnosti</w:t>
      </w:r>
    </w:p>
    <w:p w14:paraId="26D2F8CA" w14:textId="77777777" w:rsidR="00B11FB3" w:rsidRPr="00B923EE" w:rsidRDefault="00B11FB3" w:rsidP="00B11FB3">
      <w:pPr>
        <w:spacing w:after="0"/>
        <w:ind w:left="851" w:hanging="851"/>
        <w:rPr>
          <w:rFonts w:cs="Arial"/>
        </w:rPr>
      </w:pPr>
      <w:r w:rsidRPr="00B923EE">
        <w:rPr>
          <w:rFonts w:cs="Arial"/>
        </w:rPr>
        <w:t>Tab. 2.4: Počet nově hlášených případů dočasné pracovní neschopnosti na 100 pojištěnců</w:t>
      </w:r>
    </w:p>
    <w:p w14:paraId="069F2A6A" w14:textId="77777777" w:rsidR="00B11FB3" w:rsidRPr="00B923EE" w:rsidRDefault="00B11FB3" w:rsidP="00B11FB3">
      <w:pPr>
        <w:spacing w:after="0"/>
        <w:ind w:left="851" w:hanging="851"/>
        <w:rPr>
          <w:rFonts w:cs="Arial"/>
        </w:rPr>
      </w:pPr>
      <w:r w:rsidRPr="00B923EE">
        <w:rPr>
          <w:rFonts w:cs="Arial"/>
        </w:rPr>
        <w:t>Tab. 2.5: Průměrné procento dočasné pracovní neschopnosti</w:t>
      </w:r>
    </w:p>
    <w:p w14:paraId="232ACD7F" w14:textId="77777777" w:rsidR="00B11FB3" w:rsidRPr="00B923EE" w:rsidRDefault="00B11FB3" w:rsidP="00B11FB3">
      <w:pPr>
        <w:spacing w:after="0"/>
        <w:ind w:left="851" w:hanging="851"/>
        <w:rPr>
          <w:rFonts w:cs="Arial"/>
        </w:rPr>
      </w:pPr>
      <w:r w:rsidRPr="00B923EE">
        <w:rPr>
          <w:rFonts w:cs="Arial"/>
        </w:rPr>
        <w:t>Tab. 2.6: Počet kalendářních dnů dočasné pracovní neschopnosti na 1 nově hlášený případ</w:t>
      </w:r>
    </w:p>
    <w:p w14:paraId="3C1A4253" w14:textId="77777777" w:rsidR="00B11FB3" w:rsidRPr="00B923EE" w:rsidRDefault="00B11FB3" w:rsidP="00B11FB3">
      <w:pPr>
        <w:spacing w:after="120"/>
        <w:ind w:left="851" w:hanging="851"/>
        <w:rPr>
          <w:rStyle w:val="Siln"/>
          <w:rFonts w:eastAsia="MS Gothic" w:cs="Arial"/>
          <w:bCs w:val="0"/>
        </w:rPr>
      </w:pPr>
      <w:r w:rsidRPr="00B923EE">
        <w:rPr>
          <w:rFonts w:cs="Arial"/>
        </w:rPr>
        <w:t>Tab. 2.7: Průměrný denní stav dočasně práce neschopných</w:t>
      </w:r>
    </w:p>
    <w:p w14:paraId="5E4A0E06" w14:textId="77777777" w:rsidR="00B11FB3" w:rsidRPr="00B923EE" w:rsidRDefault="00B11FB3" w:rsidP="00B11FB3">
      <w:pPr>
        <w:spacing w:after="60"/>
        <w:rPr>
          <w:rStyle w:val="Siln"/>
          <w:rFonts w:eastAsia="MS Gothic" w:cs="Arial"/>
          <w:bCs w:val="0"/>
        </w:rPr>
      </w:pPr>
      <w:r w:rsidRPr="00B923EE">
        <w:rPr>
          <w:rStyle w:val="Siln"/>
          <w:rFonts w:eastAsia="MS Gothic" w:cs="Arial"/>
          <w:bCs w:val="0"/>
        </w:rPr>
        <w:t>Pracovní úrazovost mladistvých</w:t>
      </w:r>
    </w:p>
    <w:p w14:paraId="5A08DB30" w14:textId="13DF2EBA" w:rsidR="00B11FB3" w:rsidRPr="00B923EE" w:rsidRDefault="00B11FB3" w:rsidP="00B11FB3">
      <w:pPr>
        <w:spacing w:after="120" w:line="240" w:lineRule="auto"/>
        <w:ind w:left="851" w:hanging="851"/>
        <w:rPr>
          <w:rFonts w:cs="Arial"/>
        </w:rPr>
      </w:pPr>
      <w:r w:rsidRPr="00B923EE">
        <w:rPr>
          <w:rFonts w:cs="Arial"/>
        </w:rPr>
        <w:t xml:space="preserve">Tab. </w:t>
      </w:r>
      <w:r w:rsidR="00B923EE" w:rsidRPr="00B923EE">
        <w:rPr>
          <w:rFonts w:cs="Arial"/>
        </w:rPr>
        <w:t>3</w:t>
      </w:r>
      <w:r w:rsidRPr="00B923EE">
        <w:rPr>
          <w:rFonts w:cs="Arial"/>
        </w:rPr>
        <w:t>: Pracovní úrazovost mladistvých</w:t>
      </w:r>
    </w:p>
    <w:p w14:paraId="20CDA691" w14:textId="77777777" w:rsidR="00B11FB3" w:rsidRPr="00B923EE" w:rsidRDefault="00B11FB3" w:rsidP="00B11FB3">
      <w:pPr>
        <w:spacing w:after="60"/>
        <w:ind w:left="851" w:hanging="851"/>
        <w:rPr>
          <w:rStyle w:val="Siln"/>
          <w:rFonts w:eastAsia="MS Gothic" w:cs="Arial"/>
        </w:rPr>
      </w:pPr>
      <w:r w:rsidRPr="00B923EE">
        <w:rPr>
          <w:rStyle w:val="Siln"/>
          <w:rFonts w:eastAsia="MS Gothic" w:cs="Arial"/>
        </w:rPr>
        <w:t>Pracovní úrazy s pracovní neschopností delší než 3 dny</w:t>
      </w:r>
    </w:p>
    <w:p w14:paraId="0C7BD242" w14:textId="648F4A58" w:rsidR="00B11FB3" w:rsidRPr="00B923EE" w:rsidRDefault="00B11FB3" w:rsidP="00B11FB3">
      <w:pPr>
        <w:spacing w:after="120"/>
        <w:ind w:left="851" w:hanging="851"/>
        <w:rPr>
          <w:rFonts w:cs="Arial"/>
        </w:rPr>
      </w:pPr>
      <w:r w:rsidRPr="00B923EE">
        <w:rPr>
          <w:rFonts w:cs="Arial"/>
        </w:rPr>
        <w:t xml:space="preserve">Tab. </w:t>
      </w:r>
      <w:r w:rsidR="00B923EE" w:rsidRPr="00B923EE">
        <w:rPr>
          <w:rFonts w:cs="Arial"/>
        </w:rPr>
        <w:t>4</w:t>
      </w:r>
      <w:r w:rsidRPr="00B923EE">
        <w:rPr>
          <w:rFonts w:cs="Arial"/>
        </w:rPr>
        <w:t>: Pracovní úrazy s pracovní neschopností delší než 3 dny</w:t>
      </w:r>
    </w:p>
    <w:p w14:paraId="053DEFB1" w14:textId="77777777" w:rsidR="00B11FB3" w:rsidRPr="00B923EE" w:rsidRDefault="00B11FB3" w:rsidP="00B11FB3">
      <w:pPr>
        <w:spacing w:after="60"/>
        <w:ind w:left="851" w:hanging="851"/>
        <w:rPr>
          <w:rStyle w:val="Siln"/>
          <w:rFonts w:eastAsia="MS Gothic" w:cs="Arial"/>
          <w:bCs w:val="0"/>
        </w:rPr>
      </w:pPr>
      <w:r w:rsidRPr="00B923EE">
        <w:rPr>
          <w:rStyle w:val="Siln"/>
          <w:rFonts w:eastAsia="MS Gothic" w:cs="Arial"/>
          <w:bCs w:val="0"/>
        </w:rPr>
        <w:t xml:space="preserve">Pracovní neschopnost </w:t>
      </w:r>
      <w:r w:rsidRPr="00B923EE">
        <w:rPr>
          <w:rStyle w:val="Siln"/>
          <w:rFonts w:eastAsia="MS Gothic" w:cs="Arial"/>
        </w:rPr>
        <w:t>pro nemoc a úraz</w:t>
      </w:r>
      <w:r w:rsidRPr="00B923EE">
        <w:rPr>
          <w:rStyle w:val="Siln"/>
          <w:rFonts w:eastAsia="MS Gothic" w:cs="Arial"/>
          <w:bCs w:val="0"/>
        </w:rPr>
        <w:t xml:space="preserve"> v nefinančních podnicích</w:t>
      </w:r>
    </w:p>
    <w:p w14:paraId="3421183E" w14:textId="071D0A81" w:rsidR="00B11FB3" w:rsidRPr="00B923EE" w:rsidRDefault="00B11FB3" w:rsidP="00B11FB3">
      <w:pPr>
        <w:spacing w:after="0"/>
        <w:ind w:left="851" w:hanging="851"/>
        <w:rPr>
          <w:rFonts w:cs="Arial"/>
        </w:rPr>
      </w:pPr>
      <w:r w:rsidRPr="00B923EE">
        <w:rPr>
          <w:rFonts w:cs="Arial"/>
        </w:rPr>
        <w:t xml:space="preserve">Tab. </w:t>
      </w:r>
      <w:r w:rsidR="00B923EE" w:rsidRPr="00B923EE">
        <w:rPr>
          <w:rFonts w:cs="Arial"/>
        </w:rPr>
        <w:t>5</w:t>
      </w:r>
      <w:r w:rsidRPr="00B923EE">
        <w:rPr>
          <w:rFonts w:cs="Arial"/>
        </w:rPr>
        <w:t>: Základní ukazatele dočasné pracovní neschopnosti</w:t>
      </w:r>
    </w:p>
    <w:p w14:paraId="74ABCC2D" w14:textId="6D05E2BB" w:rsidR="00B11FB3" w:rsidRPr="00B923EE" w:rsidRDefault="00B11FB3" w:rsidP="00B11FB3">
      <w:pPr>
        <w:spacing w:after="0"/>
        <w:ind w:left="851" w:hanging="851"/>
        <w:rPr>
          <w:rFonts w:cs="Arial"/>
        </w:rPr>
      </w:pPr>
      <w:r w:rsidRPr="00B923EE">
        <w:rPr>
          <w:rFonts w:cs="Arial"/>
        </w:rPr>
        <w:t xml:space="preserve">Tab. </w:t>
      </w:r>
      <w:r w:rsidR="00B923EE" w:rsidRPr="00B923EE">
        <w:rPr>
          <w:rFonts w:cs="Arial"/>
        </w:rPr>
        <w:t>5</w:t>
      </w:r>
      <w:r w:rsidRPr="00B923EE">
        <w:rPr>
          <w:rFonts w:cs="Arial"/>
        </w:rPr>
        <w:t xml:space="preserve">.1: Počet </w:t>
      </w:r>
      <w:proofErr w:type="spellStart"/>
      <w:r w:rsidRPr="00B923EE">
        <w:rPr>
          <w:rFonts w:cs="Arial"/>
        </w:rPr>
        <w:t>nemocensky</w:t>
      </w:r>
      <w:proofErr w:type="spellEnd"/>
      <w:r w:rsidRPr="00B923EE">
        <w:rPr>
          <w:rFonts w:cs="Arial"/>
        </w:rPr>
        <w:t xml:space="preserve"> pojištěných</w:t>
      </w:r>
    </w:p>
    <w:p w14:paraId="7DC4C963" w14:textId="4C882020" w:rsidR="00B11FB3" w:rsidRPr="00B923EE" w:rsidRDefault="00B923EE" w:rsidP="00B11FB3">
      <w:pPr>
        <w:spacing w:after="0"/>
        <w:ind w:left="851" w:hanging="851"/>
        <w:rPr>
          <w:rFonts w:cs="Arial"/>
        </w:rPr>
      </w:pPr>
      <w:r w:rsidRPr="00B923EE">
        <w:rPr>
          <w:rFonts w:cs="Arial"/>
        </w:rPr>
        <w:t>Tab. 5</w:t>
      </w:r>
      <w:r w:rsidR="00B11FB3" w:rsidRPr="00B923EE">
        <w:rPr>
          <w:rFonts w:cs="Arial"/>
        </w:rPr>
        <w:t>.2: Počet nově hlášených případů dočasné pracovní neschopnosti</w:t>
      </w:r>
    </w:p>
    <w:p w14:paraId="016EE2AA" w14:textId="3DFB8118" w:rsidR="00B11FB3" w:rsidRPr="00B923EE" w:rsidRDefault="00B923EE" w:rsidP="00B11FB3">
      <w:pPr>
        <w:spacing w:after="0"/>
        <w:ind w:left="851" w:hanging="851"/>
        <w:rPr>
          <w:rFonts w:cs="Arial"/>
        </w:rPr>
      </w:pPr>
      <w:r w:rsidRPr="00B923EE">
        <w:rPr>
          <w:rFonts w:cs="Arial"/>
        </w:rPr>
        <w:t>Tab. 5</w:t>
      </w:r>
      <w:r w:rsidR="00B11FB3" w:rsidRPr="00B923EE">
        <w:rPr>
          <w:rFonts w:cs="Arial"/>
        </w:rPr>
        <w:t>.3: Počet kalendářních dnů dočasné pracovní neschopnosti</w:t>
      </w:r>
    </w:p>
    <w:p w14:paraId="15FA4570" w14:textId="0FC79466" w:rsidR="00B11FB3" w:rsidRPr="00B923EE" w:rsidRDefault="00B923EE" w:rsidP="00B11FB3">
      <w:pPr>
        <w:spacing w:after="0"/>
        <w:ind w:left="851" w:hanging="851"/>
        <w:rPr>
          <w:rFonts w:cs="Arial"/>
        </w:rPr>
      </w:pPr>
      <w:r w:rsidRPr="00B923EE">
        <w:rPr>
          <w:rFonts w:cs="Arial"/>
        </w:rPr>
        <w:t>Tab. 5</w:t>
      </w:r>
      <w:r w:rsidR="00B11FB3" w:rsidRPr="00B923EE">
        <w:rPr>
          <w:rFonts w:cs="Arial"/>
        </w:rPr>
        <w:t>.4: Počet nově hlášených případů dočasné pracovní neschopnosti na 100 pojištěnců</w:t>
      </w:r>
    </w:p>
    <w:p w14:paraId="3D469D93" w14:textId="7BF2D0D6" w:rsidR="00B11FB3" w:rsidRPr="00B923EE" w:rsidRDefault="00B923EE" w:rsidP="00B11FB3">
      <w:pPr>
        <w:spacing w:after="0"/>
        <w:ind w:left="851" w:hanging="851"/>
        <w:rPr>
          <w:rFonts w:cs="Arial"/>
        </w:rPr>
      </w:pPr>
      <w:r w:rsidRPr="00B923EE">
        <w:rPr>
          <w:rFonts w:cs="Arial"/>
        </w:rPr>
        <w:t>Tab. 5</w:t>
      </w:r>
      <w:r w:rsidR="00B11FB3" w:rsidRPr="00B923EE">
        <w:rPr>
          <w:rFonts w:cs="Arial"/>
        </w:rPr>
        <w:t>.5: Průměrné procento dočasné pracovní neschopnosti</w:t>
      </w:r>
    </w:p>
    <w:p w14:paraId="5917E51C" w14:textId="575D9FB7" w:rsidR="00B11FB3" w:rsidRPr="00B923EE" w:rsidRDefault="00B923EE" w:rsidP="00B11FB3">
      <w:pPr>
        <w:spacing w:after="0"/>
        <w:ind w:left="851" w:hanging="851"/>
        <w:rPr>
          <w:rFonts w:cs="Arial"/>
        </w:rPr>
      </w:pPr>
      <w:r w:rsidRPr="00B923EE">
        <w:rPr>
          <w:rFonts w:cs="Arial"/>
        </w:rPr>
        <w:t>Tab. 5</w:t>
      </w:r>
      <w:r w:rsidR="00B11FB3" w:rsidRPr="00B923EE">
        <w:rPr>
          <w:rFonts w:cs="Arial"/>
        </w:rPr>
        <w:t>.6: Počet kalendářních dnů dočasné pracovní neschopnosti na 1 nově hlášený případ</w:t>
      </w:r>
    </w:p>
    <w:p w14:paraId="04BD3718" w14:textId="7E15A06A" w:rsidR="00B11FB3" w:rsidRPr="00B923EE" w:rsidRDefault="00B923EE" w:rsidP="00B11FB3">
      <w:pPr>
        <w:spacing w:after="120"/>
        <w:ind w:left="851" w:hanging="851"/>
        <w:rPr>
          <w:rFonts w:cs="Arial"/>
        </w:rPr>
      </w:pPr>
      <w:r w:rsidRPr="00B923EE">
        <w:rPr>
          <w:rFonts w:cs="Arial"/>
        </w:rPr>
        <w:t>Tab. 5</w:t>
      </w:r>
      <w:r w:rsidR="00B11FB3" w:rsidRPr="00B923EE">
        <w:rPr>
          <w:rFonts w:cs="Arial"/>
        </w:rPr>
        <w:t>.7: Průměrný denní stav dočasně práce neschopných</w:t>
      </w:r>
    </w:p>
    <w:p w14:paraId="69F757FA" w14:textId="77777777" w:rsidR="00B11FB3" w:rsidRPr="00B923EE" w:rsidRDefault="00B11FB3" w:rsidP="00B11FB3">
      <w:pPr>
        <w:spacing w:after="60"/>
        <w:ind w:left="851" w:hanging="851"/>
        <w:rPr>
          <w:rStyle w:val="Siln"/>
          <w:rFonts w:eastAsia="MS Gothic" w:cs="Arial"/>
        </w:rPr>
      </w:pPr>
      <w:r w:rsidRPr="00B923EE">
        <w:rPr>
          <w:rStyle w:val="Siln"/>
          <w:rFonts w:eastAsia="MS Gothic" w:cs="Arial"/>
        </w:rPr>
        <w:t>Pracovní neschopnost pro nemoc a úraz ve zpracovatelském průmyslu</w:t>
      </w:r>
    </w:p>
    <w:p w14:paraId="50F6FDDE" w14:textId="60625D88" w:rsidR="00B11FB3" w:rsidRPr="00B923EE" w:rsidRDefault="00B11FB3" w:rsidP="00B11FB3">
      <w:pPr>
        <w:spacing w:after="0"/>
        <w:ind w:left="851" w:hanging="851"/>
        <w:rPr>
          <w:rFonts w:cs="Arial"/>
        </w:rPr>
      </w:pPr>
      <w:r w:rsidRPr="00B923EE">
        <w:rPr>
          <w:rFonts w:cs="Arial"/>
        </w:rPr>
        <w:t xml:space="preserve">Tab. </w:t>
      </w:r>
      <w:r w:rsidR="00B923EE" w:rsidRPr="00B923EE">
        <w:rPr>
          <w:rFonts w:cs="Arial"/>
        </w:rPr>
        <w:t>6</w:t>
      </w:r>
      <w:r w:rsidRPr="00B923EE">
        <w:rPr>
          <w:rFonts w:cs="Arial"/>
        </w:rPr>
        <w:t>: Základní ukazatele dočasné pracovní neschopnosti</w:t>
      </w:r>
    </w:p>
    <w:p w14:paraId="2E7604A4" w14:textId="13D4F797" w:rsidR="00B11FB3" w:rsidRPr="00B923EE" w:rsidRDefault="00B923EE" w:rsidP="00B11FB3">
      <w:pPr>
        <w:spacing w:after="0"/>
        <w:ind w:left="851" w:hanging="851"/>
        <w:rPr>
          <w:rFonts w:cs="Arial"/>
        </w:rPr>
      </w:pPr>
      <w:r w:rsidRPr="00B923EE">
        <w:rPr>
          <w:rFonts w:cs="Arial"/>
        </w:rPr>
        <w:t>Tab. 6</w:t>
      </w:r>
      <w:r w:rsidR="00B11FB3" w:rsidRPr="00B923EE">
        <w:rPr>
          <w:rFonts w:cs="Arial"/>
        </w:rPr>
        <w:t xml:space="preserve">.1: Počet </w:t>
      </w:r>
      <w:proofErr w:type="spellStart"/>
      <w:r w:rsidR="00B11FB3" w:rsidRPr="00B923EE">
        <w:rPr>
          <w:rFonts w:cs="Arial"/>
        </w:rPr>
        <w:t>nemocensky</w:t>
      </w:r>
      <w:proofErr w:type="spellEnd"/>
      <w:r w:rsidR="00B11FB3" w:rsidRPr="00B923EE">
        <w:rPr>
          <w:rFonts w:cs="Arial"/>
        </w:rPr>
        <w:t xml:space="preserve"> pojištěných</w:t>
      </w:r>
    </w:p>
    <w:p w14:paraId="009CDD00" w14:textId="052F725B" w:rsidR="00B11FB3" w:rsidRPr="00B923EE" w:rsidRDefault="00B923EE" w:rsidP="00B11FB3">
      <w:pPr>
        <w:spacing w:after="0"/>
        <w:ind w:left="851" w:hanging="851"/>
        <w:rPr>
          <w:rFonts w:cs="Arial"/>
        </w:rPr>
      </w:pPr>
      <w:r w:rsidRPr="00B923EE">
        <w:rPr>
          <w:rFonts w:cs="Arial"/>
        </w:rPr>
        <w:t>Tab. 6</w:t>
      </w:r>
      <w:r w:rsidR="00B11FB3" w:rsidRPr="00B923EE">
        <w:rPr>
          <w:rFonts w:cs="Arial"/>
        </w:rPr>
        <w:t>.2: Počet nově hlášených případů dočasné pracovní neschopnosti</w:t>
      </w:r>
    </w:p>
    <w:p w14:paraId="1CD6FF2D" w14:textId="1CC3B018" w:rsidR="00B11FB3" w:rsidRPr="00B923EE" w:rsidRDefault="00B923EE" w:rsidP="00B11FB3">
      <w:pPr>
        <w:spacing w:after="0"/>
        <w:ind w:left="851" w:hanging="851"/>
        <w:rPr>
          <w:rFonts w:cs="Arial"/>
        </w:rPr>
      </w:pPr>
      <w:r w:rsidRPr="00B923EE">
        <w:rPr>
          <w:rFonts w:cs="Arial"/>
        </w:rPr>
        <w:t>Tab. 6</w:t>
      </w:r>
      <w:r w:rsidR="00B11FB3" w:rsidRPr="00B923EE">
        <w:rPr>
          <w:rFonts w:cs="Arial"/>
        </w:rPr>
        <w:t>.3: Počet kalendářních dnů dočasné pracovní neschopnosti</w:t>
      </w:r>
    </w:p>
    <w:p w14:paraId="7F082156" w14:textId="427948A4" w:rsidR="00B11FB3" w:rsidRPr="00B923EE" w:rsidRDefault="00B923EE" w:rsidP="00B11FB3">
      <w:pPr>
        <w:spacing w:after="0"/>
        <w:ind w:left="851" w:hanging="851"/>
        <w:rPr>
          <w:rFonts w:cs="Arial"/>
        </w:rPr>
      </w:pPr>
      <w:r w:rsidRPr="00B923EE">
        <w:rPr>
          <w:rFonts w:cs="Arial"/>
        </w:rPr>
        <w:t>Tab. 6</w:t>
      </w:r>
      <w:r w:rsidR="00B11FB3" w:rsidRPr="00B923EE">
        <w:rPr>
          <w:rFonts w:cs="Arial"/>
        </w:rPr>
        <w:t>.4: Počet nově hlášených případů dočasné pracovní neschopnosti na 100 pojištěnců</w:t>
      </w:r>
    </w:p>
    <w:p w14:paraId="75F3CA3A" w14:textId="5F8DED91" w:rsidR="00B11FB3" w:rsidRPr="00B923EE" w:rsidRDefault="00B923EE" w:rsidP="00B11FB3">
      <w:pPr>
        <w:spacing w:after="0"/>
        <w:ind w:left="851" w:hanging="851"/>
        <w:rPr>
          <w:rFonts w:cs="Arial"/>
        </w:rPr>
      </w:pPr>
      <w:r w:rsidRPr="00B923EE">
        <w:rPr>
          <w:rFonts w:cs="Arial"/>
        </w:rPr>
        <w:t>Tab. 6</w:t>
      </w:r>
      <w:r w:rsidR="00B11FB3" w:rsidRPr="00B923EE">
        <w:rPr>
          <w:rFonts w:cs="Arial"/>
        </w:rPr>
        <w:t>.5: Průměrné procento dočasné pracovní neschopnosti</w:t>
      </w:r>
    </w:p>
    <w:p w14:paraId="24A1FD8C" w14:textId="24B7333B" w:rsidR="00B11FB3" w:rsidRPr="00B923EE" w:rsidRDefault="00B923EE" w:rsidP="00B11FB3">
      <w:pPr>
        <w:spacing w:after="0"/>
        <w:ind w:left="851" w:hanging="851"/>
        <w:rPr>
          <w:rFonts w:cs="Arial"/>
        </w:rPr>
      </w:pPr>
      <w:r w:rsidRPr="00B923EE">
        <w:rPr>
          <w:rFonts w:cs="Arial"/>
        </w:rPr>
        <w:t>Tab. 6</w:t>
      </w:r>
      <w:r w:rsidR="00B11FB3" w:rsidRPr="00B923EE">
        <w:rPr>
          <w:rFonts w:cs="Arial"/>
        </w:rPr>
        <w:t>.6: Počet kalendářních dnů dočasné pracovní neschopnosti na 1 nově hlášený případ</w:t>
      </w:r>
    </w:p>
    <w:p w14:paraId="75889BAE" w14:textId="06E4593F" w:rsidR="00B11FB3" w:rsidRPr="007459BF" w:rsidRDefault="00B923EE" w:rsidP="00B11FB3">
      <w:pPr>
        <w:spacing w:after="0"/>
        <w:ind w:left="851" w:hanging="851"/>
      </w:pPr>
      <w:r w:rsidRPr="00B923EE">
        <w:rPr>
          <w:rFonts w:cs="Arial"/>
        </w:rPr>
        <w:t>Tab. 6</w:t>
      </w:r>
      <w:r w:rsidR="00B11FB3" w:rsidRPr="00B923EE">
        <w:rPr>
          <w:rFonts w:cs="Arial"/>
        </w:rPr>
        <w:t>.7: Průměrný denní stav dočasně práce neschopných</w:t>
      </w:r>
    </w:p>
    <w:p w14:paraId="7A03EABB" w14:textId="77777777" w:rsidR="00434CAA" w:rsidRPr="00953F3B" w:rsidRDefault="00434CAA" w:rsidP="00B11FB3">
      <w:pPr>
        <w:pStyle w:val="Zkladntextodsazen"/>
        <w:spacing w:line="288" w:lineRule="auto"/>
        <w:ind w:left="0"/>
      </w:pPr>
    </w:p>
    <w:p w14:paraId="20196BD2" w14:textId="77777777" w:rsidR="008F6B9A" w:rsidRPr="00526CD9" w:rsidRDefault="008F6B9A" w:rsidP="00434CAA">
      <w:pPr>
        <w:spacing w:after="120"/>
        <w:jc w:val="both"/>
        <w:rPr>
          <w:rFonts w:cs="Arial"/>
          <w:b/>
          <w:highlight w:val="yellow"/>
        </w:rPr>
      </w:pPr>
    </w:p>
    <w:p w14:paraId="1C2F7AEE" w14:textId="6E96B9E6" w:rsidR="00B366D0" w:rsidRPr="003018A3" w:rsidRDefault="00B366D0" w:rsidP="00C20328">
      <w:pPr>
        <w:spacing w:before="120"/>
        <w:rPr>
          <w:sz w:val="16"/>
        </w:rPr>
      </w:pPr>
    </w:p>
    <w:sectPr w:rsidR="00B366D0" w:rsidRPr="003018A3" w:rsidSect="006F5416">
      <w:headerReference w:type="even" r:id="rId41"/>
      <w:headerReference w:type="default" r:id="rId42"/>
      <w:footerReference w:type="even" r:id="rId43"/>
      <w:footerReference w:type="default" r:id="rId44"/>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E5DA7" w14:textId="77777777" w:rsidR="00FA3ADB" w:rsidRDefault="00FA3ADB" w:rsidP="00E71A58">
      <w:r>
        <w:separator/>
      </w:r>
    </w:p>
  </w:endnote>
  <w:endnote w:type="continuationSeparator" w:id="0">
    <w:p w14:paraId="45F441FE" w14:textId="77777777" w:rsidR="00FA3ADB" w:rsidRDefault="00FA3AD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8AC1F" w14:textId="49489503" w:rsidR="00EA74DB" w:rsidRPr="00932443" w:rsidRDefault="00EA74DB" w:rsidP="00A418BC">
    <w:pPr>
      <w:pStyle w:val="Zpat"/>
      <w:rPr>
        <w:szCs w:val="16"/>
      </w:rPr>
    </w:pPr>
    <w:r>
      <w:rPr>
        <w:szCs w:val="16"/>
        <w:lang w:eastAsia="cs-CZ"/>
      </w:rPr>
      <w:drawing>
        <wp:anchor distT="0" distB="0" distL="114300" distR="114300" simplePos="0" relativeHeight="251660288" behindDoc="0" locked="0" layoutInCell="1" allowOverlap="1" wp14:anchorId="6E1BF1CA" wp14:editId="4117C10E">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fldChar w:fldCharType="begin"/>
    </w:r>
    <w:r w:rsidRPr="00932443">
      <w:rPr>
        <w:szCs w:val="16"/>
      </w:rPr>
      <w:instrText>PAGE   \* MERGEFORMAT</w:instrText>
    </w:r>
    <w:r w:rsidRPr="00932443">
      <w:rPr>
        <w:szCs w:val="16"/>
      </w:rPr>
      <w:fldChar w:fldCharType="separate"/>
    </w:r>
    <w:r w:rsidR="00EE7CF4">
      <w:rPr>
        <w:szCs w:val="16"/>
      </w:rPr>
      <w:t>4</w:t>
    </w:r>
    <w:r w:rsidRPr="00932443">
      <w:rPr>
        <w:szCs w:val="16"/>
      </w:rPr>
      <w:fldChar w:fldCharType="end"/>
    </w:r>
    <w:r w:rsidRPr="00932443">
      <w:rPr>
        <w:szCs w:val="16"/>
      </w:rPr>
      <w:tab/>
    </w:r>
    <w:r>
      <w:rPr>
        <w:rStyle w:val="ZpatChar"/>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C808F" w14:textId="50492123" w:rsidR="00EA74DB" w:rsidRPr="00932443" w:rsidRDefault="00EA74DB" w:rsidP="00A418BC">
    <w:pPr>
      <w:pStyle w:val="Zpat"/>
      <w:rPr>
        <w:szCs w:val="16"/>
      </w:rPr>
    </w:pPr>
    <w:r>
      <w:rPr>
        <w:szCs w:val="16"/>
        <w:lang w:eastAsia="cs-CZ"/>
      </w:rPr>
      <w:drawing>
        <wp:anchor distT="0" distB="0" distL="114300" distR="114300" simplePos="0" relativeHeight="251656192" behindDoc="0" locked="0" layoutInCell="1" allowOverlap="1" wp14:anchorId="47560B6E" wp14:editId="4B015087">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tab/>
    </w:r>
    <w:r>
      <w:rPr>
        <w:rStyle w:val="ZpatChar"/>
        <w:szCs w:val="16"/>
      </w:rPr>
      <w:t>2023</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EE7CF4">
      <w:rPr>
        <w:rStyle w:val="ZpatChar"/>
        <w:szCs w:val="16"/>
      </w:rPr>
      <w:t>3</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00F8C" w14:textId="77777777" w:rsidR="00FA3ADB" w:rsidRDefault="00FA3ADB" w:rsidP="00E71A58">
      <w:r>
        <w:separator/>
      </w:r>
    </w:p>
  </w:footnote>
  <w:footnote w:type="continuationSeparator" w:id="0">
    <w:p w14:paraId="1F9CC075" w14:textId="77777777" w:rsidR="00FA3ADB" w:rsidRDefault="00FA3ADB" w:rsidP="00E71A58">
      <w:r>
        <w:continuationSeparator/>
      </w:r>
    </w:p>
  </w:footnote>
  <w:footnote w:id="1">
    <w:p w14:paraId="4FC1BC5E" w14:textId="77777777" w:rsidR="00EA74DB" w:rsidRPr="00B40FC2" w:rsidRDefault="00EA74DB" w:rsidP="00774CE9">
      <w:pPr>
        <w:pStyle w:val="Textpoznpodarou"/>
        <w:spacing w:line="240" w:lineRule="auto"/>
        <w:jc w:val="both"/>
        <w:rPr>
          <w:sz w:val="16"/>
          <w:szCs w:val="16"/>
        </w:rPr>
      </w:pPr>
      <w:r w:rsidRPr="00FB50FB">
        <w:rPr>
          <w:rStyle w:val="Znakapoznpodarou"/>
          <w:sz w:val="16"/>
        </w:rPr>
        <w:footnoteRef/>
      </w:r>
      <w:r w:rsidRPr="00FB50FB">
        <w:rPr>
          <w:sz w:val="16"/>
        </w:rPr>
        <w:t xml:space="preserve"> </w:t>
      </w:r>
      <w:r w:rsidRPr="00A2673E">
        <w:rPr>
          <w:sz w:val="16"/>
          <w:szCs w:val="16"/>
        </w:rPr>
        <w:t xml:space="preserve">Publikaci s daty za </w:t>
      </w:r>
      <w:r>
        <w:rPr>
          <w:sz w:val="16"/>
          <w:szCs w:val="16"/>
        </w:rPr>
        <w:t>1. pololetí roku</w:t>
      </w:r>
      <w:r w:rsidRPr="00A2673E">
        <w:rPr>
          <w:sz w:val="16"/>
          <w:szCs w:val="16"/>
        </w:rPr>
        <w:t xml:space="preserve"> 20</w:t>
      </w:r>
      <w:r>
        <w:rPr>
          <w:sz w:val="16"/>
          <w:szCs w:val="16"/>
        </w:rPr>
        <w:t>23</w:t>
      </w:r>
      <w:r w:rsidRPr="00A2673E">
        <w:rPr>
          <w:sz w:val="16"/>
          <w:szCs w:val="16"/>
        </w:rPr>
        <w:t xml:space="preserve"> lze nalézt na</w:t>
      </w:r>
      <w:r>
        <w:rPr>
          <w:sz w:val="16"/>
          <w:szCs w:val="16"/>
        </w:rPr>
        <w:t>:</w:t>
      </w:r>
      <w:r w:rsidRPr="00A2673E">
        <w:rPr>
          <w:sz w:val="16"/>
          <w:szCs w:val="16"/>
        </w:rPr>
        <w:t xml:space="preserve"> </w:t>
      </w:r>
      <w:hyperlink r:id="rId1" w:history="1">
        <w:r w:rsidRPr="004832B5">
          <w:rPr>
            <w:rStyle w:val="Hypertextovodkaz"/>
            <w:sz w:val="16"/>
            <w:szCs w:val="16"/>
          </w:rPr>
          <w:t>https://www.czso.cz/csu/czso/pracovni-neschopnost-pro-nemoc-a-uraz-v-ceske-republice-1-pololeti-2023</w:t>
        </w:r>
      </w:hyperlink>
    </w:p>
  </w:footnote>
  <w:footnote w:id="2">
    <w:p w14:paraId="566447FA" w14:textId="77777777" w:rsidR="00EA74DB" w:rsidRDefault="00EA74DB" w:rsidP="00666329">
      <w:pPr>
        <w:pStyle w:val="Textpoznpodarou"/>
        <w:jc w:val="both"/>
      </w:pPr>
      <w:r w:rsidRPr="00FB50FB">
        <w:rPr>
          <w:rStyle w:val="Znakapoznpodarou"/>
          <w:sz w:val="16"/>
        </w:rPr>
        <w:footnoteRef/>
      </w:r>
      <w:r w:rsidRPr="0002739E">
        <w:rPr>
          <w:sz w:val="16"/>
        </w:rPr>
        <w:t xml:space="preserve"> </w:t>
      </w:r>
      <w:proofErr w:type="spellStart"/>
      <w:r w:rsidRPr="0002739E">
        <w:rPr>
          <w:sz w:val="16"/>
        </w:rPr>
        <w:t>eNeschopenka</w:t>
      </w:r>
      <w:proofErr w:type="spellEnd"/>
      <w:r w:rsidRPr="0002739E">
        <w:rPr>
          <w:sz w:val="16"/>
        </w:rPr>
        <w:t xml:space="preserve"> byla přijata zákony č. 259/2017 Sb. a č. 164/2019 Sb. Více o vystavování elektronických neschopenek na </w:t>
      </w:r>
      <w:hyperlink r:id="rId2" w:history="1">
        <w:r w:rsidRPr="0002739E">
          <w:rPr>
            <w:rStyle w:val="Hypertextovodkaz"/>
            <w:sz w:val="16"/>
          </w:rPr>
          <w:t>https://www.cssz.cz/web/eneschopenka/</w:t>
        </w:r>
      </w:hyperlink>
      <w:r w:rsidRPr="0002739E">
        <w:rPr>
          <w:sz w:val="16"/>
        </w:rPr>
        <w:t>.</w:t>
      </w:r>
    </w:p>
  </w:footnote>
  <w:footnote w:id="3">
    <w:p w14:paraId="5FCD0FE8" w14:textId="77777777" w:rsidR="00EA74DB" w:rsidRDefault="00EA74DB" w:rsidP="00925703">
      <w:pPr>
        <w:pStyle w:val="Textpoznpodarou"/>
        <w:jc w:val="both"/>
      </w:pPr>
      <w:r>
        <w:rPr>
          <w:rStyle w:val="Znakapoznpodarou"/>
        </w:rPr>
        <w:footnoteRef/>
      </w:r>
      <w:r>
        <w:t xml:space="preserve"> </w:t>
      </w:r>
      <w:r w:rsidRPr="00F623AA">
        <w:rPr>
          <w:sz w:val="16"/>
          <w:szCs w:val="16"/>
        </w:rPr>
        <w:t>Z důvodu změny metodiky a odlišného sběru a zpracování dat nejsou data od roku 2012 plně srovnatelná s údaji za předchozí období</w:t>
      </w:r>
      <w:r>
        <w:rPr>
          <w:sz w:val="16"/>
          <w:szCs w:val="16"/>
        </w:rPr>
        <w:t>, které jsou uvedené ve starších publikacích</w:t>
      </w:r>
      <w:r w:rsidRPr="00F623AA">
        <w:rPr>
          <w:sz w:val="16"/>
          <w:szCs w:val="16"/>
        </w:rPr>
        <w:t>.</w:t>
      </w:r>
    </w:p>
  </w:footnote>
  <w:footnote w:id="4">
    <w:p w14:paraId="58E824E6" w14:textId="77777777" w:rsidR="00EA74DB" w:rsidRDefault="00EA74DB" w:rsidP="00925703">
      <w:pPr>
        <w:pStyle w:val="Textpoznpodarou"/>
        <w:spacing w:after="60"/>
        <w:jc w:val="both"/>
      </w:pPr>
      <w:r w:rsidRPr="002E2281">
        <w:rPr>
          <w:rStyle w:val="Znakapoznpodarou"/>
          <w:sz w:val="16"/>
        </w:rPr>
        <w:footnoteRef/>
      </w:r>
      <w:r w:rsidRPr="002E2281">
        <w:rPr>
          <w:sz w:val="16"/>
        </w:rPr>
        <w:t xml:space="preserve"> </w:t>
      </w:r>
      <w:r w:rsidRPr="007F4035">
        <w:rPr>
          <w:sz w:val="16"/>
        </w:rPr>
        <w:t xml:space="preserve">Elektronické zpracování přineslo zjednodušení v předávání informací mezi nemocnými (pojištěnci v dočasné pracovní neschopnosti), ČSSZ, lékaři a zaměstnavateli. Zásadně se tak zjednodušil tok informací, protože </w:t>
      </w:r>
      <w:proofErr w:type="spellStart"/>
      <w:r w:rsidRPr="007F4035">
        <w:rPr>
          <w:sz w:val="16"/>
        </w:rPr>
        <w:t>eNeschopenka</w:t>
      </w:r>
      <w:proofErr w:type="spellEnd"/>
      <w:r w:rsidRPr="007F4035">
        <w:rPr>
          <w:sz w:val="16"/>
        </w:rPr>
        <w:t xml:space="preserve"> propojila povinně elektronicky tři dotčené subjekty</w:t>
      </w:r>
      <w:r>
        <w:rPr>
          <w:sz w:val="16"/>
        </w:rPr>
        <w:t>:</w:t>
      </w:r>
      <w:r w:rsidRPr="007F4035">
        <w:rPr>
          <w:sz w:val="16"/>
        </w:rPr>
        <w:t xml:space="preserve"> lékaře, zaměstnavatele a ČSSZ.</w:t>
      </w:r>
      <w:r w:rsidRPr="002E2281">
        <w:rPr>
          <w:sz w:val="16"/>
        </w:rPr>
        <w:t xml:space="preserve"> Zaměstnavatelé díky systému </w:t>
      </w:r>
      <w:proofErr w:type="spellStart"/>
      <w:r w:rsidRPr="002E2281">
        <w:rPr>
          <w:sz w:val="16"/>
        </w:rPr>
        <w:t>eNeschopenka</w:t>
      </w:r>
      <w:proofErr w:type="spellEnd"/>
      <w:r w:rsidRPr="002E2281">
        <w:rPr>
          <w:sz w:val="16"/>
        </w:rPr>
        <w:t xml:space="preserve"> obdrží formou notifikací prakticky okamžitě informace o</w:t>
      </w:r>
      <w:r>
        <w:rPr>
          <w:sz w:val="16"/>
        </w:rPr>
        <w:t> </w:t>
      </w:r>
      <w:r w:rsidRPr="002E2281">
        <w:rPr>
          <w:sz w:val="16"/>
        </w:rPr>
        <w:t xml:space="preserve">pracovní neschopnosti svých zaměstnanců. Kromě notifikací mohou nahlížet i do </w:t>
      </w:r>
      <w:proofErr w:type="spellStart"/>
      <w:r w:rsidRPr="002E2281">
        <w:rPr>
          <w:sz w:val="16"/>
        </w:rPr>
        <w:t>ePortálu</w:t>
      </w:r>
      <w:proofErr w:type="spellEnd"/>
      <w:r w:rsidRPr="002E2281">
        <w:rPr>
          <w:sz w:val="16"/>
        </w:rPr>
        <w:t xml:space="preserve"> ČSSZ. Zatímco původní tiskopis měl 5 dílů, nová podoba neschopenky má pouze 3 díly. V případě technických problémů lékař použije papírový třídílný formulář, který obdrží na příslušné správě sociálního zabezpečení.</w:t>
      </w:r>
    </w:p>
  </w:footnote>
  <w:footnote w:id="5">
    <w:p w14:paraId="5CDC81CA" w14:textId="77777777" w:rsidR="00EA74DB" w:rsidRDefault="00EA74DB" w:rsidP="00925703">
      <w:pPr>
        <w:pStyle w:val="Textpoznpodarou"/>
        <w:jc w:val="both"/>
      </w:pPr>
      <w:r w:rsidRPr="00451C9E">
        <w:rPr>
          <w:rStyle w:val="Znakapoznpodarou"/>
          <w:sz w:val="16"/>
        </w:rPr>
        <w:footnoteRef/>
      </w:r>
      <w:r w:rsidRPr="00451C9E">
        <w:t xml:space="preserve"> </w:t>
      </w:r>
      <w:r w:rsidRPr="00451C9E">
        <w:rPr>
          <w:sz w:val="16"/>
        </w:rPr>
        <w:t>V údajích ČSSZ nejsou zahrnuti příslušníci Policie ČR, Hasičského záchranného sboru ČR, Celní správy ČR, Vězeňské služby ČR, Generální inspekce bezpečnostních sborů, Bezpečnostní informační služby, Úřadu pro zahraniční styky a informace, vojáci z povolání,</w:t>
      </w:r>
      <w:r w:rsidRPr="00451C9E">
        <w:rPr>
          <w:rFonts w:cs="Arial"/>
          <w:sz w:val="16"/>
        </w:rPr>
        <w:t xml:space="preserve"> odsouzení ve výkonu trestu, kteří vykonávají práci ve výkonu trestu, a osoby obviněné vykonávající práci ve vazbě (§ 5 písm. a) body 2 a 14 zákona č.187/2006 Sb.). Správcem registrů těchto příslušníků a odsouzených osob je služební orgán v oborech své působnosti. Služebními orgány jsou Ministerstvo obrany, Ministerstvo vnitra, Vězeňská služba ČR, Generální ředitelství cel, Generální inspekce bezpečnostních sborů, Bezpečnostní informační služba a Úřad pro zahraniční styky a informace.</w:t>
      </w:r>
    </w:p>
  </w:footnote>
  <w:footnote w:id="6">
    <w:p w14:paraId="126C145A" w14:textId="77777777" w:rsidR="00EA74DB" w:rsidRDefault="00EA74DB" w:rsidP="00925703">
      <w:pPr>
        <w:pStyle w:val="Textpoznpodarou"/>
      </w:pPr>
      <w:r>
        <w:rPr>
          <w:rStyle w:val="Znakapoznpodarou"/>
        </w:rPr>
        <w:footnoteRef/>
      </w:r>
      <w:r>
        <w:t xml:space="preserve"> </w:t>
      </w:r>
      <w:hyperlink r:id="rId3" w:history="1">
        <w:r w:rsidRPr="003A349C">
          <w:rPr>
            <w:rStyle w:val="Hypertextovodkaz"/>
            <w:rFonts w:cs="Arial"/>
            <w:sz w:val="16"/>
            <w:szCs w:val="22"/>
          </w:rPr>
          <w:t>https://www.czso.cz/csu/czso/klasifikace-institucionalnich-sektoru-a-subsektoru-cz-ciss</w:t>
        </w:r>
      </w:hyperlink>
    </w:p>
  </w:footnote>
  <w:footnote w:id="7">
    <w:p w14:paraId="7C8DB234" w14:textId="77777777" w:rsidR="00EA74DB" w:rsidRDefault="00EA74DB" w:rsidP="00A2262D">
      <w:pPr>
        <w:pStyle w:val="Textpoznpodarou"/>
      </w:pPr>
      <w:r w:rsidRPr="00A40A6B">
        <w:rPr>
          <w:rStyle w:val="Znakapoznpodarou"/>
          <w:sz w:val="16"/>
        </w:rPr>
        <w:footnoteRef/>
      </w:r>
      <w:r w:rsidRPr="00A40A6B">
        <w:rPr>
          <w:sz w:val="16"/>
        </w:rPr>
        <w:t xml:space="preserve"> Celý název sekce O: Veřejná správa a obrana; povinné sociální zabezpečení</w:t>
      </w:r>
      <w:r>
        <w:rPr>
          <w:sz w:val="16"/>
        </w:rPr>
        <w:t>.</w:t>
      </w:r>
    </w:p>
  </w:footnote>
  <w:footnote w:id="8">
    <w:p w14:paraId="62FA7731" w14:textId="77777777" w:rsidR="00EA74DB" w:rsidRDefault="00EA74DB" w:rsidP="00A2262D">
      <w:pPr>
        <w:pStyle w:val="Textpoznpodarou"/>
        <w:jc w:val="both"/>
      </w:pPr>
      <w:r w:rsidRPr="000547B7">
        <w:rPr>
          <w:rStyle w:val="Znakapoznpodarou"/>
          <w:sz w:val="16"/>
        </w:rPr>
        <w:footnoteRef/>
      </w:r>
      <w:r w:rsidRPr="000547B7">
        <w:rPr>
          <w:sz w:val="16"/>
        </w:rPr>
        <w:t xml:space="preserve"> Uvedený podíl nezahrnuje vojáky z povolání, příslušníky Policie ČR, Hasičského záchranného sboru ČR, Celní správy ČR, Vězeňské služby ČR, Generální inspekce bezpečnostních sborů, Bezpečnostní informační služby a Úřadu pro zahraniční styky a informace.</w:t>
      </w:r>
      <w:r>
        <w:rPr>
          <w:sz w:val="16"/>
        </w:rPr>
        <w:t xml:space="preserve"> </w:t>
      </w:r>
      <w:r>
        <w:rPr>
          <w:rFonts w:cs="Arial"/>
          <w:sz w:val="16"/>
        </w:rPr>
        <w:t>Správcem registrů těchto příslušníků je služební orgán v oborech své působnosti.</w:t>
      </w:r>
    </w:p>
  </w:footnote>
  <w:footnote w:id="9">
    <w:p w14:paraId="78D37C4C" w14:textId="2A83696F" w:rsidR="008073B7" w:rsidRDefault="008073B7">
      <w:pPr>
        <w:pStyle w:val="Textpoznpodarou"/>
      </w:pPr>
      <w:r>
        <w:rPr>
          <w:rStyle w:val="Znakapoznpodarou"/>
        </w:rPr>
        <w:footnoteRef/>
      </w:r>
      <w:r>
        <w:t xml:space="preserve"> </w:t>
      </w:r>
      <w:r w:rsidRPr="00A40A6B">
        <w:rPr>
          <w:sz w:val="16"/>
        </w:rPr>
        <w:t>Celý název sekce O: Veřejná správa a obrana; povinné sociální zabezpečení</w:t>
      </w:r>
      <w:r>
        <w:rPr>
          <w:sz w:val="16"/>
        </w:rPr>
        <w:t>.</w:t>
      </w:r>
    </w:p>
  </w:footnote>
  <w:footnote w:id="10">
    <w:p w14:paraId="5A2C479E" w14:textId="77777777" w:rsidR="00EA74DB" w:rsidRDefault="00EA74DB" w:rsidP="00B27E3C">
      <w:pPr>
        <w:pStyle w:val="Textpoznpodarou"/>
        <w:spacing w:after="60"/>
      </w:pPr>
      <w:r w:rsidRPr="006054AC">
        <w:rPr>
          <w:rStyle w:val="Znakapoznpodarou"/>
          <w:sz w:val="16"/>
        </w:rPr>
        <w:footnoteRef/>
      </w:r>
      <w:r w:rsidRPr="006054AC">
        <w:rPr>
          <w:sz w:val="16"/>
        </w:rPr>
        <w:t xml:space="preserve"> Platilo do </w:t>
      </w:r>
      <w:r>
        <w:rPr>
          <w:sz w:val="16"/>
        </w:rPr>
        <w:t>28</w:t>
      </w:r>
      <w:r w:rsidRPr="006054AC">
        <w:rPr>
          <w:sz w:val="16"/>
        </w:rPr>
        <w:t xml:space="preserve">. </w:t>
      </w:r>
      <w:r>
        <w:rPr>
          <w:sz w:val="16"/>
        </w:rPr>
        <w:t>2</w:t>
      </w:r>
      <w:r w:rsidRPr="006054AC">
        <w:rPr>
          <w:sz w:val="16"/>
        </w:rPr>
        <w:t>. 202</w:t>
      </w:r>
      <w:r>
        <w:rPr>
          <w:sz w:val="16"/>
        </w:rPr>
        <w:t>2.</w:t>
      </w:r>
    </w:p>
  </w:footnote>
  <w:footnote w:id="11">
    <w:p w14:paraId="6FC45FCC" w14:textId="77777777" w:rsidR="00EA74DB" w:rsidRDefault="00EA74DB" w:rsidP="00B27E3C">
      <w:pPr>
        <w:pStyle w:val="Textpoznpodarou"/>
      </w:pPr>
      <w:r w:rsidRPr="00B67A38">
        <w:rPr>
          <w:rStyle w:val="Znakapoznpodarou"/>
          <w:sz w:val="16"/>
        </w:rPr>
        <w:footnoteRef/>
      </w:r>
      <w:r>
        <w:t xml:space="preserve"> </w:t>
      </w:r>
      <w:r w:rsidRPr="00B67A38">
        <w:rPr>
          <w:sz w:val="16"/>
        </w:rPr>
        <w:t>Na jaře 2021 se</w:t>
      </w:r>
      <w:r>
        <w:rPr>
          <w:sz w:val="16"/>
        </w:rPr>
        <w:t xml:space="preserve"> podíl</w:t>
      </w:r>
      <w:r w:rsidRPr="00B67A38">
        <w:rPr>
          <w:sz w:val="16"/>
        </w:rPr>
        <w:t xml:space="preserve"> zvýšil na 80 %.</w:t>
      </w:r>
    </w:p>
  </w:footnote>
  <w:footnote w:id="12">
    <w:p w14:paraId="3A9DD124" w14:textId="2B7D3F18" w:rsidR="00EA74DB" w:rsidRPr="008A15C0" w:rsidRDefault="00EA74DB" w:rsidP="003E1B21">
      <w:pPr>
        <w:pStyle w:val="Textpoznpodarou"/>
        <w:jc w:val="both"/>
        <w:rPr>
          <w:sz w:val="18"/>
          <w:szCs w:val="18"/>
        </w:rPr>
      </w:pPr>
      <w:r w:rsidRPr="008A15C0">
        <w:rPr>
          <w:rStyle w:val="Znakapoznpodarou"/>
          <w:sz w:val="18"/>
          <w:szCs w:val="18"/>
        </w:rPr>
        <w:footnoteRef/>
      </w:r>
      <w:r w:rsidRPr="008A15C0">
        <w:rPr>
          <w:sz w:val="18"/>
          <w:szCs w:val="18"/>
        </w:rPr>
        <w:t xml:space="preserve"> </w:t>
      </w:r>
      <w:r w:rsidRPr="00EA2DCF">
        <w:rPr>
          <w:sz w:val="16"/>
          <w:szCs w:val="16"/>
        </w:rPr>
        <w:t>Poslední dostupná data s mezinárodním srovnáním za členské státy EU2</w:t>
      </w:r>
      <w:r>
        <w:rPr>
          <w:sz w:val="16"/>
          <w:szCs w:val="16"/>
        </w:rPr>
        <w:t>7</w:t>
      </w:r>
      <w:r w:rsidRPr="00EA2DCF">
        <w:rPr>
          <w:sz w:val="16"/>
          <w:szCs w:val="16"/>
        </w:rPr>
        <w:t xml:space="preserve"> byla v době zpracování této publikace </w:t>
      </w:r>
      <w:r w:rsidRPr="00EA2DCF">
        <w:rPr>
          <w:spacing w:val="-3"/>
          <w:sz w:val="16"/>
          <w:szCs w:val="16"/>
        </w:rPr>
        <w:t>za rok 20</w:t>
      </w:r>
      <w:r>
        <w:rPr>
          <w:spacing w:val="-3"/>
          <w:sz w:val="16"/>
          <w:szCs w:val="16"/>
        </w:rPr>
        <w:t>21</w:t>
      </w:r>
      <w:r w:rsidRPr="00EA2DCF">
        <w:rPr>
          <w:spacing w:val="-3"/>
          <w:sz w:val="16"/>
          <w:szCs w:val="16"/>
        </w:rPr>
        <w:t xml:space="preserve">. Jejich zdrojem je databáze </w:t>
      </w:r>
      <w:proofErr w:type="spellStart"/>
      <w:r w:rsidRPr="00EA2DCF">
        <w:rPr>
          <w:spacing w:val="-3"/>
          <w:sz w:val="16"/>
          <w:szCs w:val="16"/>
        </w:rPr>
        <w:t>Eurostatu</w:t>
      </w:r>
      <w:proofErr w:type="spellEnd"/>
      <w:r w:rsidRPr="00EA2DCF">
        <w:rPr>
          <w:spacing w:val="-3"/>
          <w:sz w:val="16"/>
          <w:szCs w:val="16"/>
        </w:rPr>
        <w:t xml:space="preserve">: </w:t>
      </w:r>
      <w:hyperlink r:id="rId4" w:history="1">
        <w:r w:rsidRPr="00C50880">
          <w:rPr>
            <w:rStyle w:val="Hypertextovodkaz"/>
            <w:sz w:val="16"/>
          </w:rPr>
          <w:t>https://ec.europa.eu/eurostat/web/health/database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9E77E" w14:textId="59647134" w:rsidR="00EA74DB" w:rsidRPr="00774CE9" w:rsidRDefault="00EA74DB" w:rsidP="00774CE9">
    <w:pPr>
      <w:pStyle w:val="Zhlav"/>
    </w:pPr>
    <w:r>
      <w:t>Pracovní neschopnost pro nemoc a úraz v České republice za rok 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081AC" w14:textId="795A3A05" w:rsidR="00EA74DB" w:rsidRPr="006F5416" w:rsidRDefault="00EA74DB" w:rsidP="00774CE9">
    <w:pPr>
      <w:pStyle w:val="Zhlav"/>
    </w:pPr>
    <w:r>
      <w:t>Pracovní neschopnost pro nemoc a úraz v České republice za rok 2023</w:t>
    </w:r>
  </w:p>
  <w:p w14:paraId="6E5B5276" w14:textId="77777777" w:rsidR="00EA74DB" w:rsidRPr="00774CE9" w:rsidRDefault="00EA74DB" w:rsidP="00774CE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E2905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E1470"/>
    <w:multiLevelType w:val="hybridMultilevel"/>
    <w:tmpl w:val="5C9656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84E4415"/>
    <w:multiLevelType w:val="hybridMultilevel"/>
    <w:tmpl w:val="189A1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0EB30C9"/>
    <w:multiLevelType w:val="multilevel"/>
    <w:tmpl w:val="8AE26AFA"/>
    <w:lvl w:ilvl="0">
      <w:start w:val="1"/>
      <w:numFmt w:val="bullet"/>
      <w:lvlText w:val=""/>
      <w:lvlJc w:val="left"/>
      <w:pPr>
        <w:ind w:left="720" w:hanging="360"/>
      </w:pPr>
      <w:rPr>
        <w:rFonts w:ascii="Symbol" w:hAnsi="Symbol" w:hint="default"/>
      </w:rPr>
    </w:lvl>
    <w:lvl w:ilvl="1">
      <w:start w:val="7"/>
      <w:numFmt w:val="decimal"/>
      <w:isLgl/>
      <w:suff w:val="space"/>
      <w:lvlText w:val="4.%2"/>
      <w:lvlJc w:val="left"/>
      <w:pPr>
        <w:ind w:left="720" w:hanging="360"/>
      </w:pPr>
      <w:rPr>
        <w:rFonts w:hint="default"/>
      </w:rPr>
    </w:lvl>
    <w:lvl w:ilvl="2">
      <w:start w:val="1"/>
      <w:numFmt w:val="decimal"/>
      <w:isLgl/>
      <w:suff w:val="space"/>
      <w:lvlText w:val="4.%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394626"/>
    <w:multiLevelType w:val="hybridMultilevel"/>
    <w:tmpl w:val="C29C8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02556A7"/>
    <w:multiLevelType w:val="hybridMultilevel"/>
    <w:tmpl w:val="D2E89A06"/>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3">
      <w:start w:val="1"/>
      <w:numFmt w:val="bullet"/>
      <w:lvlText w:val="o"/>
      <w:lvlJc w:val="left"/>
      <w:pPr>
        <w:ind w:left="2220" w:hanging="360"/>
      </w:pPr>
      <w:rPr>
        <w:rFonts w:ascii="Courier New" w:hAnsi="Courier New" w:cs="Courier New"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 w15:restartNumberingAfterBreak="0">
    <w:nsid w:val="23C9092A"/>
    <w:multiLevelType w:val="hybridMultilevel"/>
    <w:tmpl w:val="6106A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6901FC"/>
    <w:multiLevelType w:val="multilevel"/>
    <w:tmpl w:val="5142D136"/>
    <w:lvl w:ilvl="0">
      <w:start w:val="1"/>
      <w:numFmt w:val="decimal"/>
      <w:lvlText w:val="%1."/>
      <w:lvlJc w:val="left"/>
      <w:pPr>
        <w:ind w:left="720" w:hanging="360"/>
      </w:pPr>
      <w:rPr>
        <w:rFonts w:hint="default"/>
      </w:rPr>
    </w:lvl>
    <w:lvl w:ilvl="1">
      <w:start w:val="5"/>
      <w:numFmt w:val="decimal"/>
      <w:isLgl/>
      <w:suff w:val="space"/>
      <w:lvlText w:val="4.%2"/>
      <w:lvlJc w:val="left"/>
      <w:pPr>
        <w:ind w:left="720" w:hanging="360"/>
      </w:pPr>
      <w:rPr>
        <w:rFonts w:hint="default"/>
      </w:rPr>
    </w:lvl>
    <w:lvl w:ilvl="2">
      <w:start w:val="1"/>
      <w:numFmt w:val="decimal"/>
      <w:isLgl/>
      <w:suff w:val="space"/>
      <w:lvlText w:val="4.%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8AA48F6"/>
    <w:multiLevelType w:val="hybridMultilevel"/>
    <w:tmpl w:val="89FE51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B8016D3"/>
    <w:multiLevelType w:val="hybridMultilevel"/>
    <w:tmpl w:val="C9B243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ECC156E"/>
    <w:multiLevelType w:val="hybridMultilevel"/>
    <w:tmpl w:val="7EECA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AF4090"/>
    <w:multiLevelType w:val="hybridMultilevel"/>
    <w:tmpl w:val="2B8C1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363618"/>
    <w:multiLevelType w:val="hybridMultilevel"/>
    <w:tmpl w:val="E3E8E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0017F3"/>
    <w:multiLevelType w:val="hybridMultilevel"/>
    <w:tmpl w:val="D4C40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D50F1A"/>
    <w:multiLevelType w:val="hybridMultilevel"/>
    <w:tmpl w:val="1410E9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6AA503E"/>
    <w:multiLevelType w:val="multilevel"/>
    <w:tmpl w:val="80A6E96A"/>
    <w:lvl w:ilvl="0">
      <w:start w:val="1"/>
      <w:numFmt w:val="decimal"/>
      <w:lvlText w:val="%1."/>
      <w:lvlJc w:val="left"/>
      <w:pPr>
        <w:ind w:left="720" w:hanging="360"/>
      </w:pPr>
      <w:rPr>
        <w:rFonts w:hint="default"/>
      </w:rPr>
    </w:lvl>
    <w:lvl w:ilvl="1">
      <w:start w:val="4"/>
      <w:numFmt w:val="decimal"/>
      <w:isLgl/>
      <w:suff w:val="space"/>
      <w:lvlText w:val="4.%2"/>
      <w:lvlJc w:val="left"/>
      <w:pPr>
        <w:ind w:left="720" w:hanging="360"/>
      </w:pPr>
      <w:rPr>
        <w:rFonts w:hint="default"/>
      </w:rPr>
    </w:lvl>
    <w:lvl w:ilvl="2">
      <w:start w:val="1"/>
      <w:numFmt w:val="decimal"/>
      <w:isLgl/>
      <w:suff w:val="space"/>
      <w:lvlText w:val="4.%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86C4312"/>
    <w:multiLevelType w:val="multilevel"/>
    <w:tmpl w:val="A544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E71B0D"/>
    <w:multiLevelType w:val="multilevel"/>
    <w:tmpl w:val="5EE4B558"/>
    <w:lvl w:ilvl="0">
      <w:start w:val="1"/>
      <w:numFmt w:val="decimal"/>
      <w:lvlText w:val="%1."/>
      <w:lvlJc w:val="left"/>
      <w:pPr>
        <w:ind w:left="720" w:hanging="360"/>
      </w:pPr>
      <w:rPr>
        <w:rFonts w:hint="default"/>
      </w:rPr>
    </w:lvl>
    <w:lvl w:ilvl="1">
      <w:start w:val="3"/>
      <w:numFmt w:val="decimal"/>
      <w:isLgl/>
      <w:suff w:val="space"/>
      <w:lvlText w:val="4.%2"/>
      <w:lvlJc w:val="left"/>
      <w:pPr>
        <w:ind w:left="720" w:hanging="360"/>
      </w:pPr>
      <w:rPr>
        <w:rFonts w:hint="default"/>
      </w:rPr>
    </w:lvl>
    <w:lvl w:ilvl="2">
      <w:start w:val="1"/>
      <w:numFmt w:val="none"/>
      <w:isLgl/>
      <w:suff w:val="space"/>
      <w:lvlText w:val="4.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1FB04D0"/>
    <w:multiLevelType w:val="hybridMultilevel"/>
    <w:tmpl w:val="A5FC21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25555E"/>
    <w:multiLevelType w:val="hybridMultilevel"/>
    <w:tmpl w:val="50D6B4E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FEF4B85"/>
    <w:multiLevelType w:val="hybridMultilevel"/>
    <w:tmpl w:val="E4FC5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23"/>
  </w:num>
  <w:num w:numId="14">
    <w:abstractNumId w:val="15"/>
  </w:num>
  <w:num w:numId="15">
    <w:abstractNumId w:val="18"/>
  </w:num>
  <w:num w:numId="16">
    <w:abstractNumId w:val="26"/>
  </w:num>
  <w:num w:numId="17">
    <w:abstractNumId w:val="32"/>
  </w:num>
  <w:num w:numId="18">
    <w:abstractNumId w:val="30"/>
  </w:num>
  <w:num w:numId="19">
    <w:abstractNumId w:val="11"/>
  </w:num>
  <w:num w:numId="20">
    <w:abstractNumId w:val="19"/>
  </w:num>
  <w:num w:numId="21">
    <w:abstractNumId w:val="25"/>
  </w:num>
  <w:num w:numId="22">
    <w:abstractNumId w:val="13"/>
  </w:num>
  <w:num w:numId="23">
    <w:abstractNumId w:val="28"/>
  </w:num>
  <w:num w:numId="24">
    <w:abstractNumId w:val="20"/>
  </w:num>
  <w:num w:numId="25">
    <w:abstractNumId w:val="14"/>
  </w:num>
  <w:num w:numId="26">
    <w:abstractNumId w:val="31"/>
  </w:num>
  <w:num w:numId="27">
    <w:abstractNumId w:val="24"/>
  </w:num>
  <w:num w:numId="28">
    <w:abstractNumId w:val="29"/>
  </w:num>
  <w:num w:numId="29">
    <w:abstractNumId w:val="27"/>
  </w:num>
  <w:num w:numId="30">
    <w:abstractNumId w:val="10"/>
  </w:num>
  <w:num w:numId="31">
    <w:abstractNumId w:val="17"/>
  </w:num>
  <w:num w:numId="32">
    <w:abstractNumId w:val="1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E9"/>
    <w:rsid w:val="0000209D"/>
    <w:rsid w:val="00004D5A"/>
    <w:rsid w:val="000056D5"/>
    <w:rsid w:val="0000767A"/>
    <w:rsid w:val="00010702"/>
    <w:rsid w:val="00016992"/>
    <w:rsid w:val="000234D6"/>
    <w:rsid w:val="00023D29"/>
    <w:rsid w:val="00026389"/>
    <w:rsid w:val="00027001"/>
    <w:rsid w:val="00031AE0"/>
    <w:rsid w:val="000322EF"/>
    <w:rsid w:val="00033FCD"/>
    <w:rsid w:val="00041CEC"/>
    <w:rsid w:val="0004277C"/>
    <w:rsid w:val="0004694F"/>
    <w:rsid w:val="00047B6D"/>
    <w:rsid w:val="000522E4"/>
    <w:rsid w:val="00056319"/>
    <w:rsid w:val="000610E1"/>
    <w:rsid w:val="00062EC5"/>
    <w:rsid w:val="00062F22"/>
    <w:rsid w:val="000712B3"/>
    <w:rsid w:val="0008263E"/>
    <w:rsid w:val="00082C19"/>
    <w:rsid w:val="00085395"/>
    <w:rsid w:val="00087634"/>
    <w:rsid w:val="00087E71"/>
    <w:rsid w:val="00087F2B"/>
    <w:rsid w:val="00093988"/>
    <w:rsid w:val="000974D1"/>
    <w:rsid w:val="0009799E"/>
    <w:rsid w:val="000A1183"/>
    <w:rsid w:val="000A256D"/>
    <w:rsid w:val="000A3A2C"/>
    <w:rsid w:val="000B30FA"/>
    <w:rsid w:val="000C3408"/>
    <w:rsid w:val="000C6AFD"/>
    <w:rsid w:val="000D52D6"/>
    <w:rsid w:val="000D5637"/>
    <w:rsid w:val="000D7548"/>
    <w:rsid w:val="000E6FBD"/>
    <w:rsid w:val="000F67C2"/>
    <w:rsid w:val="00100F5C"/>
    <w:rsid w:val="001010F1"/>
    <w:rsid w:val="0010437D"/>
    <w:rsid w:val="00104C4C"/>
    <w:rsid w:val="0012192F"/>
    <w:rsid w:val="00125D69"/>
    <w:rsid w:val="001405FA"/>
    <w:rsid w:val="001425C3"/>
    <w:rsid w:val="00151B99"/>
    <w:rsid w:val="001526AD"/>
    <w:rsid w:val="0016256B"/>
    <w:rsid w:val="00163793"/>
    <w:rsid w:val="001664E8"/>
    <w:rsid w:val="001706D6"/>
    <w:rsid w:val="001714F2"/>
    <w:rsid w:val="00175043"/>
    <w:rsid w:val="00184B08"/>
    <w:rsid w:val="00185010"/>
    <w:rsid w:val="001907BB"/>
    <w:rsid w:val="001A552F"/>
    <w:rsid w:val="001B2CA9"/>
    <w:rsid w:val="001B3110"/>
    <w:rsid w:val="001B4729"/>
    <w:rsid w:val="001B6C09"/>
    <w:rsid w:val="001C05CD"/>
    <w:rsid w:val="001C1699"/>
    <w:rsid w:val="001C68C1"/>
    <w:rsid w:val="001D68B2"/>
    <w:rsid w:val="001E59FF"/>
    <w:rsid w:val="001F4597"/>
    <w:rsid w:val="001F5D31"/>
    <w:rsid w:val="001F5ECC"/>
    <w:rsid w:val="00200903"/>
    <w:rsid w:val="0021008E"/>
    <w:rsid w:val="002118B9"/>
    <w:rsid w:val="00217C5B"/>
    <w:rsid w:val="0022139E"/>
    <w:rsid w:val="002252E0"/>
    <w:rsid w:val="002255F6"/>
    <w:rsid w:val="00227850"/>
    <w:rsid w:val="00227A53"/>
    <w:rsid w:val="00230C6E"/>
    <w:rsid w:val="00234DD8"/>
    <w:rsid w:val="00236443"/>
    <w:rsid w:val="002436BA"/>
    <w:rsid w:val="00244A15"/>
    <w:rsid w:val="00245F95"/>
    <w:rsid w:val="00247319"/>
    <w:rsid w:val="0024799E"/>
    <w:rsid w:val="00251BF8"/>
    <w:rsid w:val="00253C0F"/>
    <w:rsid w:val="002643D6"/>
    <w:rsid w:val="00271465"/>
    <w:rsid w:val="00275CB4"/>
    <w:rsid w:val="00285412"/>
    <w:rsid w:val="002A00BE"/>
    <w:rsid w:val="002A16D4"/>
    <w:rsid w:val="002A230C"/>
    <w:rsid w:val="002B1226"/>
    <w:rsid w:val="002B6CB3"/>
    <w:rsid w:val="002C4214"/>
    <w:rsid w:val="002C43BD"/>
    <w:rsid w:val="002C474B"/>
    <w:rsid w:val="002C63A3"/>
    <w:rsid w:val="002C730B"/>
    <w:rsid w:val="002D0E59"/>
    <w:rsid w:val="002D6845"/>
    <w:rsid w:val="002E02A1"/>
    <w:rsid w:val="002E40F8"/>
    <w:rsid w:val="002E4E4C"/>
    <w:rsid w:val="00304771"/>
    <w:rsid w:val="003052D4"/>
    <w:rsid w:val="00305AD1"/>
    <w:rsid w:val="00306C5B"/>
    <w:rsid w:val="00307467"/>
    <w:rsid w:val="003209D6"/>
    <w:rsid w:val="00321924"/>
    <w:rsid w:val="0032656E"/>
    <w:rsid w:val="00332190"/>
    <w:rsid w:val="00335AC8"/>
    <w:rsid w:val="00336A9E"/>
    <w:rsid w:val="00344573"/>
    <w:rsid w:val="00344668"/>
    <w:rsid w:val="0034529B"/>
    <w:rsid w:val="003462D9"/>
    <w:rsid w:val="003546CF"/>
    <w:rsid w:val="00360C86"/>
    <w:rsid w:val="003657F3"/>
    <w:rsid w:val="003818DC"/>
    <w:rsid w:val="00383865"/>
    <w:rsid w:val="00384327"/>
    <w:rsid w:val="00385A76"/>
    <w:rsid w:val="00385D98"/>
    <w:rsid w:val="00386D4F"/>
    <w:rsid w:val="00390BF5"/>
    <w:rsid w:val="003A2B4D"/>
    <w:rsid w:val="003A478C"/>
    <w:rsid w:val="003A5525"/>
    <w:rsid w:val="003A6B38"/>
    <w:rsid w:val="003B5A32"/>
    <w:rsid w:val="003C3490"/>
    <w:rsid w:val="003C7F33"/>
    <w:rsid w:val="003D6920"/>
    <w:rsid w:val="003D6CCD"/>
    <w:rsid w:val="003D7FCF"/>
    <w:rsid w:val="003E1B21"/>
    <w:rsid w:val="003E2FAF"/>
    <w:rsid w:val="003E4C91"/>
    <w:rsid w:val="003F313C"/>
    <w:rsid w:val="003F4B2C"/>
    <w:rsid w:val="003F551C"/>
    <w:rsid w:val="003F5663"/>
    <w:rsid w:val="003F7D23"/>
    <w:rsid w:val="0040434F"/>
    <w:rsid w:val="00407C13"/>
    <w:rsid w:val="00407F89"/>
    <w:rsid w:val="00410638"/>
    <w:rsid w:val="00425613"/>
    <w:rsid w:val="00425FEB"/>
    <w:rsid w:val="00432A58"/>
    <w:rsid w:val="00434617"/>
    <w:rsid w:val="00434CAA"/>
    <w:rsid w:val="00435456"/>
    <w:rsid w:val="00440900"/>
    <w:rsid w:val="004441A0"/>
    <w:rsid w:val="00452914"/>
    <w:rsid w:val="00460FB3"/>
    <w:rsid w:val="00476240"/>
    <w:rsid w:val="00476439"/>
    <w:rsid w:val="0047735C"/>
    <w:rsid w:val="004776BC"/>
    <w:rsid w:val="00480920"/>
    <w:rsid w:val="0048139F"/>
    <w:rsid w:val="00481559"/>
    <w:rsid w:val="00481E40"/>
    <w:rsid w:val="004832B5"/>
    <w:rsid w:val="0048489D"/>
    <w:rsid w:val="00484ECE"/>
    <w:rsid w:val="004900FF"/>
    <w:rsid w:val="004915CB"/>
    <w:rsid w:val="004924DC"/>
    <w:rsid w:val="00492878"/>
    <w:rsid w:val="004A14E4"/>
    <w:rsid w:val="004A3212"/>
    <w:rsid w:val="004A61C5"/>
    <w:rsid w:val="004A77DF"/>
    <w:rsid w:val="004B1417"/>
    <w:rsid w:val="004B55B7"/>
    <w:rsid w:val="004B6468"/>
    <w:rsid w:val="004C0C7C"/>
    <w:rsid w:val="004C384C"/>
    <w:rsid w:val="004C3867"/>
    <w:rsid w:val="004C4CD0"/>
    <w:rsid w:val="004C70DC"/>
    <w:rsid w:val="004D0211"/>
    <w:rsid w:val="004D0794"/>
    <w:rsid w:val="004E2061"/>
    <w:rsid w:val="004E495A"/>
    <w:rsid w:val="004E55AA"/>
    <w:rsid w:val="004E6857"/>
    <w:rsid w:val="004F06F5"/>
    <w:rsid w:val="004F33A0"/>
    <w:rsid w:val="00500A8A"/>
    <w:rsid w:val="0050671A"/>
    <w:rsid w:val="005108C0"/>
    <w:rsid w:val="00511873"/>
    <w:rsid w:val="00512A2F"/>
    <w:rsid w:val="00513B7E"/>
    <w:rsid w:val="00515C74"/>
    <w:rsid w:val="0052007E"/>
    <w:rsid w:val="0052337A"/>
    <w:rsid w:val="00525137"/>
    <w:rsid w:val="005251DD"/>
    <w:rsid w:val="00530F00"/>
    <w:rsid w:val="00532CE7"/>
    <w:rsid w:val="0053324C"/>
    <w:rsid w:val="00534A28"/>
    <w:rsid w:val="00541508"/>
    <w:rsid w:val="00545FDA"/>
    <w:rsid w:val="0055599F"/>
    <w:rsid w:val="00556D68"/>
    <w:rsid w:val="005647BF"/>
    <w:rsid w:val="0056643C"/>
    <w:rsid w:val="0057364B"/>
    <w:rsid w:val="00574773"/>
    <w:rsid w:val="00583FFD"/>
    <w:rsid w:val="00587FF1"/>
    <w:rsid w:val="005911BE"/>
    <w:rsid w:val="00593152"/>
    <w:rsid w:val="005A10F2"/>
    <w:rsid w:val="005A1477"/>
    <w:rsid w:val="005A21E0"/>
    <w:rsid w:val="005A28FF"/>
    <w:rsid w:val="005A3DF8"/>
    <w:rsid w:val="005A5549"/>
    <w:rsid w:val="005B121D"/>
    <w:rsid w:val="005C06ED"/>
    <w:rsid w:val="005D05AB"/>
    <w:rsid w:val="005D13F8"/>
    <w:rsid w:val="005D1791"/>
    <w:rsid w:val="005D2D26"/>
    <w:rsid w:val="005D381C"/>
    <w:rsid w:val="005D5802"/>
    <w:rsid w:val="005D7890"/>
    <w:rsid w:val="005E066A"/>
    <w:rsid w:val="005E7C78"/>
    <w:rsid w:val="005F17A0"/>
    <w:rsid w:val="005F3EB1"/>
    <w:rsid w:val="005F4628"/>
    <w:rsid w:val="005F5469"/>
    <w:rsid w:val="00604307"/>
    <w:rsid w:val="0060487F"/>
    <w:rsid w:val="00604EAD"/>
    <w:rsid w:val="006104FB"/>
    <w:rsid w:val="00612A2F"/>
    <w:rsid w:val="00616E05"/>
    <w:rsid w:val="00624093"/>
    <w:rsid w:val="006404A7"/>
    <w:rsid w:val="006451E4"/>
    <w:rsid w:val="00645B33"/>
    <w:rsid w:val="006516CB"/>
    <w:rsid w:val="00651D79"/>
    <w:rsid w:val="00657E87"/>
    <w:rsid w:val="00664803"/>
    <w:rsid w:val="00665BA4"/>
    <w:rsid w:val="00666329"/>
    <w:rsid w:val="00667AF2"/>
    <w:rsid w:val="006710C9"/>
    <w:rsid w:val="00674D89"/>
    <w:rsid w:val="00675E37"/>
    <w:rsid w:val="0068174E"/>
    <w:rsid w:val="00681DCE"/>
    <w:rsid w:val="0068260E"/>
    <w:rsid w:val="00695BEF"/>
    <w:rsid w:val="006977F6"/>
    <w:rsid w:val="00697A13"/>
    <w:rsid w:val="006A109C"/>
    <w:rsid w:val="006A5661"/>
    <w:rsid w:val="006A65FC"/>
    <w:rsid w:val="006B344A"/>
    <w:rsid w:val="006B78D8"/>
    <w:rsid w:val="006C113F"/>
    <w:rsid w:val="006C123E"/>
    <w:rsid w:val="006C56D4"/>
    <w:rsid w:val="006C6924"/>
    <w:rsid w:val="006C7CA6"/>
    <w:rsid w:val="006D3E8A"/>
    <w:rsid w:val="006D61F6"/>
    <w:rsid w:val="006D760E"/>
    <w:rsid w:val="006E236F"/>
    <w:rsid w:val="006E270F"/>
    <w:rsid w:val="006E279A"/>
    <w:rsid w:val="006E313B"/>
    <w:rsid w:val="006E7C74"/>
    <w:rsid w:val="006F2286"/>
    <w:rsid w:val="006F5250"/>
    <w:rsid w:val="006F5416"/>
    <w:rsid w:val="006F7137"/>
    <w:rsid w:val="007066A0"/>
    <w:rsid w:val="00706AD4"/>
    <w:rsid w:val="00710A8B"/>
    <w:rsid w:val="007140BE"/>
    <w:rsid w:val="007211F5"/>
    <w:rsid w:val="00725BB5"/>
    <w:rsid w:val="00730AE8"/>
    <w:rsid w:val="00735747"/>
    <w:rsid w:val="00741493"/>
    <w:rsid w:val="00752180"/>
    <w:rsid w:val="00755202"/>
    <w:rsid w:val="00755D3A"/>
    <w:rsid w:val="007578D3"/>
    <w:rsid w:val="007609C6"/>
    <w:rsid w:val="0076175D"/>
    <w:rsid w:val="0076521E"/>
    <w:rsid w:val="007661E9"/>
    <w:rsid w:val="007703C0"/>
    <w:rsid w:val="00774CE9"/>
    <w:rsid w:val="00776169"/>
    <w:rsid w:val="00776527"/>
    <w:rsid w:val="00780EF1"/>
    <w:rsid w:val="00790764"/>
    <w:rsid w:val="0079453C"/>
    <w:rsid w:val="00794677"/>
    <w:rsid w:val="00797463"/>
    <w:rsid w:val="007A3D14"/>
    <w:rsid w:val="007A5557"/>
    <w:rsid w:val="007B6689"/>
    <w:rsid w:val="007C20D3"/>
    <w:rsid w:val="007D2096"/>
    <w:rsid w:val="007D40DF"/>
    <w:rsid w:val="007E7E61"/>
    <w:rsid w:val="007F0845"/>
    <w:rsid w:val="007F25C1"/>
    <w:rsid w:val="00803953"/>
    <w:rsid w:val="008057CA"/>
    <w:rsid w:val="008073B7"/>
    <w:rsid w:val="00807C82"/>
    <w:rsid w:val="00816905"/>
    <w:rsid w:val="00821FF6"/>
    <w:rsid w:val="00825C4D"/>
    <w:rsid w:val="0083143E"/>
    <w:rsid w:val="00831CDE"/>
    <w:rsid w:val="00834304"/>
    <w:rsid w:val="00834FAA"/>
    <w:rsid w:val="00836086"/>
    <w:rsid w:val="008360E3"/>
    <w:rsid w:val="0084708F"/>
    <w:rsid w:val="008477C8"/>
    <w:rsid w:val="0085114D"/>
    <w:rsid w:val="00852217"/>
    <w:rsid w:val="00853C74"/>
    <w:rsid w:val="00855408"/>
    <w:rsid w:val="00856D65"/>
    <w:rsid w:val="00861B41"/>
    <w:rsid w:val="00863434"/>
    <w:rsid w:val="00865E4C"/>
    <w:rsid w:val="008701E4"/>
    <w:rsid w:val="008715C2"/>
    <w:rsid w:val="00875A32"/>
    <w:rsid w:val="00876086"/>
    <w:rsid w:val="008873D4"/>
    <w:rsid w:val="00893E85"/>
    <w:rsid w:val="00894031"/>
    <w:rsid w:val="008949D2"/>
    <w:rsid w:val="008B155B"/>
    <w:rsid w:val="008B7C02"/>
    <w:rsid w:val="008B7D2B"/>
    <w:rsid w:val="008C0049"/>
    <w:rsid w:val="008C0E88"/>
    <w:rsid w:val="008D1E6A"/>
    <w:rsid w:val="008D2A16"/>
    <w:rsid w:val="008E2C57"/>
    <w:rsid w:val="008E31FF"/>
    <w:rsid w:val="008E6F06"/>
    <w:rsid w:val="008F029B"/>
    <w:rsid w:val="008F09C3"/>
    <w:rsid w:val="008F3FC9"/>
    <w:rsid w:val="008F585B"/>
    <w:rsid w:val="008F6B9A"/>
    <w:rsid w:val="009003A8"/>
    <w:rsid w:val="00900F7C"/>
    <w:rsid w:val="00902500"/>
    <w:rsid w:val="00902EFF"/>
    <w:rsid w:val="0090477E"/>
    <w:rsid w:val="00906401"/>
    <w:rsid w:val="0091155E"/>
    <w:rsid w:val="00912A92"/>
    <w:rsid w:val="009148AF"/>
    <w:rsid w:val="0091728D"/>
    <w:rsid w:val="0092180B"/>
    <w:rsid w:val="00921F14"/>
    <w:rsid w:val="00924AC8"/>
    <w:rsid w:val="00925703"/>
    <w:rsid w:val="0092597A"/>
    <w:rsid w:val="00932443"/>
    <w:rsid w:val="009327B5"/>
    <w:rsid w:val="00935896"/>
    <w:rsid w:val="009369EC"/>
    <w:rsid w:val="00937AE2"/>
    <w:rsid w:val="0094427A"/>
    <w:rsid w:val="0094493F"/>
    <w:rsid w:val="00946B1F"/>
    <w:rsid w:val="00956F7B"/>
    <w:rsid w:val="00957C5B"/>
    <w:rsid w:val="0097209B"/>
    <w:rsid w:val="0097475C"/>
    <w:rsid w:val="00974923"/>
    <w:rsid w:val="00980D3D"/>
    <w:rsid w:val="00987A30"/>
    <w:rsid w:val="00992CF3"/>
    <w:rsid w:val="009968D6"/>
    <w:rsid w:val="009A1CAB"/>
    <w:rsid w:val="009A60D1"/>
    <w:rsid w:val="009B3199"/>
    <w:rsid w:val="009B6FD3"/>
    <w:rsid w:val="009C0EB6"/>
    <w:rsid w:val="009C1750"/>
    <w:rsid w:val="009C2E29"/>
    <w:rsid w:val="009C554B"/>
    <w:rsid w:val="009C719E"/>
    <w:rsid w:val="009D123E"/>
    <w:rsid w:val="009D3ACD"/>
    <w:rsid w:val="009D7404"/>
    <w:rsid w:val="009E4E0A"/>
    <w:rsid w:val="009E5273"/>
    <w:rsid w:val="009E5DDB"/>
    <w:rsid w:val="009E75A6"/>
    <w:rsid w:val="009F16E7"/>
    <w:rsid w:val="009F4CA7"/>
    <w:rsid w:val="009F673D"/>
    <w:rsid w:val="00A10D66"/>
    <w:rsid w:val="00A14114"/>
    <w:rsid w:val="00A16413"/>
    <w:rsid w:val="00A2262D"/>
    <w:rsid w:val="00A23E43"/>
    <w:rsid w:val="00A30F65"/>
    <w:rsid w:val="00A418BC"/>
    <w:rsid w:val="00A46DE0"/>
    <w:rsid w:val="00A50D73"/>
    <w:rsid w:val="00A52938"/>
    <w:rsid w:val="00A52CAD"/>
    <w:rsid w:val="00A53FC7"/>
    <w:rsid w:val="00A62CE1"/>
    <w:rsid w:val="00A6741E"/>
    <w:rsid w:val="00A7027D"/>
    <w:rsid w:val="00A71465"/>
    <w:rsid w:val="00A75E40"/>
    <w:rsid w:val="00A77D1D"/>
    <w:rsid w:val="00A854BA"/>
    <w:rsid w:val="00A857C0"/>
    <w:rsid w:val="00AA2996"/>
    <w:rsid w:val="00AA52BF"/>
    <w:rsid w:val="00AA559A"/>
    <w:rsid w:val="00AB292A"/>
    <w:rsid w:val="00AB2AF1"/>
    <w:rsid w:val="00AD306C"/>
    <w:rsid w:val="00AE09B3"/>
    <w:rsid w:val="00AE1A83"/>
    <w:rsid w:val="00AF51E3"/>
    <w:rsid w:val="00B00913"/>
    <w:rsid w:val="00B01593"/>
    <w:rsid w:val="00B01B3E"/>
    <w:rsid w:val="00B02AC4"/>
    <w:rsid w:val="00B10A4D"/>
    <w:rsid w:val="00B11FB3"/>
    <w:rsid w:val="00B17E71"/>
    <w:rsid w:val="00B17FDE"/>
    <w:rsid w:val="00B2379C"/>
    <w:rsid w:val="00B2687D"/>
    <w:rsid w:val="00B27E3C"/>
    <w:rsid w:val="00B31735"/>
    <w:rsid w:val="00B327FD"/>
    <w:rsid w:val="00B32DDB"/>
    <w:rsid w:val="00B33613"/>
    <w:rsid w:val="00B34528"/>
    <w:rsid w:val="00B366D0"/>
    <w:rsid w:val="00B402FC"/>
    <w:rsid w:val="00B414B3"/>
    <w:rsid w:val="00B46604"/>
    <w:rsid w:val="00B530CD"/>
    <w:rsid w:val="00B55F5E"/>
    <w:rsid w:val="00B5752E"/>
    <w:rsid w:val="00B61BF6"/>
    <w:rsid w:val="00B63A11"/>
    <w:rsid w:val="00B64C24"/>
    <w:rsid w:val="00B6608F"/>
    <w:rsid w:val="00B679FB"/>
    <w:rsid w:val="00B72505"/>
    <w:rsid w:val="00B76D1E"/>
    <w:rsid w:val="00B80EC6"/>
    <w:rsid w:val="00B920BC"/>
    <w:rsid w:val="00B923EE"/>
    <w:rsid w:val="00B92D1D"/>
    <w:rsid w:val="00B938C5"/>
    <w:rsid w:val="00B95940"/>
    <w:rsid w:val="00BB15C2"/>
    <w:rsid w:val="00BB46F3"/>
    <w:rsid w:val="00BB4CB1"/>
    <w:rsid w:val="00BB4F98"/>
    <w:rsid w:val="00BC7154"/>
    <w:rsid w:val="00BD366B"/>
    <w:rsid w:val="00BD6548"/>
    <w:rsid w:val="00BD6D50"/>
    <w:rsid w:val="00BE18B9"/>
    <w:rsid w:val="00BE2495"/>
    <w:rsid w:val="00BE60AD"/>
    <w:rsid w:val="00BF1578"/>
    <w:rsid w:val="00BF7D81"/>
    <w:rsid w:val="00C06D29"/>
    <w:rsid w:val="00C0751E"/>
    <w:rsid w:val="00C12C70"/>
    <w:rsid w:val="00C20328"/>
    <w:rsid w:val="00C21F94"/>
    <w:rsid w:val="00C23D20"/>
    <w:rsid w:val="00C27913"/>
    <w:rsid w:val="00C27ECC"/>
    <w:rsid w:val="00C33B68"/>
    <w:rsid w:val="00C369BF"/>
    <w:rsid w:val="00C36A79"/>
    <w:rsid w:val="00C405D4"/>
    <w:rsid w:val="00C4513B"/>
    <w:rsid w:val="00C470D1"/>
    <w:rsid w:val="00C50880"/>
    <w:rsid w:val="00C54697"/>
    <w:rsid w:val="00C57B87"/>
    <w:rsid w:val="00C609FE"/>
    <w:rsid w:val="00C73885"/>
    <w:rsid w:val="00C747B1"/>
    <w:rsid w:val="00C82191"/>
    <w:rsid w:val="00C8357C"/>
    <w:rsid w:val="00C90CF4"/>
    <w:rsid w:val="00C92EB6"/>
    <w:rsid w:val="00C93389"/>
    <w:rsid w:val="00CB4930"/>
    <w:rsid w:val="00CC2E7D"/>
    <w:rsid w:val="00CD10A5"/>
    <w:rsid w:val="00CD10AE"/>
    <w:rsid w:val="00CD2076"/>
    <w:rsid w:val="00CD6854"/>
    <w:rsid w:val="00CD736F"/>
    <w:rsid w:val="00CD7870"/>
    <w:rsid w:val="00CE086E"/>
    <w:rsid w:val="00CE670B"/>
    <w:rsid w:val="00CF442A"/>
    <w:rsid w:val="00CF44C1"/>
    <w:rsid w:val="00CF51EC"/>
    <w:rsid w:val="00CF73AE"/>
    <w:rsid w:val="00D040DD"/>
    <w:rsid w:val="00D05A05"/>
    <w:rsid w:val="00D13986"/>
    <w:rsid w:val="00D21199"/>
    <w:rsid w:val="00D22C80"/>
    <w:rsid w:val="00D235B7"/>
    <w:rsid w:val="00D25F28"/>
    <w:rsid w:val="00D264DA"/>
    <w:rsid w:val="00D27973"/>
    <w:rsid w:val="00D32310"/>
    <w:rsid w:val="00D454D4"/>
    <w:rsid w:val="00D50F46"/>
    <w:rsid w:val="00D56151"/>
    <w:rsid w:val="00D66223"/>
    <w:rsid w:val="00D676CB"/>
    <w:rsid w:val="00D744C7"/>
    <w:rsid w:val="00D8084C"/>
    <w:rsid w:val="00DA7C0C"/>
    <w:rsid w:val="00DB2EC8"/>
    <w:rsid w:val="00DC5B3B"/>
    <w:rsid w:val="00DD129F"/>
    <w:rsid w:val="00DD5A0D"/>
    <w:rsid w:val="00DD771A"/>
    <w:rsid w:val="00DE38A7"/>
    <w:rsid w:val="00DE4751"/>
    <w:rsid w:val="00DF42FF"/>
    <w:rsid w:val="00E01C0E"/>
    <w:rsid w:val="00E022D3"/>
    <w:rsid w:val="00E03F9A"/>
    <w:rsid w:val="00E04694"/>
    <w:rsid w:val="00E079AB"/>
    <w:rsid w:val="00E12B1E"/>
    <w:rsid w:val="00E17262"/>
    <w:rsid w:val="00E253A2"/>
    <w:rsid w:val="00E2590E"/>
    <w:rsid w:val="00E3309D"/>
    <w:rsid w:val="00E4304F"/>
    <w:rsid w:val="00E50156"/>
    <w:rsid w:val="00E53470"/>
    <w:rsid w:val="00E539F6"/>
    <w:rsid w:val="00E640F8"/>
    <w:rsid w:val="00E6417F"/>
    <w:rsid w:val="00E6519D"/>
    <w:rsid w:val="00E66A08"/>
    <w:rsid w:val="00E67696"/>
    <w:rsid w:val="00E70E65"/>
    <w:rsid w:val="00E71A58"/>
    <w:rsid w:val="00E72A7A"/>
    <w:rsid w:val="00E75117"/>
    <w:rsid w:val="00E75C94"/>
    <w:rsid w:val="00E91A97"/>
    <w:rsid w:val="00E93820"/>
    <w:rsid w:val="00EA0C68"/>
    <w:rsid w:val="00EA32BC"/>
    <w:rsid w:val="00EA74DB"/>
    <w:rsid w:val="00EB1029"/>
    <w:rsid w:val="00EB4511"/>
    <w:rsid w:val="00EB4725"/>
    <w:rsid w:val="00EC03D7"/>
    <w:rsid w:val="00ED3982"/>
    <w:rsid w:val="00ED62C6"/>
    <w:rsid w:val="00ED64C1"/>
    <w:rsid w:val="00EE3446"/>
    <w:rsid w:val="00EE3E78"/>
    <w:rsid w:val="00EE4B1B"/>
    <w:rsid w:val="00EE7CF4"/>
    <w:rsid w:val="00EF150D"/>
    <w:rsid w:val="00EF1F5A"/>
    <w:rsid w:val="00EF47BF"/>
    <w:rsid w:val="00F01C1B"/>
    <w:rsid w:val="00F04811"/>
    <w:rsid w:val="00F0488C"/>
    <w:rsid w:val="00F05F5E"/>
    <w:rsid w:val="00F10F11"/>
    <w:rsid w:val="00F1150C"/>
    <w:rsid w:val="00F149A5"/>
    <w:rsid w:val="00F15AAA"/>
    <w:rsid w:val="00F15BEF"/>
    <w:rsid w:val="00F17F34"/>
    <w:rsid w:val="00F20D12"/>
    <w:rsid w:val="00F24407"/>
    <w:rsid w:val="00F24FAA"/>
    <w:rsid w:val="00F27218"/>
    <w:rsid w:val="00F3364D"/>
    <w:rsid w:val="00F437CC"/>
    <w:rsid w:val="00F47067"/>
    <w:rsid w:val="00F47E61"/>
    <w:rsid w:val="00F525EB"/>
    <w:rsid w:val="00F52F02"/>
    <w:rsid w:val="00F63DDE"/>
    <w:rsid w:val="00F63FB7"/>
    <w:rsid w:val="00F649D2"/>
    <w:rsid w:val="00F6602B"/>
    <w:rsid w:val="00F7260E"/>
    <w:rsid w:val="00F73A0C"/>
    <w:rsid w:val="00F756DB"/>
    <w:rsid w:val="00F77AD9"/>
    <w:rsid w:val="00F85066"/>
    <w:rsid w:val="00F97C4B"/>
    <w:rsid w:val="00FA3ADB"/>
    <w:rsid w:val="00FA5D4D"/>
    <w:rsid w:val="00FB0EE2"/>
    <w:rsid w:val="00FB542E"/>
    <w:rsid w:val="00FC0E5F"/>
    <w:rsid w:val="00FC18CE"/>
    <w:rsid w:val="00FC1A95"/>
    <w:rsid w:val="00FC2CD8"/>
    <w:rsid w:val="00FC56DE"/>
    <w:rsid w:val="00FC684B"/>
    <w:rsid w:val="00FC6CD2"/>
    <w:rsid w:val="00FD3265"/>
    <w:rsid w:val="00FD437F"/>
    <w:rsid w:val="00FE2F78"/>
    <w:rsid w:val="00FF661E"/>
    <w:rsid w:val="00FF7B96"/>
    <w:rsid w:val="00FF7F6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C6746A9"/>
  <w15:docId w15:val="{60597AD2-177B-40C5-840B-D5A114C8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nadpis">
    <w:name w:val="Subtitle"/>
    <w:link w:val="Podnadpis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nadpisChar">
    <w:name w:val="Podnadpis Char"/>
    <w:link w:val="Podnadpis"/>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8B155B"/>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content">
    <w:name w:val="content"/>
    <w:basedOn w:val="Standardnpsmoodstavce"/>
    <w:rsid w:val="00774CE9"/>
  </w:style>
  <w:style w:type="character" w:styleId="Znakapoznpodarou">
    <w:name w:val="footnote reference"/>
    <w:rsid w:val="00774CE9"/>
    <w:rPr>
      <w:vertAlign w:val="superscript"/>
    </w:rPr>
  </w:style>
  <w:style w:type="paragraph" w:styleId="Textpoznpodarou">
    <w:name w:val="footnote text"/>
    <w:basedOn w:val="Normln"/>
    <w:link w:val="TextpoznpodarouChar"/>
    <w:uiPriority w:val="99"/>
    <w:semiHidden/>
    <w:rsid w:val="00774CE9"/>
    <w:pPr>
      <w:spacing w:after="0"/>
    </w:pPr>
    <w:rPr>
      <w:szCs w:val="20"/>
    </w:rPr>
  </w:style>
  <w:style w:type="character" w:customStyle="1" w:styleId="TextpoznpodarouChar">
    <w:name w:val="Text pozn. pod čarou Char"/>
    <w:basedOn w:val="Standardnpsmoodstavce"/>
    <w:link w:val="Textpoznpodarou"/>
    <w:uiPriority w:val="99"/>
    <w:semiHidden/>
    <w:rsid w:val="00774CE9"/>
    <w:rPr>
      <w:rFonts w:ascii="Arial" w:eastAsia="Times New Roman" w:hAnsi="Arial"/>
      <w:lang w:eastAsia="cs-CZ"/>
    </w:rPr>
  </w:style>
  <w:style w:type="paragraph" w:styleId="Odstavecseseznamem">
    <w:name w:val="List Paragraph"/>
    <w:basedOn w:val="Normln"/>
    <w:uiPriority w:val="99"/>
    <w:qFormat/>
    <w:rsid w:val="00774CE9"/>
    <w:pPr>
      <w:ind w:left="720"/>
      <w:contextualSpacing/>
    </w:pPr>
  </w:style>
  <w:style w:type="character" w:styleId="Sledovanodkaz">
    <w:name w:val="FollowedHyperlink"/>
    <w:basedOn w:val="Standardnpsmoodstavce"/>
    <w:uiPriority w:val="99"/>
    <w:semiHidden/>
    <w:unhideWhenUsed/>
    <w:rsid w:val="004832B5"/>
    <w:rPr>
      <w:color w:val="800080" w:themeColor="followedHyperlink"/>
      <w:u w:val="single"/>
    </w:rPr>
  </w:style>
  <w:style w:type="paragraph" w:styleId="Normlnweb">
    <w:name w:val="Normal (Web)"/>
    <w:basedOn w:val="Normln"/>
    <w:uiPriority w:val="99"/>
    <w:unhideWhenUsed/>
    <w:rsid w:val="00200903"/>
    <w:pPr>
      <w:spacing w:before="100" w:beforeAutospacing="1" w:after="100" w:afterAutospacing="1" w:line="240" w:lineRule="auto"/>
    </w:pPr>
    <w:rPr>
      <w:rFonts w:ascii="Times New Roman" w:hAnsi="Times New Roman"/>
      <w:sz w:val="24"/>
    </w:rPr>
  </w:style>
  <w:style w:type="character" w:styleId="Odkaznakoment">
    <w:name w:val="annotation reference"/>
    <w:basedOn w:val="Standardnpsmoodstavce"/>
    <w:uiPriority w:val="99"/>
    <w:semiHidden/>
    <w:unhideWhenUsed/>
    <w:rsid w:val="00AB292A"/>
    <w:rPr>
      <w:sz w:val="16"/>
      <w:szCs w:val="16"/>
    </w:rPr>
  </w:style>
  <w:style w:type="paragraph" w:styleId="Textkomente">
    <w:name w:val="annotation text"/>
    <w:basedOn w:val="Normln"/>
    <w:link w:val="TextkomenteChar"/>
    <w:uiPriority w:val="99"/>
    <w:unhideWhenUsed/>
    <w:rsid w:val="00AB292A"/>
    <w:pPr>
      <w:spacing w:line="240" w:lineRule="auto"/>
    </w:pPr>
    <w:rPr>
      <w:szCs w:val="20"/>
    </w:rPr>
  </w:style>
  <w:style w:type="character" w:customStyle="1" w:styleId="TextkomenteChar">
    <w:name w:val="Text komentáře Char"/>
    <w:basedOn w:val="Standardnpsmoodstavce"/>
    <w:link w:val="Textkomente"/>
    <w:uiPriority w:val="99"/>
    <w:rsid w:val="00AB292A"/>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AB292A"/>
    <w:rPr>
      <w:b/>
      <w:bCs/>
    </w:rPr>
  </w:style>
  <w:style w:type="character" w:customStyle="1" w:styleId="PedmtkomenteChar">
    <w:name w:val="Předmět komentáře Char"/>
    <w:basedOn w:val="TextkomenteChar"/>
    <w:link w:val="Pedmtkomente"/>
    <w:uiPriority w:val="99"/>
    <w:semiHidden/>
    <w:rsid w:val="00AB292A"/>
    <w:rPr>
      <w:rFonts w:ascii="Arial" w:eastAsia="Times New Roman" w:hAnsi="Arial"/>
      <w:b/>
      <w:bCs/>
      <w:lang w:eastAsia="cs-CZ"/>
    </w:rPr>
  </w:style>
  <w:style w:type="paragraph" w:customStyle="1" w:styleId="Default">
    <w:name w:val="Default"/>
    <w:rsid w:val="00B27E3C"/>
    <w:pPr>
      <w:autoSpaceDE w:val="0"/>
      <w:autoSpaceDN w:val="0"/>
      <w:adjustRightInd w:val="0"/>
    </w:pPr>
    <w:rPr>
      <w:rFonts w:ascii="Arial" w:hAnsi="Arial" w:cs="Arial"/>
      <w:color w:val="000000"/>
      <w:sz w:val="24"/>
      <w:szCs w:val="24"/>
    </w:rPr>
  </w:style>
  <w:style w:type="paragraph" w:styleId="Zkladntextodsazen">
    <w:name w:val="Body Text Indent"/>
    <w:basedOn w:val="Normln"/>
    <w:link w:val="ZkladntextodsazenChar"/>
    <w:uiPriority w:val="99"/>
    <w:rsid w:val="00B11FB3"/>
    <w:pPr>
      <w:spacing w:after="0" w:line="240" w:lineRule="auto"/>
      <w:ind w:left="360"/>
    </w:pPr>
    <w:rPr>
      <w:szCs w:val="20"/>
    </w:rPr>
  </w:style>
  <w:style w:type="character" w:customStyle="1" w:styleId="ZkladntextodsazenChar">
    <w:name w:val="Základní text odsazený Char"/>
    <w:basedOn w:val="Standardnpsmoodstavce"/>
    <w:link w:val="Zkladntextodsazen"/>
    <w:uiPriority w:val="99"/>
    <w:rsid w:val="00B11FB3"/>
    <w:rPr>
      <w:rFonts w:ascii="Arial" w:eastAsia="Times New Roman" w:hAnsi="Arial"/>
      <w:lang w:eastAsia="cs-CZ"/>
    </w:rPr>
  </w:style>
  <w:style w:type="paragraph" w:styleId="Revize">
    <w:name w:val="Revision"/>
    <w:hidden/>
    <w:uiPriority w:val="99"/>
    <w:semiHidden/>
    <w:rsid w:val="00386D4F"/>
    <w:rPr>
      <w:rFonts w:ascii="Arial" w:eastAsia="Times New Roman" w:hAnsi="Arial"/>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35855295">
      <w:bodyDiv w:val="1"/>
      <w:marLeft w:val="0"/>
      <w:marRight w:val="0"/>
      <w:marTop w:val="0"/>
      <w:marBottom w:val="0"/>
      <w:divBdr>
        <w:top w:val="none" w:sz="0" w:space="0" w:color="auto"/>
        <w:left w:val="none" w:sz="0" w:space="0" w:color="auto"/>
        <w:bottom w:val="none" w:sz="0" w:space="0" w:color="auto"/>
        <w:right w:val="none" w:sz="0" w:space="0" w:color="auto"/>
      </w:divBdr>
    </w:div>
    <w:div w:id="43068998">
      <w:bodyDiv w:val="1"/>
      <w:marLeft w:val="0"/>
      <w:marRight w:val="0"/>
      <w:marTop w:val="0"/>
      <w:marBottom w:val="0"/>
      <w:divBdr>
        <w:top w:val="none" w:sz="0" w:space="0" w:color="auto"/>
        <w:left w:val="none" w:sz="0" w:space="0" w:color="auto"/>
        <w:bottom w:val="none" w:sz="0" w:space="0" w:color="auto"/>
        <w:right w:val="none" w:sz="0" w:space="0" w:color="auto"/>
      </w:divBdr>
    </w:div>
    <w:div w:id="81730402">
      <w:bodyDiv w:val="1"/>
      <w:marLeft w:val="0"/>
      <w:marRight w:val="0"/>
      <w:marTop w:val="0"/>
      <w:marBottom w:val="0"/>
      <w:divBdr>
        <w:top w:val="none" w:sz="0" w:space="0" w:color="auto"/>
        <w:left w:val="none" w:sz="0" w:space="0" w:color="auto"/>
        <w:bottom w:val="none" w:sz="0" w:space="0" w:color="auto"/>
        <w:right w:val="none" w:sz="0" w:space="0" w:color="auto"/>
      </w:divBdr>
    </w:div>
    <w:div w:id="102188231">
      <w:bodyDiv w:val="1"/>
      <w:marLeft w:val="0"/>
      <w:marRight w:val="0"/>
      <w:marTop w:val="0"/>
      <w:marBottom w:val="0"/>
      <w:divBdr>
        <w:top w:val="none" w:sz="0" w:space="0" w:color="auto"/>
        <w:left w:val="none" w:sz="0" w:space="0" w:color="auto"/>
        <w:bottom w:val="none" w:sz="0" w:space="0" w:color="auto"/>
        <w:right w:val="none" w:sz="0" w:space="0" w:color="auto"/>
      </w:divBdr>
    </w:div>
    <w:div w:id="2590677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26910537">
      <w:bodyDiv w:val="1"/>
      <w:marLeft w:val="0"/>
      <w:marRight w:val="0"/>
      <w:marTop w:val="0"/>
      <w:marBottom w:val="0"/>
      <w:divBdr>
        <w:top w:val="none" w:sz="0" w:space="0" w:color="auto"/>
        <w:left w:val="none" w:sz="0" w:space="0" w:color="auto"/>
        <w:bottom w:val="none" w:sz="0" w:space="0" w:color="auto"/>
        <w:right w:val="none" w:sz="0" w:space="0" w:color="auto"/>
      </w:divBdr>
    </w:div>
    <w:div w:id="339702408">
      <w:bodyDiv w:val="1"/>
      <w:marLeft w:val="0"/>
      <w:marRight w:val="0"/>
      <w:marTop w:val="0"/>
      <w:marBottom w:val="0"/>
      <w:divBdr>
        <w:top w:val="none" w:sz="0" w:space="0" w:color="auto"/>
        <w:left w:val="none" w:sz="0" w:space="0" w:color="auto"/>
        <w:bottom w:val="none" w:sz="0" w:space="0" w:color="auto"/>
        <w:right w:val="none" w:sz="0" w:space="0" w:color="auto"/>
      </w:divBdr>
    </w:div>
    <w:div w:id="362439264">
      <w:bodyDiv w:val="1"/>
      <w:marLeft w:val="0"/>
      <w:marRight w:val="0"/>
      <w:marTop w:val="0"/>
      <w:marBottom w:val="0"/>
      <w:divBdr>
        <w:top w:val="none" w:sz="0" w:space="0" w:color="auto"/>
        <w:left w:val="none" w:sz="0" w:space="0" w:color="auto"/>
        <w:bottom w:val="none" w:sz="0" w:space="0" w:color="auto"/>
        <w:right w:val="none" w:sz="0" w:space="0" w:color="auto"/>
      </w:divBdr>
    </w:div>
    <w:div w:id="371272476">
      <w:bodyDiv w:val="1"/>
      <w:marLeft w:val="0"/>
      <w:marRight w:val="0"/>
      <w:marTop w:val="0"/>
      <w:marBottom w:val="0"/>
      <w:divBdr>
        <w:top w:val="none" w:sz="0" w:space="0" w:color="auto"/>
        <w:left w:val="none" w:sz="0" w:space="0" w:color="auto"/>
        <w:bottom w:val="none" w:sz="0" w:space="0" w:color="auto"/>
        <w:right w:val="none" w:sz="0" w:space="0" w:color="auto"/>
      </w:divBdr>
    </w:div>
    <w:div w:id="452940925">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497885126">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82951743">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12777070">
      <w:bodyDiv w:val="1"/>
      <w:marLeft w:val="0"/>
      <w:marRight w:val="0"/>
      <w:marTop w:val="0"/>
      <w:marBottom w:val="0"/>
      <w:divBdr>
        <w:top w:val="none" w:sz="0" w:space="0" w:color="auto"/>
        <w:left w:val="none" w:sz="0" w:space="0" w:color="auto"/>
        <w:bottom w:val="none" w:sz="0" w:space="0" w:color="auto"/>
        <w:right w:val="none" w:sz="0" w:space="0" w:color="auto"/>
      </w:divBdr>
    </w:div>
    <w:div w:id="736126533">
      <w:bodyDiv w:val="1"/>
      <w:marLeft w:val="0"/>
      <w:marRight w:val="0"/>
      <w:marTop w:val="0"/>
      <w:marBottom w:val="0"/>
      <w:divBdr>
        <w:top w:val="none" w:sz="0" w:space="0" w:color="auto"/>
        <w:left w:val="none" w:sz="0" w:space="0" w:color="auto"/>
        <w:bottom w:val="none" w:sz="0" w:space="0" w:color="auto"/>
        <w:right w:val="none" w:sz="0" w:space="0" w:color="auto"/>
      </w:divBdr>
    </w:div>
    <w:div w:id="756904044">
      <w:bodyDiv w:val="1"/>
      <w:marLeft w:val="0"/>
      <w:marRight w:val="0"/>
      <w:marTop w:val="0"/>
      <w:marBottom w:val="0"/>
      <w:divBdr>
        <w:top w:val="none" w:sz="0" w:space="0" w:color="auto"/>
        <w:left w:val="none" w:sz="0" w:space="0" w:color="auto"/>
        <w:bottom w:val="none" w:sz="0" w:space="0" w:color="auto"/>
        <w:right w:val="none" w:sz="0" w:space="0" w:color="auto"/>
      </w:divBdr>
    </w:div>
    <w:div w:id="762454543">
      <w:bodyDiv w:val="1"/>
      <w:marLeft w:val="0"/>
      <w:marRight w:val="0"/>
      <w:marTop w:val="0"/>
      <w:marBottom w:val="0"/>
      <w:divBdr>
        <w:top w:val="none" w:sz="0" w:space="0" w:color="auto"/>
        <w:left w:val="none" w:sz="0" w:space="0" w:color="auto"/>
        <w:bottom w:val="none" w:sz="0" w:space="0" w:color="auto"/>
        <w:right w:val="none" w:sz="0" w:space="0" w:color="auto"/>
      </w:divBdr>
    </w:div>
    <w:div w:id="785925583">
      <w:bodyDiv w:val="1"/>
      <w:marLeft w:val="0"/>
      <w:marRight w:val="0"/>
      <w:marTop w:val="0"/>
      <w:marBottom w:val="0"/>
      <w:divBdr>
        <w:top w:val="none" w:sz="0" w:space="0" w:color="auto"/>
        <w:left w:val="none" w:sz="0" w:space="0" w:color="auto"/>
        <w:bottom w:val="none" w:sz="0" w:space="0" w:color="auto"/>
        <w:right w:val="none" w:sz="0" w:space="0" w:color="auto"/>
      </w:divBdr>
    </w:div>
    <w:div w:id="1066146983">
      <w:bodyDiv w:val="1"/>
      <w:marLeft w:val="0"/>
      <w:marRight w:val="0"/>
      <w:marTop w:val="0"/>
      <w:marBottom w:val="0"/>
      <w:divBdr>
        <w:top w:val="none" w:sz="0" w:space="0" w:color="auto"/>
        <w:left w:val="none" w:sz="0" w:space="0" w:color="auto"/>
        <w:bottom w:val="none" w:sz="0" w:space="0" w:color="auto"/>
        <w:right w:val="none" w:sz="0" w:space="0" w:color="auto"/>
      </w:divBdr>
    </w:div>
    <w:div w:id="1200822534">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48306310">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46931090">
      <w:bodyDiv w:val="1"/>
      <w:marLeft w:val="0"/>
      <w:marRight w:val="0"/>
      <w:marTop w:val="0"/>
      <w:marBottom w:val="0"/>
      <w:divBdr>
        <w:top w:val="none" w:sz="0" w:space="0" w:color="auto"/>
        <w:left w:val="none" w:sz="0" w:space="0" w:color="auto"/>
        <w:bottom w:val="none" w:sz="0" w:space="0" w:color="auto"/>
        <w:right w:val="none" w:sz="0" w:space="0" w:color="auto"/>
      </w:divBdr>
    </w:div>
    <w:div w:id="1838232636">
      <w:bodyDiv w:val="1"/>
      <w:marLeft w:val="0"/>
      <w:marRight w:val="0"/>
      <w:marTop w:val="0"/>
      <w:marBottom w:val="0"/>
      <w:divBdr>
        <w:top w:val="none" w:sz="0" w:space="0" w:color="auto"/>
        <w:left w:val="none" w:sz="0" w:space="0" w:color="auto"/>
        <w:bottom w:val="none" w:sz="0" w:space="0" w:color="auto"/>
        <w:right w:val="none" w:sz="0" w:space="0" w:color="auto"/>
      </w:divBdr>
    </w:div>
    <w:div w:id="1887377960">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895921142">
      <w:bodyDiv w:val="1"/>
      <w:marLeft w:val="0"/>
      <w:marRight w:val="0"/>
      <w:marTop w:val="0"/>
      <w:marBottom w:val="0"/>
      <w:divBdr>
        <w:top w:val="none" w:sz="0" w:space="0" w:color="auto"/>
        <w:left w:val="none" w:sz="0" w:space="0" w:color="auto"/>
        <w:bottom w:val="none" w:sz="0" w:space="0" w:color="auto"/>
        <w:right w:val="none" w:sz="0" w:space="0" w:color="auto"/>
      </w:divBdr>
    </w:div>
    <w:div w:id="2080980088">
      <w:bodyDiv w:val="1"/>
      <w:marLeft w:val="0"/>
      <w:marRight w:val="0"/>
      <w:marTop w:val="0"/>
      <w:marBottom w:val="0"/>
      <w:divBdr>
        <w:top w:val="none" w:sz="0" w:space="0" w:color="auto"/>
        <w:left w:val="none" w:sz="0" w:space="0" w:color="auto"/>
        <w:bottom w:val="none" w:sz="0" w:space="0" w:color="auto"/>
        <w:right w:val="none" w:sz="0" w:space="0" w:color="auto"/>
      </w:divBdr>
    </w:div>
    <w:div w:id="208799780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psv.cz/web/cz/kalkulacka-pro-vypocet-davek-v-roce-2023" TargetMode="External"/><Relationship Id="rId18" Type="http://schemas.openxmlformats.org/officeDocument/2006/relationships/hyperlink" Target="https://www.uzis.cz/index.php?pg=vystupy--statistika-vybranych-ekonomickych-temat--pracovni-neschopnost" TargetMode="External"/><Relationship Id="rId26" Type="http://schemas.openxmlformats.org/officeDocument/2006/relationships/chart" Target="charts/chart8.xml"/><Relationship Id="rId39" Type="http://schemas.openxmlformats.org/officeDocument/2006/relationships/chart" Target="charts/chart20.xml"/><Relationship Id="rId21" Type="http://schemas.openxmlformats.org/officeDocument/2006/relationships/chart" Target="charts/chart3.xml"/><Relationship Id="rId34" Type="http://schemas.openxmlformats.org/officeDocument/2006/relationships/chart" Target="charts/chart16.xm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psv.cz/documents/20142/225490/Anal%C3%BDza+NP_2022.pdf/cdd09219-aa75-cf4a-e039-5d65aafb28ab" TargetMode="Externa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sz.cz/cz/nemocenske-pojisteni/ucast-na-pojisteni/" TargetMode="External"/><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8.xml"/><Relationship Id="rId40" Type="http://schemas.openxmlformats.org/officeDocument/2006/relationships/chart" Target="charts/chart21.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ssz.cz/web/cz/nemocenske" TargetMode="Externa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7.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chart" Target="charts/chart13.xm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psv.cz/web/cz/nemocenske-pojisteni-v-roce-2023" TargetMode="Externa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hyperlink" Target="https://www.mpsv.cz/documents/20142/225490/Anal%C3%BDza+NP_2022.pdf/cdd09219-aa75-cf4a-e039-5d65aafb28ab"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ssz.cz/web/cz/osvc-nemocenske-pojisteni-ucast-na-pojisteni" TargetMode="External"/><Relationship Id="rId17" Type="http://schemas.openxmlformats.org/officeDocument/2006/relationships/hyperlink" Target="https://www.cssz.cz/web/cz/nemocenska-statistika" TargetMode="Externa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19.xml"/><Relationship Id="rId46" Type="http://schemas.openxmlformats.org/officeDocument/2006/relationships/theme" Target="theme/theme1.xml"/><Relationship Id="rId20" Type="http://schemas.openxmlformats.org/officeDocument/2006/relationships/chart" Target="charts/chart2.xm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zso.cz/csu/czso/klasifikace-institucionalnich-sektoru-a-subsektoru-cz-ciss" TargetMode="External"/><Relationship Id="rId2" Type="http://schemas.openxmlformats.org/officeDocument/2006/relationships/hyperlink" Target="https://www.cssz.cz/web/eneschopenka/" TargetMode="External"/><Relationship Id="rId1" Type="http://schemas.openxmlformats.org/officeDocument/2006/relationships/hyperlink" Target="https://www.czso.cz/csu/czso/pracovni-neschopnost-pro-nemoc-a-uraz-v-ceske-republice-1-pololeti-2023" TargetMode="External"/><Relationship Id="rId4" Type="http://schemas.openxmlformats.org/officeDocument/2006/relationships/hyperlink" Target="https://ec.europa.eu/eurostat/web/health/databas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hykysova23070\Documents\PN\2023\2.%20pol\publ\Form_c439%20-%20Publikace%20bar%20CZ_lide%20a%20spolecnost_2017-08-14.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hykysova23070\Documents\PN\2023\2.%20pol\publ\Tab%20a%20grafy%20do%20textu_2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hykysova23070\Documents\PN\2023\2.%20pol\publ\Tab%20a%20grafy%20do%20textu_2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hykysova23070\Documents\PN\2023\2.%20pol\publ\Tab%20a%20grafy%20do%20textu_23.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hykysova23070\Documents\PN\2023\2.%20pol\publ\Tab%20a%20grafy%20do%20textu_23.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hykysova23070\Documents\PN\2023\2.%20pol\publ\Tab%20a%20grafy%20do%20textu_23.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hykysova23070\Documents\PN\2023\2.%20pol\publ\Tab%20a%20grafy%20do%20textu_23.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D:\hykysova23070\Documents\PN\2023\2.%20pol\publ\Tab%20a%20grafy%20do%20textu_23.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1" Type="http://schemas.openxmlformats.org/officeDocument/2006/relationships/oleObject" Target="file:///D:\hykysova23070\Documents\PN\2023\2.%20pol\publ\Tab%20a%20grafy%20do%20textu_23.xlsx" TargetMode="External"/></Relationships>
</file>

<file path=word/charts/_rels/chart17.xml.rels><?xml version="1.0" encoding="UTF-8" standalone="yes"?>
<Relationships xmlns="http://schemas.openxmlformats.org/package/2006/relationships"><Relationship Id="rId3" Type="http://schemas.openxmlformats.org/officeDocument/2006/relationships/oleObject" Target="file:///D:\hykysova23070\Documents\PN\2023\2.%20pol\publ\Tab%20a%20grafy%20do%20textu_23_p&#345;id&#225;n%20rok%2021.xlsx" TargetMode="External"/><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oleObject" Target="file:///D:\hykysova23070\Documents\PN\2023\2.%20pol\publ\Tab%20a%20grafy%20do%20textu_23.xlsx" TargetMode="External"/><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oleObject" Target="file:///D:\hykysova23070\Documents\PN\2023\2.%20pol\publ\Tab%20a%20grafy%20do%20textu_23.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D:\hykysova23070\Documents\PN\2023\2.%20pol\publ\Tab%20a%20grafy%20do%20textu_23.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hykysova23070\Documents\PN\2023\2.%20pol\publ\Tab%20a%20grafy%20do%20textu_23.xlsx" TargetMode="External"/><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3" Type="http://schemas.openxmlformats.org/officeDocument/2006/relationships/oleObject" Target="file:///D:\hykysova23070\Documents\PN\2023\2.%20pol\publ\Tab%20a%20grafy%20do%20textu_23.xlsx" TargetMode="External"/><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oleObject" Target="file:///D:\hykysova23070\Documents\PN\2023\2.%20pol\publ\Tab%20a%20grafy%20do%20textu_23.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D:\hykysova23070\Documents\PN\2023\2.%20pol\publ\Tab%20a%20grafy%20do%20textu_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hykysova23070\Documents\PN\2023\2.%20pol\publ\Tab%20a%20grafy%20do%20textu_23.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2.xml"/></Relationships>
</file>

<file path=word/charts/_rels/chart6.xml.rels><?xml version="1.0" encoding="UTF-8" standalone="yes"?>
<Relationships xmlns="http://schemas.openxmlformats.org/package/2006/relationships"><Relationship Id="rId3" Type="http://schemas.openxmlformats.org/officeDocument/2006/relationships/oleObject" Target="file:///D:\hykysova23070\Documents\PN\2023\2.%20pol\publ\Tab%20a%20grafy%20do%20textu_2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hykysova23070\Documents\PN\2023\2.%20pol\publ\Tab%20a%20grafy%20do%20textu_2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hykysova23070\Documents\PN\2023\2.%20pol\publ\Tab%20a%20grafy%20do%20textu_23_p&#345;id&#225;n%20rok%202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hykysova23070\Documents\PN\2023\2.%20pol\publ\Tab%20a%20grafy%20do%20textu_2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'G1.1'!$F$29</c:f>
              <c:strCache>
                <c:ptCount val="1"/>
                <c:pt idx="0">
                  <c:v> 500 a více zaměstnanců</c:v>
                </c:pt>
              </c:strCache>
            </c:strRef>
          </c:tx>
          <c:spPr>
            <a:solidFill>
              <a:srgbClr val="F5DADD"/>
            </a:solidFill>
            <a:ln>
              <a:noFill/>
            </a:ln>
            <a:effectLst/>
          </c:spPr>
          <c:invertIfNegative val="0"/>
          <c:dLbls>
            <c:numFmt formatCode="0.0\ %"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'G1.1'!$G$28:$I$28</c:f>
              <c:numCache>
                <c:formatCode>General</c:formatCode>
                <c:ptCount val="3"/>
                <c:pt idx="0">
                  <c:v>2013</c:v>
                </c:pt>
                <c:pt idx="1">
                  <c:v>2018</c:v>
                </c:pt>
                <c:pt idx="2">
                  <c:v>2023</c:v>
                </c:pt>
              </c:numCache>
            </c:numRef>
          </c:cat>
          <c:val>
            <c:numRef>
              <c:f>'G1.1'!$G$29:$I$29</c:f>
              <c:numCache>
                <c:formatCode>0.0</c:formatCode>
                <c:ptCount val="3"/>
                <c:pt idx="0">
                  <c:v>0.31805750298514118</c:v>
                </c:pt>
                <c:pt idx="1">
                  <c:v>0.33359472277104235</c:v>
                </c:pt>
                <c:pt idx="2">
                  <c:v>0.3209379804182611</c:v>
                </c:pt>
              </c:numCache>
            </c:numRef>
          </c:val>
          <c:extLst>
            <c:ext xmlns:c16="http://schemas.microsoft.com/office/drawing/2014/chart" uri="{C3380CC4-5D6E-409C-BE32-E72D297353CC}">
              <c16:uniqueId val="{00000000-DACC-4F1B-A4CF-EBA9FA002A15}"/>
            </c:ext>
          </c:extLst>
        </c:ser>
        <c:ser>
          <c:idx val="1"/>
          <c:order val="1"/>
          <c:tx>
            <c:strRef>
              <c:f>'G1.1'!$F$30</c:f>
              <c:strCache>
                <c:ptCount val="1"/>
                <c:pt idx="0">
                  <c:v> 250–499 zaměstnanců</c:v>
                </c:pt>
              </c:strCache>
            </c:strRef>
          </c:tx>
          <c:spPr>
            <a:solidFill>
              <a:srgbClr val="F59D9D"/>
            </a:solidFill>
            <a:ln>
              <a:noFill/>
            </a:ln>
            <a:effectLst/>
          </c:spPr>
          <c:invertIfNegative val="0"/>
          <c:dLbls>
            <c:numFmt formatCode="0.0\ %"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'G1.1'!$G$28:$I$28</c:f>
              <c:numCache>
                <c:formatCode>General</c:formatCode>
                <c:ptCount val="3"/>
                <c:pt idx="0">
                  <c:v>2013</c:v>
                </c:pt>
                <c:pt idx="1">
                  <c:v>2018</c:v>
                </c:pt>
                <c:pt idx="2">
                  <c:v>2023</c:v>
                </c:pt>
              </c:numCache>
            </c:numRef>
          </c:cat>
          <c:val>
            <c:numRef>
              <c:f>'G1.1'!$G$30:$I$30</c:f>
              <c:numCache>
                <c:formatCode>0.0</c:formatCode>
                <c:ptCount val="3"/>
                <c:pt idx="0">
                  <c:v>9.2101120503314399E-2</c:v>
                </c:pt>
                <c:pt idx="1">
                  <c:v>9.6943858069728273E-2</c:v>
                </c:pt>
                <c:pt idx="2">
                  <c:v>9.4506387127493388E-2</c:v>
                </c:pt>
              </c:numCache>
            </c:numRef>
          </c:val>
          <c:extLst>
            <c:ext xmlns:c16="http://schemas.microsoft.com/office/drawing/2014/chart" uri="{C3380CC4-5D6E-409C-BE32-E72D297353CC}">
              <c16:uniqueId val="{00000001-DACC-4F1B-A4CF-EBA9FA002A15}"/>
            </c:ext>
          </c:extLst>
        </c:ser>
        <c:ser>
          <c:idx val="2"/>
          <c:order val="2"/>
          <c:tx>
            <c:strRef>
              <c:f>'G1.1'!$F$31</c:f>
              <c:strCache>
                <c:ptCount val="1"/>
                <c:pt idx="0">
                  <c:v> 50–249 zaměstnanců</c:v>
                </c:pt>
              </c:strCache>
            </c:strRef>
          </c:tx>
          <c:spPr>
            <a:solidFill>
              <a:srgbClr val="C36969"/>
            </a:solidFill>
            <a:ln>
              <a:noFill/>
            </a:ln>
            <a:effectLst/>
          </c:spPr>
          <c:invertIfNegative val="0"/>
          <c:dLbls>
            <c:numFmt formatCode="0.0\ %"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'G1.1'!$G$28:$I$28</c:f>
              <c:numCache>
                <c:formatCode>General</c:formatCode>
                <c:ptCount val="3"/>
                <c:pt idx="0">
                  <c:v>2013</c:v>
                </c:pt>
                <c:pt idx="1">
                  <c:v>2018</c:v>
                </c:pt>
                <c:pt idx="2">
                  <c:v>2023</c:v>
                </c:pt>
              </c:numCache>
            </c:numRef>
          </c:cat>
          <c:val>
            <c:numRef>
              <c:f>'G1.1'!$G$31:$I$31</c:f>
              <c:numCache>
                <c:formatCode>0.0</c:formatCode>
                <c:ptCount val="3"/>
                <c:pt idx="0">
                  <c:v>0.23424226059077646</c:v>
                </c:pt>
                <c:pt idx="1">
                  <c:v>0.23368736284066022</c:v>
                </c:pt>
                <c:pt idx="2">
                  <c:v>0.24683602031624396</c:v>
                </c:pt>
              </c:numCache>
            </c:numRef>
          </c:val>
          <c:extLst>
            <c:ext xmlns:c16="http://schemas.microsoft.com/office/drawing/2014/chart" uri="{C3380CC4-5D6E-409C-BE32-E72D297353CC}">
              <c16:uniqueId val="{00000002-DACC-4F1B-A4CF-EBA9FA002A15}"/>
            </c:ext>
          </c:extLst>
        </c:ser>
        <c:ser>
          <c:idx val="3"/>
          <c:order val="3"/>
          <c:tx>
            <c:strRef>
              <c:f>'G1.1'!$F$32</c:f>
              <c:strCache>
                <c:ptCount val="1"/>
                <c:pt idx="0">
                  <c:v> 1–49 zaměstnanců</c:v>
                </c:pt>
              </c:strCache>
            </c:strRef>
          </c:tx>
          <c:spPr>
            <a:solidFill>
              <a:srgbClr val="9A403C"/>
            </a:solidFill>
            <a:ln>
              <a:noFill/>
            </a:ln>
            <a:effectLst/>
          </c:spPr>
          <c:invertIfNegative val="0"/>
          <c:dLbls>
            <c:numFmt formatCode="0.0\ %"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'G1.1'!$G$28:$I$28</c:f>
              <c:numCache>
                <c:formatCode>General</c:formatCode>
                <c:ptCount val="3"/>
                <c:pt idx="0">
                  <c:v>2013</c:v>
                </c:pt>
                <c:pt idx="1">
                  <c:v>2018</c:v>
                </c:pt>
                <c:pt idx="2">
                  <c:v>2023</c:v>
                </c:pt>
              </c:numCache>
            </c:numRef>
          </c:cat>
          <c:val>
            <c:numRef>
              <c:f>'G1.1'!$G$32:$I$32</c:f>
              <c:numCache>
                <c:formatCode>0.0</c:formatCode>
                <c:ptCount val="3"/>
                <c:pt idx="0">
                  <c:v>0.33101330848230515</c:v>
                </c:pt>
                <c:pt idx="1">
                  <c:v>0.31648748323638215</c:v>
                </c:pt>
                <c:pt idx="2">
                  <c:v>0.31696720105459769</c:v>
                </c:pt>
              </c:numCache>
            </c:numRef>
          </c:val>
          <c:extLst>
            <c:ext xmlns:c16="http://schemas.microsoft.com/office/drawing/2014/chart" uri="{C3380CC4-5D6E-409C-BE32-E72D297353CC}">
              <c16:uniqueId val="{00000003-DACC-4F1B-A4CF-EBA9FA002A15}"/>
            </c:ext>
          </c:extLst>
        </c:ser>
        <c:ser>
          <c:idx val="4"/>
          <c:order val="4"/>
          <c:tx>
            <c:strRef>
              <c:f>'G1.1'!$F$33</c:f>
              <c:strCache>
                <c:ptCount val="1"/>
                <c:pt idx="0">
                  <c:v> OSVČ</c:v>
                </c:pt>
              </c:strCache>
            </c:strRef>
          </c:tx>
          <c:spPr>
            <a:solidFill>
              <a:srgbClr val="4E201E"/>
            </a:solidFill>
            <a:ln>
              <a:noFill/>
            </a:ln>
            <a:effectLst/>
          </c:spPr>
          <c:invertIfNegative val="0"/>
          <c:dLbls>
            <c:numFmt formatCode="0.0\ %"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'G1.1'!$G$28:$I$28</c:f>
              <c:numCache>
                <c:formatCode>General</c:formatCode>
                <c:ptCount val="3"/>
                <c:pt idx="0">
                  <c:v>2013</c:v>
                </c:pt>
                <c:pt idx="1">
                  <c:v>2018</c:v>
                </c:pt>
                <c:pt idx="2">
                  <c:v>2023</c:v>
                </c:pt>
              </c:numCache>
            </c:numRef>
          </c:cat>
          <c:val>
            <c:numRef>
              <c:f>'G1.1'!$G$33:$I$33</c:f>
              <c:numCache>
                <c:formatCode>0.0</c:formatCode>
                <c:ptCount val="3"/>
                <c:pt idx="0">
                  <c:v>2.4585807438462851E-2</c:v>
                </c:pt>
                <c:pt idx="1">
                  <c:v>1.9286573082186849E-2</c:v>
                </c:pt>
                <c:pt idx="2">
                  <c:v>2.0752411083403702E-2</c:v>
                </c:pt>
              </c:numCache>
            </c:numRef>
          </c:val>
          <c:extLst>
            <c:ext xmlns:c16="http://schemas.microsoft.com/office/drawing/2014/chart" uri="{C3380CC4-5D6E-409C-BE32-E72D297353CC}">
              <c16:uniqueId val="{00000004-DACC-4F1B-A4CF-EBA9FA002A15}"/>
            </c:ext>
          </c:extLst>
        </c:ser>
        <c:dLbls>
          <c:showLegendKey val="0"/>
          <c:showVal val="0"/>
          <c:showCatName val="0"/>
          <c:showSerName val="0"/>
          <c:showPercent val="0"/>
          <c:showBubbleSize val="0"/>
        </c:dLbls>
        <c:gapWidth val="45"/>
        <c:overlap val="100"/>
        <c:axId val="972192847"/>
        <c:axId val="972193263"/>
      </c:barChart>
      <c:catAx>
        <c:axId val="972192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972193263"/>
        <c:crosses val="autoZero"/>
        <c:auto val="1"/>
        <c:lblAlgn val="ctr"/>
        <c:lblOffset val="100"/>
        <c:noMultiLvlLbl val="0"/>
      </c:catAx>
      <c:valAx>
        <c:axId val="972193263"/>
        <c:scaling>
          <c:orientation val="minMax"/>
        </c:scaling>
        <c:delete val="0"/>
        <c:axPos val="l"/>
        <c:majorGridlines>
          <c:spPr>
            <a:ln w="9525" cap="flat" cmpd="sng" algn="ctr">
              <a:solidFill>
                <a:schemeClr val="tx1">
                  <a:lumMod val="15000"/>
                  <a:lumOff val="85000"/>
                </a:schemeClr>
              </a:solidFill>
              <a:round/>
            </a:ln>
            <a:effectLst/>
          </c:spPr>
        </c:majorGridlines>
        <c:numFmt formatCode="0\ %"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972192847"/>
        <c:crosses val="autoZero"/>
        <c:crossBetween val="between"/>
      </c:valAx>
      <c:spPr>
        <a:noFill/>
        <a:ln>
          <a:noFill/>
        </a:ln>
        <a:effectLst/>
      </c:spPr>
    </c:plotArea>
    <c:legend>
      <c:legendPos val="l"/>
      <c:layout>
        <c:manualLayout>
          <c:xMode val="edge"/>
          <c:yMode val="edge"/>
          <c:x val="2.3469587326422844E-2"/>
          <c:y val="0.22173835035948203"/>
          <c:w val="0.30464109549380841"/>
          <c:h val="0.5565229293484191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'G2.7+G2.8'!$L$3</c:f>
              <c:strCache>
                <c:ptCount val="1"/>
                <c:pt idx="0">
                  <c:v> 1. pololetí</c:v>
                </c:pt>
              </c:strCache>
            </c:strRef>
          </c:tx>
          <c:spPr>
            <a:solidFill>
              <a:srgbClr val="632827"/>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'G2.7+G2.8'!$M$2:$U$2</c:f>
              <c:strCache>
                <c:ptCount val="9"/>
                <c:pt idx="0">
                  <c:v>2015</c:v>
                </c:pt>
                <c:pt idx="1">
                  <c:v>2016</c:v>
                </c:pt>
                <c:pt idx="2">
                  <c:v>2017</c:v>
                </c:pt>
                <c:pt idx="3">
                  <c:v>2018</c:v>
                </c:pt>
                <c:pt idx="4">
                  <c:v>2019</c:v>
                </c:pt>
                <c:pt idx="5">
                  <c:v>2020</c:v>
                </c:pt>
                <c:pt idx="6">
                  <c:v>2021</c:v>
                </c:pt>
                <c:pt idx="7">
                  <c:v>2022*</c:v>
                </c:pt>
                <c:pt idx="8">
                  <c:v>2023</c:v>
                </c:pt>
              </c:strCache>
            </c:strRef>
          </c:cat>
          <c:val>
            <c:numRef>
              <c:f>'G2.7+G2.8'!$M$3:$U$3</c:f>
              <c:numCache>
                <c:formatCode>#,##0</c:formatCode>
                <c:ptCount val="9"/>
                <c:pt idx="0">
                  <c:v>35051963</c:v>
                </c:pt>
                <c:pt idx="1">
                  <c:v>36786872</c:v>
                </c:pt>
                <c:pt idx="2">
                  <c:v>38708732</c:v>
                </c:pt>
                <c:pt idx="3">
                  <c:v>40623841</c:v>
                </c:pt>
                <c:pt idx="4">
                  <c:v>41577938</c:v>
                </c:pt>
                <c:pt idx="5">
                  <c:v>47402024</c:v>
                </c:pt>
                <c:pt idx="6">
                  <c:v>50856089</c:v>
                </c:pt>
                <c:pt idx="7">
                  <c:v>50387135</c:v>
                </c:pt>
                <c:pt idx="8">
                  <c:v>42415167</c:v>
                </c:pt>
              </c:numCache>
            </c:numRef>
          </c:val>
          <c:extLst>
            <c:ext xmlns:c16="http://schemas.microsoft.com/office/drawing/2014/chart" uri="{C3380CC4-5D6E-409C-BE32-E72D297353CC}">
              <c16:uniqueId val="{00000000-EEF4-46B1-A901-FEFFBD875941}"/>
            </c:ext>
          </c:extLst>
        </c:ser>
        <c:ser>
          <c:idx val="1"/>
          <c:order val="1"/>
          <c:tx>
            <c:strRef>
              <c:f>'G2.7+G2.8'!$L$4</c:f>
              <c:strCache>
                <c:ptCount val="1"/>
                <c:pt idx="0">
                  <c:v> 2. pololetí</c:v>
                </c:pt>
              </c:strCache>
            </c:strRef>
          </c:tx>
          <c:spPr>
            <a:solidFill>
              <a:srgbClr val="B44946"/>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'G2.7+G2.8'!$M$2:$U$2</c:f>
              <c:strCache>
                <c:ptCount val="9"/>
                <c:pt idx="0">
                  <c:v>2015</c:v>
                </c:pt>
                <c:pt idx="1">
                  <c:v>2016</c:v>
                </c:pt>
                <c:pt idx="2">
                  <c:v>2017</c:v>
                </c:pt>
                <c:pt idx="3">
                  <c:v>2018</c:v>
                </c:pt>
                <c:pt idx="4">
                  <c:v>2019</c:v>
                </c:pt>
                <c:pt idx="5">
                  <c:v>2020</c:v>
                </c:pt>
                <c:pt idx="6">
                  <c:v>2021</c:v>
                </c:pt>
                <c:pt idx="7">
                  <c:v>2022*</c:v>
                </c:pt>
                <c:pt idx="8">
                  <c:v>2023</c:v>
                </c:pt>
              </c:strCache>
            </c:strRef>
          </c:cat>
          <c:val>
            <c:numRef>
              <c:f>'G2.7+G2.8'!$M$4:$U$4</c:f>
              <c:numCache>
                <c:formatCode>#,##0</c:formatCode>
                <c:ptCount val="9"/>
                <c:pt idx="0">
                  <c:v>31765440</c:v>
                </c:pt>
                <c:pt idx="1">
                  <c:v>33465090</c:v>
                </c:pt>
                <c:pt idx="2">
                  <c:v>33968745</c:v>
                </c:pt>
                <c:pt idx="3">
                  <c:v>36533814</c:v>
                </c:pt>
                <c:pt idx="4">
                  <c:v>39626934</c:v>
                </c:pt>
                <c:pt idx="5">
                  <c:v>46844167</c:v>
                </c:pt>
                <c:pt idx="6">
                  <c:v>44093478</c:v>
                </c:pt>
                <c:pt idx="7">
                  <c:v>40676458</c:v>
                </c:pt>
                <c:pt idx="8">
                  <c:v>37149301</c:v>
                </c:pt>
              </c:numCache>
            </c:numRef>
          </c:val>
          <c:extLst>
            <c:ext xmlns:c16="http://schemas.microsoft.com/office/drawing/2014/chart" uri="{C3380CC4-5D6E-409C-BE32-E72D297353CC}">
              <c16:uniqueId val="{00000001-EEF4-46B1-A901-FEFFBD875941}"/>
            </c:ext>
          </c:extLst>
        </c:ser>
        <c:dLbls>
          <c:showLegendKey val="0"/>
          <c:showVal val="0"/>
          <c:showCatName val="0"/>
          <c:showSerName val="0"/>
          <c:showPercent val="0"/>
          <c:showBubbleSize val="0"/>
        </c:dLbls>
        <c:gapWidth val="70"/>
        <c:axId val="103414079"/>
        <c:axId val="103411583"/>
      </c:barChart>
      <c:catAx>
        <c:axId val="103414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03411583"/>
        <c:crosses val="autoZero"/>
        <c:auto val="1"/>
        <c:lblAlgn val="ctr"/>
        <c:lblOffset val="100"/>
        <c:noMultiLvlLbl val="0"/>
      </c:catAx>
      <c:valAx>
        <c:axId val="1034115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03414079"/>
        <c:crosses val="autoZero"/>
        <c:crossBetween val="between"/>
        <c:majorUnit val="5000000"/>
        <c:dispUnits>
          <c:builtInUnit val="millions"/>
          <c:dispUnitsLbl>
            <c:layout>
              <c:manualLayout>
                <c:xMode val="edge"/>
                <c:yMode val="edge"/>
                <c:x val="1.6666666666666666E-2"/>
                <c:y val="0.3291203703703704"/>
              </c:manualLayout>
            </c:layout>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a:t>miliony</a:t>
                  </a:r>
                </a:p>
              </c:rich>
            </c:tx>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'G2.9'!$A$37</c:f>
              <c:strCache>
                <c:ptCount val="1"/>
                <c:pt idx="0">
                  <c:v> 1. pololetí</c:v>
                </c:pt>
              </c:strCache>
            </c:strRef>
          </c:tx>
          <c:spPr>
            <a:solidFill>
              <a:srgbClr val="632827"/>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'G2.9'!$B$36:$J$36</c:f>
              <c:strCache>
                <c:ptCount val="9"/>
                <c:pt idx="0">
                  <c:v>2015</c:v>
                </c:pt>
                <c:pt idx="1">
                  <c:v>2016</c:v>
                </c:pt>
                <c:pt idx="2">
                  <c:v>2017</c:v>
                </c:pt>
                <c:pt idx="3">
                  <c:v>2018</c:v>
                </c:pt>
                <c:pt idx="4">
                  <c:v>2019</c:v>
                </c:pt>
                <c:pt idx="5">
                  <c:v>2020</c:v>
                </c:pt>
                <c:pt idx="6">
                  <c:v>2021</c:v>
                </c:pt>
                <c:pt idx="7">
                  <c:v>2022*</c:v>
                </c:pt>
                <c:pt idx="8">
                  <c:v>2023</c:v>
                </c:pt>
              </c:strCache>
            </c:strRef>
          </c:cat>
          <c:val>
            <c:numRef>
              <c:f>'G2.9'!$B$37:$J$37</c:f>
              <c:numCache>
                <c:formatCode>General</c:formatCode>
                <c:ptCount val="9"/>
                <c:pt idx="0">
                  <c:v>40.111737833835704</c:v>
                </c:pt>
                <c:pt idx="1">
                  <c:v>41.971770756913834</c:v>
                </c:pt>
                <c:pt idx="2">
                  <c:v>40.973631424237581</c:v>
                </c:pt>
                <c:pt idx="3">
                  <c:v>39.052748911298465</c:v>
                </c:pt>
                <c:pt idx="4">
                  <c:v>42.645176179057081</c:v>
                </c:pt>
                <c:pt idx="5">
                  <c:v>44.298183197874529</c:v>
                </c:pt>
                <c:pt idx="6">
                  <c:v>36.340469789929358</c:v>
                </c:pt>
                <c:pt idx="7">
                  <c:v>24.53210826485472</c:v>
                </c:pt>
                <c:pt idx="8">
                  <c:v>31.942090268902916</c:v>
                </c:pt>
              </c:numCache>
            </c:numRef>
          </c:val>
          <c:extLst>
            <c:ext xmlns:c16="http://schemas.microsoft.com/office/drawing/2014/chart" uri="{C3380CC4-5D6E-409C-BE32-E72D297353CC}">
              <c16:uniqueId val="{00000000-3379-470A-9F11-F42103D7DB32}"/>
            </c:ext>
          </c:extLst>
        </c:ser>
        <c:ser>
          <c:idx val="1"/>
          <c:order val="1"/>
          <c:tx>
            <c:strRef>
              <c:f>'G2.9'!$A$38</c:f>
              <c:strCache>
                <c:ptCount val="1"/>
                <c:pt idx="0">
                  <c:v> 2. pololetí</c:v>
                </c:pt>
              </c:strCache>
            </c:strRef>
          </c:tx>
          <c:spPr>
            <a:solidFill>
              <a:srgbClr val="B44946"/>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'G2.9'!$B$36:$J$36</c:f>
              <c:strCache>
                <c:ptCount val="9"/>
                <c:pt idx="0">
                  <c:v>2015</c:v>
                </c:pt>
                <c:pt idx="1">
                  <c:v>2016</c:v>
                </c:pt>
                <c:pt idx="2">
                  <c:v>2017</c:v>
                </c:pt>
                <c:pt idx="3">
                  <c:v>2018</c:v>
                </c:pt>
                <c:pt idx="4">
                  <c:v>2019</c:v>
                </c:pt>
                <c:pt idx="5">
                  <c:v>2020</c:v>
                </c:pt>
                <c:pt idx="6">
                  <c:v>2021</c:v>
                </c:pt>
                <c:pt idx="7">
                  <c:v>2022*</c:v>
                </c:pt>
                <c:pt idx="8">
                  <c:v>2023</c:v>
                </c:pt>
              </c:strCache>
            </c:strRef>
          </c:cat>
          <c:val>
            <c:numRef>
              <c:f>'G2.9'!$B$38:$J$38</c:f>
              <c:numCache>
                <c:formatCode>General</c:formatCode>
                <c:ptCount val="9"/>
                <c:pt idx="0">
                  <c:v>46.063573085846862</c:v>
                </c:pt>
                <c:pt idx="1">
                  <c:v>44.214525420145861</c:v>
                </c:pt>
                <c:pt idx="2">
                  <c:v>44.532236919728888</c:v>
                </c:pt>
                <c:pt idx="3">
                  <c:v>45.146669962000686</c:v>
                </c:pt>
                <c:pt idx="4">
                  <c:v>42.163534392592773</c:v>
                </c:pt>
                <c:pt idx="5">
                  <c:v>35.462026681968588</c:v>
                </c:pt>
                <c:pt idx="6">
                  <c:v>32.533172881470975</c:v>
                </c:pt>
                <c:pt idx="7">
                  <c:v>28.977883561170533</c:v>
                </c:pt>
                <c:pt idx="8">
                  <c:v>30.770843600827966</c:v>
                </c:pt>
              </c:numCache>
            </c:numRef>
          </c:val>
          <c:extLst>
            <c:ext xmlns:c16="http://schemas.microsoft.com/office/drawing/2014/chart" uri="{C3380CC4-5D6E-409C-BE32-E72D297353CC}">
              <c16:uniqueId val="{00000001-3379-470A-9F11-F42103D7DB32}"/>
            </c:ext>
          </c:extLst>
        </c:ser>
        <c:dLbls>
          <c:showLegendKey val="0"/>
          <c:showVal val="0"/>
          <c:showCatName val="0"/>
          <c:showSerName val="0"/>
          <c:showPercent val="0"/>
          <c:showBubbleSize val="0"/>
        </c:dLbls>
        <c:gapWidth val="94"/>
        <c:axId val="1237737583"/>
        <c:axId val="1237740911"/>
      </c:barChart>
      <c:catAx>
        <c:axId val="1237737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237740911"/>
        <c:crosses val="autoZero"/>
        <c:auto val="1"/>
        <c:lblAlgn val="ctr"/>
        <c:lblOffset val="100"/>
        <c:noMultiLvlLbl val="0"/>
      </c:catAx>
      <c:valAx>
        <c:axId val="12377409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počet dnů</a:t>
                </a:r>
              </a:p>
            </c:rich>
          </c:tx>
          <c:layout>
            <c:manualLayout>
              <c:xMode val="edge"/>
              <c:yMode val="edge"/>
              <c:x val="1.5555555555555555E-2"/>
              <c:y val="0.35507952519777713"/>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237737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'G2.10'!$A$3</c:f>
              <c:strCache>
                <c:ptCount val="1"/>
                <c:pt idx="0">
                  <c:v> muži</c:v>
                </c:pt>
              </c:strCache>
            </c:strRef>
          </c:tx>
          <c:spPr>
            <a:solidFill>
              <a:srgbClr val="632827"/>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'G2.10'!$B$2:$L$2</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'G2.10'!$B$3:$L$3</c:f>
              <c:numCache>
                <c:formatCode>General</c:formatCode>
                <c:ptCount val="11"/>
                <c:pt idx="0">
                  <c:v>42.346100568813952</c:v>
                </c:pt>
                <c:pt idx="1">
                  <c:v>43.421782761290075</c:v>
                </c:pt>
                <c:pt idx="2">
                  <c:v>40.535215932702108</c:v>
                </c:pt>
                <c:pt idx="3">
                  <c:v>40.654897349033696</c:v>
                </c:pt>
                <c:pt idx="4">
                  <c:v>40.626409339981365</c:v>
                </c:pt>
                <c:pt idx="5">
                  <c:v>40.289645469571234</c:v>
                </c:pt>
                <c:pt idx="6">
                  <c:v>41.053973179652004</c:v>
                </c:pt>
                <c:pt idx="7">
                  <c:v>37.845603387500056</c:v>
                </c:pt>
                <c:pt idx="8" formatCode="0.0">
                  <c:v>32.954890437460811</c:v>
                </c:pt>
                <c:pt idx="9" formatCode="0.0">
                  <c:v>26.050335401474559</c:v>
                </c:pt>
                <c:pt idx="10" formatCode="0.0">
                  <c:v>31.852722200473302</c:v>
                </c:pt>
              </c:numCache>
            </c:numRef>
          </c:val>
          <c:extLst>
            <c:ext xmlns:c16="http://schemas.microsoft.com/office/drawing/2014/chart" uri="{C3380CC4-5D6E-409C-BE32-E72D297353CC}">
              <c16:uniqueId val="{00000000-0D28-4BE7-9F16-488678691681}"/>
            </c:ext>
          </c:extLst>
        </c:ser>
        <c:ser>
          <c:idx val="1"/>
          <c:order val="1"/>
          <c:tx>
            <c:strRef>
              <c:f>'G2.10'!$A$4</c:f>
              <c:strCache>
                <c:ptCount val="1"/>
                <c:pt idx="0">
                  <c:v> ženy</c:v>
                </c:pt>
              </c:strCache>
            </c:strRef>
          </c:tx>
          <c:spPr>
            <a:solidFill>
              <a:srgbClr val="B44946"/>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'G2.10'!$B$2:$L$2</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'G2.10'!$B$4:$L$4</c:f>
              <c:numCache>
                <c:formatCode>General</c:formatCode>
                <c:ptCount val="11"/>
                <c:pt idx="0">
                  <c:v>45.52</c:v>
                </c:pt>
                <c:pt idx="1">
                  <c:v>48.02</c:v>
                </c:pt>
                <c:pt idx="2">
                  <c:v>44.776083656899999</c:v>
                </c:pt>
                <c:pt idx="3">
                  <c:v>45.185948486599997</c:v>
                </c:pt>
                <c:pt idx="4">
                  <c:v>44.329904953400003</c:v>
                </c:pt>
                <c:pt idx="5">
                  <c:v>43.000647046799997</c:v>
                </c:pt>
                <c:pt idx="6">
                  <c:v>43.616790123456788</c:v>
                </c:pt>
                <c:pt idx="7">
                  <c:v>40.852407441899999</c:v>
                </c:pt>
                <c:pt idx="8" formatCode="0.0">
                  <c:v>35.905781411699998</c:v>
                </c:pt>
                <c:pt idx="9" formatCode="0.0">
                  <c:v>26.5805903303695</c:v>
                </c:pt>
                <c:pt idx="10" formatCode="0.0">
                  <c:v>31.005140577155053</c:v>
                </c:pt>
              </c:numCache>
            </c:numRef>
          </c:val>
          <c:extLst>
            <c:ext xmlns:c16="http://schemas.microsoft.com/office/drawing/2014/chart" uri="{C3380CC4-5D6E-409C-BE32-E72D297353CC}">
              <c16:uniqueId val="{00000001-0D28-4BE7-9F16-488678691681}"/>
            </c:ext>
          </c:extLst>
        </c:ser>
        <c:dLbls>
          <c:showLegendKey val="0"/>
          <c:showVal val="0"/>
          <c:showCatName val="0"/>
          <c:showSerName val="0"/>
          <c:showPercent val="0"/>
          <c:showBubbleSize val="0"/>
        </c:dLbls>
        <c:gapWidth val="38"/>
        <c:axId val="1536008143"/>
        <c:axId val="1536029359"/>
      </c:barChart>
      <c:catAx>
        <c:axId val="1536008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536029359"/>
        <c:crosses val="autoZero"/>
        <c:auto val="1"/>
        <c:lblAlgn val="ctr"/>
        <c:lblOffset val="100"/>
        <c:noMultiLvlLbl val="0"/>
      </c:catAx>
      <c:valAx>
        <c:axId val="1536029359"/>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počet dnů</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5360081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326986518260231"/>
          <c:y val="3.3197525275388565E-2"/>
          <c:w val="0.46466954133327232"/>
          <c:h val="0.85074183517915847"/>
        </c:manualLayout>
      </c:layout>
      <c:barChart>
        <c:barDir val="bar"/>
        <c:grouping val="clustered"/>
        <c:varyColors val="0"/>
        <c:ser>
          <c:idx val="0"/>
          <c:order val="0"/>
          <c:spPr>
            <a:solidFill>
              <a:srgbClr val="B44946"/>
            </a:solidFill>
            <a:ln>
              <a:noFill/>
            </a:ln>
            <a:effectLst/>
          </c:spPr>
          <c:invertIfNegative val="0"/>
          <c:dPt>
            <c:idx val="3"/>
            <c:invertIfNegative val="0"/>
            <c:bubble3D val="0"/>
            <c:spPr>
              <a:solidFill>
                <a:srgbClr val="B44946"/>
              </a:solidFill>
              <a:ln>
                <a:noFill/>
              </a:ln>
              <a:effectLst/>
            </c:spPr>
            <c:extLst>
              <c:ext xmlns:c16="http://schemas.microsoft.com/office/drawing/2014/chart" uri="{C3380CC4-5D6E-409C-BE32-E72D297353CC}">
                <c16:uniqueId val="{00000001-1D07-4E2D-82A0-097D5E543BE0}"/>
              </c:ext>
            </c:extLst>
          </c:dPt>
          <c:dPt>
            <c:idx val="7"/>
            <c:invertIfNegative val="0"/>
            <c:bubble3D val="0"/>
            <c:spPr>
              <a:solidFill>
                <a:srgbClr val="632827"/>
              </a:solidFill>
              <a:ln>
                <a:noFill/>
              </a:ln>
              <a:effectLst/>
            </c:spPr>
            <c:extLst>
              <c:ext xmlns:c16="http://schemas.microsoft.com/office/drawing/2014/chart" uri="{C3380CC4-5D6E-409C-BE32-E72D297353CC}">
                <c16:uniqueId val="{00000003-1D07-4E2D-82A0-097D5E543BE0}"/>
              </c:ext>
            </c:extLst>
          </c:dPt>
          <c:dPt>
            <c:idx val="13"/>
            <c:invertIfNegative val="0"/>
            <c:bubble3D val="0"/>
            <c:spPr>
              <a:solidFill>
                <a:srgbClr val="B44946"/>
              </a:solidFill>
              <a:ln>
                <a:noFill/>
              </a:ln>
              <a:effectLst/>
            </c:spPr>
            <c:extLst>
              <c:ext xmlns:c16="http://schemas.microsoft.com/office/drawing/2014/chart" uri="{C3380CC4-5D6E-409C-BE32-E72D297353CC}">
                <c16:uniqueId val="{00000005-1D07-4E2D-82A0-097D5E543BE0}"/>
              </c:ext>
            </c:extLst>
          </c:dPt>
          <c:dPt>
            <c:idx val="14"/>
            <c:invertIfNegative val="0"/>
            <c:bubble3D val="0"/>
            <c:spPr>
              <a:solidFill>
                <a:srgbClr val="B44946"/>
              </a:solidFill>
              <a:ln>
                <a:noFill/>
              </a:ln>
              <a:effectLst/>
            </c:spPr>
            <c:extLst>
              <c:ext xmlns:c16="http://schemas.microsoft.com/office/drawing/2014/chart" uri="{C3380CC4-5D6E-409C-BE32-E72D297353CC}">
                <c16:uniqueId val="{00000007-1D07-4E2D-82A0-097D5E543BE0}"/>
              </c:ext>
            </c:extLst>
          </c:dPt>
          <c:cat>
            <c:strRef>
              <c:f>'G2.11'!$S$2:$S$21</c:f>
              <c:strCache>
                <c:ptCount val="20"/>
                <c:pt idx="0">
                  <c:v>J – Informační a komunikační činnosti</c:v>
                </c:pt>
                <c:pt idx="1">
                  <c:v>P – Vzdělávání</c:v>
                </c:pt>
                <c:pt idx="2">
                  <c:v>K – Peněžnictví a pojišťovnictví</c:v>
                </c:pt>
                <c:pt idx="3">
                  <c:v>O – Veřejná správa a obrana; povinné sociální zabezpečení</c:v>
                </c:pt>
                <c:pt idx="4">
                  <c:v>M – Profesní, vědecké a technické činnosti</c:v>
                </c:pt>
                <c:pt idx="5">
                  <c:v>D – Výroba a rozvod elektřiny, plynu, tepla a klimatiz. vzduchu</c:v>
                </c:pt>
                <c:pt idx="6">
                  <c:v>R – Kulturní, zábavní a rekreační činnosti</c:v>
                </c:pt>
                <c:pt idx="7">
                  <c:v>CELKEM</c:v>
                </c:pt>
                <c:pt idx="8">
                  <c:v>C – Zpracovatelský průmysl</c:v>
                </c:pt>
                <c:pt idx="9">
                  <c:v>Q – Zdravotní a sociální péče</c:v>
                </c:pt>
                <c:pt idx="10">
                  <c:v>G – Velkoobchod a maloobchod; opravy a údržba motor. vozidel</c:v>
                </c:pt>
                <c:pt idx="11">
                  <c:v>E – Zásobování vodou; činnosti související s odpady a sanacemi</c:v>
                </c:pt>
                <c:pt idx="12">
                  <c:v>N – Administrativní a podpůrné činnosti</c:v>
                </c:pt>
                <c:pt idx="13">
                  <c:v>H – Doprava a skladování</c:v>
                </c:pt>
                <c:pt idx="14">
                  <c:v>S – Ostatní činnosti</c:v>
                </c:pt>
                <c:pt idx="15">
                  <c:v>L – Činnosti v oblasti nemovitostí</c:v>
                </c:pt>
                <c:pt idx="16">
                  <c:v>B – Těžba a dobývání</c:v>
                </c:pt>
                <c:pt idx="17">
                  <c:v>F – Stavebnictví</c:v>
                </c:pt>
                <c:pt idx="18">
                  <c:v>I – Ubytování, stravování a pohostinství</c:v>
                </c:pt>
                <c:pt idx="19">
                  <c:v>A – Zemědělství, lesnictví, rybářství</c:v>
                </c:pt>
              </c:strCache>
            </c:strRef>
          </c:cat>
          <c:val>
            <c:numRef>
              <c:f>'G2.11'!$T$2:$T$21</c:f>
              <c:numCache>
                <c:formatCode>0.00</c:formatCode>
                <c:ptCount val="20"/>
                <c:pt idx="0">
                  <c:v>18.301502706499999</c:v>
                </c:pt>
                <c:pt idx="1">
                  <c:v>19.919201272999999</c:v>
                </c:pt>
                <c:pt idx="2">
                  <c:v>22.413327256700001</c:v>
                </c:pt>
                <c:pt idx="3">
                  <c:v>24.833584439500001</c:v>
                </c:pt>
                <c:pt idx="4">
                  <c:v>27.708041596499999</c:v>
                </c:pt>
                <c:pt idx="5">
                  <c:v>28.522501747</c:v>
                </c:pt>
                <c:pt idx="6">
                  <c:v>29.647960772099999</c:v>
                </c:pt>
                <c:pt idx="7">
                  <c:v>31.384322762299998</c:v>
                </c:pt>
                <c:pt idx="8">
                  <c:v>31.943403523899999</c:v>
                </c:pt>
                <c:pt idx="9">
                  <c:v>32.17887683</c:v>
                </c:pt>
                <c:pt idx="10">
                  <c:v>33.537094533500003</c:v>
                </c:pt>
                <c:pt idx="11">
                  <c:v>34.921813185200001</c:v>
                </c:pt>
                <c:pt idx="12">
                  <c:v>34.970911359900001</c:v>
                </c:pt>
                <c:pt idx="13">
                  <c:v>35.189693900599998</c:v>
                </c:pt>
                <c:pt idx="14">
                  <c:v>37.693197278900001</c:v>
                </c:pt>
                <c:pt idx="15">
                  <c:v>37.820715852500001</c:v>
                </c:pt>
                <c:pt idx="16">
                  <c:v>40.011082867299997</c:v>
                </c:pt>
                <c:pt idx="17">
                  <c:v>41.746042422099997</c:v>
                </c:pt>
                <c:pt idx="18">
                  <c:v>42.814705828900003</c:v>
                </c:pt>
                <c:pt idx="19">
                  <c:v>45.373759450500003</c:v>
                </c:pt>
              </c:numCache>
            </c:numRef>
          </c:val>
          <c:extLst>
            <c:ext xmlns:c16="http://schemas.microsoft.com/office/drawing/2014/chart" uri="{C3380CC4-5D6E-409C-BE32-E72D297353CC}">
              <c16:uniqueId val="{00000008-1D07-4E2D-82A0-097D5E543BE0}"/>
            </c:ext>
          </c:extLst>
        </c:ser>
        <c:dLbls>
          <c:showLegendKey val="0"/>
          <c:showVal val="0"/>
          <c:showCatName val="0"/>
          <c:showSerName val="0"/>
          <c:showPercent val="0"/>
          <c:showBubbleSize val="0"/>
        </c:dLbls>
        <c:gapWidth val="182"/>
        <c:axId val="1315644767"/>
        <c:axId val="1315646431"/>
      </c:barChart>
      <c:catAx>
        <c:axId val="13156447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315646431"/>
        <c:crosses val="autoZero"/>
        <c:auto val="1"/>
        <c:lblAlgn val="ctr"/>
        <c:lblOffset val="100"/>
        <c:noMultiLvlLbl val="0"/>
      </c:catAx>
      <c:valAx>
        <c:axId val="1315646431"/>
        <c:scaling>
          <c:orientation val="minMax"/>
          <c:max val="5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počet dnů</a:t>
                </a: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3156447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'G2.12'!$O$26</c:f>
              <c:strCache>
                <c:ptCount val="1"/>
                <c:pt idx="0">
                  <c:v> nemoc</c:v>
                </c:pt>
              </c:strCache>
            </c:strRef>
          </c:tx>
          <c:spPr>
            <a:solidFill>
              <a:srgbClr val="632827"/>
            </a:solidFill>
            <a:ln>
              <a:noFill/>
            </a:ln>
            <a:effectLst/>
          </c:spPr>
          <c:invertIfNegative val="0"/>
          <c:cat>
            <c:multiLvlStrRef>
              <c:f>'G2.12'!$M$27:$N$33</c:f>
              <c:multiLvlStrCache>
                <c:ptCount val="7"/>
                <c:lvl>
                  <c:pt idx="2">
                    <c:v>1–49</c:v>
                  </c:pt>
                  <c:pt idx="3">
                    <c:v>50–99</c:v>
                  </c:pt>
                  <c:pt idx="4">
                    <c:v>100–249</c:v>
                  </c:pt>
                  <c:pt idx="5">
                    <c:v>250–499</c:v>
                  </c:pt>
                  <c:pt idx="6">
                    <c:v>500 a více</c:v>
                  </c:pt>
                </c:lvl>
                <c:lvl>
                  <c:pt idx="0">
                    <c:v>CELKEM</c:v>
                  </c:pt>
                  <c:pt idx="1">
                    <c:v>OSVČ</c:v>
                  </c:pt>
                  <c:pt idx="2">
                    <c:v>zaměstnanci (počet)</c:v>
                  </c:pt>
                </c:lvl>
              </c:multiLvlStrCache>
            </c:multiLvlStrRef>
          </c:cat>
          <c:val>
            <c:numRef>
              <c:f>'G2.12'!$O$27:$O$33</c:f>
              <c:numCache>
                <c:formatCode>0.00</c:formatCode>
                <c:ptCount val="7"/>
                <c:pt idx="0">
                  <c:v>29.2108892613</c:v>
                </c:pt>
                <c:pt idx="1">
                  <c:v>99.463665808499997</c:v>
                </c:pt>
                <c:pt idx="2">
                  <c:v>33.593540494999999</c:v>
                </c:pt>
                <c:pt idx="3">
                  <c:v>25.961436441499998</c:v>
                </c:pt>
                <c:pt idx="4">
                  <c:v>28.056574919300001</c:v>
                </c:pt>
                <c:pt idx="5">
                  <c:v>28.334685696699999</c:v>
                </c:pt>
                <c:pt idx="6">
                  <c:v>27.164058682299999</c:v>
                </c:pt>
              </c:numCache>
            </c:numRef>
          </c:val>
          <c:extLst>
            <c:ext xmlns:c16="http://schemas.microsoft.com/office/drawing/2014/chart" uri="{C3380CC4-5D6E-409C-BE32-E72D297353CC}">
              <c16:uniqueId val="{00000000-36D9-4B31-9418-DF1C37048672}"/>
            </c:ext>
          </c:extLst>
        </c:ser>
        <c:ser>
          <c:idx val="1"/>
          <c:order val="1"/>
          <c:tx>
            <c:strRef>
              <c:f>'G2.12'!$P$26</c:f>
              <c:strCache>
                <c:ptCount val="1"/>
                <c:pt idx="0">
                  <c:v> pracovní úraz</c:v>
                </c:pt>
              </c:strCache>
            </c:strRef>
          </c:tx>
          <c:spPr>
            <a:solidFill>
              <a:srgbClr val="B44946"/>
            </a:solidFill>
            <a:ln>
              <a:noFill/>
            </a:ln>
            <a:effectLst/>
          </c:spPr>
          <c:invertIfNegative val="0"/>
          <c:cat>
            <c:multiLvlStrRef>
              <c:f>'G2.12'!$M$27:$N$33</c:f>
              <c:multiLvlStrCache>
                <c:ptCount val="7"/>
                <c:lvl>
                  <c:pt idx="2">
                    <c:v>1–49</c:v>
                  </c:pt>
                  <c:pt idx="3">
                    <c:v>50–99</c:v>
                  </c:pt>
                  <c:pt idx="4">
                    <c:v>100–249</c:v>
                  </c:pt>
                  <c:pt idx="5">
                    <c:v>250–499</c:v>
                  </c:pt>
                  <c:pt idx="6">
                    <c:v>500 a více</c:v>
                  </c:pt>
                </c:lvl>
                <c:lvl>
                  <c:pt idx="0">
                    <c:v>CELKEM</c:v>
                  </c:pt>
                  <c:pt idx="1">
                    <c:v>OSVČ</c:v>
                  </c:pt>
                  <c:pt idx="2">
                    <c:v>zaměstnanci (počet)</c:v>
                  </c:pt>
                </c:lvl>
              </c:multiLvlStrCache>
            </c:multiLvlStrRef>
          </c:cat>
          <c:val>
            <c:numRef>
              <c:f>'G2.12'!$P$27:$P$33</c:f>
              <c:numCache>
                <c:formatCode>0.00</c:formatCode>
                <c:ptCount val="7"/>
                <c:pt idx="0">
                  <c:v>56.154752047099997</c:v>
                </c:pt>
                <c:pt idx="1">
                  <c:v>97.413043478299997</c:v>
                </c:pt>
                <c:pt idx="2">
                  <c:v>57.5284662356</c:v>
                </c:pt>
                <c:pt idx="3">
                  <c:v>52.567229619999999</c:v>
                </c:pt>
                <c:pt idx="4">
                  <c:v>52.731376386199997</c:v>
                </c:pt>
                <c:pt idx="5">
                  <c:v>53.137090327700001</c:v>
                </c:pt>
                <c:pt idx="6">
                  <c:v>58.930875575999998</c:v>
                </c:pt>
              </c:numCache>
            </c:numRef>
          </c:val>
          <c:extLst>
            <c:ext xmlns:c16="http://schemas.microsoft.com/office/drawing/2014/chart" uri="{C3380CC4-5D6E-409C-BE32-E72D297353CC}">
              <c16:uniqueId val="{00000001-36D9-4B31-9418-DF1C37048672}"/>
            </c:ext>
          </c:extLst>
        </c:ser>
        <c:ser>
          <c:idx val="2"/>
          <c:order val="2"/>
          <c:tx>
            <c:strRef>
              <c:f>'G2.12'!$Q$26</c:f>
              <c:strCache>
                <c:ptCount val="1"/>
                <c:pt idx="0">
                  <c:v> ostatní úraz</c:v>
                </c:pt>
              </c:strCache>
            </c:strRef>
          </c:tx>
          <c:spPr>
            <a:solidFill>
              <a:srgbClr val="F07373"/>
            </a:solidFill>
            <a:ln>
              <a:noFill/>
            </a:ln>
            <a:effectLst/>
          </c:spPr>
          <c:invertIfNegative val="0"/>
          <c:cat>
            <c:multiLvlStrRef>
              <c:f>'G2.12'!$M$27:$N$33</c:f>
              <c:multiLvlStrCache>
                <c:ptCount val="7"/>
                <c:lvl>
                  <c:pt idx="2">
                    <c:v>1–49</c:v>
                  </c:pt>
                  <c:pt idx="3">
                    <c:v>50–99</c:v>
                  </c:pt>
                  <c:pt idx="4">
                    <c:v>100–249</c:v>
                  </c:pt>
                  <c:pt idx="5">
                    <c:v>250–499</c:v>
                  </c:pt>
                  <c:pt idx="6">
                    <c:v>500 a více</c:v>
                  </c:pt>
                </c:lvl>
                <c:lvl>
                  <c:pt idx="0">
                    <c:v>CELKEM</c:v>
                  </c:pt>
                  <c:pt idx="1">
                    <c:v>OSVČ</c:v>
                  </c:pt>
                  <c:pt idx="2">
                    <c:v>zaměstnanci (počet)</c:v>
                  </c:pt>
                </c:lvl>
              </c:multiLvlStrCache>
            </c:multiLvlStrRef>
          </c:cat>
          <c:val>
            <c:numRef>
              <c:f>'G2.12'!$Q$27:$Q$33</c:f>
              <c:numCache>
                <c:formatCode>0.00</c:formatCode>
                <c:ptCount val="7"/>
                <c:pt idx="0">
                  <c:v>54.967378463300001</c:v>
                </c:pt>
                <c:pt idx="1">
                  <c:v>101.79351784409999</c:v>
                </c:pt>
                <c:pt idx="2">
                  <c:v>61.467286663300001</c:v>
                </c:pt>
                <c:pt idx="3">
                  <c:v>51.6978287413</c:v>
                </c:pt>
                <c:pt idx="4">
                  <c:v>51.358543645799998</c:v>
                </c:pt>
                <c:pt idx="5">
                  <c:v>52.751679393700002</c:v>
                </c:pt>
                <c:pt idx="6">
                  <c:v>50.361621573400001</c:v>
                </c:pt>
              </c:numCache>
            </c:numRef>
          </c:val>
          <c:extLst>
            <c:ext xmlns:c16="http://schemas.microsoft.com/office/drawing/2014/chart" uri="{C3380CC4-5D6E-409C-BE32-E72D297353CC}">
              <c16:uniqueId val="{00000002-36D9-4B31-9418-DF1C37048672}"/>
            </c:ext>
          </c:extLst>
        </c:ser>
        <c:dLbls>
          <c:showLegendKey val="0"/>
          <c:showVal val="0"/>
          <c:showCatName val="0"/>
          <c:showSerName val="0"/>
          <c:showPercent val="0"/>
          <c:showBubbleSize val="0"/>
        </c:dLbls>
        <c:gapWidth val="219"/>
        <c:axId val="1541395279"/>
        <c:axId val="1541399855"/>
      </c:barChart>
      <c:catAx>
        <c:axId val="1541395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541399855"/>
        <c:crosses val="autoZero"/>
        <c:auto val="1"/>
        <c:lblAlgn val="ctr"/>
        <c:lblOffset val="100"/>
        <c:noMultiLvlLbl val="0"/>
      </c:catAx>
      <c:valAx>
        <c:axId val="1541399855"/>
        <c:scaling>
          <c:orientation val="minMax"/>
          <c:max val="1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počet dnů</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541395279"/>
        <c:crosses val="autoZero"/>
        <c:crossBetween val="between"/>
        <c:majorUnit val="10"/>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3156116795852937"/>
          <c:y val="2.7173538482744362E-2"/>
          <c:w val="0.44161624102759384"/>
          <c:h val="0.91449219490342704"/>
        </c:manualLayout>
      </c:layout>
      <c:barChart>
        <c:barDir val="bar"/>
        <c:grouping val="clustered"/>
        <c:varyColors val="0"/>
        <c:ser>
          <c:idx val="0"/>
          <c:order val="0"/>
          <c:spPr>
            <a:solidFill>
              <a:srgbClr val="B44946"/>
            </a:solidFill>
            <a:ln>
              <a:noFill/>
            </a:ln>
            <a:effectLst/>
          </c:spPr>
          <c:invertIfNegative val="0"/>
          <c:dPt>
            <c:idx val="3"/>
            <c:invertIfNegative val="0"/>
            <c:bubble3D val="0"/>
            <c:spPr>
              <a:solidFill>
                <a:srgbClr val="B44946"/>
              </a:solidFill>
              <a:ln>
                <a:noFill/>
              </a:ln>
              <a:effectLst/>
            </c:spPr>
            <c:extLst>
              <c:ext xmlns:c16="http://schemas.microsoft.com/office/drawing/2014/chart" uri="{C3380CC4-5D6E-409C-BE32-E72D297353CC}">
                <c16:uniqueId val="{00000001-FFF8-4B90-BBD6-4052F3FC5823}"/>
              </c:ext>
            </c:extLst>
          </c:dPt>
          <c:dPt>
            <c:idx val="10"/>
            <c:invertIfNegative val="0"/>
            <c:bubble3D val="0"/>
            <c:spPr>
              <a:solidFill>
                <a:srgbClr val="632827"/>
              </a:solidFill>
              <a:ln>
                <a:noFill/>
              </a:ln>
              <a:effectLst/>
            </c:spPr>
            <c:extLst>
              <c:ext xmlns:c16="http://schemas.microsoft.com/office/drawing/2014/chart" uri="{C3380CC4-5D6E-409C-BE32-E72D297353CC}">
                <c16:uniqueId val="{00000003-FFF8-4B90-BBD6-4052F3FC5823}"/>
              </c:ext>
            </c:extLst>
          </c:dPt>
          <c:dPt>
            <c:idx val="15"/>
            <c:invertIfNegative val="0"/>
            <c:bubble3D val="0"/>
            <c:spPr>
              <a:solidFill>
                <a:srgbClr val="B44946"/>
              </a:solidFill>
              <a:ln>
                <a:noFill/>
              </a:ln>
              <a:effectLst/>
            </c:spPr>
            <c:extLst>
              <c:ext xmlns:c16="http://schemas.microsoft.com/office/drawing/2014/chart" uri="{C3380CC4-5D6E-409C-BE32-E72D297353CC}">
                <c16:uniqueId val="{00000005-FFF8-4B90-BBD6-4052F3FC5823}"/>
              </c:ext>
            </c:extLst>
          </c:dPt>
          <c:cat>
            <c:strRef>
              <c:f>'G2.13'!$S$2:$S$21</c:f>
              <c:strCache>
                <c:ptCount val="20"/>
                <c:pt idx="0">
                  <c:v>J – Informační a komunikační činnosti</c:v>
                </c:pt>
                <c:pt idx="1">
                  <c:v>K – Peněžnictví a pojišťovnictví</c:v>
                </c:pt>
                <c:pt idx="2">
                  <c:v>M – Profesní, vědecké a technické činnosti</c:v>
                </c:pt>
                <c:pt idx="3">
                  <c:v>L – Činnosti v oblasti nemovitostí</c:v>
                </c:pt>
                <c:pt idx="4">
                  <c:v>D – Výroba a rozvod elektřiny, plynu, tepla a klimatiz. vzduchu</c:v>
                </c:pt>
                <c:pt idx="5">
                  <c:v>R – Kulturní, zábavní a rekreační činnosti</c:v>
                </c:pt>
                <c:pt idx="6">
                  <c:v>P – Vzdělávání</c:v>
                </c:pt>
                <c:pt idx="7">
                  <c:v>S – Ostatní činnosti</c:v>
                </c:pt>
                <c:pt idx="8">
                  <c:v>O – Veřejná správa a obrana; povinné sociální zabezpečení</c:v>
                </c:pt>
                <c:pt idx="9">
                  <c:v>I – Ubytování, stravování a pohostinství</c:v>
                </c:pt>
                <c:pt idx="10">
                  <c:v>CELKEM</c:v>
                </c:pt>
                <c:pt idx="11">
                  <c:v>Q – Zdravotní a sociální péče</c:v>
                </c:pt>
                <c:pt idx="12">
                  <c:v>F – Stavebnictví</c:v>
                </c:pt>
                <c:pt idx="13">
                  <c:v>G – Velkoobchod a maloobchod; opravy a údržba motor. vozidel</c:v>
                </c:pt>
                <c:pt idx="14">
                  <c:v>H – Doprava a skladování</c:v>
                </c:pt>
                <c:pt idx="15">
                  <c:v>A – Zemědělství, lesnictví, rybářství</c:v>
                </c:pt>
                <c:pt idx="16">
                  <c:v>N – Administrativní a podpůrné činnosti</c:v>
                </c:pt>
                <c:pt idx="17">
                  <c:v>E – Zásobování vodou; činnosti související s odpady a sanacemi</c:v>
                </c:pt>
                <c:pt idx="18">
                  <c:v>B – Těžba a dobývání</c:v>
                </c:pt>
                <c:pt idx="19">
                  <c:v>C – Zpracovatelský průmysl</c:v>
                </c:pt>
              </c:strCache>
            </c:strRef>
          </c:cat>
          <c:val>
            <c:numRef>
              <c:f>'G2.13'!$T$2:$T$21</c:f>
              <c:numCache>
                <c:formatCode>0.00</c:formatCode>
                <c:ptCount val="20"/>
                <c:pt idx="0">
                  <c:v>1.5130702138000001E-2</c:v>
                </c:pt>
                <c:pt idx="1">
                  <c:v>2.0687814000999998E-2</c:v>
                </c:pt>
                <c:pt idx="2">
                  <c:v>2.2214200741000001E-2</c:v>
                </c:pt>
                <c:pt idx="3">
                  <c:v>2.5907758216999997E-2</c:v>
                </c:pt>
                <c:pt idx="4">
                  <c:v>2.8951584422E-2</c:v>
                </c:pt>
                <c:pt idx="5">
                  <c:v>3.1730297705999999E-2</c:v>
                </c:pt>
                <c:pt idx="6">
                  <c:v>3.4460726733000005E-2</c:v>
                </c:pt>
                <c:pt idx="7">
                  <c:v>3.5036661311999999E-2</c:v>
                </c:pt>
                <c:pt idx="8">
                  <c:v>3.6752230031000005E-2</c:v>
                </c:pt>
                <c:pt idx="9">
                  <c:v>4.4780746714000001E-2</c:v>
                </c:pt>
                <c:pt idx="10">
                  <c:v>4.5729162071999993E-2</c:v>
                </c:pt>
                <c:pt idx="11">
                  <c:v>4.6789492569000002E-2</c:v>
                </c:pt>
                <c:pt idx="12">
                  <c:v>4.6888793022000004E-2</c:v>
                </c:pt>
                <c:pt idx="13">
                  <c:v>4.7074169828000001E-2</c:v>
                </c:pt>
                <c:pt idx="14">
                  <c:v>4.9390868223000005E-2</c:v>
                </c:pt>
                <c:pt idx="15">
                  <c:v>5.1824673277000001E-2</c:v>
                </c:pt>
                <c:pt idx="16">
                  <c:v>5.3611563160999999E-2</c:v>
                </c:pt>
                <c:pt idx="17">
                  <c:v>5.4249202545999999E-2</c:v>
                </c:pt>
                <c:pt idx="18">
                  <c:v>5.6904360456000003E-2</c:v>
                </c:pt>
                <c:pt idx="19">
                  <c:v>6.0515035209E-2</c:v>
                </c:pt>
              </c:numCache>
            </c:numRef>
          </c:val>
          <c:extLst>
            <c:ext xmlns:c16="http://schemas.microsoft.com/office/drawing/2014/chart" uri="{C3380CC4-5D6E-409C-BE32-E72D297353CC}">
              <c16:uniqueId val="{00000006-FFF8-4B90-BBD6-4052F3FC5823}"/>
            </c:ext>
          </c:extLst>
        </c:ser>
        <c:dLbls>
          <c:showLegendKey val="0"/>
          <c:showVal val="0"/>
          <c:showCatName val="0"/>
          <c:showSerName val="0"/>
          <c:showPercent val="0"/>
          <c:showBubbleSize val="0"/>
        </c:dLbls>
        <c:gapWidth val="182"/>
        <c:axId val="1399942447"/>
        <c:axId val="1399957007"/>
      </c:barChart>
      <c:catAx>
        <c:axId val="13999424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399957007"/>
        <c:crosses val="autoZero"/>
        <c:auto val="1"/>
        <c:lblAlgn val="ctr"/>
        <c:lblOffset val="100"/>
        <c:noMultiLvlLbl val="0"/>
      </c:catAx>
      <c:valAx>
        <c:axId val="1399957007"/>
        <c:scaling>
          <c:orientation val="minMax"/>
          <c:max val="7.0000000000000007E-2"/>
        </c:scaling>
        <c:delete val="0"/>
        <c:axPos val="b"/>
        <c:majorGridlines>
          <c:spPr>
            <a:ln w="9525" cap="flat" cmpd="sng" algn="ctr">
              <a:solidFill>
                <a:schemeClr val="tx1">
                  <a:lumMod val="15000"/>
                  <a:lumOff val="85000"/>
                </a:schemeClr>
              </a:solidFill>
              <a:round/>
            </a:ln>
            <a:effectLst/>
          </c:spPr>
        </c:majorGridlines>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399942447"/>
        <c:crosses val="autoZero"/>
        <c:crossBetween val="between"/>
        <c:majorUnit val="1.0000000000000002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72537807774029"/>
          <c:y val="0.11583297542352662"/>
          <c:w val="0.31442241594800652"/>
          <c:h val="0.76833404915294679"/>
        </c:manualLayout>
      </c:layout>
      <c:pieChart>
        <c:varyColors val="1"/>
        <c:ser>
          <c:idx val="0"/>
          <c:order val="0"/>
          <c:dPt>
            <c:idx val="0"/>
            <c:bubble3D val="0"/>
            <c:spPr>
              <a:solidFill>
                <a:srgbClr val="4E201E"/>
              </a:solidFill>
              <a:ln w="19050">
                <a:solidFill>
                  <a:schemeClr val="lt1"/>
                </a:solidFill>
              </a:ln>
              <a:effectLst/>
            </c:spPr>
            <c:extLst>
              <c:ext xmlns:c16="http://schemas.microsoft.com/office/drawing/2014/chart" uri="{C3380CC4-5D6E-409C-BE32-E72D297353CC}">
                <c16:uniqueId val="{00000001-BD8C-4CB5-8816-684A2BAB8A74}"/>
              </c:ext>
            </c:extLst>
          </c:dPt>
          <c:dPt>
            <c:idx val="1"/>
            <c:bubble3D val="0"/>
            <c:spPr>
              <a:solidFill>
                <a:srgbClr val="722F2C"/>
              </a:solidFill>
              <a:ln w="19050">
                <a:solidFill>
                  <a:schemeClr val="lt1"/>
                </a:solidFill>
              </a:ln>
              <a:effectLst/>
            </c:spPr>
            <c:extLst>
              <c:ext xmlns:c16="http://schemas.microsoft.com/office/drawing/2014/chart" uri="{C3380CC4-5D6E-409C-BE32-E72D297353CC}">
                <c16:uniqueId val="{00000003-BD8C-4CB5-8816-684A2BAB8A74}"/>
              </c:ext>
            </c:extLst>
          </c:dPt>
          <c:dPt>
            <c:idx val="2"/>
            <c:bubble3D val="0"/>
            <c:spPr>
              <a:solidFill>
                <a:srgbClr val="9A403C"/>
              </a:solidFill>
              <a:ln w="19050">
                <a:solidFill>
                  <a:schemeClr val="lt1"/>
                </a:solidFill>
              </a:ln>
              <a:effectLst/>
            </c:spPr>
            <c:extLst>
              <c:ext xmlns:c16="http://schemas.microsoft.com/office/drawing/2014/chart" uri="{C3380CC4-5D6E-409C-BE32-E72D297353CC}">
                <c16:uniqueId val="{00000005-BD8C-4CB5-8816-684A2BAB8A74}"/>
              </c:ext>
            </c:extLst>
          </c:dPt>
          <c:dPt>
            <c:idx val="3"/>
            <c:bubble3D val="0"/>
            <c:spPr>
              <a:solidFill>
                <a:srgbClr val="C36969"/>
              </a:solidFill>
              <a:ln w="19050">
                <a:solidFill>
                  <a:schemeClr val="lt1"/>
                </a:solidFill>
              </a:ln>
              <a:effectLst/>
            </c:spPr>
            <c:extLst>
              <c:ext xmlns:c16="http://schemas.microsoft.com/office/drawing/2014/chart" uri="{C3380CC4-5D6E-409C-BE32-E72D297353CC}">
                <c16:uniqueId val="{00000007-BD8C-4CB5-8816-684A2BAB8A74}"/>
              </c:ext>
            </c:extLst>
          </c:dPt>
          <c:dPt>
            <c:idx val="4"/>
            <c:bubble3D val="0"/>
            <c:spPr>
              <a:solidFill>
                <a:srgbClr val="F07373"/>
              </a:solidFill>
              <a:ln w="19050">
                <a:solidFill>
                  <a:schemeClr val="lt1"/>
                </a:solidFill>
              </a:ln>
              <a:effectLst/>
            </c:spPr>
            <c:extLst>
              <c:ext xmlns:c16="http://schemas.microsoft.com/office/drawing/2014/chart" uri="{C3380CC4-5D6E-409C-BE32-E72D297353CC}">
                <c16:uniqueId val="{00000009-BD8C-4CB5-8816-684A2BAB8A74}"/>
              </c:ext>
            </c:extLst>
          </c:dPt>
          <c:dPt>
            <c:idx val="5"/>
            <c:bubble3D val="0"/>
            <c:spPr>
              <a:solidFill>
                <a:srgbClr val="D79895"/>
              </a:solidFill>
              <a:ln w="19050">
                <a:solidFill>
                  <a:schemeClr val="lt1"/>
                </a:solidFill>
              </a:ln>
              <a:effectLst/>
            </c:spPr>
            <c:extLst>
              <c:ext xmlns:c16="http://schemas.microsoft.com/office/drawing/2014/chart" uri="{C3380CC4-5D6E-409C-BE32-E72D297353CC}">
                <c16:uniqueId val="{0000000B-BD8C-4CB5-8816-684A2BAB8A74}"/>
              </c:ext>
            </c:extLst>
          </c:dPt>
          <c:dPt>
            <c:idx val="6"/>
            <c:bubble3D val="0"/>
            <c:spPr>
              <a:solidFill>
                <a:srgbClr val="FA9696"/>
              </a:solidFill>
              <a:ln w="19050">
                <a:solidFill>
                  <a:schemeClr val="lt1"/>
                </a:solidFill>
              </a:ln>
              <a:effectLst/>
            </c:spPr>
            <c:extLst>
              <c:ext xmlns:c16="http://schemas.microsoft.com/office/drawing/2014/chart" uri="{C3380CC4-5D6E-409C-BE32-E72D297353CC}">
                <c16:uniqueId val="{0000000D-BD8C-4CB5-8816-684A2BAB8A74}"/>
              </c:ext>
            </c:extLst>
          </c:dPt>
          <c:dPt>
            <c:idx val="7"/>
            <c:bubble3D val="0"/>
            <c:spPr>
              <a:solidFill>
                <a:srgbClr val="F6E7E6"/>
              </a:solidFill>
              <a:ln w="19050">
                <a:solidFill>
                  <a:schemeClr val="lt1"/>
                </a:solidFill>
              </a:ln>
              <a:effectLst/>
            </c:spPr>
            <c:extLst>
              <c:ext xmlns:c16="http://schemas.microsoft.com/office/drawing/2014/chart" uri="{C3380CC4-5D6E-409C-BE32-E72D297353CC}">
                <c16:uniqueId val="{0000000F-BD8C-4CB5-8816-684A2BAB8A74}"/>
              </c:ext>
            </c:extLst>
          </c:dPt>
          <c:dPt>
            <c:idx val="8"/>
            <c:bubble3D val="0"/>
            <c:spPr>
              <a:solidFill>
                <a:srgbClr val="EBCDCB"/>
              </a:solidFill>
              <a:ln w="19050">
                <a:solidFill>
                  <a:schemeClr val="lt1"/>
                </a:solidFill>
              </a:ln>
              <a:effectLst/>
            </c:spPr>
            <c:extLst>
              <c:ext xmlns:c16="http://schemas.microsoft.com/office/drawing/2014/chart" uri="{C3380CC4-5D6E-409C-BE32-E72D297353CC}">
                <c16:uniqueId val="{00000011-BD8C-4CB5-8816-684A2BAB8A74}"/>
              </c:ext>
            </c:extLst>
          </c:dPt>
          <c:dPt>
            <c:idx val="9"/>
            <c:bubble3D val="0"/>
            <c:spPr>
              <a:solidFill>
                <a:srgbClr val="E2B6B4"/>
              </a:solidFill>
              <a:ln w="19050">
                <a:solidFill>
                  <a:schemeClr val="lt1"/>
                </a:solidFill>
              </a:ln>
              <a:effectLst/>
            </c:spPr>
            <c:extLst>
              <c:ext xmlns:c16="http://schemas.microsoft.com/office/drawing/2014/chart" uri="{C3380CC4-5D6E-409C-BE32-E72D297353CC}">
                <c16:uniqueId val="{00000013-BD8C-4CB5-8816-684A2BAB8A74}"/>
              </c:ext>
            </c:extLst>
          </c:dPt>
          <c:dPt>
            <c:idx val="10"/>
            <c:bubble3D val="0"/>
            <c:spPr>
              <a:solidFill>
                <a:srgbClr val="D9D9D9"/>
              </a:solidFill>
              <a:ln w="19050">
                <a:solidFill>
                  <a:schemeClr val="lt1"/>
                </a:solidFill>
              </a:ln>
              <a:effectLst/>
            </c:spPr>
            <c:extLst>
              <c:ext xmlns:c16="http://schemas.microsoft.com/office/drawing/2014/chart" uri="{C3380CC4-5D6E-409C-BE32-E72D297353CC}">
                <c16:uniqueId val="{00000015-BD8C-4CB5-8816-684A2BAB8A74}"/>
              </c:ext>
            </c:extLst>
          </c:dPt>
          <c:dPt>
            <c:idx val="11"/>
            <c:bubble3D val="0"/>
            <c:spPr>
              <a:solidFill>
                <a:srgbClr val="BFBFBF"/>
              </a:solidFill>
              <a:ln w="19050">
                <a:solidFill>
                  <a:schemeClr val="lt1"/>
                </a:solidFill>
              </a:ln>
              <a:effectLst/>
            </c:spPr>
            <c:extLst>
              <c:ext xmlns:c16="http://schemas.microsoft.com/office/drawing/2014/chart" uri="{C3380CC4-5D6E-409C-BE32-E72D297353CC}">
                <c16:uniqueId val="{00000017-BD8C-4CB5-8816-684A2BAB8A74}"/>
              </c:ext>
            </c:extLst>
          </c:dPt>
          <c:dLbls>
            <c:dLbl>
              <c:idx val="0"/>
              <c:layout>
                <c:manualLayout>
                  <c:x val="0.15718549896611936"/>
                  <c:y val="-2.5399793148111506E-2"/>
                </c:manualLayout>
              </c:layout>
              <c:numFmt formatCode="0\ %"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showLegendKey val="0"/>
              <c:showVal val="0"/>
              <c:showCatName val="1"/>
              <c:showSerName val="0"/>
              <c:showPercent val="1"/>
              <c:showBubbleSize val="0"/>
              <c:extLst>
                <c:ext xmlns:c15="http://schemas.microsoft.com/office/drawing/2012/chart" uri="{CE6537A1-D6FC-4f65-9D91-7224C49458BB}">
                  <c15:layout>
                    <c:manualLayout>
                      <c:w val="0.1400083989501312"/>
                      <c:h val="0.18275679936292794"/>
                    </c:manualLayout>
                  </c15:layout>
                </c:ext>
                <c:ext xmlns:c16="http://schemas.microsoft.com/office/drawing/2014/chart" uri="{C3380CC4-5D6E-409C-BE32-E72D297353CC}">
                  <c16:uniqueId val="{00000001-BD8C-4CB5-8816-684A2BAB8A74}"/>
                </c:ext>
              </c:extLst>
            </c:dLbl>
            <c:dLbl>
              <c:idx val="1"/>
              <c:layout>
                <c:manualLayout>
                  <c:x val="-2.0602185920789825E-2"/>
                  <c:y val="0.1538459271538426"/>
                </c:manualLayout>
              </c:layout>
              <c:numFmt formatCode="0\ %"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BD8C-4CB5-8816-684A2BAB8A74}"/>
                </c:ext>
              </c:extLst>
            </c:dLbl>
            <c:dLbl>
              <c:idx val="2"/>
              <c:layout>
                <c:manualLayout>
                  <c:x val="-1.9307571168988416E-2"/>
                  <c:y val="-4.868530752541381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D8C-4CB5-8816-684A2BAB8A74}"/>
                </c:ext>
              </c:extLst>
            </c:dLbl>
            <c:dLbl>
              <c:idx val="3"/>
              <c:layout>
                <c:manualLayout>
                  <c:x val="0.17589730971128609"/>
                  <c:y val="-0.25184691004533521"/>
                </c:manualLayout>
              </c:layout>
              <c:numFmt formatCode="0\ %"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0"/>
              <c:showCatName val="1"/>
              <c:showSerName val="0"/>
              <c:showPercent val="1"/>
              <c:showBubbleSize val="0"/>
              <c:extLst>
                <c:ext xmlns:c15="http://schemas.microsoft.com/office/drawing/2012/chart" uri="{CE6537A1-D6FC-4f65-9D91-7224C49458BB}">
                  <c15:layout>
                    <c:manualLayout>
                      <c:w val="0.19656771261801231"/>
                      <c:h val="0.13324013445687707"/>
                    </c:manualLayout>
                  </c15:layout>
                </c:ext>
                <c:ext xmlns:c16="http://schemas.microsoft.com/office/drawing/2014/chart" uri="{C3380CC4-5D6E-409C-BE32-E72D297353CC}">
                  <c16:uniqueId val="{00000007-BD8C-4CB5-8816-684A2BAB8A74}"/>
                </c:ext>
              </c:extLst>
            </c:dLbl>
            <c:dLbl>
              <c:idx val="4"/>
              <c:layout>
                <c:manualLayout>
                  <c:x val="0.23196444194475691"/>
                  <c:y val="-0.2286667621092818"/>
                </c:manualLayout>
              </c:layout>
              <c:showLegendKey val="0"/>
              <c:showVal val="0"/>
              <c:showCatName val="1"/>
              <c:showSerName val="0"/>
              <c:showPercent val="1"/>
              <c:showBubbleSize val="0"/>
              <c:extLst>
                <c:ext xmlns:c15="http://schemas.microsoft.com/office/drawing/2012/chart" uri="{CE6537A1-D6FC-4f65-9D91-7224C49458BB}">
                  <c15:layout>
                    <c:manualLayout>
                      <c:w val="0.22188054618172728"/>
                      <c:h val="0.14829109997613935"/>
                    </c:manualLayout>
                  </c15:layout>
                </c:ext>
                <c:ext xmlns:c16="http://schemas.microsoft.com/office/drawing/2014/chart" uri="{C3380CC4-5D6E-409C-BE32-E72D297353CC}">
                  <c16:uniqueId val="{00000009-BD8C-4CB5-8816-684A2BAB8A74}"/>
                </c:ext>
              </c:extLst>
            </c:dLbl>
            <c:dLbl>
              <c:idx val="5"/>
              <c:layout>
                <c:manualLayout>
                  <c:x val="0.30159730033745769"/>
                  <c:y val="-0.1586718205678835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D8C-4CB5-8816-684A2BAB8A74}"/>
                </c:ext>
              </c:extLst>
            </c:dLbl>
            <c:dLbl>
              <c:idx val="6"/>
              <c:layout>
                <c:manualLayout>
                  <c:x val="0.25090512123484565"/>
                  <c:y val="-0.10024834168456216"/>
                </c:manualLayout>
              </c:layout>
              <c:numFmt formatCode="0\ %"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0"/>
              <c:showCatName val="1"/>
              <c:showSerName val="0"/>
              <c:showPercent val="1"/>
              <c:showBubbleSize val="0"/>
              <c:extLst>
                <c:ext xmlns:c15="http://schemas.microsoft.com/office/drawing/2012/chart" uri="{CE6537A1-D6FC-4f65-9D91-7224C49458BB}">
                  <c15:layout>
                    <c:manualLayout>
                      <c:w val="0.19721314686410463"/>
                      <c:h val="0.12346014642906479"/>
                    </c:manualLayout>
                  </c15:layout>
                </c:ext>
                <c:ext xmlns:c16="http://schemas.microsoft.com/office/drawing/2014/chart" uri="{C3380CC4-5D6E-409C-BE32-E72D297353CC}">
                  <c16:uniqueId val="{0000000D-BD8C-4CB5-8816-684A2BAB8A74}"/>
                </c:ext>
              </c:extLst>
            </c:dLbl>
            <c:dLbl>
              <c:idx val="7"/>
              <c:layout>
                <c:manualLayout>
                  <c:x val="0.33218675790526186"/>
                  <c:y val="-3.039847291815804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BD8C-4CB5-8816-684A2BAB8A74}"/>
                </c:ext>
              </c:extLst>
            </c:dLbl>
            <c:dLbl>
              <c:idx val="8"/>
              <c:layout>
                <c:manualLayout>
                  <c:x val="0.26743610173728283"/>
                  <c:y val="4.036497256024824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BD8C-4CB5-8816-684A2BAB8A74}"/>
                </c:ext>
              </c:extLst>
            </c:dLbl>
            <c:dLbl>
              <c:idx val="9"/>
              <c:layout>
                <c:manualLayout>
                  <c:x val="0.2593294588176478"/>
                  <c:y val="0.12075094249582438"/>
                </c:manualLayout>
              </c:layout>
              <c:showLegendKey val="0"/>
              <c:showVal val="0"/>
              <c:showCatName val="1"/>
              <c:showSerName val="0"/>
              <c:showPercent val="1"/>
              <c:showBubbleSize val="0"/>
              <c:extLst>
                <c:ext xmlns:c15="http://schemas.microsoft.com/office/drawing/2012/chart" uri="{CE6537A1-D6FC-4f65-9D91-7224C49458BB}">
                  <c15:layout>
                    <c:manualLayout>
                      <c:w val="0.21486111111111111"/>
                      <c:h val="0.14829109997613935"/>
                    </c:manualLayout>
                  </c15:layout>
                </c:ext>
                <c:ext xmlns:c16="http://schemas.microsoft.com/office/drawing/2014/chart" uri="{C3380CC4-5D6E-409C-BE32-E72D297353CC}">
                  <c16:uniqueId val="{00000013-BD8C-4CB5-8816-684A2BAB8A74}"/>
                </c:ext>
              </c:extLst>
            </c:dLbl>
            <c:dLbl>
              <c:idx val="10"/>
              <c:layout>
                <c:manualLayout>
                  <c:x val="0.13818878675950999"/>
                  <c:y val="0.1785955950137103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BD8C-4CB5-8816-684A2BAB8A74}"/>
                </c:ext>
              </c:extLst>
            </c:dLbl>
            <c:dLbl>
              <c:idx val="11"/>
              <c:layout>
                <c:manualLayout>
                  <c:x val="-7.4044110157872059E-2"/>
                  <c:y val="-0.1728441313256896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BD8C-4CB5-8816-684A2BAB8A74}"/>
                </c:ext>
              </c:extLst>
            </c:dLbl>
            <c:numFmt formatCode="0\ %"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'G3.1'!$A$20:$A$31</c:f>
              <c:strCache>
                <c:ptCount val="12"/>
                <c:pt idx="0">
                  <c:v>nemoci dýchací soustavy</c:v>
                </c:pt>
                <c:pt idx="1">
                  <c:v>nemoci pohybové
 soustavy</c:v>
                </c:pt>
                <c:pt idx="2">
                  <c:v>úrazy, otravy</c:v>
                </c:pt>
                <c:pt idx="3">
                  <c:v>nemoci trávicí soustavy</c:v>
                </c:pt>
                <c:pt idx="4">
                  <c:v>nemoci močové 
a pohlavní soustavy</c:v>
                </c:pt>
                <c:pt idx="5">
                  <c:v>nemoci duševní</c:v>
                </c:pt>
                <c:pt idx="6">
                  <c:v>nemoci oběhové soustavy</c:v>
                </c:pt>
                <c:pt idx="7">
                  <c:v>nemoci kůže</c:v>
                </c:pt>
                <c:pt idx="8">
                  <c:v>nemoci nervové soustavy</c:v>
                </c:pt>
                <c:pt idx="9">
                  <c:v>těhotenství, porod, šestinedělí</c:v>
                </c:pt>
                <c:pt idx="10">
                  <c:v>zhoubné novotvary</c:v>
                </c:pt>
                <c:pt idx="11">
                  <c:v>nemoci ostatní</c:v>
                </c:pt>
              </c:strCache>
            </c:strRef>
          </c:cat>
          <c:val>
            <c:numRef>
              <c:f>'G3.1'!$C$20:$C$31</c:f>
              <c:numCache>
                <c:formatCode>General</c:formatCode>
                <c:ptCount val="12"/>
                <c:pt idx="0">
                  <c:v>0.42312949330152511</c:v>
                </c:pt>
                <c:pt idx="1">
                  <c:v>0.14929289701426071</c:v>
                </c:pt>
                <c:pt idx="2">
                  <c:v>7.9498166096233086E-2</c:v>
                </c:pt>
                <c:pt idx="3">
                  <c:v>6.1174157183389588E-2</c:v>
                </c:pt>
                <c:pt idx="4">
                  <c:v>3.2909021446035296E-2</c:v>
                </c:pt>
                <c:pt idx="5">
                  <c:v>2.2683139238263528E-2</c:v>
                </c:pt>
                <c:pt idx="6">
                  <c:v>2.1026021105119821E-2</c:v>
                </c:pt>
                <c:pt idx="7">
                  <c:v>1.3287398071415069E-2</c:v>
                </c:pt>
                <c:pt idx="8">
                  <c:v>1.3219373174302725E-2</c:v>
                </c:pt>
                <c:pt idx="9">
                  <c:v>9.7069946204962187E-3</c:v>
                </c:pt>
                <c:pt idx="10">
                  <c:v>6.4346806745222236E-3</c:v>
                </c:pt>
                <c:pt idx="11">
                  <c:v>0.16763865807443665</c:v>
                </c:pt>
              </c:numCache>
            </c:numRef>
          </c:val>
          <c:extLst>
            <c:ext xmlns:c16="http://schemas.microsoft.com/office/drawing/2014/chart" uri="{C3380CC4-5D6E-409C-BE32-E72D297353CC}">
              <c16:uniqueId val="{00000018-BD8C-4CB5-8816-684A2BAB8A74}"/>
            </c:ext>
          </c:extLst>
        </c:ser>
        <c:dLbls>
          <c:showLegendKey val="0"/>
          <c:showVal val="0"/>
          <c:showCatName val="0"/>
          <c:showSerName val="0"/>
          <c:showPercent val="0"/>
          <c:showBubbleSize val="0"/>
          <c:showLeaderLines val="1"/>
        </c:dLbls>
        <c:firstSliceAng val="186"/>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'G4.1'!$A$3</c:f>
              <c:strCache>
                <c:ptCount val="1"/>
                <c:pt idx="0">
                  <c:v> nemocenské  (mld. Kč)</c:v>
                </c:pt>
              </c:strCache>
            </c:strRef>
          </c:tx>
          <c:spPr>
            <a:solidFill>
              <a:srgbClr val="B44946"/>
            </a:solidFill>
            <a:ln>
              <a:solidFill>
                <a:srgbClr val="B44946"/>
              </a:solid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'G4.1'!$C$2:$M$2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'G4.1'!$C$3:$M$3</c:f>
              <c:numCache>
                <c:formatCode>General</c:formatCode>
                <c:ptCount val="11"/>
                <c:pt idx="0">
                  <c:v>12.035</c:v>
                </c:pt>
                <c:pt idx="1">
                  <c:v>13.881</c:v>
                </c:pt>
                <c:pt idx="2">
                  <c:v>15.428000000000001</c:v>
                </c:pt>
                <c:pt idx="3">
                  <c:v>16.984999999999999</c:v>
                </c:pt>
                <c:pt idx="4">
                  <c:v>18.29</c:v>
                </c:pt>
                <c:pt idx="5">
                  <c:v>22.68</c:v>
                </c:pt>
                <c:pt idx="6" formatCode="0.00">
                  <c:v>26.669625022889999</c:v>
                </c:pt>
                <c:pt idx="7" formatCode="#,##0.00">
                  <c:v>32.766449426119998</c:v>
                </c:pt>
                <c:pt idx="8" formatCode="#,##0.00">
                  <c:v>34.037351810419999</c:v>
                </c:pt>
                <c:pt idx="9" formatCode="#,##0.00">
                  <c:v>32.754035904779997</c:v>
                </c:pt>
                <c:pt idx="10" formatCode="#,##0.00">
                  <c:v>31.681192276299999</c:v>
                </c:pt>
              </c:numCache>
            </c:numRef>
          </c:val>
          <c:extLst>
            <c:ext xmlns:c16="http://schemas.microsoft.com/office/drawing/2014/chart" uri="{C3380CC4-5D6E-409C-BE32-E72D297353CC}">
              <c16:uniqueId val="{00000000-BC38-4AF2-A5E4-AB7F000419B2}"/>
            </c:ext>
          </c:extLst>
        </c:ser>
        <c:dLbls>
          <c:showLegendKey val="0"/>
          <c:showVal val="0"/>
          <c:showCatName val="0"/>
          <c:showSerName val="0"/>
          <c:showPercent val="0"/>
          <c:showBubbleSize val="0"/>
        </c:dLbls>
        <c:gapWidth val="64"/>
        <c:overlap val="-27"/>
        <c:axId val="621806511"/>
        <c:axId val="621830639"/>
      </c:barChart>
      <c:lineChart>
        <c:grouping val="stacked"/>
        <c:varyColors val="0"/>
        <c:ser>
          <c:idx val="1"/>
          <c:order val="1"/>
          <c:tx>
            <c:strRef>
              <c:f>'G4.1'!$A$4</c:f>
              <c:strCache>
                <c:ptCount val="1"/>
                <c:pt idx="0">
                  <c:v>výdaje na 1 pojištěnce (Kč)</c:v>
                </c:pt>
              </c:strCache>
            </c:strRef>
          </c:tx>
          <c:spPr>
            <a:ln w="25400" cap="rnd">
              <a:noFill/>
              <a:round/>
            </a:ln>
            <a:effectLst/>
          </c:spPr>
          <c:marker>
            <c:symbol val="circle"/>
            <c:size val="5"/>
            <c:spPr>
              <a:solidFill>
                <a:srgbClr val="632827"/>
              </a:solidFill>
              <a:ln w="9525">
                <a:solidFill>
                  <a:srgbClr val="632827"/>
                </a:solidFill>
              </a:ln>
              <a:effectLst/>
            </c:spPr>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'G4.1'!$C$2:$M$2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'G4.1'!$C$4:$M$4</c:f>
              <c:numCache>
                <c:formatCode>General</c:formatCode>
                <c:ptCount val="11"/>
                <c:pt idx="0">
                  <c:v>2710.3865797241015</c:v>
                </c:pt>
                <c:pt idx="1">
                  <c:v>3109.5033060733767</c:v>
                </c:pt>
                <c:pt idx="2">
                  <c:v>3423.1104776290813</c:v>
                </c:pt>
                <c:pt idx="3">
                  <c:v>3715.5693990274981</c:v>
                </c:pt>
                <c:pt idx="4">
                  <c:v>3914.9580434067425</c:v>
                </c:pt>
                <c:pt idx="5">
                  <c:v>4792.1527680967365</c:v>
                </c:pt>
                <c:pt idx="6">
                  <c:v>5634.9562735716163</c:v>
                </c:pt>
                <c:pt idx="7">
                  <c:v>6985.8938827470065</c:v>
                </c:pt>
                <c:pt idx="8">
                  <c:v>7229.4310119163056</c:v>
                </c:pt>
                <c:pt idx="9">
                  <c:v>6898.5647360475032</c:v>
                </c:pt>
                <c:pt idx="10">
                  <c:v>6646.1243394363264</c:v>
                </c:pt>
              </c:numCache>
            </c:numRef>
          </c:val>
          <c:smooth val="0"/>
          <c:extLst>
            <c:ext xmlns:c16="http://schemas.microsoft.com/office/drawing/2014/chart" uri="{C3380CC4-5D6E-409C-BE32-E72D297353CC}">
              <c16:uniqueId val="{00000001-BC38-4AF2-A5E4-AB7F000419B2}"/>
            </c:ext>
          </c:extLst>
        </c:ser>
        <c:dLbls>
          <c:showLegendKey val="0"/>
          <c:showVal val="0"/>
          <c:showCatName val="0"/>
          <c:showSerName val="0"/>
          <c:showPercent val="0"/>
          <c:showBubbleSize val="0"/>
        </c:dLbls>
        <c:marker val="1"/>
        <c:smooth val="0"/>
        <c:axId val="676338687"/>
        <c:axId val="676332863"/>
      </c:lineChart>
      <c:catAx>
        <c:axId val="621806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621830639"/>
        <c:crosses val="autoZero"/>
        <c:auto val="1"/>
        <c:lblAlgn val="ctr"/>
        <c:lblOffset val="100"/>
        <c:noMultiLvlLbl val="0"/>
      </c:catAx>
      <c:valAx>
        <c:axId val="6218306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mld. Kč</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621806511"/>
        <c:crosses val="autoZero"/>
        <c:crossBetween val="between"/>
      </c:valAx>
      <c:valAx>
        <c:axId val="676332863"/>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crossAx val="676338687"/>
        <c:crosses val="max"/>
        <c:crossBetween val="between"/>
      </c:valAx>
      <c:catAx>
        <c:axId val="676338687"/>
        <c:scaling>
          <c:orientation val="minMax"/>
        </c:scaling>
        <c:delete val="1"/>
        <c:axPos val="b"/>
        <c:numFmt formatCode="General" sourceLinked="1"/>
        <c:majorTickMark val="out"/>
        <c:minorTickMark val="none"/>
        <c:tickLblPos val="nextTo"/>
        <c:crossAx val="67633286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'G5.1'!$B$5</c:f>
              <c:strCache>
                <c:ptCount val="1"/>
                <c:pt idx="0">
                  <c:v> celkem</c:v>
                </c:pt>
              </c:strCache>
            </c:strRef>
          </c:tx>
          <c:spPr>
            <a:solidFill>
              <a:srgbClr val="632827"/>
            </a:solidFill>
            <a:ln>
              <a:noFill/>
            </a:ln>
            <a:effectLst/>
          </c:spPr>
          <c:invertIfNegative val="0"/>
          <c:cat>
            <c:numRef>
              <c:f>'G5.1'!$A$7:$A$17</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'G5.1'!$B$7:$B$17</c:f>
              <c:numCache>
                <c:formatCode>General</c:formatCode>
                <c:ptCount val="11"/>
                <c:pt idx="0">
                  <c:v>953.87140493738525</c:v>
                </c:pt>
                <c:pt idx="1">
                  <c:v>992.39324229058911</c:v>
                </c:pt>
                <c:pt idx="2">
                  <c:v>1012.2229156237019</c:v>
                </c:pt>
                <c:pt idx="3">
                  <c:v>1021.8745560010099</c:v>
                </c:pt>
                <c:pt idx="4">
                  <c:v>1003.2481328292729</c:v>
                </c:pt>
                <c:pt idx="5">
                  <c:v>964.89615656043009</c:v>
                </c:pt>
                <c:pt idx="6">
                  <c:v>928.79837124568758</c:v>
                </c:pt>
                <c:pt idx="7">
                  <c:v>864.94183499552605</c:v>
                </c:pt>
                <c:pt idx="8">
                  <c:v>934.1219542430548</c:v>
                </c:pt>
                <c:pt idx="9">
                  <c:v>917.4697717880631</c:v>
                </c:pt>
                <c:pt idx="10">
                  <c:v>891.57087890706123</c:v>
                </c:pt>
              </c:numCache>
            </c:numRef>
          </c:val>
          <c:extLst>
            <c:ext xmlns:c16="http://schemas.microsoft.com/office/drawing/2014/chart" uri="{C3380CC4-5D6E-409C-BE32-E72D297353CC}">
              <c16:uniqueId val="{00000000-9C67-4D33-AB90-0B48F65ABBD9}"/>
            </c:ext>
          </c:extLst>
        </c:ser>
        <c:ser>
          <c:idx val="1"/>
          <c:order val="1"/>
          <c:tx>
            <c:strRef>
              <c:f>'G5.1'!$C$5</c:f>
              <c:strCache>
                <c:ptCount val="1"/>
                <c:pt idx="0">
                  <c:v> muži</c:v>
                </c:pt>
              </c:strCache>
            </c:strRef>
          </c:tx>
          <c:spPr>
            <a:solidFill>
              <a:srgbClr val="B44946"/>
            </a:solidFill>
            <a:ln>
              <a:noFill/>
            </a:ln>
            <a:effectLst/>
          </c:spPr>
          <c:invertIfNegative val="0"/>
          <c:cat>
            <c:numRef>
              <c:f>'G5.1'!$A$7:$A$17</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'G5.1'!$C$7:$C$17</c:f>
              <c:numCache>
                <c:formatCode>General</c:formatCode>
                <c:ptCount val="11"/>
                <c:pt idx="0">
                  <c:v>1325.0414476326634</c:v>
                </c:pt>
                <c:pt idx="1">
                  <c:v>1372.173752359331</c:v>
                </c:pt>
                <c:pt idx="2">
                  <c:v>1373.3670257323856</c:v>
                </c:pt>
                <c:pt idx="3">
                  <c:v>1378.6665387508742</c:v>
                </c:pt>
                <c:pt idx="4">
                  <c:v>1355.2518700976673</c:v>
                </c:pt>
                <c:pt idx="5">
                  <c:v>1294.0989767393464</c:v>
                </c:pt>
                <c:pt idx="6">
                  <c:v>1243.7952127639396</c:v>
                </c:pt>
                <c:pt idx="7">
                  <c:v>1193.8973535578518</c:v>
                </c:pt>
                <c:pt idx="8">
                  <c:v>1291.789040414631</c:v>
                </c:pt>
                <c:pt idx="9">
                  <c:v>1235.5213676374165</c:v>
                </c:pt>
                <c:pt idx="10">
                  <c:v>1184.1173782171657</c:v>
                </c:pt>
              </c:numCache>
            </c:numRef>
          </c:val>
          <c:extLst>
            <c:ext xmlns:c16="http://schemas.microsoft.com/office/drawing/2014/chart" uri="{C3380CC4-5D6E-409C-BE32-E72D297353CC}">
              <c16:uniqueId val="{00000001-9C67-4D33-AB90-0B48F65ABBD9}"/>
            </c:ext>
          </c:extLst>
        </c:ser>
        <c:ser>
          <c:idx val="2"/>
          <c:order val="2"/>
          <c:tx>
            <c:strRef>
              <c:f>'G5.1'!$D$5</c:f>
              <c:strCache>
                <c:ptCount val="1"/>
                <c:pt idx="0">
                  <c:v> ženy</c:v>
                </c:pt>
              </c:strCache>
            </c:strRef>
          </c:tx>
          <c:spPr>
            <a:solidFill>
              <a:srgbClr val="F07373"/>
            </a:solidFill>
            <a:ln>
              <a:noFill/>
            </a:ln>
            <a:effectLst/>
          </c:spPr>
          <c:invertIfNegative val="0"/>
          <c:cat>
            <c:numRef>
              <c:f>'G5.1'!$A$7:$A$17</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'G5.1'!$D$7:$D$17</c:f>
              <c:numCache>
                <c:formatCode>General</c:formatCode>
                <c:ptCount val="11"/>
                <c:pt idx="0">
                  <c:v>568.90076443746273</c:v>
                </c:pt>
                <c:pt idx="1">
                  <c:v>598.4482241654789</c:v>
                </c:pt>
                <c:pt idx="2">
                  <c:v>635.43511275243941</c:v>
                </c:pt>
                <c:pt idx="3">
                  <c:v>651.45580665256648</c:v>
                </c:pt>
                <c:pt idx="4">
                  <c:v>640.8067102346364</c:v>
                </c:pt>
                <c:pt idx="5">
                  <c:v>628.65610667766714</c:v>
                </c:pt>
                <c:pt idx="6">
                  <c:v>608.85567093888449</c:v>
                </c:pt>
                <c:pt idx="7">
                  <c:v>533.51264368714521</c:v>
                </c:pt>
                <c:pt idx="8">
                  <c:v>576.42611519516709</c:v>
                </c:pt>
                <c:pt idx="9">
                  <c:v>603.53284675204736</c:v>
                </c:pt>
                <c:pt idx="10">
                  <c:v>606.18441491133103</c:v>
                </c:pt>
              </c:numCache>
            </c:numRef>
          </c:val>
          <c:extLst>
            <c:ext xmlns:c16="http://schemas.microsoft.com/office/drawing/2014/chart" uri="{C3380CC4-5D6E-409C-BE32-E72D297353CC}">
              <c16:uniqueId val="{00000002-9C67-4D33-AB90-0B48F65ABBD9}"/>
            </c:ext>
          </c:extLst>
        </c:ser>
        <c:dLbls>
          <c:showLegendKey val="0"/>
          <c:showVal val="0"/>
          <c:showCatName val="0"/>
          <c:showSerName val="0"/>
          <c:showPercent val="0"/>
          <c:showBubbleSize val="0"/>
        </c:dLbls>
        <c:gapWidth val="219"/>
        <c:axId val="764446415"/>
        <c:axId val="764448079"/>
      </c:barChart>
      <c:catAx>
        <c:axId val="764446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764448079"/>
        <c:crosses val="autoZero"/>
        <c:auto val="1"/>
        <c:lblAlgn val="ctr"/>
        <c:lblOffset val="100"/>
        <c:noMultiLvlLbl val="0"/>
      </c:catAx>
      <c:valAx>
        <c:axId val="7644480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počet případů</a:t>
                </a:r>
                <a:r>
                  <a:rPr lang="cs-CZ"/>
                  <a:t> na 100 tis. pojištěnců</a:t>
                </a:r>
                <a:r>
                  <a:rPr lang="en-US"/>
                  <a:t> </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7644464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176503166461994"/>
          <c:y val="3.3577533577533576E-2"/>
          <c:w val="0.45539598834549344"/>
          <c:h val="0.84903329391518367"/>
        </c:manualLayout>
      </c:layout>
      <c:barChart>
        <c:barDir val="bar"/>
        <c:grouping val="clustered"/>
        <c:varyColors val="0"/>
        <c:ser>
          <c:idx val="0"/>
          <c:order val="0"/>
          <c:spPr>
            <a:solidFill>
              <a:srgbClr val="B44946"/>
            </a:solidFill>
            <a:ln>
              <a:noFill/>
            </a:ln>
            <a:effectLst/>
          </c:spPr>
          <c:invertIfNegative val="0"/>
          <c:dPt>
            <c:idx val="13"/>
            <c:invertIfNegative val="0"/>
            <c:bubble3D val="0"/>
            <c:spPr>
              <a:solidFill>
                <a:srgbClr val="632827"/>
              </a:solidFill>
              <a:ln>
                <a:noFill/>
              </a:ln>
              <a:effectLst/>
            </c:spPr>
            <c:extLst>
              <c:ext xmlns:c16="http://schemas.microsoft.com/office/drawing/2014/chart" uri="{C3380CC4-5D6E-409C-BE32-E72D297353CC}">
                <c16:uniqueId val="{00000001-CAAA-4170-BA18-AAE35A0E0237}"/>
              </c:ext>
            </c:extLst>
          </c:dPt>
          <c:cat>
            <c:strRef>
              <c:f>'G5.2'!$J$8:$J$27</c:f>
              <c:strCache>
                <c:ptCount val="20"/>
                <c:pt idx="0">
                  <c:v>K – Peněžnictví a pojišťovnictví</c:v>
                </c:pt>
                <c:pt idx="1">
                  <c:v>J – Informační a komunikační činnosti</c:v>
                </c:pt>
                <c:pt idx="2">
                  <c:v>M – Profesní, vědecké a technické činnosti</c:v>
                </c:pt>
                <c:pt idx="3">
                  <c:v>S – Ostatní činnosti</c:v>
                </c:pt>
                <c:pt idx="4">
                  <c:v>L – Činnosti v oblasti nemovitostí</c:v>
                </c:pt>
                <c:pt idx="5">
                  <c:v>D – Výroba a rozvod elektřiny, plynu, tepla a klimatiz. vzduchu</c:v>
                </c:pt>
                <c:pt idx="6">
                  <c:v>P – Vzdělávání</c:v>
                </c:pt>
                <c:pt idx="7">
                  <c:v>O – Veřejná správa a obrana; povinné sociální zabezpečení</c:v>
                </c:pt>
                <c:pt idx="8">
                  <c:v>R – Kulturní, zábavní a rekreační činnosti</c:v>
                </c:pt>
                <c:pt idx="9">
                  <c:v>I – Ubytování, stravování a pohostinství</c:v>
                </c:pt>
                <c:pt idx="10">
                  <c:v>Q – Zdravotní a sociální péče</c:v>
                </c:pt>
                <c:pt idx="11">
                  <c:v>N – Administrativní a podpůrné činnosti</c:v>
                </c:pt>
                <c:pt idx="12">
                  <c:v>G – Velkoobchod a maloobchod; opravy a údržba motor. vozidel</c:v>
                </c:pt>
                <c:pt idx="13">
                  <c:v>CELKEM</c:v>
                </c:pt>
                <c:pt idx="14">
                  <c:v>F – Stavebnictví</c:v>
                </c:pt>
                <c:pt idx="15">
                  <c:v>C – Zpracovatelský průmysl</c:v>
                </c:pt>
                <c:pt idx="16">
                  <c:v>H – Doprava a skladování</c:v>
                </c:pt>
                <c:pt idx="17">
                  <c:v>B – Těžba a dobývání</c:v>
                </c:pt>
                <c:pt idx="18">
                  <c:v>E – Zásobování vodou; činnosti související s odpady a sanacemi</c:v>
                </c:pt>
                <c:pt idx="19">
                  <c:v>A – Zemědělství, lesnictví, rybářství</c:v>
                </c:pt>
              </c:strCache>
            </c:strRef>
          </c:cat>
          <c:val>
            <c:numRef>
              <c:f>'G5.2'!$K$8:$K$27</c:f>
              <c:numCache>
                <c:formatCode>General</c:formatCode>
                <c:ptCount val="20"/>
                <c:pt idx="0">
                  <c:v>83.350393294424009</c:v>
                </c:pt>
                <c:pt idx="1">
                  <c:v>89.55685368551336</c:v>
                </c:pt>
                <c:pt idx="2">
                  <c:v>174.19951167156631</c:v>
                </c:pt>
                <c:pt idx="3">
                  <c:v>283.55393491513007</c:v>
                </c:pt>
                <c:pt idx="4">
                  <c:v>314.36072369733995</c:v>
                </c:pt>
                <c:pt idx="5">
                  <c:v>357.28685465621754</c:v>
                </c:pt>
                <c:pt idx="6">
                  <c:v>455.62659500798156</c:v>
                </c:pt>
                <c:pt idx="7">
                  <c:v>463.62602736022507</c:v>
                </c:pt>
                <c:pt idx="8">
                  <c:v>565.52212458003021</c:v>
                </c:pt>
                <c:pt idx="9">
                  <c:v>681.65364139011183</c:v>
                </c:pt>
                <c:pt idx="10">
                  <c:v>710.60331446918326</c:v>
                </c:pt>
                <c:pt idx="11">
                  <c:v>783.82633593916034</c:v>
                </c:pt>
                <c:pt idx="12">
                  <c:v>807.12664941055903</c:v>
                </c:pt>
                <c:pt idx="13">
                  <c:v>891.57087890706123</c:v>
                </c:pt>
                <c:pt idx="14">
                  <c:v>1207.6595076158151</c:v>
                </c:pt>
                <c:pt idx="15">
                  <c:v>1328.6937167879034</c:v>
                </c:pt>
                <c:pt idx="16">
                  <c:v>1402.3433583770941</c:v>
                </c:pt>
                <c:pt idx="17">
                  <c:v>1778.7447956408021</c:v>
                </c:pt>
                <c:pt idx="18">
                  <c:v>1965.7704265520968</c:v>
                </c:pt>
                <c:pt idx="19">
                  <c:v>2270.4629229467168</c:v>
                </c:pt>
              </c:numCache>
            </c:numRef>
          </c:val>
          <c:extLst>
            <c:ext xmlns:c16="http://schemas.microsoft.com/office/drawing/2014/chart" uri="{C3380CC4-5D6E-409C-BE32-E72D297353CC}">
              <c16:uniqueId val="{00000002-CAAA-4170-BA18-AAE35A0E0237}"/>
            </c:ext>
          </c:extLst>
        </c:ser>
        <c:dLbls>
          <c:showLegendKey val="0"/>
          <c:showVal val="0"/>
          <c:showCatName val="0"/>
          <c:showSerName val="0"/>
          <c:showPercent val="0"/>
          <c:showBubbleSize val="0"/>
        </c:dLbls>
        <c:gapWidth val="182"/>
        <c:axId val="759560607"/>
        <c:axId val="759561023"/>
      </c:barChart>
      <c:catAx>
        <c:axId val="7595606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759561023"/>
        <c:crosses val="autoZero"/>
        <c:auto val="1"/>
        <c:lblAlgn val="ctr"/>
        <c:lblOffset val="100"/>
        <c:noMultiLvlLbl val="0"/>
      </c:catAx>
      <c:valAx>
        <c:axId val="759561023"/>
        <c:scaling>
          <c:orientation val="minMax"/>
          <c:max val="25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počet pří</a:t>
                </a:r>
                <a:r>
                  <a:rPr lang="cs-CZ"/>
                  <a:t>padů na 100 tis. pojištěnců</a:t>
                </a:r>
                <a:endParaRPr lang="en-US"/>
              </a:p>
            </c:rich>
          </c:tx>
          <c:layout>
            <c:manualLayout>
              <c:xMode val="edge"/>
              <c:yMode val="edge"/>
              <c:x val="0.67379939209726447"/>
              <c:y val="0.9410860006135595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7595606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'G1.1'!$A$29</c:f>
              <c:strCache>
                <c:ptCount val="1"/>
                <c:pt idx="0">
                  <c:v>500 a více zaměstnanců</c:v>
                </c:pt>
              </c:strCache>
            </c:strRef>
          </c:tx>
          <c:spPr>
            <a:solidFill>
              <a:srgbClr val="F5DADD"/>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'G1.1'!$B$28:$D$28</c:f>
              <c:numCache>
                <c:formatCode>General</c:formatCode>
                <c:ptCount val="3"/>
                <c:pt idx="0">
                  <c:v>2013</c:v>
                </c:pt>
                <c:pt idx="1">
                  <c:v>2018</c:v>
                </c:pt>
                <c:pt idx="2">
                  <c:v>2023</c:v>
                </c:pt>
              </c:numCache>
            </c:numRef>
          </c:cat>
          <c:val>
            <c:numRef>
              <c:f>'G1.1'!$B$29:$D$29</c:f>
              <c:numCache>
                <c:formatCode>#\ ##0.0</c:formatCode>
                <c:ptCount val="3"/>
                <c:pt idx="0">
                  <c:v>1412.279</c:v>
                </c:pt>
                <c:pt idx="1">
                  <c:v>1578.8161769000001</c:v>
                </c:pt>
                <c:pt idx="2">
                  <c:v>1529.8687396</c:v>
                </c:pt>
              </c:numCache>
            </c:numRef>
          </c:val>
          <c:extLst>
            <c:ext xmlns:c16="http://schemas.microsoft.com/office/drawing/2014/chart" uri="{C3380CC4-5D6E-409C-BE32-E72D297353CC}">
              <c16:uniqueId val="{00000000-2A7D-42DF-A8E7-9F5FB1246374}"/>
            </c:ext>
          </c:extLst>
        </c:ser>
        <c:ser>
          <c:idx val="1"/>
          <c:order val="1"/>
          <c:tx>
            <c:strRef>
              <c:f>'G1.1'!$A$30</c:f>
              <c:strCache>
                <c:ptCount val="1"/>
                <c:pt idx="0">
                  <c:v>250–499 zaměstnanců</c:v>
                </c:pt>
              </c:strCache>
            </c:strRef>
          </c:tx>
          <c:spPr>
            <a:solidFill>
              <a:srgbClr val="F59D9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'G1.1'!$B$28:$D$28</c:f>
              <c:numCache>
                <c:formatCode>General</c:formatCode>
                <c:ptCount val="3"/>
                <c:pt idx="0">
                  <c:v>2013</c:v>
                </c:pt>
                <c:pt idx="1">
                  <c:v>2018</c:v>
                </c:pt>
                <c:pt idx="2">
                  <c:v>2023</c:v>
                </c:pt>
              </c:numCache>
            </c:numRef>
          </c:cat>
          <c:val>
            <c:numRef>
              <c:f>'G1.1'!$B$30:$D$30</c:f>
              <c:numCache>
                <c:formatCode>#\ ##0.0</c:formatCode>
                <c:ptCount val="3"/>
                <c:pt idx="0">
                  <c:v>408.959</c:v>
                </c:pt>
                <c:pt idx="1">
                  <c:v>458.80980999999997</c:v>
                </c:pt>
                <c:pt idx="2">
                  <c:v>450.49939919999997</c:v>
                </c:pt>
              </c:numCache>
            </c:numRef>
          </c:val>
          <c:extLst>
            <c:ext xmlns:c16="http://schemas.microsoft.com/office/drawing/2014/chart" uri="{C3380CC4-5D6E-409C-BE32-E72D297353CC}">
              <c16:uniqueId val="{00000001-2A7D-42DF-A8E7-9F5FB1246374}"/>
            </c:ext>
          </c:extLst>
        </c:ser>
        <c:ser>
          <c:idx val="2"/>
          <c:order val="2"/>
          <c:tx>
            <c:strRef>
              <c:f>'G1.1'!$A$31</c:f>
              <c:strCache>
                <c:ptCount val="1"/>
                <c:pt idx="0">
                  <c:v> 50–249 zaměstnanců</c:v>
                </c:pt>
              </c:strCache>
            </c:strRef>
          </c:tx>
          <c:spPr>
            <a:solidFill>
              <a:srgbClr val="C3696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'G1.1'!$B$28:$D$28</c:f>
              <c:numCache>
                <c:formatCode>General</c:formatCode>
                <c:ptCount val="3"/>
                <c:pt idx="0">
                  <c:v>2013</c:v>
                </c:pt>
                <c:pt idx="1">
                  <c:v>2018</c:v>
                </c:pt>
                <c:pt idx="2">
                  <c:v>2023</c:v>
                </c:pt>
              </c:numCache>
            </c:numRef>
          </c:cat>
          <c:val>
            <c:numRef>
              <c:f>'G1.1'!$B$31:$D$31</c:f>
              <c:numCache>
                <c:formatCode>#\ ##0.0</c:formatCode>
                <c:ptCount val="3"/>
                <c:pt idx="0">
                  <c:v>1040.1120000000001</c:v>
                </c:pt>
                <c:pt idx="1">
                  <c:v>1105.9808911999999</c:v>
                </c:pt>
                <c:pt idx="2">
                  <c:v>1176.6345348</c:v>
                </c:pt>
              </c:numCache>
            </c:numRef>
          </c:val>
          <c:extLst>
            <c:ext xmlns:c16="http://schemas.microsoft.com/office/drawing/2014/chart" uri="{C3380CC4-5D6E-409C-BE32-E72D297353CC}">
              <c16:uniqueId val="{00000002-2A7D-42DF-A8E7-9F5FB1246374}"/>
            </c:ext>
          </c:extLst>
        </c:ser>
        <c:ser>
          <c:idx val="3"/>
          <c:order val="3"/>
          <c:tx>
            <c:strRef>
              <c:f>'G1.1'!$A$32</c:f>
              <c:strCache>
                <c:ptCount val="1"/>
                <c:pt idx="0">
                  <c:v> 1–49 zaměstnanců</c:v>
                </c:pt>
              </c:strCache>
            </c:strRef>
          </c:tx>
          <c:spPr>
            <a:solidFill>
              <a:srgbClr val="9A403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'G1.1'!$B$28:$D$28</c:f>
              <c:numCache>
                <c:formatCode>General</c:formatCode>
                <c:ptCount val="3"/>
                <c:pt idx="0">
                  <c:v>2013</c:v>
                </c:pt>
                <c:pt idx="1">
                  <c:v>2018</c:v>
                </c:pt>
                <c:pt idx="2">
                  <c:v>2023</c:v>
                </c:pt>
              </c:numCache>
            </c:numRef>
          </c:cat>
          <c:val>
            <c:numRef>
              <c:f>'G1.1'!$B$32:$D$32</c:f>
              <c:numCache>
                <c:formatCode>#\ ##0.0</c:formatCode>
                <c:ptCount val="3"/>
                <c:pt idx="0">
                  <c:v>1469.807</c:v>
                </c:pt>
                <c:pt idx="1">
                  <c:v>1497.8521068</c:v>
                </c:pt>
                <c:pt idx="2">
                  <c:v>1510.9405615999999</c:v>
                </c:pt>
              </c:numCache>
            </c:numRef>
          </c:val>
          <c:extLst>
            <c:ext xmlns:c16="http://schemas.microsoft.com/office/drawing/2014/chart" uri="{C3380CC4-5D6E-409C-BE32-E72D297353CC}">
              <c16:uniqueId val="{00000003-2A7D-42DF-A8E7-9F5FB1246374}"/>
            </c:ext>
          </c:extLst>
        </c:ser>
        <c:ser>
          <c:idx val="4"/>
          <c:order val="4"/>
          <c:tx>
            <c:strRef>
              <c:f>'G1.1'!$A$33</c:f>
              <c:strCache>
                <c:ptCount val="1"/>
                <c:pt idx="0">
                  <c:v> OSVČ</c:v>
                </c:pt>
              </c:strCache>
            </c:strRef>
          </c:tx>
          <c:spPr>
            <a:solidFill>
              <a:srgbClr val="4E201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'G1.1'!$B$28:$D$28</c:f>
              <c:numCache>
                <c:formatCode>General</c:formatCode>
                <c:ptCount val="3"/>
                <c:pt idx="0">
                  <c:v>2013</c:v>
                </c:pt>
                <c:pt idx="1">
                  <c:v>2018</c:v>
                </c:pt>
                <c:pt idx="2">
                  <c:v>2023</c:v>
                </c:pt>
              </c:numCache>
            </c:numRef>
          </c:cat>
          <c:val>
            <c:numRef>
              <c:f>'G1.1'!$B$33:$D$33</c:f>
              <c:numCache>
                <c:formatCode>#\ ##0.0</c:formatCode>
                <c:ptCount val="3"/>
                <c:pt idx="0">
                  <c:v>109.169</c:v>
                </c:pt>
                <c:pt idx="1">
                  <c:v>91.278283200000004</c:v>
                </c:pt>
                <c:pt idx="2">
                  <c:v>98.923988200000011</c:v>
                </c:pt>
              </c:numCache>
            </c:numRef>
          </c:val>
          <c:extLst>
            <c:ext xmlns:c16="http://schemas.microsoft.com/office/drawing/2014/chart" uri="{C3380CC4-5D6E-409C-BE32-E72D297353CC}">
              <c16:uniqueId val="{00000004-2A7D-42DF-A8E7-9F5FB1246374}"/>
            </c:ext>
          </c:extLst>
        </c:ser>
        <c:dLbls>
          <c:showLegendKey val="0"/>
          <c:showVal val="0"/>
          <c:showCatName val="0"/>
          <c:showSerName val="0"/>
          <c:showPercent val="0"/>
          <c:showBubbleSize val="0"/>
        </c:dLbls>
        <c:gapWidth val="73"/>
        <c:overlap val="100"/>
        <c:axId val="972192847"/>
        <c:axId val="972193263"/>
      </c:barChart>
      <c:catAx>
        <c:axId val="972192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972193263"/>
        <c:crosses val="autoZero"/>
        <c:auto val="1"/>
        <c:lblAlgn val="ctr"/>
        <c:lblOffset val="100"/>
        <c:noMultiLvlLbl val="0"/>
      </c:catAx>
      <c:valAx>
        <c:axId val="972193263"/>
        <c:scaling>
          <c:orientation val="minMax"/>
          <c:max val="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a:t>tisíce</a:t>
                </a:r>
              </a:p>
            </c:rich>
          </c:tx>
          <c:layout>
            <c:manualLayout>
              <c:xMode val="edge"/>
              <c:yMode val="edge"/>
              <c:x val="1.3888888888888888E-2"/>
              <c:y val="0.351998396033829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9721928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B44946"/>
            </a:solidFill>
            <a:ln>
              <a:noFill/>
            </a:ln>
            <a:effectLst/>
          </c:spPr>
          <c:invertIfNegative val="0"/>
          <c:dPt>
            <c:idx val="6"/>
            <c:invertIfNegative val="0"/>
            <c:bubble3D val="0"/>
            <c:spPr>
              <a:solidFill>
                <a:srgbClr val="B44946"/>
              </a:solidFill>
              <a:ln>
                <a:noFill/>
              </a:ln>
              <a:effectLst/>
            </c:spPr>
            <c:extLst>
              <c:ext xmlns:c16="http://schemas.microsoft.com/office/drawing/2014/chart" uri="{C3380CC4-5D6E-409C-BE32-E72D297353CC}">
                <c16:uniqueId val="{00000001-CD19-46E1-ABF2-F7CDE50808DC}"/>
              </c:ext>
            </c:extLst>
          </c:dPt>
          <c:dPt>
            <c:idx val="7"/>
            <c:invertIfNegative val="0"/>
            <c:bubble3D val="0"/>
            <c:spPr>
              <a:solidFill>
                <a:srgbClr val="B44946"/>
              </a:solidFill>
              <a:ln>
                <a:noFill/>
              </a:ln>
              <a:effectLst/>
            </c:spPr>
            <c:extLst>
              <c:ext xmlns:c16="http://schemas.microsoft.com/office/drawing/2014/chart" uri="{C3380CC4-5D6E-409C-BE32-E72D297353CC}">
                <c16:uniqueId val="{00000003-CD19-46E1-ABF2-F7CDE50808DC}"/>
              </c:ext>
            </c:extLst>
          </c:dPt>
          <c:dPt>
            <c:idx val="8"/>
            <c:invertIfNegative val="0"/>
            <c:bubble3D val="0"/>
            <c:spPr>
              <a:solidFill>
                <a:srgbClr val="B44946"/>
              </a:solidFill>
              <a:ln>
                <a:noFill/>
              </a:ln>
              <a:effectLst/>
            </c:spPr>
            <c:extLst>
              <c:ext xmlns:c16="http://schemas.microsoft.com/office/drawing/2014/chart" uri="{C3380CC4-5D6E-409C-BE32-E72D297353CC}">
                <c16:uniqueId val="{00000005-CD19-46E1-ABF2-F7CDE50808DC}"/>
              </c:ext>
            </c:extLst>
          </c:dPt>
          <c:dPt>
            <c:idx val="10"/>
            <c:invertIfNegative val="0"/>
            <c:bubble3D val="0"/>
            <c:spPr>
              <a:solidFill>
                <a:srgbClr val="B44946"/>
              </a:solidFill>
              <a:ln>
                <a:noFill/>
              </a:ln>
              <a:effectLst/>
            </c:spPr>
            <c:extLst>
              <c:ext xmlns:c16="http://schemas.microsoft.com/office/drawing/2014/chart" uri="{C3380CC4-5D6E-409C-BE32-E72D297353CC}">
                <c16:uniqueId val="{00000007-CD19-46E1-ABF2-F7CDE50808DC}"/>
              </c:ext>
            </c:extLst>
          </c:dPt>
          <c:dPt>
            <c:idx val="11"/>
            <c:invertIfNegative val="0"/>
            <c:bubble3D val="0"/>
            <c:spPr>
              <a:solidFill>
                <a:srgbClr val="632827"/>
              </a:solidFill>
              <a:ln>
                <a:noFill/>
              </a:ln>
              <a:effectLst/>
            </c:spPr>
            <c:extLst>
              <c:ext xmlns:c16="http://schemas.microsoft.com/office/drawing/2014/chart" uri="{C3380CC4-5D6E-409C-BE32-E72D297353CC}">
                <c16:uniqueId val="{00000009-CD19-46E1-ABF2-F7CDE50808DC}"/>
              </c:ext>
            </c:extLst>
          </c:dPt>
          <c:dPt>
            <c:idx val="12"/>
            <c:invertIfNegative val="0"/>
            <c:bubble3D val="0"/>
            <c:spPr>
              <a:solidFill>
                <a:srgbClr val="B44946"/>
              </a:solidFill>
              <a:ln>
                <a:noFill/>
              </a:ln>
              <a:effectLst/>
            </c:spPr>
            <c:extLst>
              <c:ext xmlns:c16="http://schemas.microsoft.com/office/drawing/2014/chart" uri="{C3380CC4-5D6E-409C-BE32-E72D297353CC}">
                <c16:uniqueId val="{0000000B-CD19-46E1-ABF2-F7CDE50808DC}"/>
              </c:ext>
            </c:extLst>
          </c:dPt>
          <c:dPt>
            <c:idx val="16"/>
            <c:invertIfNegative val="0"/>
            <c:bubble3D val="0"/>
            <c:spPr>
              <a:solidFill>
                <a:srgbClr val="B44946"/>
              </a:solidFill>
              <a:ln>
                <a:noFill/>
              </a:ln>
              <a:effectLst/>
            </c:spPr>
            <c:extLst>
              <c:ext xmlns:c16="http://schemas.microsoft.com/office/drawing/2014/chart" uri="{C3380CC4-5D6E-409C-BE32-E72D297353CC}">
                <c16:uniqueId val="{0000000D-CD19-46E1-ABF2-F7CDE50808DC}"/>
              </c:ext>
            </c:extLst>
          </c:dPt>
          <c:dPt>
            <c:idx val="19"/>
            <c:invertIfNegative val="0"/>
            <c:bubble3D val="0"/>
            <c:spPr>
              <a:solidFill>
                <a:srgbClr val="632827"/>
              </a:solidFill>
              <a:ln>
                <a:noFill/>
              </a:ln>
              <a:effectLst/>
            </c:spPr>
            <c:extLst>
              <c:ext xmlns:c16="http://schemas.microsoft.com/office/drawing/2014/chart" uri="{C3380CC4-5D6E-409C-BE32-E72D297353CC}">
                <c16:uniqueId val="{0000000F-CD19-46E1-ABF2-F7CDE50808DC}"/>
              </c:ext>
            </c:extLst>
          </c:dPt>
          <c:cat>
            <c:strRef>
              <c:f>'G6.1'!$D$2:$D$29</c:f>
              <c:strCache>
                <c:ptCount val="28"/>
                <c:pt idx="0">
                  <c:v>Rumunsko</c:v>
                </c:pt>
                <c:pt idx="1">
                  <c:v>Bulharsko</c:v>
                </c:pt>
                <c:pt idx="2">
                  <c:v>Řecko</c:v>
                </c:pt>
                <c:pt idx="3">
                  <c:v>Lotyšsko</c:v>
                </c:pt>
                <c:pt idx="4">
                  <c:v>Litva</c:v>
                </c:pt>
                <c:pt idx="5">
                  <c:v>Slovensko</c:v>
                </c:pt>
                <c:pt idx="6">
                  <c:v>Polsko</c:v>
                </c:pt>
                <c:pt idx="7">
                  <c:v>Kypr</c:v>
                </c:pt>
                <c:pt idx="8">
                  <c:v>Maďarsko</c:v>
                </c:pt>
                <c:pt idx="9">
                  <c:v>Chorvatsko</c:v>
                </c:pt>
                <c:pt idx="10">
                  <c:v>Irsko</c:v>
                </c:pt>
                <c:pt idx="11">
                  <c:v>Česko</c:v>
                </c:pt>
                <c:pt idx="12">
                  <c:v>Malta</c:v>
                </c:pt>
                <c:pt idx="13">
                  <c:v>Švédsko</c:v>
                </c:pt>
                <c:pt idx="14">
                  <c:v>Estonsko</c:v>
                </c:pt>
                <c:pt idx="15">
                  <c:v>Nizozemsko</c:v>
                </c:pt>
                <c:pt idx="16">
                  <c:v>Itálie</c:v>
                </c:pt>
                <c:pt idx="17">
                  <c:v>Slovinsko</c:v>
                </c:pt>
                <c:pt idx="18">
                  <c:v>Belgie</c:v>
                </c:pt>
                <c:pt idx="19">
                  <c:v>EU27</c:v>
                </c:pt>
                <c:pt idx="20">
                  <c:v>Rakousko</c:v>
                </c:pt>
                <c:pt idx="21">
                  <c:v>Finsko</c:v>
                </c:pt>
                <c:pt idx="22">
                  <c:v>Německo</c:v>
                </c:pt>
                <c:pt idx="23">
                  <c:v>Lucembursko</c:v>
                </c:pt>
                <c:pt idx="24">
                  <c:v>Dánsko</c:v>
                </c:pt>
                <c:pt idx="25">
                  <c:v>Španělsko</c:v>
                </c:pt>
                <c:pt idx="26">
                  <c:v>Portugalsko</c:v>
                </c:pt>
                <c:pt idx="27">
                  <c:v>Francie</c:v>
                </c:pt>
              </c:strCache>
            </c:strRef>
          </c:cat>
          <c:val>
            <c:numRef>
              <c:f>'G6.1'!$E$2:$E$29</c:f>
              <c:numCache>
                <c:formatCode>#\ ##0.0</c:formatCode>
                <c:ptCount val="28"/>
                <c:pt idx="0">
                  <c:v>51.83</c:v>
                </c:pt>
                <c:pt idx="1">
                  <c:v>80.510000000000005</c:v>
                </c:pt>
                <c:pt idx="2">
                  <c:v>174.25</c:v>
                </c:pt>
                <c:pt idx="3">
                  <c:v>317.38</c:v>
                </c:pt>
                <c:pt idx="4">
                  <c:v>407.59</c:v>
                </c:pt>
                <c:pt idx="5">
                  <c:v>442.84</c:v>
                </c:pt>
                <c:pt idx="6">
                  <c:v>464.36</c:v>
                </c:pt>
                <c:pt idx="7">
                  <c:v>529.82000000000005</c:v>
                </c:pt>
                <c:pt idx="8">
                  <c:v>607.01</c:v>
                </c:pt>
                <c:pt idx="9">
                  <c:v>635.6</c:v>
                </c:pt>
                <c:pt idx="10">
                  <c:v>667.69</c:v>
                </c:pt>
                <c:pt idx="11">
                  <c:v>807.56</c:v>
                </c:pt>
                <c:pt idx="12">
                  <c:v>824.89</c:v>
                </c:pt>
                <c:pt idx="13">
                  <c:v>952.54</c:v>
                </c:pt>
                <c:pt idx="14">
                  <c:v>1085.42</c:v>
                </c:pt>
                <c:pt idx="15">
                  <c:v>1164.9000000000001</c:v>
                </c:pt>
                <c:pt idx="16">
                  <c:v>1244.56</c:v>
                </c:pt>
                <c:pt idx="17">
                  <c:v>1376.4</c:v>
                </c:pt>
                <c:pt idx="18">
                  <c:v>1580.66</c:v>
                </c:pt>
                <c:pt idx="19">
                  <c:v>1623.97</c:v>
                </c:pt>
                <c:pt idx="20">
                  <c:v>1628.74</c:v>
                </c:pt>
                <c:pt idx="21">
                  <c:v>1653.7</c:v>
                </c:pt>
                <c:pt idx="22">
                  <c:v>1858.85</c:v>
                </c:pt>
                <c:pt idx="23">
                  <c:v>1901.98</c:v>
                </c:pt>
                <c:pt idx="24">
                  <c:v>2070.06</c:v>
                </c:pt>
                <c:pt idx="25">
                  <c:v>2656.73</c:v>
                </c:pt>
                <c:pt idx="26">
                  <c:v>3038.9</c:v>
                </c:pt>
                <c:pt idx="27">
                  <c:v>3364.26</c:v>
                </c:pt>
              </c:numCache>
            </c:numRef>
          </c:val>
          <c:extLst>
            <c:ext xmlns:c16="http://schemas.microsoft.com/office/drawing/2014/chart" uri="{C3380CC4-5D6E-409C-BE32-E72D297353CC}">
              <c16:uniqueId val="{00000010-CD19-46E1-ABF2-F7CDE50808DC}"/>
            </c:ext>
          </c:extLst>
        </c:ser>
        <c:dLbls>
          <c:showLegendKey val="0"/>
          <c:showVal val="0"/>
          <c:showCatName val="0"/>
          <c:showSerName val="0"/>
          <c:showPercent val="0"/>
          <c:showBubbleSize val="0"/>
        </c:dLbls>
        <c:gapWidth val="182"/>
        <c:axId val="876653215"/>
        <c:axId val="876650303"/>
      </c:barChart>
      <c:catAx>
        <c:axId val="8766532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876650303"/>
        <c:crosses val="autoZero"/>
        <c:auto val="1"/>
        <c:lblAlgn val="ctr"/>
        <c:lblOffset val="100"/>
        <c:noMultiLvlLbl val="0"/>
      </c:catAx>
      <c:valAx>
        <c:axId val="876650303"/>
        <c:scaling>
          <c:orientation val="minMax"/>
          <c:max val="35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počet případů</a:t>
                </a:r>
                <a:r>
                  <a:rPr lang="cs-CZ"/>
                  <a:t> na</a:t>
                </a:r>
                <a:r>
                  <a:rPr lang="cs-CZ" baseline="0"/>
                  <a:t> 100 tis. zaměstnaných osob</a:t>
                </a:r>
                <a:r>
                  <a:rPr lang="en-US"/>
                  <a:t> </a:t>
                </a:r>
              </a:p>
            </c:rich>
          </c:tx>
          <c:layout>
            <c:manualLayout>
              <c:xMode val="edge"/>
              <c:yMode val="edge"/>
              <c:x val="0.47844986589791028"/>
              <c:y val="0.9544839540460819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8766532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B44946"/>
            </a:solidFill>
            <a:ln>
              <a:noFill/>
            </a:ln>
            <a:effectLst/>
          </c:spPr>
          <c:invertIfNegative val="0"/>
          <c:dPt>
            <c:idx val="4"/>
            <c:invertIfNegative val="0"/>
            <c:bubble3D val="0"/>
            <c:spPr>
              <a:solidFill>
                <a:srgbClr val="B44946"/>
              </a:solidFill>
              <a:ln>
                <a:noFill/>
              </a:ln>
              <a:effectLst/>
            </c:spPr>
            <c:extLst>
              <c:ext xmlns:c16="http://schemas.microsoft.com/office/drawing/2014/chart" uri="{C3380CC4-5D6E-409C-BE32-E72D297353CC}">
                <c16:uniqueId val="{00000001-44F1-4BF9-85E1-0F9E54D05401}"/>
              </c:ext>
            </c:extLst>
          </c:dPt>
          <c:dPt>
            <c:idx val="6"/>
            <c:invertIfNegative val="0"/>
            <c:bubble3D val="0"/>
            <c:spPr>
              <a:solidFill>
                <a:srgbClr val="B44946"/>
              </a:solidFill>
              <a:ln>
                <a:noFill/>
              </a:ln>
              <a:effectLst/>
            </c:spPr>
            <c:extLst>
              <c:ext xmlns:c16="http://schemas.microsoft.com/office/drawing/2014/chart" uri="{C3380CC4-5D6E-409C-BE32-E72D297353CC}">
                <c16:uniqueId val="{00000003-44F1-4BF9-85E1-0F9E54D05401}"/>
              </c:ext>
            </c:extLst>
          </c:dPt>
          <c:dPt>
            <c:idx val="8"/>
            <c:invertIfNegative val="0"/>
            <c:bubble3D val="0"/>
            <c:spPr>
              <a:solidFill>
                <a:srgbClr val="632827"/>
              </a:solidFill>
              <a:ln>
                <a:noFill/>
              </a:ln>
              <a:effectLst/>
            </c:spPr>
            <c:extLst>
              <c:ext xmlns:c16="http://schemas.microsoft.com/office/drawing/2014/chart" uri="{C3380CC4-5D6E-409C-BE32-E72D297353CC}">
                <c16:uniqueId val="{00000005-44F1-4BF9-85E1-0F9E54D05401}"/>
              </c:ext>
            </c:extLst>
          </c:dPt>
          <c:dPt>
            <c:idx val="9"/>
            <c:invertIfNegative val="0"/>
            <c:bubble3D val="0"/>
            <c:spPr>
              <a:solidFill>
                <a:srgbClr val="B44946"/>
              </a:solidFill>
              <a:ln>
                <a:noFill/>
              </a:ln>
              <a:effectLst/>
            </c:spPr>
            <c:extLst>
              <c:ext xmlns:c16="http://schemas.microsoft.com/office/drawing/2014/chart" uri="{C3380CC4-5D6E-409C-BE32-E72D297353CC}">
                <c16:uniqueId val="{00000007-44F1-4BF9-85E1-0F9E54D05401}"/>
              </c:ext>
            </c:extLst>
          </c:dPt>
          <c:dPt>
            <c:idx val="13"/>
            <c:invertIfNegative val="0"/>
            <c:bubble3D val="0"/>
            <c:spPr>
              <a:solidFill>
                <a:srgbClr val="632827"/>
              </a:solidFill>
              <a:ln>
                <a:noFill/>
              </a:ln>
              <a:effectLst/>
            </c:spPr>
            <c:extLst>
              <c:ext xmlns:c16="http://schemas.microsoft.com/office/drawing/2014/chart" uri="{C3380CC4-5D6E-409C-BE32-E72D297353CC}">
                <c16:uniqueId val="{00000009-44F1-4BF9-85E1-0F9E54D05401}"/>
              </c:ext>
            </c:extLst>
          </c:dPt>
          <c:dPt>
            <c:idx val="15"/>
            <c:invertIfNegative val="0"/>
            <c:bubble3D val="0"/>
            <c:spPr>
              <a:solidFill>
                <a:srgbClr val="B44946"/>
              </a:solidFill>
              <a:ln>
                <a:noFill/>
              </a:ln>
              <a:effectLst/>
            </c:spPr>
            <c:extLst>
              <c:ext xmlns:c16="http://schemas.microsoft.com/office/drawing/2014/chart" uri="{C3380CC4-5D6E-409C-BE32-E72D297353CC}">
                <c16:uniqueId val="{0000000B-44F1-4BF9-85E1-0F9E54D05401}"/>
              </c:ext>
            </c:extLst>
          </c:dPt>
          <c:dPt>
            <c:idx val="19"/>
            <c:invertIfNegative val="0"/>
            <c:bubble3D val="0"/>
            <c:spPr>
              <a:solidFill>
                <a:srgbClr val="B44946"/>
              </a:solidFill>
              <a:ln>
                <a:noFill/>
              </a:ln>
              <a:effectLst/>
            </c:spPr>
            <c:extLst>
              <c:ext xmlns:c16="http://schemas.microsoft.com/office/drawing/2014/chart" uri="{C3380CC4-5D6E-409C-BE32-E72D297353CC}">
                <c16:uniqueId val="{0000000D-44F1-4BF9-85E1-0F9E54D05401}"/>
              </c:ext>
            </c:extLst>
          </c:dPt>
          <c:dPt>
            <c:idx val="21"/>
            <c:invertIfNegative val="0"/>
            <c:bubble3D val="0"/>
            <c:spPr>
              <a:solidFill>
                <a:srgbClr val="B44946"/>
              </a:solidFill>
              <a:ln>
                <a:noFill/>
              </a:ln>
              <a:effectLst/>
            </c:spPr>
            <c:extLst>
              <c:ext xmlns:c16="http://schemas.microsoft.com/office/drawing/2014/chart" uri="{C3380CC4-5D6E-409C-BE32-E72D297353CC}">
                <c16:uniqueId val="{0000000F-44F1-4BF9-85E1-0F9E54D05401}"/>
              </c:ext>
            </c:extLst>
          </c:dPt>
          <c:cat>
            <c:strRef>
              <c:f>'G6.2'!$D$2:$D$29</c:f>
              <c:strCache>
                <c:ptCount val="28"/>
                <c:pt idx="0">
                  <c:v>Nizozemsko</c:v>
                </c:pt>
                <c:pt idx="1">
                  <c:v>Finsko</c:v>
                </c:pt>
                <c:pt idx="2">
                  <c:v>Německo</c:v>
                </c:pt>
                <c:pt idx="3">
                  <c:v>Řecko</c:v>
                </c:pt>
                <c:pt idx="4">
                  <c:v>Švédsko</c:v>
                </c:pt>
                <c:pt idx="5">
                  <c:v>Polsko</c:v>
                </c:pt>
                <c:pt idx="6">
                  <c:v>Slovinsko</c:v>
                </c:pt>
                <c:pt idx="7">
                  <c:v>Dánsko</c:v>
                </c:pt>
                <c:pt idx="8">
                  <c:v>Česko</c:v>
                </c:pt>
                <c:pt idx="9">
                  <c:v>Irsko</c:v>
                </c:pt>
                <c:pt idx="10">
                  <c:v>Kypr</c:v>
                </c:pt>
                <c:pt idx="11">
                  <c:v>Belgie</c:v>
                </c:pt>
                <c:pt idx="12">
                  <c:v>Slovensko</c:v>
                </c:pt>
                <c:pt idx="13">
                  <c:v>EU27</c:v>
                </c:pt>
                <c:pt idx="14">
                  <c:v>Chorvatsko</c:v>
                </c:pt>
                <c:pt idx="15">
                  <c:v>Maďarsko</c:v>
                </c:pt>
                <c:pt idx="16">
                  <c:v>Španělsko</c:v>
                </c:pt>
                <c:pt idx="17">
                  <c:v>Estonsko</c:v>
                </c:pt>
                <c:pt idx="18">
                  <c:v>Portugalsko</c:v>
                </c:pt>
                <c:pt idx="19">
                  <c:v>Lucembursko</c:v>
                </c:pt>
                <c:pt idx="20">
                  <c:v>Itálie</c:v>
                </c:pt>
                <c:pt idx="21">
                  <c:v>Rakousko</c:v>
                </c:pt>
                <c:pt idx="22">
                  <c:v>Bulharsko</c:v>
                </c:pt>
                <c:pt idx="23">
                  <c:v>Rumunsko</c:v>
                </c:pt>
                <c:pt idx="24">
                  <c:v>Francie</c:v>
                </c:pt>
                <c:pt idx="25">
                  <c:v>Lotyšsko</c:v>
                </c:pt>
                <c:pt idx="26">
                  <c:v>Malta</c:v>
                </c:pt>
                <c:pt idx="27">
                  <c:v>Litva</c:v>
                </c:pt>
              </c:strCache>
            </c:strRef>
          </c:cat>
          <c:val>
            <c:numRef>
              <c:f>'G6.2'!$E$2:$E$29</c:f>
              <c:numCache>
                <c:formatCode>#\ ##0.0</c:formatCode>
                <c:ptCount val="28"/>
                <c:pt idx="0">
                  <c:v>0.43</c:v>
                </c:pt>
                <c:pt idx="1">
                  <c:v>0.96</c:v>
                </c:pt>
                <c:pt idx="2">
                  <c:v>1.08</c:v>
                </c:pt>
                <c:pt idx="3">
                  <c:v>1.1100000000000001</c:v>
                </c:pt>
                <c:pt idx="4">
                  <c:v>1.1200000000000001</c:v>
                </c:pt>
                <c:pt idx="5">
                  <c:v>1.81</c:v>
                </c:pt>
                <c:pt idx="6">
                  <c:v>1.93</c:v>
                </c:pt>
                <c:pt idx="7">
                  <c:v>2.0099999999999998</c:v>
                </c:pt>
                <c:pt idx="8">
                  <c:v>2.02</c:v>
                </c:pt>
                <c:pt idx="9">
                  <c:v>2.06</c:v>
                </c:pt>
                <c:pt idx="10">
                  <c:v>2.09</c:v>
                </c:pt>
                <c:pt idx="11">
                  <c:v>2.13</c:v>
                </c:pt>
                <c:pt idx="12">
                  <c:v>2.13</c:v>
                </c:pt>
                <c:pt idx="13">
                  <c:v>2.23</c:v>
                </c:pt>
                <c:pt idx="14">
                  <c:v>2.39</c:v>
                </c:pt>
                <c:pt idx="15">
                  <c:v>2.4700000000000002</c:v>
                </c:pt>
                <c:pt idx="16">
                  <c:v>2.4900000000000002</c:v>
                </c:pt>
                <c:pt idx="17">
                  <c:v>2.5</c:v>
                </c:pt>
                <c:pt idx="18">
                  <c:v>2.82</c:v>
                </c:pt>
                <c:pt idx="19">
                  <c:v>3.07</c:v>
                </c:pt>
                <c:pt idx="20">
                  <c:v>3.17</c:v>
                </c:pt>
                <c:pt idx="21">
                  <c:v>3.44</c:v>
                </c:pt>
                <c:pt idx="22">
                  <c:v>3.47</c:v>
                </c:pt>
                <c:pt idx="23">
                  <c:v>3.77</c:v>
                </c:pt>
                <c:pt idx="24">
                  <c:v>4.45</c:v>
                </c:pt>
                <c:pt idx="25">
                  <c:v>4.7300000000000004</c:v>
                </c:pt>
                <c:pt idx="26">
                  <c:v>4.9800000000000004</c:v>
                </c:pt>
                <c:pt idx="27">
                  <c:v>5.45</c:v>
                </c:pt>
              </c:numCache>
            </c:numRef>
          </c:val>
          <c:extLst>
            <c:ext xmlns:c16="http://schemas.microsoft.com/office/drawing/2014/chart" uri="{C3380CC4-5D6E-409C-BE32-E72D297353CC}">
              <c16:uniqueId val="{00000010-44F1-4BF9-85E1-0F9E54D05401}"/>
            </c:ext>
          </c:extLst>
        </c:ser>
        <c:dLbls>
          <c:showLegendKey val="0"/>
          <c:showVal val="0"/>
          <c:showCatName val="0"/>
          <c:showSerName val="0"/>
          <c:showPercent val="0"/>
          <c:showBubbleSize val="0"/>
        </c:dLbls>
        <c:gapWidth val="182"/>
        <c:axId val="676317471"/>
        <c:axId val="676319135"/>
      </c:barChart>
      <c:catAx>
        <c:axId val="676317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676319135"/>
        <c:crosses val="autoZero"/>
        <c:auto val="1"/>
        <c:lblAlgn val="ctr"/>
        <c:lblOffset val="100"/>
        <c:noMultiLvlLbl val="0"/>
      </c:catAx>
      <c:valAx>
        <c:axId val="676319135"/>
        <c:scaling>
          <c:orientation val="minMax"/>
          <c:max val="5.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počet případů</a:t>
                </a:r>
                <a:r>
                  <a:rPr lang="cs-CZ"/>
                  <a:t> na 100 tis. zaměstnaných</a:t>
                </a:r>
                <a:r>
                  <a:rPr lang="cs-CZ" baseline="0"/>
                  <a:t> osob</a:t>
                </a:r>
                <a:endParaRPr lang="en-US"/>
              </a:p>
            </c:rich>
          </c:tx>
          <c:layout>
            <c:manualLayout>
              <c:xMode val="edge"/>
              <c:yMode val="edge"/>
              <c:x val="0.48783353491471876"/>
              <c:y val="0.9512516044983427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676317471"/>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006084838067168"/>
          <c:y val="3.5214081196058747E-2"/>
          <c:w val="0.45363709594404039"/>
          <c:h val="0.86283926322160209"/>
        </c:manualLayout>
      </c:layout>
      <c:barChart>
        <c:barDir val="bar"/>
        <c:grouping val="clustered"/>
        <c:varyColors val="0"/>
        <c:ser>
          <c:idx val="1"/>
          <c:order val="0"/>
          <c:tx>
            <c:strRef>
              <c:f>'G1.2'!$T$27</c:f>
              <c:strCache>
                <c:ptCount val="1"/>
                <c:pt idx="0">
                  <c:v> 2013</c:v>
                </c:pt>
              </c:strCache>
            </c:strRef>
          </c:tx>
          <c:spPr>
            <a:solidFill>
              <a:srgbClr val="B44946"/>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3F00-4CD7-94A0-0FD6D4648C60}"/>
                </c:ext>
              </c:extLst>
            </c:dLbl>
            <c:dLbl>
              <c:idx val="1"/>
              <c:delete val="1"/>
              <c:extLst>
                <c:ext xmlns:c15="http://schemas.microsoft.com/office/drawing/2012/chart" uri="{CE6537A1-D6FC-4f65-9D91-7224C49458BB}"/>
                <c:ext xmlns:c16="http://schemas.microsoft.com/office/drawing/2014/chart" uri="{C3380CC4-5D6E-409C-BE32-E72D297353CC}">
                  <c16:uniqueId val="{00000001-3F00-4CD7-94A0-0FD6D4648C60}"/>
                </c:ext>
              </c:extLst>
            </c:dLbl>
            <c:dLbl>
              <c:idx val="2"/>
              <c:layout>
                <c:manualLayout>
                  <c:x val="-4.220991443866126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F00-4CD7-94A0-0FD6D4648C60}"/>
                </c:ext>
              </c:extLst>
            </c:dLbl>
            <c:dLbl>
              <c:idx val="11"/>
              <c:layout>
                <c:manualLayout>
                  <c:x val="-4.71222029449709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F00-4CD7-94A0-0FD6D4648C60}"/>
                </c:ext>
              </c:extLst>
            </c:dLbl>
            <c:dLbl>
              <c:idx val="18"/>
              <c:layout>
                <c:manualLayout>
                  <c:x val="-0.11258092738407699"/>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F00-4CD7-94A0-0FD6D4648C6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'G1.2'!$R$28:$R$46</c:f>
              <c:strCache>
                <c:ptCount val="19"/>
                <c:pt idx="0">
                  <c:v>B – Těžba a dobývání</c:v>
                </c:pt>
                <c:pt idx="1">
                  <c:v>D – Výroba a rozvod elektřiny, plynu, tepla a klimatiz. vzduchu</c:v>
                </c:pt>
                <c:pt idx="2">
                  <c:v>E – Zásobování vodou; činnosti související s odpady a sanacemi</c:v>
                </c:pt>
                <c:pt idx="3">
                  <c:v>S – Ostatní činnosti</c:v>
                </c:pt>
                <c:pt idx="4">
                  <c:v>R – Kulturní, zábavní a rekreační činnosti</c:v>
                </c:pt>
                <c:pt idx="5">
                  <c:v>L – Činnosti v oblasti nemovitostí</c:v>
                </c:pt>
                <c:pt idx="6">
                  <c:v>K – Peněžnictví a pojišťovnictví</c:v>
                </c:pt>
                <c:pt idx="7">
                  <c:v>A – Zemědělství, lesnictví, rybářství</c:v>
                </c:pt>
                <c:pt idx="8">
                  <c:v>I – Ubytování, stravování a pohostinství</c:v>
                </c:pt>
                <c:pt idx="9">
                  <c:v>J – Informační a komunikační činnosti</c:v>
                </c:pt>
                <c:pt idx="10">
                  <c:v>M – Profesní, vědecké a technické činnosti</c:v>
                </c:pt>
                <c:pt idx="11">
                  <c:v>F – Stavebnictví</c:v>
                </c:pt>
                <c:pt idx="12">
                  <c:v>N – Administrativní a podpůrné činnosti</c:v>
                </c:pt>
                <c:pt idx="13">
                  <c:v>O – Veřejná správa a obrana; povinné sociální zabezpečení</c:v>
                </c:pt>
                <c:pt idx="14">
                  <c:v>H – Doprava a skladování</c:v>
                </c:pt>
                <c:pt idx="15">
                  <c:v>P – Vzdělávání</c:v>
                </c:pt>
                <c:pt idx="16">
                  <c:v>Q – Zdravotní a sociální péče</c:v>
                </c:pt>
                <c:pt idx="17">
                  <c:v>G – Velkoobchod a maloobchod; opravy a údržba motor. vozidel</c:v>
                </c:pt>
                <c:pt idx="18">
                  <c:v>C – Zpracovatelský průmysl</c:v>
                </c:pt>
              </c:strCache>
            </c:strRef>
          </c:cat>
          <c:val>
            <c:numRef>
              <c:f>'G1.2'!$T$28:$T$46</c:f>
              <c:numCache>
                <c:formatCode>#,##0</c:formatCode>
                <c:ptCount val="19"/>
                <c:pt idx="0">
                  <c:v>33.786000000000001</c:v>
                </c:pt>
                <c:pt idx="1">
                  <c:v>32.581000000000003</c:v>
                </c:pt>
                <c:pt idx="2">
                  <c:v>56.987000000000002</c:v>
                </c:pt>
                <c:pt idx="3">
                  <c:v>64.037000000000006</c:v>
                </c:pt>
                <c:pt idx="4">
                  <c:v>64.251000000000005</c:v>
                </c:pt>
                <c:pt idx="5">
                  <c:v>75.414000000000001</c:v>
                </c:pt>
                <c:pt idx="6">
                  <c:v>93.201999999999998</c:v>
                </c:pt>
                <c:pt idx="7">
                  <c:v>113.919</c:v>
                </c:pt>
                <c:pt idx="8">
                  <c:v>138.36500000000001</c:v>
                </c:pt>
                <c:pt idx="9">
                  <c:v>115.889</c:v>
                </c:pt>
                <c:pt idx="10">
                  <c:v>198.01599999999999</c:v>
                </c:pt>
                <c:pt idx="11">
                  <c:v>251.22</c:v>
                </c:pt>
                <c:pt idx="12">
                  <c:v>238.01400000000001</c:v>
                </c:pt>
                <c:pt idx="13">
                  <c:v>252.04300000000001</c:v>
                </c:pt>
                <c:pt idx="14">
                  <c:v>276.34699999999998</c:v>
                </c:pt>
                <c:pt idx="15">
                  <c:v>336.14600000000002</c:v>
                </c:pt>
                <c:pt idx="16">
                  <c:v>330.37400000000002</c:v>
                </c:pt>
                <c:pt idx="17">
                  <c:v>602.37099999999998</c:v>
                </c:pt>
                <c:pt idx="18">
                  <c:v>1144.4780000000001</c:v>
                </c:pt>
              </c:numCache>
            </c:numRef>
          </c:val>
          <c:extLst>
            <c:ext xmlns:c16="http://schemas.microsoft.com/office/drawing/2014/chart" uri="{C3380CC4-5D6E-409C-BE32-E72D297353CC}">
              <c16:uniqueId val="{00000005-3F00-4CD7-94A0-0FD6D4648C60}"/>
            </c:ext>
          </c:extLst>
        </c:ser>
        <c:ser>
          <c:idx val="0"/>
          <c:order val="1"/>
          <c:tx>
            <c:strRef>
              <c:f>'G1.2'!$S$27</c:f>
              <c:strCache>
                <c:ptCount val="1"/>
                <c:pt idx="0">
                  <c:v> 2023</c:v>
                </c:pt>
              </c:strCache>
            </c:strRef>
          </c:tx>
          <c:spPr>
            <a:solidFill>
              <a:srgbClr val="632827"/>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3F00-4CD7-94A0-0FD6D4648C60}"/>
                </c:ext>
              </c:extLst>
            </c:dLbl>
            <c:dLbl>
              <c:idx val="1"/>
              <c:delete val="1"/>
              <c:extLst>
                <c:ext xmlns:c15="http://schemas.microsoft.com/office/drawing/2012/chart" uri="{CE6537A1-D6FC-4f65-9D91-7224C49458BB}"/>
                <c:ext xmlns:c16="http://schemas.microsoft.com/office/drawing/2014/chart" uri="{C3380CC4-5D6E-409C-BE32-E72D297353CC}">
                  <c16:uniqueId val="{00000007-3F00-4CD7-94A0-0FD6D4648C60}"/>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'G1.2'!$R$28:$R$46</c:f>
              <c:strCache>
                <c:ptCount val="19"/>
                <c:pt idx="0">
                  <c:v>B – Těžba a dobývání</c:v>
                </c:pt>
                <c:pt idx="1">
                  <c:v>D – Výroba a rozvod elektřiny, plynu, tepla a klimatiz. vzduchu</c:v>
                </c:pt>
                <c:pt idx="2">
                  <c:v>E – Zásobování vodou; činnosti související s odpady a sanacemi</c:v>
                </c:pt>
                <c:pt idx="3">
                  <c:v>S – Ostatní činnosti</c:v>
                </c:pt>
                <c:pt idx="4">
                  <c:v>R – Kulturní, zábavní a rekreační činnosti</c:v>
                </c:pt>
                <c:pt idx="5">
                  <c:v>L – Činnosti v oblasti nemovitostí</c:v>
                </c:pt>
                <c:pt idx="6">
                  <c:v>K – Peněžnictví a pojišťovnictví</c:v>
                </c:pt>
                <c:pt idx="7">
                  <c:v>A – Zemědělství, lesnictví, rybářství</c:v>
                </c:pt>
                <c:pt idx="8">
                  <c:v>I – Ubytování, stravování a pohostinství</c:v>
                </c:pt>
                <c:pt idx="9">
                  <c:v>J – Informační a komunikační činnosti</c:v>
                </c:pt>
                <c:pt idx="10">
                  <c:v>M – Profesní, vědecké a technické činnosti</c:v>
                </c:pt>
                <c:pt idx="11">
                  <c:v>F – Stavebnictví</c:v>
                </c:pt>
                <c:pt idx="12">
                  <c:v>N – Administrativní a podpůrné činnosti</c:v>
                </c:pt>
                <c:pt idx="13">
                  <c:v>O – Veřejná správa a obrana; povinné sociální zabezpečení</c:v>
                </c:pt>
                <c:pt idx="14">
                  <c:v>H – Doprava a skladování</c:v>
                </c:pt>
                <c:pt idx="15">
                  <c:v>P – Vzdělávání</c:v>
                </c:pt>
                <c:pt idx="16">
                  <c:v>Q – Zdravotní a sociální péče</c:v>
                </c:pt>
                <c:pt idx="17">
                  <c:v>G – Velkoobchod a maloobchod; opravy a údržba motor. vozidel</c:v>
                </c:pt>
                <c:pt idx="18">
                  <c:v>C – Zpracovatelský průmysl</c:v>
                </c:pt>
              </c:strCache>
            </c:strRef>
          </c:cat>
          <c:val>
            <c:numRef>
              <c:f>'G1.2'!$S$28:$S$46</c:f>
              <c:numCache>
                <c:formatCode>#,##0</c:formatCode>
                <c:ptCount val="19"/>
                <c:pt idx="0">
                  <c:v>18.9253663</c:v>
                </c:pt>
                <c:pt idx="1">
                  <c:v>38.603870700000002</c:v>
                </c:pt>
                <c:pt idx="2">
                  <c:v>58.549656499999998</c:v>
                </c:pt>
                <c:pt idx="3">
                  <c:v>60.7664732</c:v>
                </c:pt>
                <c:pt idx="4">
                  <c:v>65.716949999999997</c:v>
                </c:pt>
                <c:pt idx="5">
                  <c:v>75.113162500000001</c:v>
                </c:pt>
                <c:pt idx="6">
                  <c:v>91.180993700000002</c:v>
                </c:pt>
                <c:pt idx="7">
                  <c:v>107.5571587</c:v>
                </c:pt>
                <c:pt idx="8">
                  <c:v>144.15100000000001</c:v>
                </c:pt>
                <c:pt idx="9">
                  <c:v>158.54375859999999</c:v>
                </c:pt>
                <c:pt idx="10">
                  <c:v>231.36936509999998</c:v>
                </c:pt>
                <c:pt idx="11">
                  <c:v>250.5294658</c:v>
                </c:pt>
                <c:pt idx="12">
                  <c:v>254.4276108</c:v>
                </c:pt>
                <c:pt idx="13">
                  <c:v>259.2607668</c:v>
                </c:pt>
                <c:pt idx="14">
                  <c:v>293.81872429999999</c:v>
                </c:pt>
                <c:pt idx="15">
                  <c:v>418.97898930000002</c:v>
                </c:pt>
                <c:pt idx="16">
                  <c:v>433.72910910000002</c:v>
                </c:pt>
                <c:pt idx="17">
                  <c:v>628.33042220000004</c:v>
                </c:pt>
                <c:pt idx="18">
                  <c:v>1177.2993770999999</c:v>
                </c:pt>
              </c:numCache>
            </c:numRef>
          </c:val>
          <c:extLst>
            <c:ext xmlns:c16="http://schemas.microsoft.com/office/drawing/2014/chart" uri="{C3380CC4-5D6E-409C-BE32-E72D297353CC}">
              <c16:uniqueId val="{00000008-3F00-4CD7-94A0-0FD6D4648C60}"/>
            </c:ext>
          </c:extLst>
        </c:ser>
        <c:dLbls>
          <c:showLegendKey val="0"/>
          <c:showVal val="0"/>
          <c:showCatName val="0"/>
          <c:showSerName val="0"/>
          <c:showPercent val="0"/>
          <c:showBubbleSize val="0"/>
        </c:dLbls>
        <c:gapWidth val="71"/>
        <c:axId val="1399933295"/>
        <c:axId val="1399945775"/>
      </c:barChart>
      <c:catAx>
        <c:axId val="13999332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399945775"/>
        <c:crosses val="autoZero"/>
        <c:auto val="1"/>
        <c:lblAlgn val="ctr"/>
        <c:lblOffset val="100"/>
        <c:noMultiLvlLbl val="0"/>
      </c:catAx>
      <c:valAx>
        <c:axId val="1399945775"/>
        <c:scaling>
          <c:orientation val="minMax"/>
          <c:max val="8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a:t>tisíce</a:t>
                </a:r>
                <a:endParaRPr lang="en-US"/>
              </a:p>
            </c:rich>
          </c:tx>
          <c:layout>
            <c:manualLayout>
              <c:xMode val="edge"/>
              <c:yMode val="edge"/>
              <c:x val="0.72448566810504622"/>
              <c:y val="0.9521629044189352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399933295"/>
        <c:crosses val="autoZero"/>
        <c:crossBetween val="between"/>
      </c:valAx>
      <c:spPr>
        <a:noFill/>
        <a:ln>
          <a:noFill/>
        </a:ln>
        <a:effectLst/>
      </c:spPr>
    </c:plotArea>
    <c:legend>
      <c:legendPos val="b"/>
      <c:layout>
        <c:manualLayout>
          <c:xMode val="edge"/>
          <c:yMode val="edge"/>
          <c:x val="0.82079776884634903"/>
          <c:y val="0.43270510064825501"/>
          <c:w val="8.5339874935660864E-2"/>
          <c:h val="7.1024774962438919E-2"/>
        </c:manualLayout>
      </c:layout>
      <c:overlay val="0"/>
      <c:spPr>
        <a:solidFill>
          <a:schemeClr val="bg1"/>
        </a:solidFill>
        <a:ln>
          <a:solidFill>
            <a:schemeClr val="bg1">
              <a:lumMod val="75000"/>
            </a:schemeClr>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'G2.1+2.3'!$A$29</c:f>
              <c:strCache>
                <c:ptCount val="1"/>
                <c:pt idx="0">
                  <c:v> 1. pololetí</c:v>
                </c:pt>
              </c:strCache>
            </c:strRef>
          </c:tx>
          <c:spPr>
            <a:solidFill>
              <a:srgbClr val="632827"/>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'G2.1+2.3'!$B$28:$J$28</c:f>
              <c:strCache>
                <c:ptCount val="9"/>
                <c:pt idx="0">
                  <c:v>2015</c:v>
                </c:pt>
                <c:pt idx="1">
                  <c:v>2016</c:v>
                </c:pt>
                <c:pt idx="2">
                  <c:v>2017</c:v>
                </c:pt>
                <c:pt idx="3">
                  <c:v>2018</c:v>
                </c:pt>
                <c:pt idx="4">
                  <c:v>2019</c:v>
                </c:pt>
                <c:pt idx="5">
                  <c:v>2020</c:v>
                </c:pt>
                <c:pt idx="6">
                  <c:v>2021</c:v>
                </c:pt>
                <c:pt idx="7">
                  <c:v>2022*</c:v>
                </c:pt>
                <c:pt idx="8">
                  <c:v>2023</c:v>
                </c:pt>
              </c:strCache>
            </c:strRef>
          </c:cat>
          <c:val>
            <c:numRef>
              <c:f>'G2.1+2.3'!$B$29:$J$29</c:f>
              <c:numCache>
                <c:formatCode>#,##0</c:formatCode>
                <c:ptCount val="9"/>
                <c:pt idx="0">
                  <c:v>873.85799999999995</c:v>
                </c:pt>
                <c:pt idx="1">
                  <c:v>876.46699999999998</c:v>
                </c:pt>
                <c:pt idx="2">
                  <c:v>944.72299999999996</c:v>
                </c:pt>
                <c:pt idx="3">
                  <c:v>1040.23</c:v>
                </c:pt>
                <c:pt idx="4">
                  <c:v>974.97400000000005</c:v>
                </c:pt>
                <c:pt idx="5" formatCode="###\ ###\ ##0">
                  <c:v>1070.067</c:v>
                </c:pt>
                <c:pt idx="6" formatCode="###\ ###\ ##0">
                  <c:v>1399.434</c:v>
                </c:pt>
                <c:pt idx="7" formatCode="###\ ###\ ##0">
                  <c:v>2053.9259999999999</c:v>
                </c:pt>
                <c:pt idx="8">
                  <c:v>1327.877</c:v>
                </c:pt>
              </c:numCache>
            </c:numRef>
          </c:val>
          <c:extLst>
            <c:ext xmlns:c16="http://schemas.microsoft.com/office/drawing/2014/chart" uri="{C3380CC4-5D6E-409C-BE32-E72D297353CC}">
              <c16:uniqueId val="{00000000-5D01-481F-A320-488F6FD0C1B5}"/>
            </c:ext>
          </c:extLst>
        </c:ser>
        <c:ser>
          <c:idx val="1"/>
          <c:order val="1"/>
          <c:tx>
            <c:strRef>
              <c:f>'G2.1+2.3'!$A$30</c:f>
              <c:strCache>
                <c:ptCount val="1"/>
                <c:pt idx="0">
                  <c:v> 2. pololetí</c:v>
                </c:pt>
              </c:strCache>
            </c:strRef>
          </c:tx>
          <c:spPr>
            <a:solidFill>
              <a:srgbClr val="B4494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'G2.1+2.3'!$B$28:$J$28</c:f>
              <c:strCache>
                <c:ptCount val="9"/>
                <c:pt idx="0">
                  <c:v>2015</c:v>
                </c:pt>
                <c:pt idx="1">
                  <c:v>2016</c:v>
                </c:pt>
                <c:pt idx="2">
                  <c:v>2017</c:v>
                </c:pt>
                <c:pt idx="3">
                  <c:v>2018</c:v>
                </c:pt>
                <c:pt idx="4">
                  <c:v>2019</c:v>
                </c:pt>
                <c:pt idx="5">
                  <c:v>2020</c:v>
                </c:pt>
                <c:pt idx="6">
                  <c:v>2021</c:v>
                </c:pt>
                <c:pt idx="7">
                  <c:v>2022*</c:v>
                </c:pt>
                <c:pt idx="8">
                  <c:v>2023</c:v>
                </c:pt>
              </c:strCache>
            </c:strRef>
          </c:cat>
          <c:val>
            <c:numRef>
              <c:f>'G2.1+2.3'!$B$30:$J$30</c:f>
              <c:numCache>
                <c:formatCode>###\ ###\ ##0</c:formatCode>
                <c:ptCount val="9"/>
                <c:pt idx="0">
                  <c:v>689.60000000000014</c:v>
                </c:pt>
                <c:pt idx="1">
                  <c:v>756.88</c:v>
                </c:pt>
                <c:pt idx="2">
                  <c:v>762.79</c:v>
                </c:pt>
                <c:pt idx="3">
                  <c:v>809.22499999999991</c:v>
                </c:pt>
                <c:pt idx="4">
                  <c:v>939.83900000000006</c:v>
                </c:pt>
                <c:pt idx="5">
                  <c:v>1320.9670000000001</c:v>
                </c:pt>
                <c:pt idx="6">
                  <c:v>1355.3390000000002</c:v>
                </c:pt>
                <c:pt idx="7">
                  <c:v>1403.7069999999999</c:v>
                </c:pt>
                <c:pt idx="8">
                  <c:v>1207.2890000000002</c:v>
                </c:pt>
              </c:numCache>
            </c:numRef>
          </c:val>
          <c:extLst>
            <c:ext xmlns:c16="http://schemas.microsoft.com/office/drawing/2014/chart" uri="{C3380CC4-5D6E-409C-BE32-E72D297353CC}">
              <c16:uniqueId val="{00000001-5D01-481F-A320-488F6FD0C1B5}"/>
            </c:ext>
          </c:extLst>
        </c:ser>
        <c:dLbls>
          <c:showLegendKey val="0"/>
          <c:showVal val="0"/>
          <c:showCatName val="0"/>
          <c:showSerName val="0"/>
          <c:showPercent val="0"/>
          <c:showBubbleSize val="0"/>
        </c:dLbls>
        <c:gapWidth val="50"/>
        <c:axId val="170191583"/>
        <c:axId val="170190335"/>
      </c:barChart>
      <c:catAx>
        <c:axId val="170191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70190335"/>
        <c:crosses val="autoZero"/>
        <c:auto val="1"/>
        <c:lblAlgn val="ctr"/>
        <c:lblOffset val="100"/>
        <c:noMultiLvlLbl val="0"/>
      </c:catAx>
      <c:valAx>
        <c:axId val="170190335"/>
        <c:scaling>
          <c:orientation val="minMax"/>
          <c:max val="21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70191583"/>
        <c:crosses val="autoZero"/>
        <c:crossBetween val="between"/>
        <c:majorUnit val="300"/>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96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cs-CZ"/>
        </a:p>
      </c:txPr>
    </c:title>
    <c:autoTitleDeleted val="0"/>
    <c:plotArea>
      <c:layout/>
      <c:doughnutChart>
        <c:varyColors val="1"/>
        <c:ser>
          <c:idx val="0"/>
          <c:order val="0"/>
          <c:tx>
            <c:strRef>
              <c:f>'G2.2'!$A$11</c:f>
              <c:strCache>
                <c:ptCount val="1"/>
                <c:pt idx="0">
                  <c:v>ženy</c:v>
                </c:pt>
              </c:strCache>
            </c:strRef>
          </c:tx>
          <c:dPt>
            <c:idx val="0"/>
            <c:bubble3D val="0"/>
            <c:spPr>
              <a:solidFill>
                <a:srgbClr val="632827"/>
              </a:solidFill>
              <a:ln w="19050">
                <a:solidFill>
                  <a:schemeClr val="lt1"/>
                </a:solidFill>
              </a:ln>
              <a:effectLst/>
            </c:spPr>
            <c:extLst>
              <c:ext xmlns:c16="http://schemas.microsoft.com/office/drawing/2014/chart" uri="{C3380CC4-5D6E-409C-BE32-E72D297353CC}">
                <c16:uniqueId val="{00000001-C373-4796-BADA-222B91A4F94D}"/>
              </c:ext>
            </c:extLst>
          </c:dPt>
          <c:dPt>
            <c:idx val="1"/>
            <c:bubble3D val="0"/>
            <c:spPr>
              <a:solidFill>
                <a:srgbClr val="B44946"/>
              </a:solidFill>
              <a:ln w="19050">
                <a:solidFill>
                  <a:schemeClr val="lt1"/>
                </a:solidFill>
              </a:ln>
              <a:effectLst/>
            </c:spPr>
            <c:extLst>
              <c:ext xmlns:c16="http://schemas.microsoft.com/office/drawing/2014/chart" uri="{C3380CC4-5D6E-409C-BE32-E72D297353CC}">
                <c16:uniqueId val="{00000003-C373-4796-BADA-222B91A4F94D}"/>
              </c:ext>
            </c:extLst>
          </c:dPt>
          <c:dPt>
            <c:idx val="2"/>
            <c:bubble3D val="0"/>
            <c:spPr>
              <a:solidFill>
                <a:srgbClr val="F07373"/>
              </a:solidFill>
              <a:ln w="19050">
                <a:solidFill>
                  <a:schemeClr val="lt1"/>
                </a:solidFill>
              </a:ln>
              <a:effectLst/>
            </c:spPr>
            <c:extLst>
              <c:ext xmlns:c16="http://schemas.microsoft.com/office/drawing/2014/chart" uri="{C3380CC4-5D6E-409C-BE32-E72D297353CC}">
                <c16:uniqueId val="{00000005-C373-4796-BADA-222B91A4F94D}"/>
              </c:ext>
            </c:extLst>
          </c:dPt>
          <c:dLbls>
            <c:dLbl>
              <c:idx val="0"/>
              <c:tx>
                <c:rich>
                  <a:bodyPr rot="0" spcFirstLastPara="1" vertOverflow="ellipsis"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A46C7917-1882-49CA-BF39-F6CDB7CD26CE}" type="CELLRANGE">
                      <a:rPr lang="cs-CZ"/>
                      <a:pPr>
                        <a:defRPr>
                          <a:solidFill>
                            <a:schemeClr val="bg1"/>
                          </a:solidFill>
                        </a:defRPr>
                      </a:pPr>
                      <a:t>[OBLAST BUNĚK]</a:t>
                    </a:fld>
                    <a:endParaRPr lang="cs-CZ"/>
                  </a:p>
                </c:rich>
              </c:tx>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373-4796-BADA-222B91A4F94D}"/>
                </c:ext>
              </c:extLst>
            </c:dLbl>
            <c:dLbl>
              <c:idx val="1"/>
              <c:layout>
                <c:manualLayout>
                  <c:x val="-9.2758873374750792E-2"/>
                  <c:y val="-0.11967204038351825"/>
                </c:manualLayout>
              </c:layout>
              <c:tx>
                <c:rich>
                  <a:bodyPr/>
                  <a:lstStyle/>
                  <a:p>
                    <a:fld id="{FD0C572F-92D7-422F-A21B-AE25B825C9C8}"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C373-4796-BADA-222B91A4F94D}"/>
                </c:ext>
              </c:extLst>
            </c:dLbl>
            <c:dLbl>
              <c:idx val="2"/>
              <c:layout>
                <c:manualLayout>
                  <c:x val="1.7759141094345843E-2"/>
                  <c:y val="-0.1464003639716237"/>
                </c:manualLayout>
              </c:layout>
              <c:tx>
                <c:rich>
                  <a:bodyPr/>
                  <a:lstStyle/>
                  <a:p>
                    <a:fld id="{E57169B0-EDB1-49EC-8E34-EA732ABD2108}"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C373-4796-BADA-222B91A4F94D}"/>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0"/>
            <c:showCatName val="0"/>
            <c:showSerName val="0"/>
            <c:showPercent val="0"/>
            <c:showBubbleSize val="0"/>
            <c:showLeaderLines val="0"/>
            <c:extLst>
              <c:ext xmlns:c15="http://schemas.microsoft.com/office/drawing/2012/chart" uri="{CE6537A1-D6FC-4f65-9D91-7224C49458BB}">
                <c15:showDataLabelsRange val="1"/>
              </c:ext>
            </c:extLst>
          </c:dLbls>
          <c:cat>
            <c:strRef>
              <c:f>'G2.2'!$B$10:$D$10</c:f>
              <c:strCache>
                <c:ptCount val="3"/>
                <c:pt idx="0">
                  <c:v> nemoc</c:v>
                </c:pt>
                <c:pt idx="1">
                  <c:v>pracovní úraz</c:v>
                </c:pt>
                <c:pt idx="2">
                  <c:v>ostatní úraz</c:v>
                </c:pt>
              </c:strCache>
            </c:strRef>
          </c:cat>
          <c:val>
            <c:numRef>
              <c:f>'G2.2'!$B$11:$D$11</c:f>
              <c:numCache>
                <c:formatCode>#\ ##0.0</c:formatCode>
                <c:ptCount val="3"/>
                <c:pt idx="0">
                  <c:v>1318.7159999999999</c:v>
                </c:pt>
                <c:pt idx="1">
                  <c:v>14.927</c:v>
                </c:pt>
                <c:pt idx="2">
                  <c:v>67.367000000000004</c:v>
                </c:pt>
              </c:numCache>
            </c:numRef>
          </c:val>
          <c:extLst>
            <c:ext xmlns:c15="http://schemas.microsoft.com/office/drawing/2012/chart" uri="{02D57815-91ED-43cb-92C2-25804820EDAC}">
              <c15:datalabelsRange>
                <c15:f>'G2.2'!$E$18:$E$20</c15:f>
                <c15:dlblRangeCache>
                  <c:ptCount val="3"/>
                  <c:pt idx="0">
                    <c:v>1 318,7 tis.
94 %</c:v>
                  </c:pt>
                  <c:pt idx="1">
                    <c:v>14,9 tis.
1 %</c:v>
                  </c:pt>
                  <c:pt idx="2">
                    <c:v>67,4 tis.
5 %</c:v>
                  </c:pt>
                </c15:dlblRangeCache>
              </c15:datalabelsRange>
            </c:ext>
            <c:ext xmlns:c16="http://schemas.microsoft.com/office/drawing/2014/chart" uri="{C3380CC4-5D6E-409C-BE32-E72D297353CC}">
              <c16:uniqueId val="{00000006-C373-4796-BADA-222B91A4F94D}"/>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panose="020B0604020202020204" pitchFamily="34" charset="0"/>
          <a:cs typeface="Arial" panose="020B0604020202020204" pitchFamily="34" charset="0"/>
        </a:defRPr>
      </a:pPr>
      <a:endParaRPr lang="cs-CZ"/>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96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cs-CZ"/>
        </a:p>
      </c:txPr>
    </c:title>
    <c:autoTitleDeleted val="0"/>
    <c:plotArea>
      <c:layout/>
      <c:doughnutChart>
        <c:varyColors val="1"/>
        <c:ser>
          <c:idx val="0"/>
          <c:order val="0"/>
          <c:tx>
            <c:strRef>
              <c:f>'G2.2'!$A$15</c:f>
              <c:strCache>
                <c:ptCount val="1"/>
                <c:pt idx="0">
                  <c:v>muži</c:v>
                </c:pt>
              </c:strCache>
            </c:strRef>
          </c:tx>
          <c:dPt>
            <c:idx val="0"/>
            <c:bubble3D val="0"/>
            <c:spPr>
              <a:solidFill>
                <a:srgbClr val="632827"/>
              </a:solidFill>
              <a:ln w="19050">
                <a:solidFill>
                  <a:schemeClr val="lt1"/>
                </a:solidFill>
              </a:ln>
              <a:effectLst/>
            </c:spPr>
            <c:extLst>
              <c:ext xmlns:c16="http://schemas.microsoft.com/office/drawing/2014/chart" uri="{C3380CC4-5D6E-409C-BE32-E72D297353CC}">
                <c16:uniqueId val="{00000001-31A2-44F3-A52A-668B0AE0215E}"/>
              </c:ext>
            </c:extLst>
          </c:dPt>
          <c:dPt>
            <c:idx val="1"/>
            <c:bubble3D val="0"/>
            <c:spPr>
              <a:solidFill>
                <a:srgbClr val="B44946"/>
              </a:solidFill>
              <a:ln w="19050">
                <a:solidFill>
                  <a:schemeClr val="lt1"/>
                </a:solidFill>
              </a:ln>
              <a:effectLst/>
            </c:spPr>
            <c:extLst>
              <c:ext xmlns:c16="http://schemas.microsoft.com/office/drawing/2014/chart" uri="{C3380CC4-5D6E-409C-BE32-E72D297353CC}">
                <c16:uniqueId val="{00000003-31A2-44F3-A52A-668B0AE0215E}"/>
              </c:ext>
            </c:extLst>
          </c:dPt>
          <c:dPt>
            <c:idx val="2"/>
            <c:bubble3D val="0"/>
            <c:spPr>
              <a:solidFill>
                <a:srgbClr val="F07373"/>
              </a:solidFill>
              <a:ln w="19050">
                <a:solidFill>
                  <a:schemeClr val="lt1"/>
                </a:solidFill>
              </a:ln>
              <a:effectLst/>
            </c:spPr>
            <c:extLst>
              <c:ext xmlns:c16="http://schemas.microsoft.com/office/drawing/2014/chart" uri="{C3380CC4-5D6E-409C-BE32-E72D297353CC}">
                <c16:uniqueId val="{00000005-31A2-44F3-A52A-668B0AE0215E}"/>
              </c:ext>
            </c:extLst>
          </c:dPt>
          <c:dLbls>
            <c:dLbl>
              <c:idx val="0"/>
              <c:tx>
                <c:rich>
                  <a:bodyPr rot="0" spcFirstLastPara="1" vertOverflow="ellipsis"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4FD47458-8DA2-4204-B160-67471B96ED24}" type="CELLRANGE">
                      <a:rPr lang="cs-CZ"/>
                      <a:pPr>
                        <a:defRPr>
                          <a:solidFill>
                            <a:schemeClr val="bg1"/>
                          </a:solidFill>
                        </a:defRPr>
                      </a:pPr>
                      <a:t>[OBLAST BUNĚK]</a:t>
                    </a:fld>
                    <a:endParaRPr lang="cs-CZ"/>
                  </a:p>
                </c:rich>
              </c:tx>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showLegendKey val="0"/>
              <c:showVal val="0"/>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31A2-44F3-A52A-668B0AE0215E}"/>
                </c:ext>
              </c:extLst>
            </c:dLbl>
            <c:dLbl>
              <c:idx val="1"/>
              <c:layout>
                <c:manualLayout>
                  <c:x val="-5.2777777777777778E-2"/>
                  <c:y val="-0.12578616352201261"/>
                </c:manualLayout>
              </c:layout>
              <c:tx>
                <c:rich>
                  <a:bodyPr/>
                  <a:lstStyle/>
                  <a:p>
                    <a:fld id="{571EBD8B-195A-48CB-AA6C-27D3713CBE1A}" type="CELLRANGE">
                      <a:rPr lang="en-US"/>
                      <a:pPr/>
                      <a:t>[OBLAST BUNĚK]</a:t>
                    </a:fld>
                    <a:endParaRPr lang="cs-CZ"/>
                  </a:p>
                </c:rich>
              </c:tx>
              <c:showLegendKey val="0"/>
              <c:showVal val="0"/>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31A2-44F3-A52A-668B0AE0215E}"/>
                </c:ext>
              </c:extLst>
            </c:dLbl>
            <c:dLbl>
              <c:idx val="2"/>
              <c:tx>
                <c:rich>
                  <a:bodyPr/>
                  <a:lstStyle/>
                  <a:p>
                    <a:fld id="{A9696242-19DF-4518-9B10-B60489AFDB6C}" type="CELLRANGE">
                      <a:rPr lang="cs-CZ"/>
                      <a:pPr/>
                      <a:t>[OBLAST BUNĚK]</a:t>
                    </a:fld>
                    <a:endParaRPr lang="cs-CZ"/>
                  </a:p>
                </c:rich>
              </c:tx>
              <c:showLegendKey val="0"/>
              <c:showVal val="0"/>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31A2-44F3-A52A-668B0AE0215E}"/>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0"/>
            <c:showCatName val="0"/>
            <c:showSerName val="0"/>
            <c:showPercent val="0"/>
            <c:showBubbleSize val="0"/>
            <c:separator>
</c:separator>
            <c:showLeaderLines val="0"/>
            <c:extLst>
              <c:ext xmlns:c15="http://schemas.microsoft.com/office/drawing/2012/chart" uri="{CE6537A1-D6FC-4f65-9D91-7224C49458BB}">
                <c15:showDataLabelsRange val="1"/>
              </c:ext>
            </c:extLst>
          </c:dLbls>
          <c:cat>
            <c:strRef>
              <c:f>'G2.2'!$B$14:$D$14</c:f>
              <c:strCache>
                <c:ptCount val="3"/>
                <c:pt idx="0">
                  <c:v> nemoc</c:v>
                </c:pt>
                <c:pt idx="1">
                  <c:v> pracovní úraz</c:v>
                </c:pt>
                <c:pt idx="2">
                  <c:v> ostatní úraz</c:v>
                </c:pt>
              </c:strCache>
            </c:strRef>
          </c:cat>
          <c:val>
            <c:numRef>
              <c:f>'G2.2'!$B$15:$D$15</c:f>
              <c:numCache>
                <c:formatCode>#\ ##0.0</c:formatCode>
                <c:ptCount val="3"/>
                <c:pt idx="0">
                  <c:v>1004.527</c:v>
                </c:pt>
                <c:pt idx="1">
                  <c:v>28.548999999999999</c:v>
                </c:pt>
                <c:pt idx="2">
                  <c:v>101.08</c:v>
                </c:pt>
              </c:numCache>
            </c:numRef>
          </c:val>
          <c:extLst>
            <c:ext xmlns:c15="http://schemas.microsoft.com/office/drawing/2012/chart" uri="{02D57815-91ED-43cb-92C2-25804820EDAC}">
              <c15:datalabelsRange>
                <c15:f>'G2.2'!$C$18:$C$20</c15:f>
                <c15:dlblRangeCache>
                  <c:ptCount val="3"/>
                  <c:pt idx="0">
                    <c:v>1 004,5 tis.
89 %</c:v>
                  </c:pt>
                  <c:pt idx="1">
                    <c:v>28,5 tis.
2 %</c:v>
                  </c:pt>
                  <c:pt idx="2">
                    <c:v>101,1 tis.
9 %</c:v>
                  </c:pt>
                </c15:dlblRangeCache>
              </c15:datalabelsRange>
            </c:ext>
            <c:ext xmlns:c16="http://schemas.microsoft.com/office/drawing/2014/chart" uri="{C3380CC4-5D6E-409C-BE32-E72D297353CC}">
              <c16:uniqueId val="{00000006-31A2-44F3-A52A-668B0AE0215E}"/>
            </c:ext>
          </c:extLst>
        </c:ser>
        <c:dLbls>
          <c:showLegendKey val="0"/>
          <c:showVal val="0"/>
          <c:showCatName val="0"/>
          <c:showSerName val="0"/>
          <c:showPercent val="0"/>
          <c:showBubbleSize val="0"/>
          <c:showLeaderLines val="0"/>
        </c:dLbls>
        <c:firstSliceAng val="0"/>
        <c:holeSize val="50"/>
      </c:doughnutChart>
      <c:spPr>
        <a:noFill/>
        <a:ln>
          <a:noFill/>
        </a:ln>
        <a:effectLst/>
      </c:spPr>
    </c:plotArea>
    <c:legend>
      <c:legendPos val="r"/>
      <c:layout>
        <c:manualLayout>
          <c:xMode val="edge"/>
          <c:yMode val="edge"/>
          <c:x val="0.58635591995954639"/>
          <c:y val="0.32373590873748548"/>
          <c:w val="0.28306304028510199"/>
          <c:h val="0.394624678335263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'G2.1+2.3'!$A$4</c:f>
              <c:strCache>
                <c:ptCount val="1"/>
                <c:pt idx="0">
                  <c:v> 1. pololetí</c:v>
                </c:pt>
              </c:strCache>
            </c:strRef>
          </c:tx>
          <c:spPr>
            <a:solidFill>
              <a:srgbClr val="632827"/>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'G2.1+2.3'!$B$3:$J$3</c:f>
              <c:strCache>
                <c:ptCount val="9"/>
                <c:pt idx="0">
                  <c:v>2015</c:v>
                </c:pt>
                <c:pt idx="1">
                  <c:v>2016</c:v>
                </c:pt>
                <c:pt idx="2">
                  <c:v>2017</c:v>
                </c:pt>
                <c:pt idx="3">
                  <c:v>2018</c:v>
                </c:pt>
                <c:pt idx="4">
                  <c:v>2019</c:v>
                </c:pt>
                <c:pt idx="5">
                  <c:v>2020</c:v>
                </c:pt>
                <c:pt idx="6">
                  <c:v>2021</c:v>
                </c:pt>
                <c:pt idx="7">
                  <c:v>2022*</c:v>
                </c:pt>
                <c:pt idx="8">
                  <c:v>2023</c:v>
                </c:pt>
              </c:strCache>
            </c:strRef>
          </c:cat>
          <c:val>
            <c:numRef>
              <c:f>'G2.1+2.3'!$B$4:$J$4</c:f>
              <c:numCache>
                <c:formatCode>_-* #\ ##0_-;\-* #\ ##0_-;_-* "-"??_-;_-@_-</c:formatCode>
                <c:ptCount val="9"/>
                <c:pt idx="0">
                  <c:v>783.80700000000002</c:v>
                </c:pt>
                <c:pt idx="1">
                  <c:v>777.09199999999998</c:v>
                </c:pt>
                <c:pt idx="2">
                  <c:v>841.59900000000005</c:v>
                </c:pt>
                <c:pt idx="3">
                  <c:v>937.75099999999998</c:v>
                </c:pt>
                <c:pt idx="4">
                  <c:v>872.71400000000006</c:v>
                </c:pt>
                <c:pt idx="5" formatCode="#,##0">
                  <c:v>976.90099999999995</c:v>
                </c:pt>
                <c:pt idx="6" formatCode="#,##0">
                  <c:v>1300.2139999999999</c:v>
                </c:pt>
                <c:pt idx="7" formatCode="#,##0">
                  <c:v>1942.4169999999999</c:v>
                </c:pt>
                <c:pt idx="8" formatCode="#,##0">
                  <c:v>1220.8140000000001</c:v>
                </c:pt>
              </c:numCache>
            </c:numRef>
          </c:val>
          <c:extLst>
            <c:ext xmlns:c16="http://schemas.microsoft.com/office/drawing/2014/chart" uri="{C3380CC4-5D6E-409C-BE32-E72D297353CC}">
              <c16:uniqueId val="{00000000-93E9-4253-B368-D428869C5620}"/>
            </c:ext>
          </c:extLst>
        </c:ser>
        <c:ser>
          <c:idx val="1"/>
          <c:order val="1"/>
          <c:tx>
            <c:strRef>
              <c:f>'G2.1+2.3'!$A$5</c:f>
              <c:strCache>
                <c:ptCount val="1"/>
                <c:pt idx="0">
                  <c:v> 2. pololetí</c:v>
                </c:pt>
              </c:strCache>
            </c:strRef>
          </c:tx>
          <c:spPr>
            <a:solidFill>
              <a:srgbClr val="B4494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'G2.1+2.3'!$B$3:$J$3</c:f>
              <c:strCache>
                <c:ptCount val="9"/>
                <c:pt idx="0">
                  <c:v>2015</c:v>
                </c:pt>
                <c:pt idx="1">
                  <c:v>2016</c:v>
                </c:pt>
                <c:pt idx="2">
                  <c:v>2017</c:v>
                </c:pt>
                <c:pt idx="3">
                  <c:v>2018</c:v>
                </c:pt>
                <c:pt idx="4">
                  <c:v>2019</c:v>
                </c:pt>
                <c:pt idx="5">
                  <c:v>2020</c:v>
                </c:pt>
                <c:pt idx="6">
                  <c:v>2021</c:v>
                </c:pt>
                <c:pt idx="7">
                  <c:v>2022*</c:v>
                </c:pt>
                <c:pt idx="8">
                  <c:v>2023</c:v>
                </c:pt>
              </c:strCache>
            </c:strRef>
          </c:cat>
          <c:val>
            <c:numRef>
              <c:f>'G2.1+2.3'!$B$5:$J$5</c:f>
              <c:numCache>
                <c:formatCode>_-* #\ ##0_-;\-* #\ ##0_-;_-* "-"??_-;_-@_-</c:formatCode>
                <c:ptCount val="9"/>
                <c:pt idx="0">
                  <c:v>600.048</c:v>
                </c:pt>
                <c:pt idx="1">
                  <c:v>663.84400000000005</c:v>
                </c:pt>
                <c:pt idx="2">
                  <c:v>669.27800000000002</c:v>
                </c:pt>
                <c:pt idx="3">
                  <c:v>712.51800000000003</c:v>
                </c:pt>
                <c:pt idx="4">
                  <c:v>838.52499999999998</c:v>
                </c:pt>
                <c:pt idx="5" formatCode="#,##0">
                  <c:v>1225.809</c:v>
                </c:pt>
                <c:pt idx="6" formatCode="#,##0">
                  <c:v>1249.5350000000001</c:v>
                </c:pt>
                <c:pt idx="7" formatCode="#,##0">
                  <c:v>1297.9160000000002</c:v>
                </c:pt>
                <c:pt idx="8" formatCode="#,##0">
                  <c:v>1102.4289999999999</c:v>
                </c:pt>
              </c:numCache>
            </c:numRef>
          </c:val>
          <c:extLst>
            <c:ext xmlns:c16="http://schemas.microsoft.com/office/drawing/2014/chart" uri="{C3380CC4-5D6E-409C-BE32-E72D297353CC}">
              <c16:uniqueId val="{00000001-93E9-4253-B368-D428869C5620}"/>
            </c:ext>
          </c:extLst>
        </c:ser>
        <c:dLbls>
          <c:showLegendKey val="0"/>
          <c:showVal val="0"/>
          <c:showCatName val="0"/>
          <c:showSerName val="0"/>
          <c:showPercent val="0"/>
          <c:showBubbleSize val="0"/>
        </c:dLbls>
        <c:gapWidth val="57"/>
        <c:axId val="1315640191"/>
        <c:axId val="1315654751"/>
      </c:barChart>
      <c:catAx>
        <c:axId val="1315640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315654751"/>
        <c:crosses val="autoZero"/>
        <c:auto val="1"/>
        <c:lblAlgn val="ctr"/>
        <c:lblOffset val="100"/>
        <c:noMultiLvlLbl val="0"/>
      </c:catAx>
      <c:valAx>
        <c:axId val="1315654751"/>
        <c:scaling>
          <c:orientation val="minMax"/>
          <c:max val="2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tisíce</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315640191"/>
        <c:crosses val="autoZero"/>
        <c:crossBetween val="between"/>
        <c:majorUnit val="200"/>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'G2.4'!$A$3</c:f>
              <c:strCache>
                <c:ptCount val="1"/>
                <c:pt idx="0">
                  <c:v> nemoc</c:v>
                </c:pt>
              </c:strCache>
            </c:strRef>
          </c:tx>
          <c:spPr>
            <a:solidFill>
              <a:srgbClr val="632827"/>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'G2.4'!$D$2:$N$2</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'G2.4'!$D$3:$N$3</c:f>
              <c:numCache>
                <c:formatCode>General</c:formatCode>
                <c:ptCount val="11"/>
                <c:pt idx="0">
                  <c:v>26.31</c:v>
                </c:pt>
                <c:pt idx="1">
                  <c:v>25.68</c:v>
                </c:pt>
                <c:pt idx="2">
                  <c:v>30.704494485000001</c:v>
                </c:pt>
                <c:pt idx="3">
                  <c:v>31.521328864000001</c:v>
                </c:pt>
                <c:pt idx="4">
                  <c:v>32.340186242500003</c:v>
                </c:pt>
                <c:pt idx="5">
                  <c:v>34.869229084899999</c:v>
                </c:pt>
                <c:pt idx="6">
                  <c:v>36.156327396257865</c:v>
                </c:pt>
                <c:pt idx="7">
                  <c:v>46.962361146799999</c:v>
                </c:pt>
                <c:pt idx="8" formatCode="0.00">
                  <c:v>54.155900834699999</c:v>
                </c:pt>
                <c:pt idx="9" formatCode="0.00">
                  <c:v>68.247000253099998</c:v>
                </c:pt>
                <c:pt idx="10" formatCode="0.00">
                  <c:v>48.737313021799999</c:v>
                </c:pt>
              </c:numCache>
            </c:numRef>
          </c:val>
          <c:extLst>
            <c:ext xmlns:c16="http://schemas.microsoft.com/office/drawing/2014/chart" uri="{C3380CC4-5D6E-409C-BE32-E72D297353CC}">
              <c16:uniqueId val="{00000000-A866-4EAC-B1E9-C6C85CCF4714}"/>
            </c:ext>
          </c:extLst>
        </c:ser>
        <c:ser>
          <c:idx val="1"/>
          <c:order val="1"/>
          <c:tx>
            <c:strRef>
              <c:f>'G2.4'!$A$4</c:f>
              <c:strCache>
                <c:ptCount val="1"/>
                <c:pt idx="0">
                  <c:v> pracovní úrazy</c:v>
                </c:pt>
              </c:strCache>
            </c:strRef>
          </c:tx>
          <c:spPr>
            <a:solidFill>
              <a:srgbClr val="B44946"/>
            </a:solidFill>
            <a:ln>
              <a:noFill/>
            </a:ln>
            <a:effectLst/>
          </c:spPr>
          <c:invertIfNegative val="0"/>
          <c:cat>
            <c:strRef>
              <c:f>'G2.4'!$D$2:$N$2</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'G2.4'!$D$4:$N$4</c:f>
              <c:numCache>
                <c:formatCode>General</c:formatCode>
                <c:ptCount val="11"/>
                <c:pt idx="0">
                  <c:v>0.97</c:v>
                </c:pt>
                <c:pt idx="1">
                  <c:v>1.01</c:v>
                </c:pt>
                <c:pt idx="2">
                  <c:v>1.0279761491999999</c:v>
                </c:pt>
                <c:pt idx="3">
                  <c:v>1.0364437007</c:v>
                </c:pt>
                <c:pt idx="4">
                  <c:v>1.016540582</c:v>
                </c:pt>
                <c:pt idx="5">
                  <c:v>0.97666524430000001</c:v>
                </c:pt>
                <c:pt idx="6">
                  <c:v>0.94132771527418446</c:v>
                </c:pt>
                <c:pt idx="7">
                  <c:v>0.88176352420000004</c:v>
                </c:pt>
                <c:pt idx="8" formatCode="0.00">
                  <c:v>0.95436338720000002</c:v>
                </c:pt>
                <c:pt idx="9" formatCode="0.00">
                  <c:v>0.93952139710000004</c:v>
                </c:pt>
                <c:pt idx="10" formatCode="0.00">
                  <c:v>0.91204554189999998</c:v>
                </c:pt>
              </c:numCache>
            </c:numRef>
          </c:val>
          <c:extLst>
            <c:ext xmlns:c16="http://schemas.microsoft.com/office/drawing/2014/chart" uri="{C3380CC4-5D6E-409C-BE32-E72D297353CC}">
              <c16:uniqueId val="{00000001-A866-4EAC-B1E9-C6C85CCF4714}"/>
            </c:ext>
          </c:extLst>
        </c:ser>
        <c:ser>
          <c:idx val="2"/>
          <c:order val="2"/>
          <c:tx>
            <c:strRef>
              <c:f>'G2.4'!$A$5</c:f>
              <c:strCache>
                <c:ptCount val="1"/>
                <c:pt idx="0">
                  <c:v> ostatní úrazy</c:v>
                </c:pt>
              </c:strCache>
            </c:strRef>
          </c:tx>
          <c:spPr>
            <a:solidFill>
              <a:srgbClr val="F6ACAC"/>
            </a:solidFill>
            <a:ln>
              <a:noFill/>
            </a:ln>
            <a:effectLst/>
          </c:spPr>
          <c:invertIfNegative val="0"/>
          <c:cat>
            <c:strRef>
              <c:f>'G2.4'!$D$2:$N$2</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'G2.4'!$D$5:$N$5</c:f>
              <c:numCache>
                <c:formatCode>General</c:formatCode>
                <c:ptCount val="11"/>
                <c:pt idx="0">
                  <c:v>2.71</c:v>
                </c:pt>
                <c:pt idx="1">
                  <c:v>2.76</c:v>
                </c:pt>
                <c:pt idx="2">
                  <c:v>2.9569928851</c:v>
                </c:pt>
                <c:pt idx="3">
                  <c:v>3.1726609424999999</c:v>
                </c:pt>
                <c:pt idx="4">
                  <c:v>3.1924353055000001</c:v>
                </c:pt>
                <c:pt idx="5">
                  <c:v>3.2320196819999998</c:v>
                </c:pt>
                <c:pt idx="6">
                  <c:v>3.3599348163568723</c:v>
                </c:pt>
                <c:pt idx="7">
                  <c:v>3.1333540811999998</c:v>
                </c:pt>
                <c:pt idx="8" formatCode="0.00">
                  <c:v>3.4002846242999998</c:v>
                </c:pt>
                <c:pt idx="9" formatCode="0.00">
                  <c:v>3.6371912911000002</c:v>
                </c:pt>
                <c:pt idx="10" formatCode="0.00">
                  <c:v>3.5337044668000002</c:v>
                </c:pt>
              </c:numCache>
            </c:numRef>
          </c:val>
          <c:extLst>
            <c:ext xmlns:c16="http://schemas.microsoft.com/office/drawing/2014/chart" uri="{C3380CC4-5D6E-409C-BE32-E72D297353CC}">
              <c16:uniqueId val="{00000002-A866-4EAC-B1E9-C6C85CCF4714}"/>
            </c:ext>
          </c:extLst>
        </c:ser>
        <c:dLbls>
          <c:showLegendKey val="0"/>
          <c:showVal val="0"/>
          <c:showCatName val="0"/>
          <c:showSerName val="0"/>
          <c:showPercent val="0"/>
          <c:showBubbleSize val="0"/>
        </c:dLbls>
        <c:gapWidth val="64"/>
        <c:overlap val="100"/>
        <c:axId val="1098100367"/>
        <c:axId val="1098102031"/>
      </c:barChart>
      <c:lineChart>
        <c:grouping val="stacked"/>
        <c:varyColors val="0"/>
        <c:ser>
          <c:idx val="3"/>
          <c:order val="3"/>
          <c:tx>
            <c:strRef>
              <c:f>'G2.4'!$A$6</c:f>
              <c:strCache>
                <c:ptCount val="1"/>
                <c:pt idx="0">
                  <c:v> celkem</c:v>
                </c:pt>
              </c:strCache>
            </c:strRef>
          </c:tx>
          <c:spPr>
            <a:ln w="28575" cap="rnd">
              <a:noFill/>
              <a:round/>
            </a:ln>
            <a:effectLst/>
          </c:spPr>
          <c:marker>
            <c:symbol val="circle"/>
            <c:size val="5"/>
            <c:spPr>
              <a:solidFill>
                <a:srgbClr val="632827"/>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'G2.4'!$D$2:$N$2</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'G2.4'!$D$6:$N$6</c:f>
              <c:numCache>
                <c:formatCode>0.0</c:formatCode>
                <c:ptCount val="11"/>
                <c:pt idx="0">
                  <c:v>29.99</c:v>
                </c:pt>
                <c:pt idx="1">
                  <c:v>29.450000000000003</c:v>
                </c:pt>
                <c:pt idx="2">
                  <c:v>34.689463519300006</c:v>
                </c:pt>
                <c:pt idx="3">
                  <c:v>35.730433507200004</c:v>
                </c:pt>
                <c:pt idx="4">
                  <c:v>36.549162129999999</c:v>
                </c:pt>
                <c:pt idx="5">
                  <c:v>39.077914011200001</c:v>
                </c:pt>
                <c:pt idx="6">
                  <c:v>40.457589927888918</c:v>
                </c:pt>
                <c:pt idx="7">
                  <c:v>50.977478752199993</c:v>
                </c:pt>
                <c:pt idx="8">
                  <c:v>58.510548846200003</c:v>
                </c:pt>
                <c:pt idx="9">
                  <c:v>72.823712941300002</c:v>
                </c:pt>
                <c:pt idx="10" formatCode="0.00">
                  <c:v>53.183063030500001</c:v>
                </c:pt>
              </c:numCache>
            </c:numRef>
          </c:val>
          <c:smooth val="0"/>
          <c:extLst>
            <c:ext xmlns:c16="http://schemas.microsoft.com/office/drawing/2014/chart" uri="{C3380CC4-5D6E-409C-BE32-E72D297353CC}">
              <c16:uniqueId val="{00000003-A866-4EAC-B1E9-C6C85CCF4714}"/>
            </c:ext>
          </c:extLst>
        </c:ser>
        <c:dLbls>
          <c:showLegendKey val="0"/>
          <c:showVal val="0"/>
          <c:showCatName val="0"/>
          <c:showSerName val="0"/>
          <c:showPercent val="0"/>
          <c:showBubbleSize val="0"/>
        </c:dLbls>
        <c:marker val="1"/>
        <c:smooth val="0"/>
        <c:axId val="1557793183"/>
        <c:axId val="1557807743"/>
      </c:lineChart>
      <c:catAx>
        <c:axId val="1098100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098102031"/>
        <c:crosses val="autoZero"/>
        <c:auto val="1"/>
        <c:lblAlgn val="ctr"/>
        <c:lblOffset val="100"/>
        <c:noMultiLvlLbl val="0"/>
      </c:catAx>
      <c:valAx>
        <c:axId val="1098102031"/>
        <c:scaling>
          <c:orientation val="minMax"/>
          <c:max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počet případů</a:t>
                </a:r>
                <a:r>
                  <a:rPr lang="cs-CZ"/>
                  <a:t> na 100 pojištěnců</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098100367"/>
        <c:crosses val="autoZero"/>
        <c:crossBetween val="between"/>
        <c:majorUnit val="10"/>
      </c:valAx>
      <c:valAx>
        <c:axId val="1557807743"/>
        <c:scaling>
          <c:orientation val="minMax"/>
        </c:scaling>
        <c:delete val="1"/>
        <c:axPos val="r"/>
        <c:numFmt formatCode="0.0" sourceLinked="1"/>
        <c:majorTickMark val="out"/>
        <c:minorTickMark val="none"/>
        <c:tickLblPos val="nextTo"/>
        <c:crossAx val="1557793183"/>
        <c:crosses val="max"/>
        <c:crossBetween val="between"/>
      </c:valAx>
      <c:catAx>
        <c:axId val="1557793183"/>
        <c:scaling>
          <c:orientation val="minMax"/>
        </c:scaling>
        <c:delete val="1"/>
        <c:axPos val="b"/>
        <c:numFmt formatCode="General" sourceLinked="1"/>
        <c:majorTickMark val="out"/>
        <c:minorTickMark val="none"/>
        <c:tickLblPos val="nextTo"/>
        <c:crossAx val="155780774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710671601621484"/>
          <c:y val="2.8097062579821201E-2"/>
          <c:w val="0.43550671411082686"/>
          <c:h val="0.85924075582506232"/>
        </c:manualLayout>
      </c:layout>
      <c:barChart>
        <c:barDir val="bar"/>
        <c:grouping val="clustered"/>
        <c:varyColors val="0"/>
        <c:ser>
          <c:idx val="0"/>
          <c:order val="0"/>
          <c:tx>
            <c:strRef>
              <c:f>'G2.5'!$P$31</c:f>
              <c:strCache>
                <c:ptCount val="1"/>
                <c:pt idx="0">
                  <c:v> 2019</c:v>
                </c:pt>
              </c:strCache>
            </c:strRef>
          </c:tx>
          <c:spPr>
            <a:solidFill>
              <a:srgbClr val="B44946"/>
            </a:solidFill>
            <a:ln>
              <a:noFill/>
            </a:ln>
            <a:effectLst/>
          </c:spPr>
          <c:invertIfNegative val="0"/>
          <c:dPt>
            <c:idx val="14"/>
            <c:invertIfNegative val="0"/>
            <c:bubble3D val="0"/>
            <c:spPr>
              <a:solidFill>
                <a:srgbClr val="B44946"/>
              </a:solidFill>
              <a:ln w="19050">
                <a:solidFill>
                  <a:schemeClr val="accent1"/>
                </a:solidFill>
              </a:ln>
              <a:effectLst/>
            </c:spPr>
            <c:extLst>
              <c:ext xmlns:c16="http://schemas.microsoft.com/office/drawing/2014/chart" uri="{C3380CC4-5D6E-409C-BE32-E72D297353CC}">
                <c16:uniqueId val="{00000001-659B-4B2A-8307-59332FB2363D}"/>
              </c:ext>
            </c:extLst>
          </c:dPt>
          <c:cat>
            <c:strRef>
              <c:f>'G2.5'!$N$32:$N$51</c:f>
              <c:strCache>
                <c:ptCount val="20"/>
                <c:pt idx="0">
                  <c:v>L – Činnosti v oblasti nemovitostí</c:v>
                </c:pt>
                <c:pt idx="1">
                  <c:v>M – Profesní, vědecké a technické činnosti</c:v>
                </c:pt>
                <c:pt idx="2">
                  <c:v>J – Informační a komunikační činnosti</c:v>
                </c:pt>
                <c:pt idx="3">
                  <c:v>K – Peněžnictví a pojišťovnictví</c:v>
                </c:pt>
                <c:pt idx="4">
                  <c:v>S – Ostatní činnosti</c:v>
                </c:pt>
                <c:pt idx="5">
                  <c:v>D – Výroba a rozvod elektřiny, plynu, tepla a klimatiz. vzduchu</c:v>
                </c:pt>
                <c:pt idx="6">
                  <c:v>I – Ubytování, stravování a pohostinství</c:v>
                </c:pt>
                <c:pt idx="7">
                  <c:v>R – Kulturní, zábavní a rekreační činnosti</c:v>
                </c:pt>
                <c:pt idx="8">
                  <c:v>F – Stavebnictví</c:v>
                </c:pt>
                <c:pt idx="9">
                  <c:v>A – Zemědělství, lesnictví, rybářství</c:v>
                </c:pt>
                <c:pt idx="10">
                  <c:v>H – Doprava a skladování</c:v>
                </c:pt>
                <c:pt idx="11">
                  <c:v>G – Velkoobchod a maloobchod; opravy a údržba motor. vozidel</c:v>
                </c:pt>
                <c:pt idx="12">
                  <c:v>B – Těžba a dobývání</c:v>
                </c:pt>
                <c:pt idx="13">
                  <c:v>Q – Zdravotní a sociální péče</c:v>
                </c:pt>
                <c:pt idx="14">
                  <c:v>CELKEM</c:v>
                </c:pt>
                <c:pt idx="15">
                  <c:v>O – Veřejná správa a obrana; povinné sociální zabezpečení</c:v>
                </c:pt>
                <c:pt idx="16">
                  <c:v>N – Administrativní a podpůrné činnosti</c:v>
                </c:pt>
                <c:pt idx="17">
                  <c:v>E – Zásobování vodou; činnosti související s odpady a sanacemi</c:v>
                </c:pt>
                <c:pt idx="18">
                  <c:v>P – Vzdělávání</c:v>
                </c:pt>
                <c:pt idx="19">
                  <c:v>C – Zpracovatelský průmysl</c:v>
                </c:pt>
              </c:strCache>
            </c:strRef>
          </c:cat>
          <c:val>
            <c:numRef>
              <c:f>'G2.5'!$P$32:$P$51</c:f>
              <c:numCache>
                <c:formatCode>General</c:formatCode>
                <c:ptCount val="20"/>
                <c:pt idx="0">
                  <c:v>18.345079369600001</c:v>
                </c:pt>
                <c:pt idx="1">
                  <c:v>22.9664972743</c:v>
                </c:pt>
                <c:pt idx="2">
                  <c:v>27.3182950763</c:v>
                </c:pt>
                <c:pt idx="3">
                  <c:v>30.886686647200001</c:v>
                </c:pt>
                <c:pt idx="4">
                  <c:v>31.314303677200002</c:v>
                </c:pt>
                <c:pt idx="5">
                  <c:v>30.038552074399998</c:v>
                </c:pt>
                <c:pt idx="6">
                  <c:v>30.750215303099999</c:v>
                </c:pt>
                <c:pt idx="7">
                  <c:v>27.846363628399999</c:v>
                </c:pt>
                <c:pt idx="8">
                  <c:v>33.848210999899997</c:v>
                </c:pt>
                <c:pt idx="9">
                  <c:v>34.5626146436</c:v>
                </c:pt>
                <c:pt idx="10">
                  <c:v>39.911316684500001</c:v>
                </c:pt>
                <c:pt idx="11">
                  <c:v>40.286069109000003</c:v>
                </c:pt>
                <c:pt idx="12">
                  <c:v>44.483583707999998</c:v>
                </c:pt>
                <c:pt idx="13">
                  <c:v>35.173337095000001</c:v>
                </c:pt>
                <c:pt idx="14">
                  <c:v>40.457589927900003</c:v>
                </c:pt>
                <c:pt idx="15">
                  <c:v>35.533122364500002</c:v>
                </c:pt>
                <c:pt idx="16">
                  <c:v>49.684159152399999</c:v>
                </c:pt>
                <c:pt idx="17">
                  <c:v>42.561036639100003</c:v>
                </c:pt>
                <c:pt idx="18">
                  <c:v>35.984451415700001</c:v>
                </c:pt>
                <c:pt idx="19">
                  <c:v>53.900511653400002</c:v>
                </c:pt>
              </c:numCache>
            </c:numRef>
          </c:val>
          <c:extLst>
            <c:ext xmlns:c16="http://schemas.microsoft.com/office/drawing/2014/chart" uri="{C3380CC4-5D6E-409C-BE32-E72D297353CC}">
              <c16:uniqueId val="{00000002-659B-4B2A-8307-59332FB2363D}"/>
            </c:ext>
          </c:extLst>
        </c:ser>
        <c:ser>
          <c:idx val="1"/>
          <c:order val="1"/>
          <c:tx>
            <c:strRef>
              <c:f>'G2.5'!$O$31</c:f>
              <c:strCache>
                <c:ptCount val="1"/>
                <c:pt idx="0">
                  <c:v> 2023</c:v>
                </c:pt>
              </c:strCache>
            </c:strRef>
          </c:tx>
          <c:spPr>
            <a:solidFill>
              <a:srgbClr val="632827"/>
            </a:solidFill>
            <a:ln>
              <a:noFill/>
            </a:ln>
            <a:effectLst/>
          </c:spPr>
          <c:invertIfNegative val="0"/>
          <c:dPt>
            <c:idx val="14"/>
            <c:invertIfNegative val="0"/>
            <c:bubble3D val="0"/>
            <c:spPr>
              <a:solidFill>
                <a:srgbClr val="632827"/>
              </a:solidFill>
              <a:ln w="19050">
                <a:solidFill>
                  <a:schemeClr val="accent1"/>
                </a:solidFill>
              </a:ln>
              <a:effectLst/>
            </c:spPr>
            <c:extLst>
              <c:ext xmlns:c16="http://schemas.microsoft.com/office/drawing/2014/chart" uri="{C3380CC4-5D6E-409C-BE32-E72D297353CC}">
                <c16:uniqueId val="{00000004-659B-4B2A-8307-59332FB2363D}"/>
              </c:ext>
            </c:extLst>
          </c:dPt>
          <c:cat>
            <c:strRef>
              <c:f>'G2.5'!$N$32:$N$51</c:f>
              <c:strCache>
                <c:ptCount val="20"/>
                <c:pt idx="0">
                  <c:v>L – Činnosti v oblasti nemovitostí</c:v>
                </c:pt>
                <c:pt idx="1">
                  <c:v>M – Profesní, vědecké a technické činnosti</c:v>
                </c:pt>
                <c:pt idx="2">
                  <c:v>J – Informační a komunikační činnosti</c:v>
                </c:pt>
                <c:pt idx="3">
                  <c:v>K – Peněžnictví a pojišťovnictví</c:v>
                </c:pt>
                <c:pt idx="4">
                  <c:v>S – Ostatní činnosti</c:v>
                </c:pt>
                <c:pt idx="5">
                  <c:v>D – Výroba a rozvod elektřiny, plynu, tepla a klimatiz. vzduchu</c:v>
                </c:pt>
                <c:pt idx="6">
                  <c:v>I – Ubytování, stravování a pohostinství</c:v>
                </c:pt>
                <c:pt idx="7">
                  <c:v>R – Kulturní, zábavní a rekreační činnosti</c:v>
                </c:pt>
                <c:pt idx="8">
                  <c:v>F – Stavebnictví</c:v>
                </c:pt>
                <c:pt idx="9">
                  <c:v>A – Zemědělství, lesnictví, rybářství</c:v>
                </c:pt>
                <c:pt idx="10">
                  <c:v>H – Doprava a skladování</c:v>
                </c:pt>
                <c:pt idx="11">
                  <c:v>G – Velkoobchod a maloobchod; opravy a údržba motor. vozidel</c:v>
                </c:pt>
                <c:pt idx="12">
                  <c:v>B – Těžba a dobývání</c:v>
                </c:pt>
                <c:pt idx="13">
                  <c:v>Q – Zdravotní a sociální péče</c:v>
                </c:pt>
                <c:pt idx="14">
                  <c:v>CELKEM</c:v>
                </c:pt>
                <c:pt idx="15">
                  <c:v>O – Veřejná správa a obrana; povinné sociální zabezpečení</c:v>
                </c:pt>
                <c:pt idx="16">
                  <c:v>N – Administrativní a podpůrné činnosti</c:v>
                </c:pt>
                <c:pt idx="17">
                  <c:v>E – Zásobování vodou; činnosti související s odpady a sanacemi</c:v>
                </c:pt>
                <c:pt idx="18">
                  <c:v>P – Vzdělávání</c:v>
                </c:pt>
                <c:pt idx="19">
                  <c:v>C – Zpracovatelský průmysl</c:v>
                </c:pt>
              </c:strCache>
            </c:strRef>
          </c:cat>
          <c:val>
            <c:numRef>
              <c:f>'G2.5'!$O$32:$O$51</c:f>
              <c:numCache>
                <c:formatCode>0.00</c:formatCode>
                <c:ptCount val="20"/>
                <c:pt idx="0">
                  <c:v>25.003048028199998</c:v>
                </c:pt>
                <c:pt idx="1">
                  <c:v>29.262924419699999</c:v>
                </c:pt>
                <c:pt idx="2">
                  <c:v>30.1762449175</c:v>
                </c:pt>
                <c:pt idx="3">
                  <c:v>33.6900096265</c:v>
                </c:pt>
                <c:pt idx="4">
                  <c:v>33.927558026500002</c:v>
                </c:pt>
                <c:pt idx="5">
                  <c:v>37.049093406700003</c:v>
                </c:pt>
                <c:pt idx="6">
                  <c:v>38.1760711286</c:v>
                </c:pt>
                <c:pt idx="7">
                  <c:v>39.063592777399997</c:v>
                </c:pt>
                <c:pt idx="8">
                  <c:v>40.996483642400001</c:v>
                </c:pt>
                <c:pt idx="9">
                  <c:v>41.689306716600001</c:v>
                </c:pt>
                <c:pt idx="10">
                  <c:v>51.229962250200003</c:v>
                </c:pt>
                <c:pt idx="11">
                  <c:v>51.233036809600002</c:v>
                </c:pt>
                <c:pt idx="12">
                  <c:v>51.910845890600001</c:v>
                </c:pt>
                <c:pt idx="13">
                  <c:v>53.072594416599998</c:v>
                </c:pt>
                <c:pt idx="14">
                  <c:v>53.183063030500001</c:v>
                </c:pt>
                <c:pt idx="15">
                  <c:v>54.017832157800001</c:v>
                </c:pt>
                <c:pt idx="16">
                  <c:v>55.955706593599999</c:v>
                </c:pt>
                <c:pt idx="17">
                  <c:v>56.700832869700001</c:v>
                </c:pt>
                <c:pt idx="18">
                  <c:v>63.145931832300001</c:v>
                </c:pt>
                <c:pt idx="19">
                  <c:v>69.147258635</c:v>
                </c:pt>
              </c:numCache>
            </c:numRef>
          </c:val>
          <c:extLst>
            <c:ext xmlns:c16="http://schemas.microsoft.com/office/drawing/2014/chart" uri="{C3380CC4-5D6E-409C-BE32-E72D297353CC}">
              <c16:uniqueId val="{00000005-659B-4B2A-8307-59332FB2363D}"/>
            </c:ext>
          </c:extLst>
        </c:ser>
        <c:dLbls>
          <c:showLegendKey val="0"/>
          <c:showVal val="0"/>
          <c:showCatName val="0"/>
          <c:showSerName val="0"/>
          <c:showPercent val="0"/>
          <c:showBubbleSize val="0"/>
        </c:dLbls>
        <c:gapWidth val="182"/>
        <c:axId val="1399945359"/>
        <c:axId val="1399934543"/>
      </c:barChart>
      <c:catAx>
        <c:axId val="13999453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399934543"/>
        <c:crosses val="autoZero"/>
        <c:auto val="1"/>
        <c:lblAlgn val="ctr"/>
        <c:lblOffset val="100"/>
        <c:noMultiLvlLbl val="0"/>
      </c:catAx>
      <c:valAx>
        <c:axId val="1399934543"/>
        <c:scaling>
          <c:orientation val="minMax"/>
          <c:max val="7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počet případů</a:t>
                </a:r>
                <a:r>
                  <a:rPr lang="cs-CZ"/>
                  <a:t> na 100 pojištěnců</a:t>
                </a:r>
                <a:endParaRPr lang="en-US"/>
              </a:p>
            </c:rich>
          </c:tx>
          <c:layout>
            <c:manualLayout>
              <c:xMode val="edge"/>
              <c:yMode val="edge"/>
              <c:x val="0.61839192958319522"/>
              <c:y val="0.9376834604582365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399945359"/>
        <c:crosses val="autoZero"/>
        <c:crossBetween val="between"/>
        <c:majorUnit val="10"/>
      </c:valAx>
      <c:spPr>
        <a:noFill/>
        <a:ln>
          <a:noFill/>
        </a:ln>
        <a:effectLst/>
      </c:spPr>
    </c:plotArea>
    <c:legend>
      <c:legendPos val="r"/>
      <c:layout>
        <c:manualLayout>
          <c:xMode val="edge"/>
          <c:yMode val="edge"/>
          <c:x val="0.87569155084986461"/>
          <c:y val="0.41749998800424171"/>
          <c:w val="6.934662589863945E-2"/>
          <c:h val="7.2373384771144925E-2"/>
        </c:manualLayout>
      </c:layout>
      <c:overlay val="0"/>
      <c:spPr>
        <a:solidFill>
          <a:schemeClr val="bg1"/>
        </a:solidFill>
        <a:ln>
          <a:solidFill>
            <a:schemeClr val="bg1">
              <a:lumMod val="75000"/>
            </a:schemeClr>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0.90697</cdr:x>
      <cdr:y>0.02557</cdr:y>
    </cdr:from>
    <cdr:to>
      <cdr:x>0.98672</cdr:x>
      <cdr:y>0.07235</cdr:y>
    </cdr:to>
    <cdr:sp macro="" textlink="">
      <cdr:nvSpPr>
        <cdr:cNvPr id="2" name="TextovéPole 1"/>
        <cdr:cNvSpPr txBox="1"/>
      </cdr:nvSpPr>
      <cdr:spPr>
        <a:xfrm xmlns:a="http://schemas.openxmlformats.org/drawingml/2006/main">
          <a:off x="5550792" y="132062"/>
          <a:ext cx="488057" cy="2415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400" b="1">
              <a:solidFill>
                <a:schemeClr val="bg1"/>
              </a:solidFill>
            </a:rPr>
            <a:t>//</a:t>
          </a:r>
        </a:p>
      </cdr:txBody>
    </cdr:sp>
  </cdr:relSizeAnchor>
  <cdr:relSizeAnchor xmlns:cdr="http://schemas.openxmlformats.org/drawingml/2006/chartDrawing">
    <cdr:from>
      <cdr:x>0.91855</cdr:x>
      <cdr:y>0.07085</cdr:y>
    </cdr:from>
    <cdr:to>
      <cdr:x>0.9694</cdr:x>
      <cdr:y>0.10934</cdr:y>
    </cdr:to>
    <cdr:sp macro="" textlink="">
      <cdr:nvSpPr>
        <cdr:cNvPr id="3" name="TextovéPole 3"/>
        <cdr:cNvSpPr txBox="1"/>
      </cdr:nvSpPr>
      <cdr:spPr>
        <a:xfrm xmlns:a="http://schemas.openxmlformats.org/drawingml/2006/main">
          <a:off x="6194425" y="403225"/>
          <a:ext cx="342900" cy="21907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cs-CZ" sz="1100" b="1">
              <a:solidFill>
                <a:schemeClr val="bg1"/>
              </a:solidFill>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0.37303</cdr:x>
      <cdr:y>0.48598</cdr:y>
    </cdr:from>
    <cdr:to>
      <cdr:x>0.65281</cdr:x>
      <cdr:y>0.63283</cdr:y>
    </cdr:to>
    <cdr:sp macro="" textlink="">
      <cdr:nvSpPr>
        <cdr:cNvPr id="2" name="TextovéPole 1"/>
        <cdr:cNvSpPr txBox="1"/>
      </cdr:nvSpPr>
      <cdr:spPr>
        <a:xfrm xmlns:a="http://schemas.openxmlformats.org/drawingml/2006/main">
          <a:off x="1219200" y="1009431"/>
          <a:ext cx="914400" cy="3050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000" b="1">
              <a:latin typeface="Arial" panose="020B0604020202020204" pitchFamily="34" charset="0"/>
              <a:cs typeface="Arial" panose="020B0604020202020204" pitchFamily="34" charset="0"/>
            </a:rPr>
            <a:t>1 401,0 tis.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9F2DB7AEC6647A8C955557DF8632E" ma:contentTypeVersion="16" ma:contentTypeDescription="Vytvoří nový dokument" ma:contentTypeScope="" ma:versionID="356a4260fa4c89cc6536cff4429bdf70">
  <xsd:schema xmlns:xsd="http://www.w3.org/2001/XMLSchema" xmlns:xs="http://www.w3.org/2001/XMLSchema" xmlns:p="http://schemas.microsoft.com/office/2006/metadata/properties" xmlns:ns3="a54ffe45-0905-4298-9ac1-24bf84dddb4f" xmlns:ns4="58154a9b-48f0-4027-84a6-b753b7361b43" targetNamespace="http://schemas.microsoft.com/office/2006/metadata/properties" ma:root="true" ma:fieldsID="a7bf14e38ff2c1bdaa4a382efed316c6" ns3:_="" ns4:_="">
    <xsd:import namespace="a54ffe45-0905-4298-9ac1-24bf84dddb4f"/>
    <xsd:import namespace="58154a9b-48f0-4027-84a6-b753b7361b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OCR" minOccurs="0"/>
                <xsd:element ref="ns4:MediaServiceSearchPropertie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ffe45-0905-4298-9ac1-24bf84dddb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154a9b-48f0-4027-84a6-b753b7361b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154a9b-48f0-4027-84a6-b753b7361b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95D9B-C74E-4212-AC3B-1E28D08DB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ffe45-0905-4298-9ac1-24bf84dddb4f"/>
    <ds:schemaRef ds:uri="58154a9b-48f0-4027-84a6-b753b7361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A793C-A327-4F6D-BFCB-DBC0AED8A92F}">
  <ds:schemaRefs>
    <ds:schemaRef ds:uri="http://schemas.microsoft.com/sharepoint/v3/contenttype/forms"/>
  </ds:schemaRefs>
</ds:datastoreItem>
</file>

<file path=customXml/itemProps3.xml><?xml version="1.0" encoding="utf-8"?>
<ds:datastoreItem xmlns:ds="http://schemas.openxmlformats.org/officeDocument/2006/customXml" ds:itemID="{99E43DAA-0CE7-4F77-943E-2E3540133225}">
  <ds:schemaRefs>
    <ds:schemaRef ds:uri="http://schemas.microsoft.com/office/2006/metadata/properties"/>
    <ds:schemaRef ds:uri="http://schemas.microsoft.com/office/infopath/2007/PartnerControls"/>
    <ds:schemaRef ds:uri="58154a9b-48f0-4027-84a6-b753b7361b43"/>
  </ds:schemaRefs>
</ds:datastoreItem>
</file>

<file path=customXml/itemProps4.xml><?xml version="1.0" encoding="utf-8"?>
<ds:datastoreItem xmlns:ds="http://schemas.openxmlformats.org/officeDocument/2006/customXml" ds:itemID="{B41FA8F9-C40E-4F69-894F-CCD69C02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Form_c439 - Publikace bar CZ_lide a spolecnost_2017-08-14.dotx</Template>
  <TotalTime>150</TotalTime>
  <Pages>49</Pages>
  <Words>18488</Words>
  <Characters>109084</Characters>
  <Application>Microsoft Office Word</Application>
  <DocSecurity>0</DocSecurity>
  <Lines>909</Lines>
  <Paragraphs>254</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Manager/>
  <Company>CSU</Company>
  <LinksUpToDate>false</LinksUpToDate>
  <CharactersWithSpaces>127318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Hykyšová Alena</dc:creator>
  <cp:keywords/>
  <dc:description/>
  <cp:lastModifiedBy>Hykyšová Alena</cp:lastModifiedBy>
  <cp:revision>5</cp:revision>
  <cp:lastPrinted>2014-07-17T14:07:00Z</cp:lastPrinted>
  <dcterms:created xsi:type="dcterms:W3CDTF">2024-05-30T07:09:00Z</dcterms:created>
  <dcterms:modified xsi:type="dcterms:W3CDTF">2024-05-30T10:40:00Z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0x01010004D9F2DB7AEC6647A8C955557DF8632E</vt:lpwstr>
  </property>
  <property fmtid="{D5CDD505-2E9C-101B-9397-08002B2CF9AE}" pid="3" name="Názevformuláře">
    <vt:lpwstr>Publikace CZ barevné - lidé a společnost
</vt:lpwstr>
  </property>
  <property fmtid="{D5CDD505-2E9C-101B-9397-08002B2CF9AE}" pid="4" name="Vazbanaprocesnídoménu">
    <vt:lpwstr>;#4. Komunikace a propagace;#</vt:lpwstr>
  </property>
  <property fmtid="{D5CDD505-2E9C-101B-9397-08002B2CF9AE}" pid="5" name="Vazbanadefiničnípředpis">
    <vt:lpwstr>Manuál ke zveřejňování produktů ČSÚ
</vt:lpwstr>
  </property>
  <property fmtid="{D5CDD505-2E9C-101B-9397-08002B2CF9AE}" pid="6" name="Ustanovení">
    <vt:lpwstr>část první čl. 2, odst. 3b,c; část pátá; příloha 1
</vt:lpwstr>
  </property>
  <property fmtid="{D5CDD505-2E9C-101B-9397-08002B2CF9AE}" pid="7" name="Účinnostod">
    <vt:filetime>2017-08-14T07:00:00Z</vt:filetime>
  </property>
  <property fmtid="{D5CDD505-2E9C-101B-9397-08002B2CF9AE}" pid="8" name="Označení">
    <vt:lpwstr>Form_c439</vt:lpwstr>
  </property>
</Properties>
</file>