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7A" w:rsidRPr="00DA70D5" w:rsidRDefault="008B247A" w:rsidP="00DA70D5">
      <w:pPr>
        <w:pStyle w:val="Nadpis2"/>
        <w:shd w:val="clear" w:color="auto" w:fill="EAF1DD"/>
        <w:spacing w:before="120" w:after="120"/>
        <w:rPr>
          <w:rFonts w:ascii="Calibri" w:hAnsi="Calibri" w:cs="Arial"/>
          <w:color w:val="4F6228"/>
          <w:sz w:val="28"/>
          <w:szCs w:val="28"/>
        </w:rPr>
      </w:pPr>
      <w:r w:rsidRPr="00DA70D5">
        <w:rPr>
          <w:rFonts w:ascii="Calibri" w:hAnsi="Calibri" w:cs="Arial"/>
          <w:color w:val="4F6228"/>
          <w:sz w:val="28"/>
          <w:szCs w:val="28"/>
        </w:rPr>
        <w:t>STÁTNÍ ROZPOČTOVÉ VÝDAJE A DOTACE NA VÝZKUM A VÝVOJ (GBAORD) – ANALYTICKÁ ČÁST</w:t>
      </w:r>
    </w:p>
    <w:p w:rsidR="002807A6" w:rsidRPr="00041F1A" w:rsidRDefault="008F77AC" w:rsidP="002807A6">
      <w:pPr>
        <w:pStyle w:val="Nadpis1"/>
        <w:spacing w:before="120" w:after="120"/>
        <w:rPr>
          <w:rFonts w:ascii="Calibri" w:hAnsi="Calibri"/>
          <w:color w:val="4F6228"/>
        </w:rPr>
      </w:pPr>
      <w:r w:rsidRPr="00041F1A">
        <w:rPr>
          <w:rFonts w:ascii="Calibri" w:hAnsi="Calibri"/>
          <w:color w:val="4F6228"/>
        </w:rPr>
        <w:t xml:space="preserve">1. </w:t>
      </w:r>
      <w:r w:rsidR="00966BBE">
        <w:rPr>
          <w:rFonts w:ascii="Calibri" w:hAnsi="Calibri"/>
          <w:color w:val="4F6228"/>
        </w:rPr>
        <w:t>Základní údaje</w:t>
      </w:r>
    </w:p>
    <w:p w:rsidR="002868B5" w:rsidRDefault="001921D0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FF445C">
        <w:rPr>
          <w:rFonts w:ascii="Calibri" w:hAnsi="Calibri" w:cs="Arial"/>
          <w:sz w:val="20"/>
          <w:szCs w:val="20"/>
        </w:rPr>
        <w:t>V České republice v roce</w:t>
      </w:r>
      <w:r w:rsidR="009123F9">
        <w:rPr>
          <w:rFonts w:ascii="Calibri" w:hAnsi="Calibri" w:cs="Arial"/>
          <w:sz w:val="20"/>
          <w:szCs w:val="20"/>
        </w:rPr>
        <w:t xml:space="preserve"> 2013</w:t>
      </w:r>
      <w:r w:rsidRPr="00FF445C">
        <w:rPr>
          <w:rFonts w:ascii="Calibri" w:hAnsi="Calibri" w:cs="Arial"/>
          <w:sz w:val="20"/>
          <w:szCs w:val="20"/>
        </w:rPr>
        <w:t xml:space="preserve"> dosáhly</w:t>
      </w:r>
      <w:r w:rsidR="00E463E7" w:rsidRPr="00FF445C">
        <w:rPr>
          <w:rFonts w:ascii="Calibri" w:hAnsi="Calibri" w:cs="Arial"/>
          <w:sz w:val="20"/>
          <w:szCs w:val="20"/>
        </w:rPr>
        <w:t xml:space="preserve"> </w:t>
      </w:r>
      <w:r w:rsidR="00E463E7" w:rsidRPr="006171DE">
        <w:rPr>
          <w:rFonts w:ascii="Calibri" w:hAnsi="Calibri" w:cs="Arial"/>
          <w:b/>
          <w:sz w:val="20"/>
          <w:szCs w:val="20"/>
        </w:rPr>
        <w:t>státní rozpočtové výdaje a dotace n</w:t>
      </w:r>
      <w:r w:rsidRPr="006171DE">
        <w:rPr>
          <w:rFonts w:ascii="Calibri" w:hAnsi="Calibri" w:cs="Arial"/>
          <w:b/>
          <w:sz w:val="20"/>
          <w:szCs w:val="20"/>
        </w:rPr>
        <w:t>a výzkum a vývoj (</w:t>
      </w:r>
      <w:r w:rsidR="006171DE">
        <w:rPr>
          <w:rFonts w:ascii="Calibri" w:hAnsi="Calibri" w:cs="Arial"/>
          <w:b/>
          <w:sz w:val="20"/>
          <w:szCs w:val="20"/>
        </w:rPr>
        <w:t xml:space="preserve">dále jen </w:t>
      </w:r>
      <w:r w:rsidRPr="006171DE">
        <w:rPr>
          <w:rFonts w:ascii="Calibri" w:hAnsi="Calibri" w:cs="Arial"/>
          <w:b/>
          <w:sz w:val="20"/>
          <w:szCs w:val="20"/>
        </w:rPr>
        <w:t>GBAORD)</w:t>
      </w:r>
      <w:r w:rsidRPr="00FF445C">
        <w:rPr>
          <w:rFonts w:ascii="Calibri" w:hAnsi="Calibri" w:cs="Arial"/>
          <w:sz w:val="20"/>
          <w:szCs w:val="20"/>
        </w:rPr>
        <w:t xml:space="preserve"> částky </w:t>
      </w:r>
      <w:r w:rsidR="00802422">
        <w:rPr>
          <w:rFonts w:ascii="Calibri" w:hAnsi="Calibri" w:cs="Arial"/>
          <w:b/>
          <w:sz w:val="20"/>
          <w:szCs w:val="20"/>
        </w:rPr>
        <w:t>26 </w:t>
      </w:r>
      <w:r w:rsidR="00F35437">
        <w:rPr>
          <w:rFonts w:ascii="Calibri" w:hAnsi="Calibri" w:cs="Arial"/>
          <w:b/>
          <w:sz w:val="20"/>
          <w:szCs w:val="20"/>
        </w:rPr>
        <w:t>705</w:t>
      </w:r>
      <w:r w:rsidR="00802422" w:rsidRPr="00802422">
        <w:rPr>
          <w:rFonts w:ascii="Calibri" w:hAnsi="Calibri" w:cs="Arial"/>
          <w:b/>
          <w:sz w:val="20"/>
          <w:szCs w:val="20"/>
        </w:rPr>
        <w:t xml:space="preserve"> </w:t>
      </w:r>
      <w:r w:rsidR="00E463E7" w:rsidRPr="00FF445C">
        <w:rPr>
          <w:rFonts w:ascii="Calibri" w:hAnsi="Calibri" w:cs="Arial"/>
          <w:b/>
          <w:bCs/>
          <w:sz w:val="20"/>
          <w:szCs w:val="20"/>
        </w:rPr>
        <w:t>mil.</w:t>
      </w:r>
      <w:r w:rsidRPr="00FF445C">
        <w:rPr>
          <w:rFonts w:ascii="Calibri" w:hAnsi="Calibri" w:cs="Arial"/>
          <w:b/>
          <w:bCs/>
          <w:sz w:val="20"/>
          <w:szCs w:val="20"/>
        </w:rPr>
        <w:t> </w:t>
      </w:r>
      <w:r w:rsidR="00E463E7" w:rsidRPr="00FF445C">
        <w:rPr>
          <w:rFonts w:ascii="Calibri" w:hAnsi="Calibri" w:cs="Arial"/>
          <w:b/>
          <w:bCs/>
          <w:sz w:val="20"/>
          <w:szCs w:val="20"/>
        </w:rPr>
        <w:t>Kč</w:t>
      </w:r>
      <w:r w:rsidR="00E463E7" w:rsidRPr="00FF445C">
        <w:rPr>
          <w:rFonts w:ascii="Calibri" w:hAnsi="Calibri" w:cs="Arial"/>
          <w:sz w:val="20"/>
          <w:szCs w:val="20"/>
        </w:rPr>
        <w:t>.</w:t>
      </w:r>
      <w:r w:rsidR="00E463E7" w:rsidRPr="00FF445C">
        <w:rPr>
          <w:rStyle w:val="Znakapoznpodarou"/>
          <w:rFonts w:ascii="Calibri" w:hAnsi="Calibri" w:cs="Arial"/>
          <w:sz w:val="20"/>
          <w:szCs w:val="20"/>
        </w:rPr>
        <w:footnoteReference w:id="1"/>
      </w:r>
      <w:r w:rsidR="00C13E48" w:rsidRPr="00FF445C">
        <w:rPr>
          <w:rFonts w:ascii="Calibri" w:hAnsi="Calibri" w:cs="Arial"/>
          <w:sz w:val="20"/>
          <w:szCs w:val="20"/>
        </w:rPr>
        <w:t xml:space="preserve"> </w:t>
      </w:r>
      <w:r w:rsidR="004D7159" w:rsidRPr="004D7159">
        <w:rPr>
          <w:rFonts w:ascii="Calibri" w:hAnsi="Calibri" w:cs="Arial"/>
          <w:sz w:val="20"/>
          <w:szCs w:val="20"/>
        </w:rPr>
        <w:t>Státní rozpočet ČR je tak i nadále nejdůležitějším zdrojem financová</w:t>
      </w:r>
      <w:r w:rsidR="004D7159">
        <w:rPr>
          <w:rFonts w:ascii="Calibri" w:hAnsi="Calibri" w:cs="Arial"/>
          <w:sz w:val="20"/>
          <w:szCs w:val="20"/>
        </w:rPr>
        <w:t>ní VaV činností na našem území.</w:t>
      </w:r>
      <w:r w:rsidR="004D7159" w:rsidRPr="004D7159">
        <w:rPr>
          <w:rFonts w:ascii="Calibri" w:hAnsi="Calibri" w:cs="Arial"/>
          <w:sz w:val="20"/>
          <w:szCs w:val="20"/>
        </w:rPr>
        <w:t xml:space="preserve"> Ve srovnání s </w:t>
      </w:r>
      <w:r w:rsidR="004D7159">
        <w:rPr>
          <w:rFonts w:ascii="Calibri" w:hAnsi="Calibri" w:cs="Arial"/>
          <w:sz w:val="20"/>
          <w:szCs w:val="20"/>
        </w:rPr>
        <w:t>předchozím rokem vzrostla přímá</w:t>
      </w:r>
      <w:r w:rsidR="00030ADE">
        <w:rPr>
          <w:rStyle w:val="Znakapoznpodarou"/>
          <w:rFonts w:ascii="Calibri" w:hAnsi="Calibri" w:cs="Arial"/>
          <w:sz w:val="20"/>
          <w:szCs w:val="20"/>
        </w:rPr>
        <w:footnoteReference w:id="2"/>
      </w:r>
      <w:r w:rsidR="004D7159" w:rsidRPr="004D7159">
        <w:rPr>
          <w:rFonts w:ascii="Calibri" w:hAnsi="Calibri" w:cs="Arial"/>
          <w:sz w:val="20"/>
          <w:szCs w:val="20"/>
        </w:rPr>
        <w:t xml:space="preserve"> státní podpora výzkumu a vývo</w:t>
      </w:r>
      <w:r w:rsidR="00025101">
        <w:rPr>
          <w:rFonts w:ascii="Calibri" w:hAnsi="Calibri" w:cs="Arial"/>
          <w:sz w:val="20"/>
          <w:szCs w:val="20"/>
        </w:rPr>
        <w:t xml:space="preserve">je </w:t>
      </w:r>
      <w:r w:rsidR="004D7159">
        <w:rPr>
          <w:rFonts w:ascii="Calibri" w:hAnsi="Calibri" w:cs="Arial"/>
          <w:sz w:val="20"/>
          <w:szCs w:val="20"/>
        </w:rPr>
        <w:t>o 2,1 % (z 26 </w:t>
      </w:r>
      <w:r w:rsidR="00F35437">
        <w:rPr>
          <w:rFonts w:ascii="Calibri" w:hAnsi="Calibri" w:cs="Arial"/>
          <w:sz w:val="20"/>
          <w:szCs w:val="20"/>
        </w:rPr>
        <w:t>154</w:t>
      </w:r>
      <w:r w:rsidR="004D7159">
        <w:rPr>
          <w:rFonts w:ascii="Calibri" w:hAnsi="Calibri" w:cs="Arial"/>
          <w:sz w:val="20"/>
          <w:szCs w:val="20"/>
        </w:rPr>
        <w:t> </w:t>
      </w:r>
      <w:r w:rsidR="004D7159" w:rsidRPr="004D7159">
        <w:rPr>
          <w:rFonts w:ascii="Calibri" w:hAnsi="Calibri" w:cs="Arial"/>
          <w:sz w:val="20"/>
          <w:szCs w:val="20"/>
        </w:rPr>
        <w:t>mil. Kč v roce 2012). Uvedená výše finančních prostředků státní podpory poskytnutá na výzkumné a vývojové (VaV) aktivity v České republice a v zahraničí zahrnuje pouze prostředky z centrálního rozpočtu, tj. bez zahrnutí výdajů na VaV z krajských rozpočtů, které jsou ovšem v kontextu České republiky zan</w:t>
      </w:r>
      <w:r w:rsidR="004D7159">
        <w:rPr>
          <w:rFonts w:ascii="Calibri" w:hAnsi="Calibri" w:cs="Arial"/>
          <w:sz w:val="20"/>
          <w:szCs w:val="20"/>
        </w:rPr>
        <w:t>edbatelné</w:t>
      </w:r>
      <w:r w:rsidR="004D7159" w:rsidRPr="004D7159">
        <w:rPr>
          <w:rFonts w:ascii="Calibri" w:hAnsi="Calibri" w:cs="Arial"/>
          <w:sz w:val="20"/>
          <w:szCs w:val="20"/>
        </w:rPr>
        <w:t>.</w:t>
      </w:r>
    </w:p>
    <w:p w:rsidR="004D7159" w:rsidRDefault="004D7159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465995" w:rsidRPr="00465995" w:rsidRDefault="00465995" w:rsidP="00465995">
      <w:pPr>
        <w:pStyle w:val="Titulek"/>
        <w:pBdr>
          <w:bottom w:val="none" w:sz="0" w:space="0" w:color="auto"/>
        </w:pBdr>
        <w:rPr>
          <w:color w:val="336600"/>
        </w:rPr>
      </w:pPr>
      <w:r>
        <w:rPr>
          <w:color w:val="336600"/>
        </w:rPr>
        <w:t>TAB</w:t>
      </w:r>
      <w:r w:rsidRPr="00041F1A">
        <w:rPr>
          <w:color w:val="336600"/>
        </w:rPr>
        <w:t xml:space="preserve"> </w:t>
      </w:r>
      <w:r w:rsidR="00FD7A68" w:rsidRPr="00041F1A">
        <w:rPr>
          <w:color w:val="336600"/>
        </w:rPr>
        <w:fldChar w:fldCharType="begin"/>
      </w:r>
      <w:r w:rsidRPr="00041F1A">
        <w:rPr>
          <w:color w:val="336600"/>
        </w:rPr>
        <w:instrText xml:space="preserve"> SEQ Graf \* ARABIC </w:instrText>
      </w:r>
      <w:r w:rsidR="00FD7A68" w:rsidRPr="00041F1A">
        <w:rPr>
          <w:color w:val="336600"/>
        </w:rPr>
        <w:fldChar w:fldCharType="separate"/>
      </w:r>
      <w:r w:rsidR="00E524D1">
        <w:rPr>
          <w:noProof/>
          <w:color w:val="336600"/>
        </w:rPr>
        <w:t>1</w:t>
      </w:r>
      <w:r w:rsidR="00FD7A68" w:rsidRPr="00041F1A">
        <w:rPr>
          <w:color w:val="336600"/>
        </w:rPr>
        <w:fldChar w:fldCharType="end"/>
      </w:r>
      <w:r>
        <w:rPr>
          <w:color w:val="336600"/>
        </w:rPr>
        <w:t>-</w:t>
      </w:r>
      <w:r w:rsidRPr="00041F1A">
        <w:rPr>
          <w:color w:val="336600"/>
        </w:rPr>
        <w:t>1: Výdaje státního rozpočtu na výzkum a vývoj (GBAORD) v</w:t>
      </w:r>
      <w:r>
        <w:rPr>
          <w:color w:val="336600"/>
        </w:rPr>
        <w:t> </w:t>
      </w:r>
      <w:r w:rsidRPr="00041F1A">
        <w:rPr>
          <w:color w:val="336600"/>
        </w:rPr>
        <w:t>ČR</w:t>
      </w:r>
      <w:r>
        <w:rPr>
          <w:color w:val="336600"/>
        </w:rPr>
        <w:t xml:space="preserve"> (schválené a skutečné</w:t>
      </w:r>
      <w:r w:rsidR="002B4234">
        <w:rPr>
          <w:rStyle w:val="Znakapoznpodarou"/>
          <w:color w:val="336600"/>
        </w:rPr>
        <w:footnoteReference w:id="3"/>
      </w:r>
      <w:r>
        <w:rPr>
          <w:color w:val="336600"/>
        </w:rPr>
        <w:t>)</w:t>
      </w:r>
      <w:r w:rsidR="008523E2">
        <w:rPr>
          <w:color w:val="336600"/>
        </w:rPr>
        <w:t xml:space="preserve"> v mld. Kč</w:t>
      </w:r>
      <w:r w:rsidRPr="00041F1A">
        <w:rPr>
          <w:color w:val="336600"/>
        </w:rPr>
        <w:t>; 200</w:t>
      </w:r>
      <w:r>
        <w:rPr>
          <w:color w:val="336600"/>
        </w:rPr>
        <w:t>0</w:t>
      </w:r>
      <w:r w:rsidRPr="00041F1A">
        <w:rPr>
          <w:color w:val="336600"/>
        </w:rPr>
        <w:t>–</w:t>
      </w:r>
      <w:r w:rsidR="00FC125A">
        <w:rPr>
          <w:color w:val="336600"/>
        </w:rPr>
        <w:t>2013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42CAA" w:rsidTr="00B42CAA">
        <w:trPr>
          <w:trHeight w:val="225"/>
        </w:trPr>
        <w:tc>
          <w:tcPr>
            <w:tcW w:w="2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SR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VaVaI</w:t>
            </w:r>
            <w:proofErr w:type="spellEnd"/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bottom"/>
            <w:hideMark/>
          </w:tcPr>
          <w:p w:rsidR="00B42CAA" w:rsidRDefault="00B42CA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2013</w:t>
            </w:r>
          </w:p>
        </w:tc>
      </w:tr>
      <w:tr w:rsidR="00B42CAA" w:rsidTr="00B42CAA">
        <w:trPr>
          <w:trHeight w:val="225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4D715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Schválené</w:t>
            </w:r>
            <w:r w:rsidR="00B42CAA">
              <w:rPr>
                <w:rFonts w:ascii="Calibri" w:hAnsi="Calibri"/>
                <w:sz w:val="16"/>
                <w:szCs w:val="16"/>
              </w:rPr>
              <w:t xml:space="preserve"> výdaje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26,1</w:t>
            </w:r>
          </w:p>
        </w:tc>
      </w:tr>
      <w:tr w:rsidR="00B42CAA" w:rsidTr="00B42CAA">
        <w:trPr>
          <w:trHeight w:val="225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Skutečné výdaje - MF ČR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26,2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26,7</w:t>
            </w:r>
          </w:p>
        </w:tc>
      </w:tr>
      <w:tr w:rsidR="00B42CAA" w:rsidTr="00B42CAA">
        <w:trPr>
          <w:trHeight w:val="225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rozdíl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1,1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2,8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-0,6</w:t>
            </w:r>
          </w:p>
        </w:tc>
      </w:tr>
      <w:tr w:rsidR="00B42CAA" w:rsidTr="00B42CAA">
        <w:trPr>
          <w:trHeight w:val="225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4D715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Schválené </w:t>
            </w:r>
            <w:r w:rsidR="00B42CAA">
              <w:rPr>
                <w:rFonts w:ascii="Calibri" w:hAnsi="Calibri"/>
                <w:sz w:val="16"/>
                <w:szCs w:val="16"/>
              </w:rPr>
              <w:t>výdaje*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38,7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40,1</w:t>
            </w:r>
          </w:p>
        </w:tc>
      </w:tr>
      <w:tr w:rsidR="00B42CAA" w:rsidTr="00B42CAA">
        <w:trPr>
          <w:trHeight w:val="225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Skutečné </w:t>
            </w:r>
            <w:r w:rsidR="00D935CB">
              <w:rPr>
                <w:rFonts w:ascii="Calibri" w:hAnsi="Calibri"/>
                <w:b/>
                <w:bCs/>
                <w:sz w:val="16"/>
                <w:szCs w:val="16"/>
              </w:rPr>
              <w:t xml:space="preserve">výdaje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- MF ČR*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39,1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39,8</w:t>
            </w:r>
          </w:p>
        </w:tc>
      </w:tr>
      <w:tr w:rsidR="00B42CAA" w:rsidTr="00B42CAA">
        <w:trPr>
          <w:trHeight w:val="225"/>
        </w:trPr>
        <w:tc>
          <w:tcPr>
            <w:tcW w:w="2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rozdíl*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7E29CC" w:rsidP="007E29CC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-8,6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B42CAA" w:rsidRDefault="00B42C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0,3</w:t>
            </w:r>
          </w:p>
        </w:tc>
      </w:tr>
    </w:tbl>
    <w:p w:rsidR="002868B5" w:rsidRPr="00FA06D1" w:rsidRDefault="00B42CAA" w:rsidP="002868B5">
      <w:pPr>
        <w:pStyle w:val="Zkladntext2"/>
        <w:rPr>
          <w:rFonts w:ascii="Calibri" w:hAnsi="Calibri" w:cs="Arial"/>
          <w:sz w:val="16"/>
          <w:szCs w:val="20"/>
        </w:rPr>
      </w:pPr>
      <w:r w:rsidRPr="00FA06D1">
        <w:rPr>
          <w:rFonts w:ascii="Calibri" w:hAnsi="Calibri" w:cs="Arial"/>
          <w:sz w:val="16"/>
          <w:szCs w:val="20"/>
        </w:rPr>
        <w:t xml:space="preserve"> </w:t>
      </w:r>
      <w:r w:rsidR="00FA06D1" w:rsidRPr="00FA06D1">
        <w:rPr>
          <w:rFonts w:ascii="Calibri" w:hAnsi="Calibri" w:cs="Arial"/>
          <w:sz w:val="16"/>
          <w:szCs w:val="20"/>
        </w:rPr>
        <w:t>* včetně výdajů na předfinancování zahraničních programů, krytých příjmy z EU a finančního mechanismu EHP/ Norsko</w:t>
      </w:r>
    </w:p>
    <w:p w:rsidR="007D7BB1" w:rsidRPr="00FF445C" w:rsidRDefault="00F81A56" w:rsidP="00F73205">
      <w:pPr>
        <w:pStyle w:val="Zkladntext2"/>
        <w:ind w:firstLine="357"/>
        <w:jc w:val="right"/>
        <w:rPr>
          <w:rFonts w:ascii="Calibri" w:hAnsi="Calibri" w:cs="Arial"/>
          <w:sz w:val="20"/>
          <w:szCs w:val="20"/>
        </w:rPr>
      </w:pPr>
      <w:r w:rsidRPr="00FF445C">
        <w:rPr>
          <w:rFonts w:ascii="Calibri" w:hAnsi="Calibri" w:cs="Arial"/>
          <w:sz w:val="20"/>
          <w:szCs w:val="20"/>
        </w:rPr>
        <w:t xml:space="preserve"> </w:t>
      </w:r>
      <w:r w:rsidR="00F73205">
        <w:rPr>
          <w:rFonts w:ascii="Calibri" w:hAnsi="Calibri" w:cs="Arial"/>
          <w:i/>
          <w:sz w:val="16"/>
          <w:szCs w:val="16"/>
        </w:rPr>
        <w:t>Zdroj: MF a ČSÚ</w:t>
      </w:r>
    </w:p>
    <w:p w:rsidR="00F73205" w:rsidRDefault="00F73205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030ADE" w:rsidRDefault="00030ADE" w:rsidP="00030ADE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F62B74">
        <w:rPr>
          <w:rFonts w:ascii="Calibri" w:hAnsi="Calibri" w:cs="Arial"/>
          <w:sz w:val="20"/>
          <w:szCs w:val="20"/>
        </w:rPr>
        <w:t>Výdaje n</w:t>
      </w:r>
      <w:r w:rsidR="00025101">
        <w:rPr>
          <w:rFonts w:ascii="Calibri" w:hAnsi="Calibri" w:cs="Arial"/>
          <w:sz w:val="20"/>
          <w:szCs w:val="20"/>
        </w:rPr>
        <w:t xml:space="preserve">a VaV ze státního rozpočtu </w:t>
      </w:r>
      <w:r w:rsidRPr="00F62B74">
        <w:rPr>
          <w:rFonts w:ascii="Calibri" w:hAnsi="Calibri" w:cs="Arial"/>
          <w:sz w:val="20"/>
          <w:szCs w:val="20"/>
        </w:rPr>
        <w:t>v běžných cenách byly v roce 201</w:t>
      </w:r>
      <w:r>
        <w:rPr>
          <w:rFonts w:ascii="Calibri" w:hAnsi="Calibri" w:cs="Arial"/>
          <w:sz w:val="20"/>
          <w:szCs w:val="20"/>
        </w:rPr>
        <w:t>3</w:t>
      </w:r>
      <w:r w:rsidRPr="00F62B74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téměř </w:t>
      </w:r>
      <w:r w:rsidRPr="00F62B74">
        <w:rPr>
          <w:rFonts w:ascii="Calibri" w:hAnsi="Calibri" w:cs="Arial"/>
          <w:sz w:val="20"/>
          <w:szCs w:val="20"/>
        </w:rPr>
        <w:t>dvakrát vyšší n</w:t>
      </w:r>
      <w:r w:rsidR="00234A6B">
        <w:rPr>
          <w:rFonts w:ascii="Calibri" w:hAnsi="Calibri" w:cs="Arial"/>
          <w:sz w:val="20"/>
          <w:szCs w:val="20"/>
        </w:rPr>
        <w:t>ež před deseti lety (v roce 2003</w:t>
      </w:r>
      <w:r w:rsidRPr="00F62B74">
        <w:rPr>
          <w:rFonts w:ascii="Calibri" w:hAnsi="Calibri" w:cs="Arial"/>
          <w:sz w:val="20"/>
          <w:szCs w:val="20"/>
        </w:rPr>
        <w:t xml:space="preserve"> výdaje na VaV činily 1</w:t>
      </w:r>
      <w:r w:rsidR="00234A6B">
        <w:rPr>
          <w:rFonts w:ascii="Calibri" w:hAnsi="Calibri" w:cs="Arial"/>
          <w:sz w:val="20"/>
          <w:szCs w:val="20"/>
        </w:rPr>
        <w:t>3</w:t>
      </w:r>
      <w:r w:rsidRPr="00F62B74">
        <w:rPr>
          <w:rFonts w:ascii="Calibri" w:hAnsi="Calibri" w:cs="Arial"/>
          <w:sz w:val="20"/>
          <w:szCs w:val="20"/>
        </w:rPr>
        <w:t>,</w:t>
      </w:r>
      <w:r w:rsidR="00234A6B">
        <w:rPr>
          <w:rFonts w:ascii="Calibri" w:hAnsi="Calibri" w:cs="Arial"/>
          <w:sz w:val="20"/>
          <w:szCs w:val="20"/>
        </w:rPr>
        <w:t>4</w:t>
      </w:r>
      <w:r w:rsidR="00025101">
        <w:rPr>
          <w:rFonts w:ascii="Calibri" w:hAnsi="Calibri" w:cs="Arial"/>
          <w:sz w:val="20"/>
          <w:szCs w:val="20"/>
        </w:rPr>
        <w:t xml:space="preserve"> mld. Kč). Za </w:t>
      </w:r>
      <w:r w:rsidRPr="00F62B74">
        <w:rPr>
          <w:rFonts w:ascii="Calibri" w:hAnsi="Calibri" w:cs="Arial"/>
          <w:sz w:val="20"/>
          <w:szCs w:val="20"/>
        </w:rPr>
        <w:t>období deseti let</w:t>
      </w:r>
      <w:r w:rsidR="00234A6B">
        <w:rPr>
          <w:rFonts w:ascii="Calibri" w:hAnsi="Calibri" w:cs="Arial"/>
          <w:sz w:val="20"/>
          <w:szCs w:val="20"/>
        </w:rPr>
        <w:t xml:space="preserve"> (2004 až 2013)</w:t>
      </w:r>
      <w:r w:rsidRPr="00F62B74">
        <w:rPr>
          <w:rFonts w:ascii="Calibri" w:hAnsi="Calibri" w:cs="Arial"/>
          <w:sz w:val="20"/>
          <w:szCs w:val="20"/>
        </w:rPr>
        <w:t xml:space="preserve"> bylo ze státního rozpočtu na VaV ve vládním, vysokoškolském, podnikatelském a soukromém neziskovém sektoru čerpáno celkem </w:t>
      </w:r>
      <w:r w:rsidR="00F35437">
        <w:rPr>
          <w:rFonts w:ascii="Calibri" w:hAnsi="Calibri" w:cs="Arial"/>
          <w:sz w:val="20"/>
          <w:szCs w:val="20"/>
        </w:rPr>
        <w:t>214,2</w:t>
      </w:r>
      <w:r w:rsidRPr="00F62B74">
        <w:rPr>
          <w:rFonts w:ascii="Calibri" w:hAnsi="Calibri" w:cs="Arial"/>
          <w:sz w:val="20"/>
          <w:szCs w:val="20"/>
        </w:rPr>
        <w:t xml:space="preserve"> mld. Kč, v posledních pěti letech (200</w:t>
      </w:r>
      <w:r>
        <w:rPr>
          <w:rFonts w:ascii="Calibri" w:hAnsi="Calibri" w:cs="Arial"/>
          <w:sz w:val="20"/>
          <w:szCs w:val="20"/>
        </w:rPr>
        <w:t>9</w:t>
      </w:r>
      <w:r w:rsidRPr="00F62B74">
        <w:rPr>
          <w:rFonts w:ascii="Calibri" w:hAnsi="Calibri" w:cs="Arial"/>
          <w:sz w:val="20"/>
          <w:szCs w:val="20"/>
        </w:rPr>
        <w:t xml:space="preserve"> až 201</w:t>
      </w:r>
      <w:r>
        <w:rPr>
          <w:rFonts w:ascii="Calibri" w:hAnsi="Calibri" w:cs="Arial"/>
          <w:sz w:val="20"/>
          <w:szCs w:val="20"/>
        </w:rPr>
        <w:t>3)</w:t>
      </w:r>
      <w:r w:rsidRPr="00F62B74">
        <w:rPr>
          <w:rFonts w:ascii="Calibri" w:hAnsi="Calibri" w:cs="Arial"/>
          <w:sz w:val="20"/>
          <w:szCs w:val="20"/>
        </w:rPr>
        <w:t xml:space="preserve"> pak </w:t>
      </w:r>
      <w:r w:rsidR="00F35437">
        <w:rPr>
          <w:rFonts w:ascii="Calibri" w:hAnsi="Calibri" w:cs="Arial"/>
          <w:sz w:val="20"/>
          <w:szCs w:val="20"/>
        </w:rPr>
        <w:t>124,3</w:t>
      </w:r>
      <w:r w:rsidRPr="00F62B74">
        <w:rPr>
          <w:rFonts w:ascii="Calibri" w:hAnsi="Calibri" w:cs="Arial"/>
          <w:sz w:val="20"/>
          <w:szCs w:val="20"/>
        </w:rPr>
        <w:t xml:space="preserve"> miliard.</w:t>
      </w:r>
    </w:p>
    <w:p w:rsidR="00030ADE" w:rsidRDefault="00030ADE" w:rsidP="00030ADE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030ADE" w:rsidRPr="00DE5B39" w:rsidRDefault="00030ADE" w:rsidP="00030ADE">
      <w:pPr>
        <w:pStyle w:val="Zkladntext2"/>
        <w:ind w:firstLine="357"/>
        <w:rPr>
          <w:rFonts w:ascii="Calibri" w:hAnsi="Calibri" w:cs="Arial"/>
          <w:color w:val="C00000"/>
          <w:sz w:val="20"/>
          <w:szCs w:val="20"/>
        </w:rPr>
      </w:pPr>
      <w:r w:rsidRPr="00EC003C">
        <w:rPr>
          <w:rFonts w:ascii="Calibri" w:hAnsi="Calibri" w:cs="Arial"/>
          <w:sz w:val="20"/>
          <w:szCs w:val="20"/>
        </w:rPr>
        <w:t>Uvedená částka</w:t>
      </w:r>
      <w:r w:rsidR="00B26285">
        <w:rPr>
          <w:rFonts w:ascii="Calibri" w:hAnsi="Calibri" w:cs="Arial"/>
          <w:sz w:val="20"/>
          <w:szCs w:val="20"/>
        </w:rPr>
        <w:t xml:space="preserve"> výdajů v roce 2013</w:t>
      </w:r>
      <w:r w:rsidRPr="00EC003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ve vztahu k HDP </w:t>
      </w:r>
      <w:r w:rsidRPr="00EC003C">
        <w:rPr>
          <w:rFonts w:ascii="Calibri" w:hAnsi="Calibri" w:cs="Arial"/>
          <w:sz w:val="20"/>
          <w:szCs w:val="20"/>
        </w:rPr>
        <w:t xml:space="preserve">odpovídala </w:t>
      </w:r>
      <w:r>
        <w:rPr>
          <w:rFonts w:ascii="Calibri" w:hAnsi="Calibri" w:cs="Arial"/>
          <w:b/>
          <w:bCs/>
          <w:sz w:val="20"/>
          <w:szCs w:val="20"/>
        </w:rPr>
        <w:t>0,54</w:t>
      </w:r>
      <w:r w:rsidRPr="00EC003C">
        <w:rPr>
          <w:rFonts w:ascii="Calibri" w:hAnsi="Calibri" w:cs="Arial"/>
          <w:b/>
          <w:bCs/>
          <w:sz w:val="20"/>
          <w:szCs w:val="20"/>
        </w:rPr>
        <w:t> %</w:t>
      </w:r>
      <w:r>
        <w:rPr>
          <w:rFonts w:ascii="Calibri" w:hAnsi="Calibri" w:cs="Arial"/>
          <w:b/>
          <w:bCs/>
          <w:sz w:val="20"/>
          <w:szCs w:val="20"/>
        </w:rPr>
        <w:t>, tj. stejně jako v roce 2012</w:t>
      </w:r>
      <w:r w:rsidRPr="00EC003C">
        <w:rPr>
          <w:rFonts w:ascii="Calibri" w:hAnsi="Calibri" w:cs="Arial"/>
          <w:sz w:val="20"/>
          <w:szCs w:val="20"/>
        </w:rPr>
        <w:t>.</w:t>
      </w:r>
      <w:r w:rsidRPr="00EC003C">
        <w:rPr>
          <w:rStyle w:val="Znakapoznpodarou"/>
          <w:rFonts w:ascii="Calibri" w:hAnsi="Calibri" w:cs="Arial"/>
          <w:sz w:val="20"/>
          <w:szCs w:val="20"/>
        </w:rPr>
        <w:footnoteReference w:id="4"/>
      </w:r>
      <w:r w:rsidRPr="00EC003C">
        <w:rPr>
          <w:rFonts w:ascii="Calibri" w:hAnsi="Calibri" w:cs="Arial"/>
          <w:sz w:val="20"/>
          <w:szCs w:val="20"/>
        </w:rPr>
        <w:t xml:space="preserve"> Na celkových výdajích státního rozpočtu se GBAORD</w:t>
      </w:r>
      <w:r>
        <w:rPr>
          <w:rFonts w:ascii="Calibri" w:hAnsi="Calibri" w:cs="Arial"/>
          <w:sz w:val="20"/>
          <w:szCs w:val="20"/>
        </w:rPr>
        <w:t xml:space="preserve"> v roce 2013</w:t>
      </w:r>
      <w:r w:rsidRPr="00EC003C">
        <w:rPr>
          <w:rFonts w:ascii="Calibri" w:hAnsi="Calibri" w:cs="Arial"/>
          <w:sz w:val="20"/>
          <w:szCs w:val="20"/>
        </w:rPr>
        <w:t xml:space="preserve"> podílely </w:t>
      </w:r>
      <w:r>
        <w:rPr>
          <w:rFonts w:ascii="Calibri" w:hAnsi="Calibri" w:cs="Arial"/>
          <w:b/>
          <w:bCs/>
          <w:sz w:val="20"/>
          <w:szCs w:val="20"/>
        </w:rPr>
        <w:t>2,28</w:t>
      </w:r>
      <w:r w:rsidRPr="00EC003C">
        <w:rPr>
          <w:rFonts w:ascii="Calibri" w:hAnsi="Calibri" w:cs="Arial"/>
          <w:b/>
          <w:bCs/>
          <w:sz w:val="20"/>
          <w:szCs w:val="20"/>
        </w:rPr>
        <w:t xml:space="preserve"> % </w:t>
      </w:r>
      <w:r w:rsidRPr="00EC003C">
        <w:rPr>
          <w:rFonts w:ascii="Calibri" w:hAnsi="Calibri" w:cs="Arial"/>
          <w:bCs/>
          <w:sz w:val="20"/>
          <w:szCs w:val="20"/>
        </w:rPr>
        <w:t>(2,</w:t>
      </w:r>
      <w:r>
        <w:rPr>
          <w:rFonts w:ascii="Calibri" w:hAnsi="Calibri" w:cs="Arial"/>
          <w:bCs/>
          <w:sz w:val="20"/>
          <w:szCs w:val="20"/>
        </w:rPr>
        <w:t>27 % v roce 2012</w:t>
      </w:r>
      <w:r w:rsidRPr="00FE6596">
        <w:rPr>
          <w:rFonts w:ascii="Calibri" w:hAnsi="Calibri" w:cs="Arial"/>
          <w:bCs/>
          <w:sz w:val="20"/>
          <w:szCs w:val="20"/>
        </w:rPr>
        <w:t>)</w:t>
      </w:r>
      <w:r w:rsidRPr="00FE6596">
        <w:rPr>
          <w:rFonts w:ascii="Calibri" w:hAnsi="Calibri" w:cs="Arial"/>
          <w:sz w:val="20"/>
          <w:szCs w:val="20"/>
        </w:rPr>
        <w:t xml:space="preserve">. Na celkových veřejných </w:t>
      </w:r>
      <w:r>
        <w:rPr>
          <w:rFonts w:ascii="Calibri" w:hAnsi="Calibri" w:cs="Arial"/>
          <w:sz w:val="20"/>
          <w:szCs w:val="20"/>
        </w:rPr>
        <w:t>rozpočtech se GBAORD v roce 2013 podílely 1,56</w:t>
      </w:r>
      <w:r w:rsidRPr="00FE6596">
        <w:rPr>
          <w:rFonts w:ascii="Calibri" w:hAnsi="Calibri" w:cs="Arial"/>
          <w:sz w:val="20"/>
          <w:szCs w:val="20"/>
        </w:rPr>
        <w:t> %. Ve schválené ver</w:t>
      </w:r>
      <w:r>
        <w:rPr>
          <w:rFonts w:ascii="Calibri" w:hAnsi="Calibri" w:cs="Arial"/>
          <w:sz w:val="20"/>
          <w:szCs w:val="20"/>
        </w:rPr>
        <w:t>zi státního rozpočtu na rok 2013</w:t>
      </w:r>
      <w:r w:rsidRPr="00FE6596">
        <w:rPr>
          <w:rFonts w:ascii="Calibri" w:hAnsi="Calibri" w:cs="Arial"/>
          <w:sz w:val="20"/>
          <w:szCs w:val="20"/>
        </w:rPr>
        <w:t xml:space="preserve"> se počítalo s částkou státní rozpočtové </w:t>
      </w:r>
      <w:r w:rsidRPr="00FE57E8">
        <w:rPr>
          <w:rFonts w:ascii="Calibri" w:hAnsi="Calibri" w:cs="Arial"/>
          <w:sz w:val="20"/>
          <w:szCs w:val="20"/>
        </w:rPr>
        <w:t xml:space="preserve">podpory na VaV ve výši </w:t>
      </w:r>
      <w:r>
        <w:rPr>
          <w:rFonts w:ascii="Calibri" w:hAnsi="Calibri" w:cs="Arial"/>
          <w:sz w:val="20"/>
          <w:szCs w:val="20"/>
        </w:rPr>
        <w:t>26 117,8</w:t>
      </w:r>
      <w:r w:rsidRPr="00FE57E8">
        <w:rPr>
          <w:rFonts w:ascii="Calibri" w:hAnsi="Calibri" w:cs="Arial"/>
          <w:sz w:val="20"/>
          <w:szCs w:val="20"/>
        </w:rPr>
        <w:t xml:space="preserve"> mil. </w:t>
      </w:r>
      <w:r>
        <w:rPr>
          <w:rFonts w:ascii="Calibri" w:hAnsi="Calibri" w:cs="Arial"/>
          <w:sz w:val="20"/>
          <w:szCs w:val="20"/>
        </w:rPr>
        <w:t>Kč. Skutečné čerpání tak v roce 2013 bylo v sledované historii poprvé vyšší</w:t>
      </w:r>
      <w:r w:rsidRPr="00FE57E8">
        <w:rPr>
          <w:rFonts w:ascii="Calibri" w:hAnsi="Calibri" w:cs="Arial"/>
          <w:sz w:val="20"/>
          <w:szCs w:val="20"/>
        </w:rPr>
        <w:t xml:space="preserve"> než plánované</w:t>
      </w:r>
      <w:r w:rsidR="003A4766">
        <w:rPr>
          <w:rFonts w:ascii="Calibri" w:hAnsi="Calibri" w:cs="Arial"/>
          <w:sz w:val="20"/>
          <w:szCs w:val="20"/>
        </w:rPr>
        <w:t>, a to o 600 mil. Kč</w:t>
      </w:r>
      <w:r w:rsidR="001C460F">
        <w:rPr>
          <w:rFonts w:ascii="Calibri" w:hAnsi="Calibri" w:cs="Arial"/>
          <w:sz w:val="20"/>
          <w:szCs w:val="20"/>
        </w:rPr>
        <w:t>.</w:t>
      </w:r>
      <w:r w:rsidRPr="00FE57E8">
        <w:rPr>
          <w:rFonts w:ascii="Calibri" w:hAnsi="Calibri" w:cs="Arial"/>
          <w:sz w:val="20"/>
          <w:szCs w:val="20"/>
        </w:rPr>
        <w:t xml:space="preserve"> </w:t>
      </w:r>
    </w:p>
    <w:p w:rsidR="002962E8" w:rsidRPr="00F82815" w:rsidRDefault="002962E8" w:rsidP="00633962">
      <w:pPr>
        <w:pStyle w:val="Zkladntext2"/>
        <w:rPr>
          <w:rFonts w:ascii="Calibri" w:hAnsi="Calibri" w:cs="Arial"/>
          <w:color w:val="800000"/>
          <w:sz w:val="20"/>
          <w:szCs w:val="20"/>
        </w:rPr>
      </w:pPr>
    </w:p>
    <w:p w:rsidR="002962E8" w:rsidRPr="00041F1A" w:rsidRDefault="001F0E6C" w:rsidP="0034281E">
      <w:pPr>
        <w:pStyle w:val="Titulek"/>
        <w:pBdr>
          <w:bottom w:val="single" w:sz="2" w:space="1" w:color="BFBFBF"/>
        </w:pBdr>
        <w:rPr>
          <w:color w:val="336600"/>
        </w:rPr>
      </w:pPr>
      <w:r w:rsidRPr="00041F1A">
        <w:rPr>
          <w:color w:val="336600"/>
        </w:rPr>
        <w:t>GRAF</w:t>
      </w:r>
      <w:r w:rsidR="00E469BC" w:rsidRPr="00041F1A">
        <w:rPr>
          <w:color w:val="336600"/>
        </w:rPr>
        <w:t xml:space="preserve"> </w:t>
      </w:r>
      <w:r w:rsidR="006A76CF">
        <w:rPr>
          <w:color w:val="336600"/>
        </w:rPr>
        <w:t>1</w:t>
      </w:r>
      <w:r w:rsidR="00EC003C">
        <w:rPr>
          <w:color w:val="336600"/>
        </w:rPr>
        <w:t>-</w:t>
      </w:r>
      <w:r w:rsidR="00E469BC" w:rsidRPr="00041F1A">
        <w:rPr>
          <w:color w:val="336600"/>
        </w:rPr>
        <w:t>1</w:t>
      </w:r>
      <w:r w:rsidR="002962E8" w:rsidRPr="00041F1A">
        <w:rPr>
          <w:color w:val="336600"/>
        </w:rPr>
        <w:t>: Výdaje státního rozpočtu na výzkum a vývoj</w:t>
      </w:r>
      <w:r w:rsidR="000E31F3" w:rsidRPr="00041F1A">
        <w:rPr>
          <w:color w:val="336600"/>
        </w:rPr>
        <w:t xml:space="preserve"> (GBAORD)</w:t>
      </w:r>
      <w:r w:rsidR="002962E8" w:rsidRPr="00041F1A">
        <w:rPr>
          <w:color w:val="336600"/>
        </w:rPr>
        <w:t xml:space="preserve"> v</w:t>
      </w:r>
      <w:r w:rsidR="00FE57E8">
        <w:rPr>
          <w:color w:val="336600"/>
        </w:rPr>
        <w:t> </w:t>
      </w:r>
      <w:r w:rsidR="002962E8" w:rsidRPr="00041F1A">
        <w:rPr>
          <w:color w:val="336600"/>
        </w:rPr>
        <w:t>ČR; 200</w:t>
      </w:r>
      <w:r w:rsidR="00DD30B1">
        <w:rPr>
          <w:color w:val="336600"/>
        </w:rPr>
        <w:t>0</w:t>
      </w:r>
      <w:r w:rsidR="002962E8" w:rsidRPr="00041F1A">
        <w:rPr>
          <w:color w:val="336600"/>
        </w:rPr>
        <w:t>–</w:t>
      </w:r>
      <w:r w:rsidR="009123F9">
        <w:rPr>
          <w:color w:val="336600"/>
        </w:rPr>
        <w:t>2013</w:t>
      </w:r>
    </w:p>
    <w:p w:rsidR="002E2E21" w:rsidRPr="00CD1B84" w:rsidRDefault="00CD1B84" w:rsidP="00CD1B84">
      <w:pPr>
        <w:pStyle w:val="Zkladntext2"/>
        <w:jc w:val="left"/>
        <w:rPr>
          <w:rFonts w:ascii="Calibri" w:hAnsi="Calibri"/>
          <w:color w:val="800000"/>
          <w:sz w:val="20"/>
          <w:szCs w:val="20"/>
        </w:rPr>
      </w:pPr>
      <w:r>
        <w:rPr>
          <w:noProof/>
        </w:rPr>
        <w:drawing>
          <wp:inline distT="0" distB="0" distL="0" distR="0" wp14:anchorId="7EB544A9" wp14:editId="0B18061A">
            <wp:extent cx="5972810" cy="2459355"/>
            <wp:effectExtent l="0" t="0" r="889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63E7" w:rsidRPr="002E2E21" w:rsidRDefault="002E2E21" w:rsidP="002E2E21">
      <w:pPr>
        <w:pStyle w:val="Titulek"/>
        <w:pBdr>
          <w:bottom w:val="none" w:sz="0" w:space="0" w:color="auto"/>
        </w:pBdr>
        <w:rPr>
          <w:color w:val="336600"/>
        </w:rPr>
      </w:pPr>
      <w:r>
        <w:rPr>
          <w:color w:val="336600"/>
        </w:rPr>
        <w:lastRenderedPageBreak/>
        <w:t>TAB</w:t>
      </w:r>
      <w:r w:rsidRPr="00041F1A">
        <w:rPr>
          <w:color w:val="336600"/>
        </w:rPr>
        <w:t xml:space="preserve"> </w:t>
      </w:r>
      <w:r w:rsidR="006A76CF">
        <w:rPr>
          <w:color w:val="336600"/>
        </w:rPr>
        <w:t>1</w:t>
      </w:r>
      <w:r>
        <w:rPr>
          <w:color w:val="336600"/>
        </w:rPr>
        <w:t>-2</w:t>
      </w:r>
      <w:r w:rsidRPr="00041F1A">
        <w:rPr>
          <w:color w:val="336600"/>
        </w:rPr>
        <w:t>: Výdaje státního rozpočtu na výzkum a vývoj (GBAORD) v</w:t>
      </w:r>
      <w:r>
        <w:rPr>
          <w:color w:val="336600"/>
        </w:rPr>
        <w:t> </w:t>
      </w:r>
      <w:r w:rsidRPr="00041F1A">
        <w:rPr>
          <w:color w:val="336600"/>
        </w:rPr>
        <w:t>ČR; 200</w:t>
      </w:r>
      <w:r>
        <w:rPr>
          <w:color w:val="336600"/>
        </w:rPr>
        <w:t>0</w:t>
      </w:r>
      <w:r w:rsidRPr="00041F1A">
        <w:rPr>
          <w:color w:val="336600"/>
        </w:rPr>
        <w:t>–</w:t>
      </w:r>
      <w:r w:rsidR="009123F9">
        <w:rPr>
          <w:color w:val="336600"/>
        </w:rPr>
        <w:t>2013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672603" w:rsidTr="00672603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Základní ukazatele GBAORD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 w:rsidP="001966A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2013</w:t>
            </w:r>
          </w:p>
        </w:tc>
      </w:tr>
      <w:tr w:rsidR="00672603" w:rsidTr="006726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Celková částka v mld.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  <w:r w:rsidR="00623AE8">
              <w:rPr>
                <w:rFonts w:ascii="Calibri" w:hAnsi="Calibri"/>
                <w:color w:val="000000"/>
                <w:sz w:val="16"/>
                <w:szCs w:val="16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26,7</w:t>
            </w:r>
          </w:p>
        </w:tc>
      </w:tr>
      <w:tr w:rsidR="00672603" w:rsidTr="006726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podíl na HDP </w:t>
            </w:r>
            <w:r w:rsidR="00466285">
              <w:rPr>
                <w:rFonts w:ascii="Calibri" w:hAnsi="Calibri"/>
                <w:color w:val="000000"/>
                <w:sz w:val="16"/>
                <w:szCs w:val="16"/>
              </w:rPr>
              <w:t>(po revizi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ESA 2010)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0,65%</w:t>
            </w:r>
          </w:p>
        </w:tc>
      </w:tr>
      <w:tr w:rsidR="00672603" w:rsidTr="006726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Podíl na státním rozpočtu ČR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2,28%</w:t>
            </w:r>
          </w:p>
        </w:tc>
      </w:tr>
      <w:tr w:rsidR="00672603" w:rsidTr="006726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Podíl na veřejných rozpočtech ČR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603" w:rsidRDefault="0067260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1,56%</w:t>
            </w:r>
          </w:p>
        </w:tc>
      </w:tr>
    </w:tbl>
    <w:p w:rsidR="00243D06" w:rsidRPr="007312C5" w:rsidRDefault="00672603" w:rsidP="007312C5">
      <w:pPr>
        <w:pStyle w:val="Zkladntext2"/>
        <w:jc w:val="right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</w:t>
      </w:r>
      <w:r w:rsidR="00243D06">
        <w:rPr>
          <w:rFonts w:ascii="Calibri" w:hAnsi="Calibri" w:cs="Arial"/>
          <w:i/>
          <w:sz w:val="16"/>
          <w:szCs w:val="16"/>
        </w:rPr>
        <w:t>Zdroj: MF a ČSÚ</w:t>
      </w:r>
    </w:p>
    <w:p w:rsidR="000C0211" w:rsidRDefault="000C0211" w:rsidP="000C0211">
      <w:pPr>
        <w:pStyle w:val="Zkladntext2"/>
        <w:rPr>
          <w:rFonts w:ascii="Calibri" w:hAnsi="Calibri" w:cs="Arial"/>
          <w:b/>
          <w:sz w:val="20"/>
          <w:szCs w:val="20"/>
        </w:rPr>
      </w:pPr>
    </w:p>
    <w:p w:rsidR="007F5FD0" w:rsidRDefault="007F5FD0" w:rsidP="007F5FD0">
      <w:pPr>
        <w:pStyle w:val="Zkladntext2"/>
        <w:rPr>
          <w:rFonts w:ascii="Calibri" w:hAnsi="Calibri" w:cs="Arial"/>
          <w:sz w:val="20"/>
          <w:szCs w:val="20"/>
        </w:rPr>
      </w:pPr>
      <w:r w:rsidRPr="002D2A70">
        <w:rPr>
          <w:rFonts w:ascii="Calibri" w:hAnsi="Calibri" w:cs="Arial"/>
          <w:b/>
          <w:sz w:val="20"/>
          <w:szCs w:val="20"/>
        </w:rPr>
        <w:t>Podpora VaV ze státního rozpočtu podle</w:t>
      </w:r>
      <w:r>
        <w:rPr>
          <w:rFonts w:ascii="Calibri" w:hAnsi="Calibri" w:cs="Arial"/>
          <w:b/>
          <w:sz w:val="20"/>
          <w:szCs w:val="20"/>
        </w:rPr>
        <w:t xml:space="preserve"> typu financování</w:t>
      </w:r>
    </w:p>
    <w:p w:rsidR="006A39B1" w:rsidRDefault="006A39B1" w:rsidP="006A39B1">
      <w:pPr>
        <w:pStyle w:val="Zkladntext2"/>
        <w:ind w:firstLine="357"/>
        <w:rPr>
          <w:rFonts w:ascii="Calibri" w:hAnsi="Calibri" w:cs="Arial"/>
          <w:sz w:val="20"/>
          <w:szCs w:val="20"/>
          <w:highlight w:val="yellow"/>
        </w:rPr>
      </w:pPr>
      <w:r w:rsidRPr="00241122">
        <w:rPr>
          <w:rFonts w:ascii="Calibri" w:hAnsi="Calibri" w:cs="Arial"/>
          <w:sz w:val="20"/>
          <w:szCs w:val="20"/>
        </w:rPr>
        <w:t>V posledních letech se výrazně mění způsob financování veřejného výzkumu ze státního rozpočtu, kdy roste podíl účelové podpory na úkor institucionálního</w:t>
      </w:r>
      <w:r w:rsidR="000F73A3">
        <w:rPr>
          <w:rFonts w:ascii="Calibri" w:hAnsi="Calibri" w:cs="Arial"/>
          <w:sz w:val="20"/>
          <w:szCs w:val="20"/>
        </w:rPr>
        <w:t xml:space="preserve"> </w:t>
      </w:r>
      <w:r w:rsidR="000F73A3" w:rsidRPr="00241122">
        <w:rPr>
          <w:rFonts w:ascii="Calibri" w:hAnsi="Calibri" w:cs="Arial"/>
          <w:sz w:val="20"/>
          <w:szCs w:val="20"/>
        </w:rPr>
        <w:t>financování</w:t>
      </w:r>
      <w:r w:rsidRPr="00241122">
        <w:rPr>
          <w:rFonts w:ascii="Calibri" w:hAnsi="Calibri" w:cs="Arial"/>
          <w:sz w:val="20"/>
          <w:szCs w:val="20"/>
        </w:rPr>
        <w:t xml:space="preserve">. Nárůst podílu veřejného výzkumu financovaného formou účelové podpory zvyšuje nároky na výzkumníky, kteří se musejí častěji ucházet o účelové granty. </w:t>
      </w:r>
      <w:r w:rsidR="00F506DC" w:rsidRPr="00241122">
        <w:rPr>
          <w:rFonts w:ascii="Calibri" w:hAnsi="Calibri" w:cs="Arial"/>
          <w:sz w:val="20"/>
          <w:szCs w:val="20"/>
        </w:rPr>
        <w:t>Jestliže ještě v roce 2003</w:t>
      </w:r>
      <w:r w:rsidRPr="00241122">
        <w:rPr>
          <w:rFonts w:ascii="Calibri" w:hAnsi="Calibri" w:cs="Arial"/>
          <w:sz w:val="20"/>
          <w:szCs w:val="20"/>
        </w:rPr>
        <w:t xml:space="preserve"> byla i</w:t>
      </w:r>
      <w:r w:rsidR="00F506DC" w:rsidRPr="00241122">
        <w:rPr>
          <w:rFonts w:ascii="Calibri" w:hAnsi="Calibri" w:cs="Arial"/>
          <w:sz w:val="20"/>
          <w:szCs w:val="20"/>
        </w:rPr>
        <w:t>nstitucionální podpora o téměř 1,9</w:t>
      </w:r>
      <w:r w:rsidRPr="00241122">
        <w:rPr>
          <w:rFonts w:ascii="Calibri" w:hAnsi="Calibri" w:cs="Arial"/>
          <w:sz w:val="20"/>
          <w:szCs w:val="20"/>
        </w:rPr>
        <w:t xml:space="preserve"> mld. Kč vyšší než podpora účelová, tak v roce 2013 </w:t>
      </w:r>
      <w:r w:rsidR="00F506DC" w:rsidRPr="00241122">
        <w:rPr>
          <w:rFonts w:ascii="Calibri" w:hAnsi="Calibri" w:cs="Arial"/>
          <w:sz w:val="20"/>
          <w:szCs w:val="20"/>
        </w:rPr>
        <w:t>naopak účelová podpora</w:t>
      </w:r>
      <w:r w:rsidR="000F73A3">
        <w:rPr>
          <w:rFonts w:ascii="Calibri" w:hAnsi="Calibri" w:cs="Arial"/>
          <w:sz w:val="20"/>
          <w:szCs w:val="20"/>
        </w:rPr>
        <w:t xml:space="preserve"> převýšila</w:t>
      </w:r>
      <w:r w:rsidR="003A4766">
        <w:rPr>
          <w:rFonts w:ascii="Calibri" w:hAnsi="Calibri" w:cs="Arial"/>
          <w:sz w:val="20"/>
          <w:szCs w:val="20"/>
        </w:rPr>
        <w:t xml:space="preserve"> institucionální</w:t>
      </w:r>
      <w:r w:rsidR="00F506DC" w:rsidRPr="00241122">
        <w:rPr>
          <w:rFonts w:ascii="Calibri" w:hAnsi="Calibri" w:cs="Arial"/>
          <w:sz w:val="20"/>
          <w:szCs w:val="20"/>
        </w:rPr>
        <w:t xml:space="preserve"> o 0,4</w:t>
      </w:r>
      <w:r w:rsidR="00241122" w:rsidRPr="00241122">
        <w:rPr>
          <w:rFonts w:ascii="Calibri" w:hAnsi="Calibri" w:cs="Arial"/>
          <w:sz w:val="20"/>
          <w:szCs w:val="20"/>
        </w:rPr>
        <w:t xml:space="preserve"> mld. Kč</w:t>
      </w:r>
      <w:r w:rsidRPr="00241122">
        <w:rPr>
          <w:rFonts w:ascii="Calibri" w:hAnsi="Calibri" w:cs="Arial"/>
          <w:sz w:val="20"/>
          <w:szCs w:val="20"/>
        </w:rPr>
        <w:t xml:space="preserve">. </w:t>
      </w:r>
      <w:r w:rsidRPr="00F506DC">
        <w:rPr>
          <w:rFonts w:ascii="Calibri" w:hAnsi="Calibri" w:cs="Arial"/>
          <w:sz w:val="20"/>
          <w:szCs w:val="20"/>
        </w:rPr>
        <w:t>Spolufinancování strukturálních fondů EU určených na VaV činnosti ze státníh</w:t>
      </w:r>
      <w:r w:rsidR="00F506DC" w:rsidRPr="00F506DC">
        <w:rPr>
          <w:rFonts w:ascii="Calibri" w:hAnsi="Calibri" w:cs="Arial"/>
          <w:sz w:val="20"/>
          <w:szCs w:val="20"/>
        </w:rPr>
        <w:t xml:space="preserve">o rozpočtu dosáhlo v roce 2013 </w:t>
      </w:r>
      <w:r w:rsidR="00870774">
        <w:rPr>
          <w:rFonts w:ascii="Calibri" w:hAnsi="Calibri" w:cs="Arial"/>
          <w:sz w:val="20"/>
          <w:szCs w:val="20"/>
        </w:rPr>
        <w:t>1,</w:t>
      </w:r>
      <w:r w:rsidR="00870774" w:rsidRPr="00870774">
        <w:rPr>
          <w:rFonts w:ascii="Calibri" w:hAnsi="Calibri" w:cs="Arial"/>
          <w:sz w:val="20"/>
          <w:szCs w:val="20"/>
        </w:rPr>
        <w:t>5 mld. Kč a podílelo se 5,7</w:t>
      </w:r>
      <w:r w:rsidRPr="00870774">
        <w:rPr>
          <w:rFonts w:ascii="Calibri" w:hAnsi="Calibri" w:cs="Arial"/>
          <w:sz w:val="20"/>
          <w:szCs w:val="20"/>
        </w:rPr>
        <w:t xml:space="preserve"> % na GBAORD. </w:t>
      </w:r>
      <w:r w:rsidRPr="00C20D6F">
        <w:rPr>
          <w:rFonts w:ascii="Calibri" w:hAnsi="Calibri" w:cs="Arial"/>
          <w:sz w:val="20"/>
          <w:szCs w:val="20"/>
        </w:rPr>
        <w:t>Meziročně došlo k</w:t>
      </w:r>
      <w:r w:rsidR="00C20D6F" w:rsidRPr="00C20D6F">
        <w:rPr>
          <w:rFonts w:ascii="Calibri" w:hAnsi="Calibri" w:cs="Arial"/>
          <w:sz w:val="20"/>
          <w:szCs w:val="20"/>
        </w:rPr>
        <w:t xml:space="preserve">e snížení o 23,3 %. </w:t>
      </w:r>
      <w:r w:rsidRPr="00C20D6F">
        <w:rPr>
          <w:rFonts w:ascii="Calibri" w:hAnsi="Calibri" w:cs="Arial"/>
          <w:sz w:val="20"/>
          <w:szCs w:val="20"/>
        </w:rPr>
        <w:t xml:space="preserve">Financování VaV ze strukturálních fondů EU zahrnuje z převážné části </w:t>
      </w:r>
      <w:r w:rsidR="00C20D6F" w:rsidRPr="00C20D6F">
        <w:rPr>
          <w:rFonts w:ascii="Calibri" w:hAnsi="Calibri" w:cs="Arial"/>
          <w:sz w:val="20"/>
          <w:szCs w:val="20"/>
        </w:rPr>
        <w:t>účelové</w:t>
      </w:r>
      <w:r w:rsidR="00272040">
        <w:rPr>
          <w:rStyle w:val="Znakapoznpodarou"/>
          <w:rFonts w:ascii="Calibri" w:hAnsi="Calibri" w:cs="Arial"/>
          <w:sz w:val="20"/>
          <w:szCs w:val="20"/>
        </w:rPr>
        <w:footnoteReference w:id="5"/>
      </w:r>
      <w:r w:rsidRPr="00C20D6F">
        <w:rPr>
          <w:rFonts w:ascii="Calibri" w:hAnsi="Calibri" w:cs="Arial"/>
          <w:sz w:val="20"/>
          <w:szCs w:val="20"/>
        </w:rPr>
        <w:t xml:space="preserve"> spolufinancování z operačního progra</w:t>
      </w:r>
      <w:r w:rsidR="00C20D6F" w:rsidRPr="00C20D6F">
        <w:rPr>
          <w:rFonts w:ascii="Calibri" w:hAnsi="Calibri" w:cs="Arial"/>
          <w:sz w:val="20"/>
          <w:szCs w:val="20"/>
        </w:rPr>
        <w:t>mu Výzkum a vývoj pro inovace (1</w:t>
      </w:r>
      <w:r w:rsidRPr="00C20D6F">
        <w:rPr>
          <w:rFonts w:ascii="Calibri" w:hAnsi="Calibri" w:cs="Arial"/>
          <w:sz w:val="20"/>
          <w:szCs w:val="20"/>
        </w:rPr>
        <w:t xml:space="preserve"> mld. Kč</w:t>
      </w:r>
      <w:r w:rsidR="00C20D6F" w:rsidRPr="00C20D6F">
        <w:rPr>
          <w:rFonts w:ascii="Calibri" w:hAnsi="Calibri" w:cs="Arial"/>
          <w:sz w:val="20"/>
          <w:szCs w:val="20"/>
        </w:rPr>
        <w:t xml:space="preserve">) z rozpočtu MŠMT </w:t>
      </w:r>
      <w:r w:rsidR="00C20D6F" w:rsidRPr="009E1F7D">
        <w:rPr>
          <w:rFonts w:ascii="Calibri" w:hAnsi="Calibri" w:cs="Arial"/>
          <w:sz w:val="20"/>
          <w:szCs w:val="20"/>
        </w:rPr>
        <w:t xml:space="preserve">ČR. </w:t>
      </w:r>
      <w:r w:rsidRPr="009E1F7D">
        <w:rPr>
          <w:rFonts w:ascii="Calibri" w:hAnsi="Calibri" w:cs="Arial"/>
          <w:sz w:val="20"/>
          <w:szCs w:val="20"/>
        </w:rPr>
        <w:t>Kromě spol</w:t>
      </w:r>
      <w:r w:rsidR="00C20D6F" w:rsidRPr="009E1F7D">
        <w:rPr>
          <w:rFonts w:ascii="Calibri" w:hAnsi="Calibri" w:cs="Arial"/>
          <w:sz w:val="20"/>
          <w:szCs w:val="20"/>
        </w:rPr>
        <w:t>ufinancování šlo ze státního ro</w:t>
      </w:r>
      <w:r w:rsidRPr="009E1F7D">
        <w:rPr>
          <w:rFonts w:ascii="Calibri" w:hAnsi="Calibri" w:cs="Arial"/>
          <w:sz w:val="20"/>
          <w:szCs w:val="20"/>
        </w:rPr>
        <w:t>zpočtu ve vztahu k těmto fondů</w:t>
      </w:r>
      <w:r w:rsidR="009E1F7D" w:rsidRPr="009E1F7D">
        <w:rPr>
          <w:rFonts w:ascii="Calibri" w:hAnsi="Calibri" w:cs="Arial"/>
          <w:sz w:val="20"/>
          <w:szCs w:val="20"/>
        </w:rPr>
        <w:t>m 13,1</w:t>
      </w:r>
      <w:r w:rsidR="00C20D6F" w:rsidRPr="009E1F7D">
        <w:rPr>
          <w:rFonts w:ascii="Calibri" w:hAnsi="Calibri" w:cs="Arial"/>
          <w:sz w:val="20"/>
          <w:szCs w:val="20"/>
        </w:rPr>
        <w:t xml:space="preserve"> mld. na </w:t>
      </w:r>
      <w:r w:rsidR="009E1F7D" w:rsidRPr="009E1F7D">
        <w:rPr>
          <w:rFonts w:ascii="Calibri" w:hAnsi="Calibri" w:cs="Arial"/>
          <w:sz w:val="20"/>
          <w:szCs w:val="20"/>
        </w:rPr>
        <w:t xml:space="preserve">jejich </w:t>
      </w:r>
      <w:r w:rsidR="00C20D6F" w:rsidRPr="00BF7E0B">
        <w:rPr>
          <w:rFonts w:ascii="Calibri" w:hAnsi="Calibri" w:cs="Arial"/>
          <w:sz w:val="20"/>
          <w:szCs w:val="20"/>
        </w:rPr>
        <w:t xml:space="preserve">předfinancování. </w:t>
      </w:r>
      <w:r w:rsidR="00BF7E0B" w:rsidRPr="00BF7E0B">
        <w:rPr>
          <w:rFonts w:ascii="Calibri" w:hAnsi="Calibri" w:cs="Arial"/>
          <w:sz w:val="20"/>
          <w:szCs w:val="20"/>
        </w:rPr>
        <w:t xml:space="preserve">Poplatky a příspěvky na </w:t>
      </w:r>
      <w:r w:rsidRPr="00BF7E0B">
        <w:rPr>
          <w:rFonts w:ascii="Calibri" w:hAnsi="Calibri" w:cs="Arial"/>
          <w:sz w:val="20"/>
          <w:szCs w:val="20"/>
        </w:rPr>
        <w:t>mezinárodní</w:t>
      </w:r>
      <w:r w:rsidR="00BF7E0B" w:rsidRPr="00BF7E0B">
        <w:rPr>
          <w:rFonts w:ascii="Calibri" w:hAnsi="Calibri" w:cs="Arial"/>
          <w:sz w:val="20"/>
          <w:szCs w:val="20"/>
        </w:rPr>
        <w:t xml:space="preserve"> spolupráci ve VaV jsou hrazeny formou institucionální podpory z rozpočtu MŠMT. V roce 2013 dosáhly 386 mil. Kč. </w:t>
      </w:r>
    </w:p>
    <w:p w:rsidR="00B76347" w:rsidRDefault="00B76347" w:rsidP="006A39B1">
      <w:pPr>
        <w:pStyle w:val="Zkladntext2"/>
        <w:ind w:firstLine="357"/>
        <w:rPr>
          <w:rFonts w:ascii="Calibri" w:hAnsi="Calibri" w:cs="Arial"/>
          <w:sz w:val="20"/>
          <w:szCs w:val="20"/>
          <w:highlight w:val="yellow"/>
        </w:rPr>
      </w:pPr>
    </w:p>
    <w:p w:rsidR="00B76347" w:rsidRPr="00041F1A" w:rsidRDefault="00B76347" w:rsidP="00B76347">
      <w:pPr>
        <w:pStyle w:val="Titulek"/>
        <w:pBdr>
          <w:bottom w:val="single" w:sz="2" w:space="1" w:color="BFBFBF"/>
        </w:pBdr>
        <w:rPr>
          <w:color w:val="336600"/>
        </w:rPr>
      </w:pPr>
      <w:r w:rsidRPr="00041F1A">
        <w:rPr>
          <w:color w:val="336600"/>
        </w:rPr>
        <w:t xml:space="preserve">GRAF </w:t>
      </w:r>
      <w:r w:rsidR="006A76CF">
        <w:rPr>
          <w:color w:val="336600"/>
        </w:rPr>
        <w:t>1</w:t>
      </w:r>
      <w:r>
        <w:rPr>
          <w:color w:val="336600"/>
        </w:rPr>
        <w:t>-</w:t>
      </w:r>
      <w:r w:rsidR="006A76CF">
        <w:rPr>
          <w:color w:val="336600"/>
        </w:rPr>
        <w:t>2</w:t>
      </w:r>
      <w:r w:rsidRPr="00041F1A">
        <w:rPr>
          <w:color w:val="336600"/>
        </w:rPr>
        <w:t>: Výdaje státního rozpočtu na výzkum a vývoj (GBAORD) v</w:t>
      </w:r>
      <w:r>
        <w:rPr>
          <w:color w:val="336600"/>
        </w:rPr>
        <w:t> </w:t>
      </w:r>
      <w:r w:rsidRPr="00041F1A">
        <w:rPr>
          <w:color w:val="336600"/>
        </w:rPr>
        <w:t>ČR</w:t>
      </w:r>
      <w:r>
        <w:rPr>
          <w:color w:val="336600"/>
        </w:rPr>
        <w:t xml:space="preserve"> podle typu financování</w:t>
      </w:r>
      <w:r w:rsidRPr="00041F1A">
        <w:rPr>
          <w:color w:val="336600"/>
        </w:rPr>
        <w:t>; 200</w:t>
      </w:r>
      <w:r>
        <w:rPr>
          <w:color w:val="336600"/>
        </w:rPr>
        <w:t>0</w:t>
      </w:r>
      <w:r w:rsidRPr="00041F1A">
        <w:rPr>
          <w:color w:val="336600"/>
        </w:rPr>
        <w:t>–</w:t>
      </w:r>
      <w:r>
        <w:rPr>
          <w:color w:val="336600"/>
        </w:rPr>
        <w:t>2013</w:t>
      </w:r>
    </w:p>
    <w:p w:rsidR="00B76347" w:rsidRPr="006A39B1" w:rsidRDefault="006D4E0D" w:rsidP="006D4E0D">
      <w:pPr>
        <w:pStyle w:val="Zkladntext2"/>
        <w:rPr>
          <w:rFonts w:ascii="Calibri" w:hAnsi="Calibri" w:cs="Arial"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43ADFC80" wp14:editId="3C9B6435">
            <wp:extent cx="5972810" cy="2459355"/>
            <wp:effectExtent l="0" t="0" r="889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9B1" w:rsidRPr="003E4E17" w:rsidRDefault="006A39B1" w:rsidP="006A39B1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EE0351">
        <w:rPr>
          <w:rFonts w:ascii="Calibri" w:hAnsi="Calibri" w:cs="Arial"/>
          <w:sz w:val="20"/>
          <w:szCs w:val="20"/>
        </w:rPr>
        <w:t>V České republice se mezi největší poskytovatele institucionální podpory řadí Ministerstvo školství, mládeže a tělovýchovy (MŠMT) a Akademie věd České republiky (AV ČR</w:t>
      </w:r>
      <w:r w:rsidRPr="00943845">
        <w:rPr>
          <w:rFonts w:ascii="Calibri" w:hAnsi="Calibri" w:cs="Arial"/>
          <w:sz w:val="20"/>
          <w:szCs w:val="20"/>
        </w:rPr>
        <w:t>).  V roce 2013 se dohromady</w:t>
      </w:r>
      <w:r w:rsidR="00943845" w:rsidRPr="00943845">
        <w:rPr>
          <w:rFonts w:ascii="Calibri" w:hAnsi="Calibri" w:cs="Arial"/>
          <w:sz w:val="20"/>
          <w:szCs w:val="20"/>
        </w:rPr>
        <w:t xml:space="preserve"> tyto dvě instituce podílely z 84,3 </w:t>
      </w:r>
      <w:r w:rsidRPr="00943845">
        <w:rPr>
          <w:rFonts w:ascii="Calibri" w:hAnsi="Calibri" w:cs="Arial"/>
          <w:sz w:val="20"/>
          <w:szCs w:val="20"/>
        </w:rPr>
        <w:t xml:space="preserve">% na institucionálním financování VaV v České republice. Jestliže MŠMT podporuje v rámci svého institucionálního financování především jednotlivé veřejné vysoké školy </w:t>
      </w:r>
      <w:r w:rsidR="00943845" w:rsidRPr="00943845">
        <w:rPr>
          <w:rFonts w:ascii="Calibri" w:hAnsi="Calibri" w:cs="Arial"/>
          <w:sz w:val="20"/>
          <w:szCs w:val="20"/>
        </w:rPr>
        <w:t>(6 mld</w:t>
      </w:r>
      <w:r w:rsidR="007B4CB5">
        <w:rPr>
          <w:rFonts w:ascii="Calibri" w:hAnsi="Calibri" w:cs="Arial"/>
          <w:sz w:val="20"/>
          <w:szCs w:val="20"/>
        </w:rPr>
        <w:t>.</w:t>
      </w:r>
      <w:r w:rsidR="00943845" w:rsidRPr="00943845">
        <w:rPr>
          <w:rFonts w:ascii="Calibri" w:hAnsi="Calibri" w:cs="Arial"/>
          <w:sz w:val="20"/>
          <w:szCs w:val="20"/>
        </w:rPr>
        <w:t xml:space="preserve"> Kč v roce 2013)</w:t>
      </w:r>
      <w:r w:rsidRPr="00943845">
        <w:rPr>
          <w:rFonts w:ascii="Calibri" w:hAnsi="Calibri" w:cs="Arial"/>
          <w:sz w:val="20"/>
          <w:szCs w:val="20"/>
        </w:rPr>
        <w:t>, tak</w:t>
      </w:r>
      <w:r w:rsidR="00943845" w:rsidRPr="00943845">
        <w:rPr>
          <w:rFonts w:ascii="Calibri" w:hAnsi="Calibri" w:cs="Arial"/>
          <w:sz w:val="20"/>
          <w:szCs w:val="20"/>
        </w:rPr>
        <w:t xml:space="preserve"> AV ČR své jednotlivé ústavy (3,3 mld. Kč</w:t>
      </w:r>
      <w:r w:rsidRPr="00943845">
        <w:rPr>
          <w:rFonts w:ascii="Calibri" w:hAnsi="Calibri" w:cs="Arial"/>
          <w:sz w:val="20"/>
          <w:szCs w:val="20"/>
        </w:rPr>
        <w:t xml:space="preserve">). </w:t>
      </w:r>
      <w:r w:rsidRPr="003E4E17">
        <w:rPr>
          <w:rFonts w:ascii="Calibri" w:hAnsi="Calibri" w:cs="Arial"/>
          <w:sz w:val="20"/>
          <w:szCs w:val="20"/>
        </w:rPr>
        <w:t>Kromě dvou výše zmíněných subjektů poskytuje institucionální financování pro své resortní výzkumné organizace (většina z nich má dnes statut veřejných výzkumných institucí) i Ministerstvo zemědělství (</w:t>
      </w:r>
      <w:proofErr w:type="spellStart"/>
      <w:r w:rsidRPr="003E4E17">
        <w:rPr>
          <w:rFonts w:ascii="Calibri" w:hAnsi="Calibri" w:cs="Arial"/>
          <w:sz w:val="20"/>
          <w:szCs w:val="20"/>
        </w:rPr>
        <w:t>MZe</w:t>
      </w:r>
      <w:proofErr w:type="spellEnd"/>
      <w:r w:rsidRPr="003E4E17">
        <w:rPr>
          <w:rFonts w:ascii="Calibri" w:hAnsi="Calibri" w:cs="Arial"/>
          <w:sz w:val="20"/>
          <w:szCs w:val="20"/>
        </w:rPr>
        <w:t>), Ministerstvo životního prostředí (MŽP), Ministerstvo vnitra (MV) a Ministerstvo obrany (MO). Pro příspěvkové výzkumné organizace dále Ministerstvo zdravotnictví (</w:t>
      </w:r>
      <w:proofErr w:type="spellStart"/>
      <w:r w:rsidRPr="003E4E17">
        <w:rPr>
          <w:rFonts w:ascii="Calibri" w:hAnsi="Calibri" w:cs="Arial"/>
          <w:sz w:val="20"/>
          <w:szCs w:val="20"/>
        </w:rPr>
        <w:t>MZd</w:t>
      </w:r>
      <w:proofErr w:type="spellEnd"/>
      <w:r w:rsidRPr="003E4E17">
        <w:rPr>
          <w:rFonts w:ascii="Calibri" w:hAnsi="Calibri" w:cs="Arial"/>
          <w:sz w:val="20"/>
          <w:szCs w:val="20"/>
        </w:rPr>
        <w:t xml:space="preserve">) a Ministerstvo kultury (MK). </w:t>
      </w:r>
    </w:p>
    <w:p w:rsidR="006A39B1" w:rsidRPr="00C0456D" w:rsidRDefault="006A39B1" w:rsidP="006A39B1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40728D" w:rsidRDefault="006A39B1" w:rsidP="006A39B1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C0456D">
        <w:rPr>
          <w:rFonts w:ascii="Calibri" w:hAnsi="Calibri" w:cs="Arial"/>
          <w:sz w:val="20"/>
          <w:szCs w:val="20"/>
        </w:rPr>
        <w:t>Účelová (projektová) podpora VaV byla v roce 2013 v České republic</w:t>
      </w:r>
      <w:r w:rsidR="00C4288B" w:rsidRPr="00C0456D">
        <w:rPr>
          <w:rFonts w:ascii="Calibri" w:hAnsi="Calibri" w:cs="Arial"/>
          <w:sz w:val="20"/>
          <w:szCs w:val="20"/>
        </w:rPr>
        <w:t>e financovaná prostřednictvím 11</w:t>
      </w:r>
      <w:r w:rsidRPr="00C0456D">
        <w:rPr>
          <w:rFonts w:ascii="Calibri" w:hAnsi="Calibri" w:cs="Arial"/>
          <w:sz w:val="20"/>
          <w:szCs w:val="20"/>
        </w:rPr>
        <w:t xml:space="preserve"> rozpočtových kapitol (v minulosti to bylo až 22). </w:t>
      </w:r>
    </w:p>
    <w:p w:rsidR="0040728D" w:rsidRDefault="00C66F25" w:rsidP="006A39B1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 roce 2013 byla poprvé (dříve MPO) nejvýznamnějším poskytovatelem účelové podpory </w:t>
      </w:r>
      <w:r w:rsidRPr="00C66F25">
        <w:rPr>
          <w:rFonts w:ascii="Calibri" w:hAnsi="Calibri" w:cs="Arial"/>
          <w:sz w:val="20"/>
          <w:szCs w:val="20"/>
        </w:rPr>
        <w:t>Grantová agentura ČR (GA ČR)</w:t>
      </w:r>
      <w:r>
        <w:rPr>
          <w:rFonts w:ascii="Calibri" w:hAnsi="Calibri" w:cs="Arial"/>
          <w:sz w:val="20"/>
          <w:szCs w:val="20"/>
        </w:rPr>
        <w:t xml:space="preserve">, </w:t>
      </w:r>
      <w:r w:rsidR="0040728D">
        <w:rPr>
          <w:rFonts w:ascii="Calibri" w:hAnsi="Calibri" w:cs="Arial"/>
          <w:sz w:val="20"/>
          <w:szCs w:val="20"/>
        </w:rPr>
        <w:t xml:space="preserve">která </w:t>
      </w:r>
      <w:r w:rsidR="0040728D" w:rsidRPr="0040728D">
        <w:rPr>
          <w:rFonts w:ascii="Calibri" w:hAnsi="Calibri" w:cs="Arial"/>
          <w:sz w:val="20"/>
          <w:szCs w:val="20"/>
        </w:rPr>
        <w:t>podporuje každoročně granty na základní vědecký výzkum. Finance poskytuje nejlepším projektům ze všech oborů vědy na základě veřejné soutěže ve výzkumu a vývoji. V roce 2013 dosáhla podpora GA ČR č</w:t>
      </w:r>
      <w:r w:rsidR="0040728D">
        <w:rPr>
          <w:rFonts w:ascii="Calibri" w:hAnsi="Calibri" w:cs="Arial"/>
          <w:sz w:val="20"/>
          <w:szCs w:val="20"/>
        </w:rPr>
        <w:t>ástky 3,2 mld. Kč, což odpovídalo 23,2 </w:t>
      </w:r>
      <w:r w:rsidR="0040728D" w:rsidRPr="0040728D">
        <w:rPr>
          <w:rFonts w:ascii="Calibri" w:hAnsi="Calibri" w:cs="Arial"/>
          <w:sz w:val="20"/>
          <w:szCs w:val="20"/>
        </w:rPr>
        <w:t xml:space="preserve">% podílu na účelovém financování VaV v České republice. </w:t>
      </w:r>
      <w:r w:rsidR="0040728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6A39B1" w:rsidRDefault="00BD089A" w:rsidP="006A39B1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BD089A">
        <w:rPr>
          <w:rFonts w:ascii="Calibri" w:hAnsi="Calibri" w:cs="Arial"/>
          <w:sz w:val="20"/>
          <w:szCs w:val="20"/>
        </w:rPr>
        <w:t>MŠMT, druhý nejvýznamnější posk</w:t>
      </w:r>
      <w:r w:rsidR="006A39B1" w:rsidRPr="00BD089A">
        <w:rPr>
          <w:rFonts w:ascii="Calibri" w:hAnsi="Calibri" w:cs="Arial"/>
          <w:sz w:val="20"/>
          <w:szCs w:val="20"/>
        </w:rPr>
        <w:t>ytovatel úč</w:t>
      </w:r>
      <w:r w:rsidRPr="00BD089A">
        <w:rPr>
          <w:rFonts w:ascii="Calibri" w:hAnsi="Calibri" w:cs="Arial"/>
          <w:sz w:val="20"/>
          <w:szCs w:val="20"/>
        </w:rPr>
        <w:t>elové podpory VaV v roce 2013 (3 mld. Kč, tj. 21,9</w:t>
      </w:r>
      <w:r w:rsidR="006A39B1" w:rsidRPr="00BD089A">
        <w:rPr>
          <w:rFonts w:ascii="Calibri" w:hAnsi="Calibri" w:cs="Arial"/>
          <w:sz w:val="20"/>
          <w:szCs w:val="20"/>
        </w:rPr>
        <w:t xml:space="preserve"> % podíl), poskytuje podporu na průřezový aplikovaný VaV prováděný především na veřejných vysokých školách. Také MŠMT </w:t>
      </w:r>
      <w:r w:rsidR="006A39B1" w:rsidRPr="00BD089A">
        <w:rPr>
          <w:rFonts w:ascii="Calibri" w:hAnsi="Calibri" w:cs="Arial"/>
          <w:sz w:val="20"/>
          <w:szCs w:val="20"/>
        </w:rPr>
        <w:lastRenderedPageBreak/>
        <w:t>patří mezi garanty celé řady výzkumných programů, uveďme např. program</w:t>
      </w:r>
      <w:r w:rsidR="00114A73">
        <w:rPr>
          <w:rFonts w:ascii="Calibri" w:hAnsi="Calibri" w:cs="Arial"/>
          <w:sz w:val="20"/>
          <w:szCs w:val="20"/>
        </w:rPr>
        <w:t>y</w:t>
      </w:r>
      <w:r w:rsidR="006A39B1" w:rsidRPr="00BD089A">
        <w:rPr>
          <w:rFonts w:ascii="Calibri" w:hAnsi="Calibri" w:cs="Arial"/>
          <w:sz w:val="20"/>
          <w:szCs w:val="20"/>
        </w:rPr>
        <w:t xml:space="preserve"> „Výzkumná centra“, „Centra základního výzkumu“, „Informační technologie pro znalostní společnost“ atd. </w:t>
      </w:r>
    </w:p>
    <w:p w:rsidR="002D4F68" w:rsidRPr="00BD089A" w:rsidRDefault="002D4F68" w:rsidP="006A39B1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Význam Technologické agentury ČR</w:t>
      </w:r>
      <w:r w:rsidR="008C46A4">
        <w:rPr>
          <w:rFonts w:ascii="Calibri" w:hAnsi="Calibri" w:cs="Arial"/>
          <w:sz w:val="20"/>
          <w:szCs w:val="20"/>
        </w:rPr>
        <w:t xml:space="preserve"> (TA ČR)</w:t>
      </w:r>
      <w:r>
        <w:rPr>
          <w:rFonts w:ascii="Calibri" w:hAnsi="Calibri" w:cs="Arial"/>
          <w:sz w:val="20"/>
          <w:szCs w:val="20"/>
        </w:rPr>
        <w:t xml:space="preserve"> jako rozpočtové kapitoly financující VaV každým rokem roste. </w:t>
      </w:r>
      <w:r w:rsidR="00DE5AC9">
        <w:rPr>
          <w:rFonts w:ascii="Calibri" w:hAnsi="Calibri" w:cs="Arial"/>
          <w:sz w:val="20"/>
          <w:szCs w:val="20"/>
        </w:rPr>
        <w:t>Agentura b</w:t>
      </w:r>
      <w:r w:rsidR="008C46A4">
        <w:rPr>
          <w:rFonts w:ascii="Calibri" w:hAnsi="Calibri" w:cs="Arial"/>
          <w:sz w:val="20"/>
          <w:szCs w:val="20"/>
        </w:rPr>
        <w:t>yla založena primárně na podporu aplikovaného výzkumu s důrazem na spolupráci mezi podniky, vysokými školami a veřejnými výzkumnými organizacemi. Financování projektů v programech „ALFA“, „BETA“</w:t>
      </w:r>
      <w:r w:rsidR="007B4CB5">
        <w:rPr>
          <w:rFonts w:ascii="Calibri" w:hAnsi="Calibri" w:cs="Arial"/>
          <w:sz w:val="20"/>
          <w:szCs w:val="20"/>
        </w:rPr>
        <w:t>, „OMEGA“, „Centra kompetence“</w:t>
      </w:r>
      <w:r w:rsidR="008C46A4">
        <w:rPr>
          <w:rFonts w:ascii="Calibri" w:hAnsi="Calibri" w:cs="Arial"/>
          <w:sz w:val="20"/>
          <w:szCs w:val="20"/>
        </w:rPr>
        <w:t xml:space="preserve"> je realizováno pouze účelovou formou podpory. V roce 2013 TA ČR poskytla účelovou podporu ve výši 2,5 mld. Kč, což odpovídá podílu 18,6 % celkové účelové podpory poskytnuté na VaV </w:t>
      </w:r>
      <w:r w:rsidR="00DE5AC9">
        <w:rPr>
          <w:rFonts w:ascii="Calibri" w:hAnsi="Calibri" w:cs="Arial"/>
          <w:sz w:val="20"/>
          <w:szCs w:val="20"/>
        </w:rPr>
        <w:t xml:space="preserve">v ČR </w:t>
      </w:r>
      <w:r w:rsidR="008C46A4">
        <w:rPr>
          <w:rFonts w:ascii="Calibri" w:hAnsi="Calibri" w:cs="Arial"/>
          <w:sz w:val="20"/>
          <w:szCs w:val="20"/>
        </w:rPr>
        <w:t xml:space="preserve">v uvedeném roce. 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BD089A" w:rsidRPr="006A39B1" w:rsidRDefault="00BD089A" w:rsidP="00BD089A">
      <w:pPr>
        <w:pStyle w:val="Zkladntext2"/>
        <w:ind w:firstLine="357"/>
        <w:rPr>
          <w:rFonts w:ascii="Calibri" w:hAnsi="Calibri" w:cs="Arial"/>
          <w:sz w:val="20"/>
          <w:szCs w:val="20"/>
          <w:highlight w:val="yellow"/>
        </w:rPr>
      </w:pPr>
      <w:r>
        <w:rPr>
          <w:rFonts w:ascii="Calibri" w:hAnsi="Calibri" w:cs="Arial"/>
          <w:sz w:val="20"/>
          <w:szCs w:val="20"/>
        </w:rPr>
        <w:t xml:space="preserve">V období 2000 až 2012 bylo </w:t>
      </w:r>
      <w:r w:rsidRPr="00C0456D">
        <w:rPr>
          <w:rFonts w:ascii="Calibri" w:hAnsi="Calibri" w:cs="Arial"/>
          <w:sz w:val="20"/>
          <w:szCs w:val="20"/>
        </w:rPr>
        <w:t>Ministerstvo průmyslu a obchodu (MPO)</w:t>
      </w:r>
      <w:r>
        <w:rPr>
          <w:rFonts w:ascii="Calibri" w:hAnsi="Calibri" w:cs="Arial"/>
          <w:sz w:val="20"/>
          <w:szCs w:val="20"/>
        </w:rPr>
        <w:t xml:space="preserve"> nejvýznamnějším poskytovatelem účelové podpory. Počínaje rokem </w:t>
      </w:r>
      <w:r w:rsidR="002D4F68">
        <w:rPr>
          <w:rFonts w:ascii="Calibri" w:hAnsi="Calibri" w:cs="Arial"/>
          <w:sz w:val="20"/>
          <w:szCs w:val="20"/>
        </w:rPr>
        <w:t>2013 se propadlo až na čtvrté místo</w:t>
      </w:r>
      <w:r>
        <w:rPr>
          <w:rFonts w:ascii="Calibri" w:hAnsi="Calibri" w:cs="Arial"/>
          <w:sz w:val="20"/>
          <w:szCs w:val="20"/>
        </w:rPr>
        <w:t xml:space="preserve"> </w:t>
      </w:r>
      <w:r w:rsidR="002D4F68">
        <w:rPr>
          <w:rFonts w:ascii="Calibri" w:hAnsi="Calibri" w:cs="Arial"/>
          <w:sz w:val="20"/>
          <w:szCs w:val="20"/>
        </w:rPr>
        <w:t xml:space="preserve">v pořadí </w:t>
      </w:r>
      <w:r w:rsidR="004512E3">
        <w:rPr>
          <w:rFonts w:ascii="Calibri" w:hAnsi="Calibri" w:cs="Arial"/>
          <w:sz w:val="20"/>
          <w:szCs w:val="20"/>
        </w:rPr>
        <w:t>co do</w:t>
      </w:r>
      <w:r w:rsidR="002D4F68">
        <w:rPr>
          <w:rFonts w:ascii="Calibri" w:hAnsi="Calibri" w:cs="Arial"/>
          <w:sz w:val="20"/>
          <w:szCs w:val="20"/>
        </w:rPr>
        <w:t xml:space="preserve"> výše účelové podpory.</w:t>
      </w:r>
      <w:r>
        <w:rPr>
          <w:rFonts w:ascii="Calibri" w:hAnsi="Calibri" w:cs="Arial"/>
          <w:sz w:val="20"/>
          <w:szCs w:val="20"/>
        </w:rPr>
        <w:t xml:space="preserve">  MPO</w:t>
      </w:r>
      <w:r w:rsidRPr="00C0456D">
        <w:rPr>
          <w:rFonts w:ascii="Calibri" w:hAnsi="Calibri" w:cs="Arial"/>
          <w:sz w:val="20"/>
          <w:szCs w:val="20"/>
        </w:rPr>
        <w:t xml:space="preserve"> podporuje především aplikovaný výzkum</w:t>
      </w:r>
      <w:r w:rsidR="004512E3">
        <w:rPr>
          <w:rFonts w:ascii="Calibri" w:hAnsi="Calibri" w:cs="Arial"/>
          <w:sz w:val="20"/>
          <w:szCs w:val="20"/>
        </w:rPr>
        <w:t xml:space="preserve"> a vývoj</w:t>
      </w:r>
      <w:r w:rsidRPr="00C0456D">
        <w:rPr>
          <w:rFonts w:ascii="Calibri" w:hAnsi="Calibri" w:cs="Arial"/>
          <w:sz w:val="20"/>
          <w:szCs w:val="20"/>
        </w:rPr>
        <w:t>, zejména skrze své výzkumné programy jako je např. program „TIP“, či v minulosti programy jako</w:t>
      </w:r>
      <w:r>
        <w:rPr>
          <w:rFonts w:ascii="Calibri" w:hAnsi="Calibri" w:cs="Arial"/>
          <w:sz w:val="20"/>
          <w:szCs w:val="20"/>
        </w:rPr>
        <w:t xml:space="preserve"> </w:t>
      </w:r>
      <w:r w:rsidRPr="00C0456D">
        <w:rPr>
          <w:rFonts w:ascii="Calibri" w:hAnsi="Calibri" w:cs="Arial"/>
          <w:sz w:val="20"/>
          <w:szCs w:val="20"/>
        </w:rPr>
        <w:t>„Trvalá prosperita“</w:t>
      </w:r>
      <w:r>
        <w:rPr>
          <w:rFonts w:ascii="Calibri" w:hAnsi="Calibri" w:cs="Arial"/>
          <w:sz w:val="20"/>
          <w:szCs w:val="20"/>
        </w:rPr>
        <w:t>,</w:t>
      </w:r>
      <w:r w:rsidRPr="00C0456D">
        <w:rPr>
          <w:rFonts w:ascii="Calibri" w:hAnsi="Calibri" w:cs="Arial"/>
          <w:sz w:val="20"/>
          <w:szCs w:val="20"/>
        </w:rPr>
        <w:t xml:space="preserve"> „Tandem“ nebo „Impuls“. Hlavními příjemci účelové podpory MPO jsou soukromé domácí podniky. </w:t>
      </w:r>
      <w:r w:rsidRPr="00E33234">
        <w:rPr>
          <w:rFonts w:ascii="Calibri" w:hAnsi="Calibri" w:cs="Arial"/>
          <w:sz w:val="20"/>
          <w:szCs w:val="20"/>
        </w:rPr>
        <w:t>V roce 2013 činil podíl MPO na celkovém účelovém financování VaV 17,7 % (2,4 mld. Kč).</w:t>
      </w:r>
      <w:r w:rsidRPr="006A39B1">
        <w:rPr>
          <w:rFonts w:ascii="Calibri" w:hAnsi="Calibri" w:cs="Arial"/>
          <w:sz w:val="20"/>
          <w:szCs w:val="20"/>
          <w:highlight w:val="yellow"/>
        </w:rPr>
        <w:t xml:space="preserve"> </w:t>
      </w:r>
    </w:p>
    <w:p w:rsidR="006A39B1" w:rsidRPr="00846C5E" w:rsidRDefault="00BD089A" w:rsidP="00846C5E">
      <w:pPr>
        <w:pStyle w:val="Zkladntext2"/>
        <w:tabs>
          <w:tab w:val="left" w:pos="7567"/>
        </w:tabs>
        <w:rPr>
          <w:rFonts w:ascii="Calibri" w:hAnsi="Calibri" w:cs="Arial"/>
          <w:sz w:val="20"/>
          <w:szCs w:val="20"/>
        </w:rPr>
      </w:pPr>
      <w:r w:rsidRPr="008C46A4">
        <w:rPr>
          <w:rFonts w:ascii="Calibri" w:hAnsi="Calibri" w:cs="Arial"/>
          <w:sz w:val="20"/>
          <w:szCs w:val="20"/>
        </w:rPr>
        <w:tab/>
      </w:r>
    </w:p>
    <w:p w:rsidR="000C0211" w:rsidRDefault="000C0211" w:rsidP="000C0211">
      <w:pPr>
        <w:pStyle w:val="Zkladntext2"/>
        <w:rPr>
          <w:rFonts w:ascii="Calibri" w:hAnsi="Calibri" w:cs="Arial"/>
          <w:sz w:val="20"/>
          <w:szCs w:val="20"/>
        </w:rPr>
      </w:pPr>
      <w:r w:rsidRPr="002D2A70">
        <w:rPr>
          <w:rFonts w:ascii="Calibri" w:hAnsi="Calibri" w:cs="Arial"/>
          <w:b/>
          <w:sz w:val="20"/>
          <w:szCs w:val="20"/>
        </w:rPr>
        <w:t>Podpora VaV ze státního rozpočtu podle</w:t>
      </w:r>
      <w:r>
        <w:rPr>
          <w:rFonts w:ascii="Calibri" w:hAnsi="Calibri" w:cs="Arial"/>
          <w:b/>
          <w:sz w:val="20"/>
          <w:szCs w:val="20"/>
        </w:rPr>
        <w:t xml:space="preserve"> poskytovatelů</w:t>
      </w:r>
    </w:p>
    <w:p w:rsidR="00A66714" w:rsidRPr="00BF6649" w:rsidRDefault="006171DE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BF6649">
        <w:rPr>
          <w:rFonts w:ascii="Calibri" w:hAnsi="Calibri" w:cs="Arial"/>
          <w:sz w:val="20"/>
          <w:szCs w:val="20"/>
        </w:rPr>
        <w:t>Nejvýznamnější</w:t>
      </w:r>
      <w:r w:rsidR="0009072D" w:rsidRPr="00BF6649">
        <w:rPr>
          <w:rFonts w:ascii="Calibri" w:hAnsi="Calibri" w:cs="Arial"/>
          <w:sz w:val="20"/>
          <w:szCs w:val="20"/>
        </w:rPr>
        <w:t>m</w:t>
      </w:r>
      <w:r w:rsidRPr="00BF6649">
        <w:rPr>
          <w:rFonts w:ascii="Calibri" w:hAnsi="Calibri" w:cs="Arial"/>
          <w:sz w:val="20"/>
          <w:szCs w:val="20"/>
        </w:rPr>
        <w:t xml:space="preserve"> </w:t>
      </w:r>
      <w:r w:rsidR="00051EAE">
        <w:rPr>
          <w:rFonts w:ascii="Calibri" w:hAnsi="Calibri" w:cs="Arial"/>
          <w:sz w:val="20"/>
          <w:szCs w:val="20"/>
        </w:rPr>
        <w:t xml:space="preserve">zdrojem </w:t>
      </w:r>
      <w:r w:rsidR="00205E94">
        <w:rPr>
          <w:rFonts w:ascii="Calibri" w:hAnsi="Calibri" w:cs="Arial"/>
          <w:sz w:val="20"/>
          <w:szCs w:val="20"/>
        </w:rPr>
        <w:t xml:space="preserve">přímé </w:t>
      </w:r>
      <w:r w:rsidR="00B56DF8">
        <w:rPr>
          <w:rFonts w:ascii="Calibri" w:hAnsi="Calibri" w:cs="Arial"/>
          <w:sz w:val="20"/>
          <w:szCs w:val="20"/>
        </w:rPr>
        <w:t xml:space="preserve">veřejné </w:t>
      </w:r>
      <w:r w:rsidRPr="00BF6649">
        <w:rPr>
          <w:rFonts w:ascii="Calibri" w:hAnsi="Calibri" w:cs="Arial"/>
          <w:sz w:val="20"/>
          <w:szCs w:val="20"/>
        </w:rPr>
        <w:t>podpory výzkumu a vývoj</w:t>
      </w:r>
      <w:r w:rsidR="00F438F6">
        <w:rPr>
          <w:rFonts w:ascii="Calibri" w:hAnsi="Calibri" w:cs="Arial"/>
          <w:sz w:val="20"/>
          <w:szCs w:val="20"/>
        </w:rPr>
        <w:t>e</w:t>
      </w:r>
      <w:r w:rsidR="00051EAE">
        <w:rPr>
          <w:rFonts w:ascii="Calibri" w:hAnsi="Calibri" w:cs="Arial"/>
          <w:sz w:val="20"/>
          <w:szCs w:val="20"/>
        </w:rPr>
        <w:t xml:space="preserve"> tzn. poskytovatelem, z </w:t>
      </w:r>
      <w:r w:rsidR="00723469" w:rsidRPr="00BF6649">
        <w:rPr>
          <w:rFonts w:ascii="Calibri" w:hAnsi="Calibri" w:cs="Arial"/>
          <w:sz w:val="20"/>
          <w:szCs w:val="20"/>
        </w:rPr>
        <w:t>jehož</w:t>
      </w:r>
      <w:r w:rsidRPr="00BF6649">
        <w:rPr>
          <w:rFonts w:ascii="Calibri" w:hAnsi="Calibri" w:cs="Arial"/>
          <w:sz w:val="20"/>
          <w:szCs w:val="20"/>
        </w:rPr>
        <w:t xml:space="preserve"> ro</w:t>
      </w:r>
      <w:r w:rsidR="00D250D7" w:rsidRPr="00BF6649">
        <w:rPr>
          <w:rFonts w:ascii="Calibri" w:hAnsi="Calibri" w:cs="Arial"/>
          <w:sz w:val="20"/>
          <w:szCs w:val="20"/>
        </w:rPr>
        <w:t>zpočtové kapitoly byla</w:t>
      </w:r>
      <w:r w:rsidR="00051EAE">
        <w:rPr>
          <w:rFonts w:ascii="Calibri" w:hAnsi="Calibri" w:cs="Arial"/>
          <w:sz w:val="20"/>
          <w:szCs w:val="20"/>
        </w:rPr>
        <w:t xml:space="preserve"> </w:t>
      </w:r>
      <w:r w:rsidR="00F438F6">
        <w:rPr>
          <w:rFonts w:ascii="Calibri" w:hAnsi="Calibri" w:cs="Arial"/>
          <w:sz w:val="20"/>
          <w:szCs w:val="20"/>
        </w:rPr>
        <w:t>uvolněna</w:t>
      </w:r>
      <w:r w:rsidR="00051EAE">
        <w:rPr>
          <w:rFonts w:ascii="Calibri" w:hAnsi="Calibri" w:cs="Arial"/>
          <w:sz w:val="20"/>
          <w:szCs w:val="20"/>
        </w:rPr>
        <w:t xml:space="preserve"> </w:t>
      </w:r>
      <w:r w:rsidR="00917DBB">
        <w:rPr>
          <w:rFonts w:ascii="Calibri" w:hAnsi="Calibri" w:cs="Arial"/>
          <w:sz w:val="20"/>
          <w:szCs w:val="20"/>
        </w:rPr>
        <w:t>nejvyšší částka</w:t>
      </w:r>
      <w:r w:rsidR="00D250D7" w:rsidRPr="00BF6649">
        <w:rPr>
          <w:rFonts w:ascii="Calibri" w:hAnsi="Calibri" w:cs="Arial"/>
          <w:sz w:val="20"/>
          <w:szCs w:val="20"/>
        </w:rPr>
        <w:t>, bylo v roce 2013</w:t>
      </w:r>
      <w:r w:rsidRPr="00BF6649">
        <w:rPr>
          <w:rFonts w:ascii="Calibri" w:hAnsi="Calibri" w:cs="Arial"/>
          <w:sz w:val="20"/>
          <w:szCs w:val="20"/>
        </w:rPr>
        <w:t xml:space="preserve"> Ministerstvo školství, mládeže a tělovýchovy</w:t>
      </w:r>
      <w:r w:rsidR="0021389A" w:rsidRPr="00BF6649">
        <w:rPr>
          <w:rFonts w:ascii="Calibri" w:hAnsi="Calibri" w:cs="Arial"/>
          <w:sz w:val="20"/>
          <w:szCs w:val="20"/>
        </w:rPr>
        <w:t xml:space="preserve"> (MŠMT)</w:t>
      </w:r>
      <w:r w:rsidRPr="00BF6649">
        <w:rPr>
          <w:rFonts w:ascii="Calibri" w:hAnsi="Calibri" w:cs="Arial"/>
          <w:sz w:val="20"/>
          <w:szCs w:val="20"/>
        </w:rPr>
        <w:t>. Prostřednictvím</w:t>
      </w:r>
      <w:r w:rsidR="00E20749">
        <w:rPr>
          <w:rFonts w:ascii="Calibri" w:hAnsi="Calibri" w:cs="Arial"/>
          <w:sz w:val="20"/>
          <w:szCs w:val="20"/>
        </w:rPr>
        <w:t xml:space="preserve"> dané</w:t>
      </w:r>
      <w:r w:rsidRPr="00BF6649">
        <w:rPr>
          <w:rFonts w:ascii="Calibri" w:hAnsi="Calibri" w:cs="Arial"/>
          <w:sz w:val="20"/>
          <w:szCs w:val="20"/>
        </w:rPr>
        <w:t xml:space="preserve"> rozpočtové kapitoly bylo do výzkumných a vývojových aktivit alokováno </w:t>
      </w:r>
      <w:r w:rsidR="0009072D" w:rsidRPr="00BF6649">
        <w:rPr>
          <w:rFonts w:ascii="Calibri" w:hAnsi="Calibri" w:cs="Arial"/>
          <w:sz w:val="20"/>
          <w:szCs w:val="20"/>
        </w:rPr>
        <w:t>9</w:t>
      </w:r>
      <w:r w:rsidR="007B4CB5">
        <w:rPr>
          <w:rFonts w:ascii="Calibri" w:hAnsi="Calibri" w:cs="Arial"/>
          <w:sz w:val="20"/>
          <w:szCs w:val="20"/>
        </w:rPr>
        <w:t>,6 mld</w:t>
      </w:r>
      <w:r w:rsidR="0009072D" w:rsidRPr="00BF6649">
        <w:rPr>
          <w:rFonts w:ascii="Calibri" w:hAnsi="Calibri" w:cs="Arial"/>
          <w:sz w:val="20"/>
          <w:szCs w:val="20"/>
        </w:rPr>
        <w:t>. </w:t>
      </w:r>
      <w:r w:rsidR="005D7144" w:rsidRPr="00BF6649">
        <w:rPr>
          <w:rFonts w:ascii="Calibri" w:hAnsi="Calibri" w:cs="Arial"/>
          <w:sz w:val="20"/>
          <w:szCs w:val="20"/>
        </w:rPr>
        <w:t xml:space="preserve">Kč, což odpovídá </w:t>
      </w:r>
      <w:r w:rsidR="0009072D" w:rsidRPr="00BF6649">
        <w:rPr>
          <w:rFonts w:ascii="Calibri" w:hAnsi="Calibri" w:cs="Arial"/>
          <w:sz w:val="20"/>
          <w:szCs w:val="20"/>
        </w:rPr>
        <w:t xml:space="preserve">podílu </w:t>
      </w:r>
      <w:r w:rsidR="00BF6649" w:rsidRPr="00BF6649">
        <w:rPr>
          <w:rFonts w:ascii="Calibri" w:hAnsi="Calibri" w:cs="Arial"/>
          <w:sz w:val="20"/>
          <w:szCs w:val="20"/>
        </w:rPr>
        <w:t>36</w:t>
      </w:r>
      <w:r w:rsidR="005D7144" w:rsidRPr="00BF6649">
        <w:rPr>
          <w:rFonts w:ascii="Calibri" w:hAnsi="Calibri" w:cs="Arial"/>
          <w:sz w:val="20"/>
          <w:szCs w:val="20"/>
        </w:rPr>
        <w:t>,1</w:t>
      </w:r>
      <w:r w:rsidRPr="00BF6649">
        <w:rPr>
          <w:rFonts w:ascii="Calibri" w:hAnsi="Calibri" w:cs="Arial"/>
          <w:sz w:val="20"/>
          <w:szCs w:val="20"/>
        </w:rPr>
        <w:t xml:space="preserve"> % </w:t>
      </w:r>
      <w:r w:rsidR="00BF5099" w:rsidRPr="00BF6649">
        <w:rPr>
          <w:rFonts w:ascii="Calibri" w:hAnsi="Calibri" w:cs="Arial"/>
          <w:sz w:val="20"/>
          <w:szCs w:val="20"/>
        </w:rPr>
        <w:t>z</w:t>
      </w:r>
      <w:r w:rsidR="00051EAE">
        <w:rPr>
          <w:rFonts w:ascii="Calibri" w:hAnsi="Calibri" w:cs="Arial"/>
          <w:sz w:val="20"/>
          <w:szCs w:val="20"/>
        </w:rPr>
        <w:t> </w:t>
      </w:r>
      <w:r w:rsidRPr="00BF6649">
        <w:rPr>
          <w:rFonts w:ascii="Calibri" w:hAnsi="Calibri" w:cs="Arial"/>
          <w:sz w:val="20"/>
          <w:szCs w:val="20"/>
        </w:rPr>
        <w:t>celkov</w:t>
      </w:r>
      <w:r w:rsidR="00051EAE">
        <w:rPr>
          <w:rFonts w:ascii="Calibri" w:hAnsi="Calibri" w:cs="Arial"/>
          <w:sz w:val="20"/>
          <w:szCs w:val="20"/>
        </w:rPr>
        <w:t>ého objemu</w:t>
      </w:r>
      <w:r w:rsidRPr="00BF6649">
        <w:rPr>
          <w:rFonts w:ascii="Calibri" w:hAnsi="Calibri" w:cs="Arial"/>
          <w:sz w:val="20"/>
          <w:szCs w:val="20"/>
        </w:rPr>
        <w:t xml:space="preserve"> GBAORD.</w:t>
      </w:r>
      <w:r w:rsidR="00E524D1">
        <w:rPr>
          <w:rFonts w:ascii="Calibri" w:hAnsi="Calibri" w:cs="Arial"/>
          <w:sz w:val="20"/>
          <w:szCs w:val="20"/>
        </w:rPr>
        <w:t xml:space="preserve"> </w:t>
      </w:r>
      <w:r w:rsidR="00B67F8B" w:rsidRPr="00BF6649">
        <w:rPr>
          <w:rFonts w:ascii="Calibri" w:hAnsi="Calibri" w:cs="Arial"/>
          <w:sz w:val="20"/>
          <w:szCs w:val="20"/>
        </w:rPr>
        <w:t xml:space="preserve"> </w:t>
      </w:r>
      <w:r w:rsidR="006C67E9">
        <w:rPr>
          <w:rFonts w:ascii="Calibri" w:hAnsi="Calibri" w:cs="Arial"/>
          <w:sz w:val="20"/>
          <w:szCs w:val="20"/>
        </w:rPr>
        <w:t xml:space="preserve">Celkem </w:t>
      </w:r>
      <w:r w:rsidR="00E20749">
        <w:rPr>
          <w:rFonts w:ascii="Calibri" w:hAnsi="Calibri" w:cs="Arial"/>
          <w:sz w:val="20"/>
          <w:szCs w:val="20"/>
        </w:rPr>
        <w:t xml:space="preserve">69,2 </w:t>
      </w:r>
      <w:r w:rsidR="00E20749">
        <w:rPr>
          <w:rFonts w:ascii="Calibri" w:hAnsi="Calibri" w:cs="Arial"/>
          <w:sz w:val="20"/>
          <w:szCs w:val="20"/>
          <w:lang w:val="en-US"/>
        </w:rPr>
        <w:t xml:space="preserve">% </w:t>
      </w:r>
      <w:r w:rsidR="00E20749">
        <w:rPr>
          <w:rFonts w:ascii="Calibri" w:hAnsi="Calibri" w:cs="Arial"/>
          <w:sz w:val="20"/>
          <w:szCs w:val="20"/>
        </w:rPr>
        <w:t>těchto finančních prostředků bylo čerpáno</w:t>
      </w:r>
      <w:r w:rsidR="007952FE" w:rsidRPr="00BF6649">
        <w:rPr>
          <w:rFonts w:ascii="Calibri" w:hAnsi="Calibri" w:cs="Arial"/>
          <w:sz w:val="20"/>
          <w:szCs w:val="20"/>
        </w:rPr>
        <w:t xml:space="preserve"> formou institucionální</w:t>
      </w:r>
      <w:r w:rsidR="00BF6649" w:rsidRPr="00BF6649">
        <w:rPr>
          <w:rFonts w:ascii="Calibri" w:hAnsi="Calibri" w:cs="Arial"/>
          <w:sz w:val="20"/>
          <w:szCs w:val="20"/>
        </w:rPr>
        <w:t xml:space="preserve"> podpory</w:t>
      </w:r>
      <w:r w:rsidR="000E3F3D" w:rsidRPr="00BF6649">
        <w:rPr>
          <w:rFonts w:ascii="Calibri" w:hAnsi="Calibri" w:cs="Arial"/>
          <w:sz w:val="20"/>
          <w:szCs w:val="20"/>
        </w:rPr>
        <w:t xml:space="preserve">. </w:t>
      </w:r>
      <w:r w:rsidR="00E524D1" w:rsidRPr="00E524D1">
        <w:rPr>
          <w:rFonts w:ascii="Calibri" w:hAnsi="Calibri" w:cs="Arial"/>
          <w:sz w:val="20"/>
          <w:szCs w:val="20"/>
        </w:rPr>
        <w:t>Největší část z</w:t>
      </w:r>
      <w:r w:rsidR="00E524D1">
        <w:rPr>
          <w:rFonts w:ascii="Calibri" w:hAnsi="Calibri" w:cs="Arial"/>
          <w:sz w:val="20"/>
          <w:szCs w:val="20"/>
        </w:rPr>
        <w:t> rozpočtu MŠMT na VaV (7,2 mld</w:t>
      </w:r>
      <w:r w:rsidR="00E524D1" w:rsidRPr="00E524D1">
        <w:rPr>
          <w:rFonts w:ascii="Calibri" w:hAnsi="Calibri" w:cs="Arial"/>
          <w:sz w:val="20"/>
          <w:szCs w:val="20"/>
        </w:rPr>
        <w:t>. Kč</w:t>
      </w:r>
      <w:r w:rsidR="001A6D09">
        <w:rPr>
          <w:rFonts w:ascii="Calibri" w:hAnsi="Calibri" w:cs="Arial"/>
          <w:sz w:val="20"/>
          <w:szCs w:val="20"/>
        </w:rPr>
        <w:t>, 74,4 %</w:t>
      </w:r>
      <w:r w:rsidR="00E524D1" w:rsidRPr="00E524D1">
        <w:rPr>
          <w:rFonts w:ascii="Calibri" w:hAnsi="Calibri" w:cs="Arial"/>
          <w:sz w:val="20"/>
          <w:szCs w:val="20"/>
        </w:rPr>
        <w:t xml:space="preserve">) byla určena na financování </w:t>
      </w:r>
      <w:proofErr w:type="spellStart"/>
      <w:r w:rsidR="00E524D1" w:rsidRPr="00E524D1">
        <w:rPr>
          <w:rFonts w:ascii="Calibri" w:hAnsi="Calibri" w:cs="Arial"/>
          <w:sz w:val="20"/>
          <w:szCs w:val="20"/>
        </w:rPr>
        <w:t>VaV</w:t>
      </w:r>
      <w:proofErr w:type="spellEnd"/>
      <w:r w:rsidR="00E524D1" w:rsidRPr="00E524D1">
        <w:rPr>
          <w:rFonts w:ascii="Calibri" w:hAnsi="Calibri" w:cs="Arial"/>
          <w:sz w:val="20"/>
          <w:szCs w:val="20"/>
        </w:rPr>
        <w:t xml:space="preserve"> prováděného</w:t>
      </w:r>
      <w:r w:rsidR="006C67E9">
        <w:rPr>
          <w:rFonts w:ascii="Calibri" w:hAnsi="Calibri" w:cs="Arial"/>
          <w:sz w:val="20"/>
          <w:szCs w:val="20"/>
        </w:rPr>
        <w:t xml:space="preserve"> na</w:t>
      </w:r>
      <w:r w:rsidR="001A6D09">
        <w:rPr>
          <w:rFonts w:ascii="Calibri" w:hAnsi="Calibri" w:cs="Arial"/>
          <w:sz w:val="20"/>
          <w:szCs w:val="20"/>
        </w:rPr>
        <w:t xml:space="preserve"> veřejných vysokých školách.</w:t>
      </w:r>
      <w:r w:rsidR="00E524D1" w:rsidRPr="00E524D1">
        <w:rPr>
          <w:rFonts w:ascii="Calibri" w:hAnsi="Calibri" w:cs="Arial"/>
          <w:sz w:val="20"/>
          <w:szCs w:val="20"/>
        </w:rPr>
        <w:t xml:space="preserve"> </w:t>
      </w:r>
      <w:r w:rsidR="00D250D7" w:rsidRPr="00BF6649">
        <w:rPr>
          <w:rFonts w:ascii="Calibri" w:hAnsi="Calibri" w:cs="Arial"/>
          <w:sz w:val="20"/>
          <w:szCs w:val="20"/>
        </w:rPr>
        <w:t xml:space="preserve">MŠMT </w:t>
      </w:r>
      <w:r w:rsidR="00E20749">
        <w:rPr>
          <w:rFonts w:ascii="Calibri" w:hAnsi="Calibri" w:cs="Arial"/>
          <w:sz w:val="20"/>
          <w:szCs w:val="20"/>
        </w:rPr>
        <w:t xml:space="preserve">spolufinancovalo </w:t>
      </w:r>
      <w:r w:rsidR="00D250D7" w:rsidRPr="00BF6649">
        <w:rPr>
          <w:rFonts w:ascii="Calibri" w:hAnsi="Calibri" w:cs="Arial"/>
          <w:sz w:val="20"/>
          <w:szCs w:val="20"/>
        </w:rPr>
        <w:t>v roce 2013</w:t>
      </w:r>
      <w:r w:rsidR="00B26A9F" w:rsidRPr="00BF6649">
        <w:rPr>
          <w:rFonts w:ascii="Calibri" w:hAnsi="Calibri" w:cs="Arial"/>
          <w:sz w:val="20"/>
          <w:szCs w:val="20"/>
        </w:rPr>
        <w:t xml:space="preserve"> dva Operační programy EU</w:t>
      </w:r>
      <w:r w:rsidR="00F3332C" w:rsidRPr="00BF6649">
        <w:rPr>
          <w:rStyle w:val="Znakapoznpodarou"/>
          <w:rFonts w:ascii="Calibri" w:hAnsi="Calibri" w:cs="Arial"/>
          <w:sz w:val="20"/>
          <w:szCs w:val="20"/>
        </w:rPr>
        <w:footnoteReference w:id="6"/>
      </w:r>
      <w:r w:rsidR="00B26A9F" w:rsidRPr="00BF6649">
        <w:rPr>
          <w:rFonts w:ascii="Calibri" w:hAnsi="Calibri" w:cs="Arial"/>
          <w:sz w:val="20"/>
          <w:szCs w:val="20"/>
        </w:rPr>
        <w:t xml:space="preserve"> zaměřené na podporu českého výzkumu</w:t>
      </w:r>
      <w:r w:rsidR="00E20749">
        <w:rPr>
          <w:rFonts w:ascii="Calibri" w:hAnsi="Calibri" w:cs="Arial"/>
          <w:sz w:val="20"/>
          <w:szCs w:val="20"/>
        </w:rPr>
        <w:t xml:space="preserve">. Jednalo se o </w:t>
      </w:r>
      <w:proofErr w:type="gramStart"/>
      <w:r w:rsidR="00E338AE" w:rsidRPr="00BF6649">
        <w:rPr>
          <w:rFonts w:ascii="Calibri" w:hAnsi="Calibri" w:cs="Arial"/>
          <w:sz w:val="20"/>
          <w:szCs w:val="20"/>
        </w:rPr>
        <w:t>OP</w:t>
      </w:r>
      <w:proofErr w:type="gramEnd"/>
      <w:r w:rsidR="00E338AE" w:rsidRPr="00BF6649">
        <w:rPr>
          <w:rFonts w:ascii="Calibri" w:hAnsi="Calibri" w:cs="Arial"/>
          <w:sz w:val="20"/>
          <w:szCs w:val="20"/>
        </w:rPr>
        <w:t xml:space="preserve"> – Výzkum a vývoj pro inovace a OP – Vzdělávání pro konkurenceschopnost</w:t>
      </w:r>
      <w:r w:rsidR="00B26A9F" w:rsidRPr="00BF6649">
        <w:rPr>
          <w:rFonts w:ascii="Calibri" w:hAnsi="Calibri" w:cs="Arial"/>
          <w:sz w:val="20"/>
          <w:szCs w:val="20"/>
        </w:rPr>
        <w:t>.</w:t>
      </w:r>
    </w:p>
    <w:p w:rsidR="00A66714" w:rsidRPr="009A116F" w:rsidRDefault="00B67F8B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BF6649">
        <w:rPr>
          <w:rFonts w:ascii="Calibri" w:hAnsi="Calibri" w:cs="Arial"/>
          <w:sz w:val="20"/>
          <w:szCs w:val="20"/>
        </w:rPr>
        <w:t>Druhým nejvýznamnějším pos</w:t>
      </w:r>
      <w:r w:rsidR="00B56DF8">
        <w:rPr>
          <w:rFonts w:ascii="Calibri" w:hAnsi="Calibri" w:cs="Arial"/>
          <w:sz w:val="20"/>
          <w:szCs w:val="20"/>
        </w:rPr>
        <w:t xml:space="preserve">kytovatelem s  </w:t>
      </w:r>
      <w:r w:rsidRPr="00BF6649">
        <w:rPr>
          <w:rFonts w:ascii="Calibri" w:hAnsi="Calibri" w:cs="Arial"/>
          <w:sz w:val="20"/>
          <w:szCs w:val="20"/>
        </w:rPr>
        <w:t>podpor</w:t>
      </w:r>
      <w:r w:rsidR="00E20749">
        <w:rPr>
          <w:rFonts w:ascii="Calibri" w:hAnsi="Calibri" w:cs="Arial"/>
          <w:sz w:val="20"/>
          <w:szCs w:val="20"/>
        </w:rPr>
        <w:t>ou</w:t>
      </w:r>
      <w:r w:rsidR="00B56DF8">
        <w:rPr>
          <w:rFonts w:ascii="Calibri" w:hAnsi="Calibri" w:cs="Arial"/>
          <w:sz w:val="20"/>
          <w:szCs w:val="20"/>
        </w:rPr>
        <w:t xml:space="preserve"> VaV ve výši</w:t>
      </w:r>
      <w:r w:rsidRPr="00BF6649">
        <w:t xml:space="preserve"> </w:t>
      </w:r>
      <w:r w:rsidRPr="00BF6649">
        <w:rPr>
          <w:rFonts w:ascii="Calibri" w:hAnsi="Calibri" w:cs="Arial"/>
          <w:sz w:val="20"/>
          <w:szCs w:val="20"/>
        </w:rPr>
        <w:t>4</w:t>
      </w:r>
      <w:r w:rsidR="007B4CB5">
        <w:rPr>
          <w:rFonts w:ascii="Calibri" w:hAnsi="Calibri" w:cs="Arial"/>
          <w:sz w:val="20"/>
          <w:szCs w:val="20"/>
        </w:rPr>
        <w:t>,5 mld</w:t>
      </w:r>
      <w:r w:rsidRPr="00BF6649">
        <w:rPr>
          <w:rFonts w:ascii="Calibri" w:hAnsi="Calibri" w:cs="Arial"/>
          <w:sz w:val="20"/>
          <w:szCs w:val="20"/>
        </w:rPr>
        <w:t>. Kč byla Akademie věd ČR.</w:t>
      </w:r>
      <w:r w:rsidRPr="00D250D7">
        <w:rPr>
          <w:rFonts w:ascii="Calibri" w:hAnsi="Calibri" w:cs="Arial"/>
          <w:color w:val="C00000"/>
          <w:sz w:val="20"/>
          <w:szCs w:val="20"/>
        </w:rPr>
        <w:t xml:space="preserve"> </w:t>
      </w:r>
      <w:r w:rsidRPr="009A116F">
        <w:rPr>
          <w:rFonts w:ascii="Calibri" w:hAnsi="Calibri" w:cs="Arial"/>
          <w:sz w:val="20"/>
          <w:szCs w:val="20"/>
        </w:rPr>
        <w:t>V</w:t>
      </w:r>
      <w:r w:rsidR="00E20749">
        <w:rPr>
          <w:rFonts w:ascii="Calibri" w:hAnsi="Calibri" w:cs="Arial"/>
          <w:sz w:val="20"/>
          <w:szCs w:val="20"/>
        </w:rPr>
        <w:t>  jejím</w:t>
      </w:r>
      <w:r w:rsidRPr="009A116F">
        <w:rPr>
          <w:rFonts w:ascii="Calibri" w:hAnsi="Calibri" w:cs="Arial"/>
          <w:sz w:val="20"/>
          <w:szCs w:val="20"/>
        </w:rPr>
        <w:t xml:space="preserve"> případě </w:t>
      </w:r>
      <w:r w:rsidR="000E3F3D" w:rsidRPr="009A116F">
        <w:rPr>
          <w:rFonts w:ascii="Calibri" w:hAnsi="Calibri" w:cs="Arial"/>
          <w:sz w:val="20"/>
          <w:szCs w:val="20"/>
        </w:rPr>
        <w:t>dominovala</w:t>
      </w:r>
      <w:r w:rsidRPr="009A116F">
        <w:rPr>
          <w:rFonts w:ascii="Calibri" w:hAnsi="Calibri" w:cs="Arial"/>
          <w:sz w:val="20"/>
          <w:szCs w:val="20"/>
        </w:rPr>
        <w:t xml:space="preserve"> institucionální </w:t>
      </w:r>
      <w:r w:rsidR="00BF6649" w:rsidRPr="009A116F">
        <w:rPr>
          <w:rFonts w:ascii="Calibri" w:hAnsi="Calibri" w:cs="Arial"/>
          <w:sz w:val="20"/>
          <w:szCs w:val="20"/>
        </w:rPr>
        <w:t xml:space="preserve">podpora nad účelovou </w:t>
      </w:r>
      <w:r w:rsidR="00E20749">
        <w:rPr>
          <w:rFonts w:ascii="Calibri" w:hAnsi="Calibri" w:cs="Arial"/>
          <w:sz w:val="20"/>
          <w:szCs w:val="20"/>
        </w:rPr>
        <w:t xml:space="preserve">a to </w:t>
      </w:r>
      <w:r w:rsidR="00BF6649" w:rsidRPr="009A116F">
        <w:rPr>
          <w:rFonts w:ascii="Calibri" w:hAnsi="Calibri" w:cs="Arial"/>
          <w:sz w:val="20"/>
          <w:szCs w:val="20"/>
        </w:rPr>
        <w:t>v</w:t>
      </w:r>
      <w:r w:rsidR="00E20749">
        <w:rPr>
          <w:rFonts w:ascii="Calibri" w:hAnsi="Calibri" w:cs="Arial"/>
          <w:sz w:val="20"/>
          <w:szCs w:val="20"/>
        </w:rPr>
        <w:t xml:space="preserve">e složení </w:t>
      </w:r>
      <w:r w:rsidR="00BF6649" w:rsidRPr="009A116F">
        <w:rPr>
          <w:rFonts w:ascii="Calibri" w:hAnsi="Calibri" w:cs="Arial"/>
          <w:sz w:val="20"/>
          <w:szCs w:val="20"/>
        </w:rPr>
        <w:t>99,2 % ku 0,8</w:t>
      </w:r>
      <w:r w:rsidR="00723469" w:rsidRPr="009A116F">
        <w:rPr>
          <w:rFonts w:ascii="Calibri" w:hAnsi="Calibri" w:cs="Arial"/>
          <w:sz w:val="20"/>
          <w:szCs w:val="20"/>
        </w:rPr>
        <w:t> %</w:t>
      </w:r>
      <w:r w:rsidRPr="009A116F">
        <w:t>.</w:t>
      </w:r>
      <w:r w:rsidR="006171DE" w:rsidRPr="009A116F">
        <w:rPr>
          <w:rFonts w:ascii="Calibri" w:hAnsi="Calibri" w:cs="Arial"/>
          <w:sz w:val="20"/>
          <w:szCs w:val="20"/>
        </w:rPr>
        <w:t xml:space="preserve"> </w:t>
      </w:r>
    </w:p>
    <w:p w:rsidR="00BF6649" w:rsidRDefault="00F438F6" w:rsidP="00BF6649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 pořadí t</w:t>
      </w:r>
      <w:r w:rsidR="00376F7E">
        <w:rPr>
          <w:rFonts w:ascii="Calibri" w:hAnsi="Calibri" w:cs="Arial"/>
          <w:sz w:val="20"/>
          <w:szCs w:val="20"/>
        </w:rPr>
        <w:t>řetí</w:t>
      </w:r>
      <w:r w:rsidR="000124E0" w:rsidRPr="00BF6649">
        <w:rPr>
          <w:rFonts w:ascii="Calibri" w:hAnsi="Calibri" w:cs="Arial"/>
          <w:sz w:val="20"/>
          <w:szCs w:val="20"/>
        </w:rPr>
        <w:t xml:space="preserve"> nejvýznamnější rozpočtovou kapitolou, z</w:t>
      </w:r>
      <w:r>
        <w:rPr>
          <w:rFonts w:ascii="Calibri" w:hAnsi="Calibri" w:cs="Arial"/>
          <w:sz w:val="20"/>
          <w:szCs w:val="20"/>
        </w:rPr>
        <w:t xml:space="preserve"> níž</w:t>
      </w:r>
      <w:r w:rsidR="000124E0" w:rsidRPr="00BF6649">
        <w:rPr>
          <w:rFonts w:ascii="Calibri" w:hAnsi="Calibri" w:cs="Arial"/>
          <w:sz w:val="20"/>
          <w:szCs w:val="20"/>
        </w:rPr>
        <w:t xml:space="preserve"> byl</w:t>
      </w:r>
      <w:r w:rsidR="00BF6649" w:rsidRPr="00BF6649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financován </w:t>
      </w:r>
      <w:r w:rsidR="00BF6649" w:rsidRPr="00BF6649">
        <w:rPr>
          <w:rFonts w:ascii="Calibri" w:hAnsi="Calibri" w:cs="Arial"/>
          <w:sz w:val="20"/>
          <w:szCs w:val="20"/>
        </w:rPr>
        <w:t>výzkum a vývoj, byla</w:t>
      </w:r>
      <w:r w:rsidR="000124E0" w:rsidRPr="00BF6649">
        <w:rPr>
          <w:rFonts w:ascii="Calibri" w:hAnsi="Calibri" w:cs="Arial"/>
          <w:sz w:val="20"/>
          <w:szCs w:val="20"/>
        </w:rPr>
        <w:t xml:space="preserve"> </w:t>
      </w:r>
      <w:r w:rsidR="00BF6649" w:rsidRPr="00BF6649">
        <w:rPr>
          <w:rFonts w:ascii="Calibri" w:hAnsi="Calibri" w:cs="Arial"/>
          <w:sz w:val="20"/>
          <w:szCs w:val="20"/>
        </w:rPr>
        <w:t xml:space="preserve">Grantová agentura ČR, která v roce 2013 </w:t>
      </w:r>
      <w:r>
        <w:rPr>
          <w:rFonts w:ascii="Calibri" w:hAnsi="Calibri" w:cs="Arial"/>
          <w:sz w:val="20"/>
          <w:szCs w:val="20"/>
        </w:rPr>
        <w:t xml:space="preserve">poskytla </w:t>
      </w:r>
      <w:r w:rsidR="00BF6649">
        <w:rPr>
          <w:rFonts w:ascii="Calibri" w:hAnsi="Calibri" w:cs="Arial"/>
          <w:sz w:val="20"/>
          <w:szCs w:val="20"/>
        </w:rPr>
        <w:t>účelov</w:t>
      </w:r>
      <w:r>
        <w:rPr>
          <w:rFonts w:ascii="Calibri" w:hAnsi="Calibri" w:cs="Arial"/>
          <w:sz w:val="20"/>
          <w:szCs w:val="20"/>
        </w:rPr>
        <w:t>ou</w:t>
      </w:r>
      <w:r w:rsidR="00BF6649">
        <w:rPr>
          <w:rFonts w:ascii="Calibri" w:hAnsi="Calibri" w:cs="Arial"/>
          <w:sz w:val="20"/>
          <w:szCs w:val="20"/>
        </w:rPr>
        <w:t xml:space="preserve"> podpor</w:t>
      </w:r>
      <w:r>
        <w:rPr>
          <w:rFonts w:ascii="Calibri" w:hAnsi="Calibri" w:cs="Arial"/>
          <w:sz w:val="20"/>
          <w:szCs w:val="20"/>
        </w:rPr>
        <w:t>u</w:t>
      </w:r>
      <w:r w:rsidR="00BF6649">
        <w:rPr>
          <w:rFonts w:ascii="Calibri" w:hAnsi="Calibri" w:cs="Arial"/>
          <w:sz w:val="20"/>
          <w:szCs w:val="20"/>
        </w:rPr>
        <w:t xml:space="preserve"> </w:t>
      </w:r>
      <w:r w:rsidR="00BF6649" w:rsidRPr="00BF6649">
        <w:rPr>
          <w:rFonts w:ascii="Calibri" w:hAnsi="Calibri" w:cs="Arial"/>
          <w:sz w:val="20"/>
          <w:szCs w:val="20"/>
        </w:rPr>
        <w:t>grantov</w:t>
      </w:r>
      <w:r>
        <w:rPr>
          <w:rFonts w:ascii="Calibri" w:hAnsi="Calibri" w:cs="Arial"/>
          <w:sz w:val="20"/>
          <w:szCs w:val="20"/>
        </w:rPr>
        <w:t>ým</w:t>
      </w:r>
      <w:r w:rsidR="00BF6649" w:rsidRPr="00BF6649">
        <w:rPr>
          <w:rFonts w:ascii="Calibri" w:hAnsi="Calibri" w:cs="Arial"/>
          <w:sz w:val="20"/>
          <w:szCs w:val="20"/>
        </w:rPr>
        <w:t xml:space="preserve"> projekt</w:t>
      </w:r>
      <w:r>
        <w:rPr>
          <w:rFonts w:ascii="Calibri" w:hAnsi="Calibri" w:cs="Arial"/>
          <w:sz w:val="20"/>
          <w:szCs w:val="20"/>
        </w:rPr>
        <w:t>ům</w:t>
      </w:r>
      <w:r w:rsidR="00BF6649" w:rsidRPr="00BF6649">
        <w:rPr>
          <w:rFonts w:ascii="Calibri" w:hAnsi="Calibri" w:cs="Arial"/>
          <w:sz w:val="20"/>
          <w:szCs w:val="20"/>
        </w:rPr>
        <w:t xml:space="preserve"> v hodnotě 3</w:t>
      </w:r>
      <w:r w:rsidR="007B4CB5">
        <w:rPr>
          <w:rFonts w:ascii="Calibri" w:hAnsi="Calibri" w:cs="Arial"/>
          <w:sz w:val="20"/>
          <w:szCs w:val="20"/>
        </w:rPr>
        <w:t>,2 mld</w:t>
      </w:r>
      <w:r w:rsidR="00BF6649" w:rsidRPr="00BF6649">
        <w:rPr>
          <w:rFonts w:ascii="Calibri" w:hAnsi="Calibri" w:cs="Arial"/>
          <w:sz w:val="20"/>
          <w:szCs w:val="20"/>
        </w:rPr>
        <w:t xml:space="preserve">. Kč. </w:t>
      </w:r>
      <w:r>
        <w:rPr>
          <w:rFonts w:ascii="Calibri" w:hAnsi="Calibri" w:cs="Arial"/>
          <w:sz w:val="20"/>
          <w:szCs w:val="20"/>
        </w:rPr>
        <w:t xml:space="preserve">Včetně nákladů na vlastní činnost tím vydala </w:t>
      </w:r>
      <w:r w:rsidR="00BF6649" w:rsidRPr="00BF6649">
        <w:rPr>
          <w:rFonts w:ascii="Calibri" w:hAnsi="Calibri" w:cs="Arial"/>
          <w:sz w:val="20"/>
          <w:szCs w:val="20"/>
        </w:rPr>
        <w:t xml:space="preserve">na VaV </w:t>
      </w:r>
      <w:r>
        <w:rPr>
          <w:rFonts w:ascii="Calibri" w:hAnsi="Calibri" w:cs="Arial"/>
          <w:sz w:val="20"/>
          <w:szCs w:val="20"/>
        </w:rPr>
        <w:t xml:space="preserve"> celkem</w:t>
      </w:r>
      <w:r w:rsidR="00BF6649" w:rsidRPr="00BF6649">
        <w:rPr>
          <w:rFonts w:ascii="Calibri" w:hAnsi="Calibri" w:cs="Arial"/>
          <w:sz w:val="20"/>
          <w:szCs w:val="20"/>
        </w:rPr>
        <w:t xml:space="preserve"> 3</w:t>
      </w:r>
      <w:r w:rsidR="007B4CB5">
        <w:rPr>
          <w:rFonts w:ascii="Calibri" w:hAnsi="Calibri" w:cs="Arial"/>
          <w:sz w:val="20"/>
          <w:szCs w:val="20"/>
        </w:rPr>
        <w:t>,3 mld</w:t>
      </w:r>
      <w:r w:rsidR="00BF6649" w:rsidRPr="00BF6649">
        <w:rPr>
          <w:rFonts w:ascii="Calibri" w:hAnsi="Calibri" w:cs="Arial"/>
          <w:sz w:val="20"/>
          <w:szCs w:val="20"/>
        </w:rPr>
        <w:t xml:space="preserve">. Kč. </w:t>
      </w:r>
    </w:p>
    <w:p w:rsidR="00550684" w:rsidRPr="00550684" w:rsidRDefault="003A4818" w:rsidP="00550684">
      <w:pPr>
        <w:pStyle w:val="Zkladntext2"/>
        <w:ind w:firstLine="357"/>
        <w:rPr>
          <w:rFonts w:ascii="Calibri" w:hAnsi="Calibri" w:cs="Arial"/>
          <w:color w:val="C0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Technologická agentura ČR se v posledních letech stává významným poskytovatelem státní podpory na VaV.</w:t>
      </w:r>
      <w:r w:rsidR="00550684" w:rsidRPr="00550684">
        <w:rPr>
          <w:rFonts w:ascii="Calibri" w:hAnsi="Calibri" w:cs="Arial"/>
          <w:sz w:val="20"/>
          <w:szCs w:val="20"/>
        </w:rPr>
        <w:t xml:space="preserve"> V roce 2013 agentura </w:t>
      </w:r>
      <w:r>
        <w:rPr>
          <w:rFonts w:ascii="Calibri" w:hAnsi="Calibri" w:cs="Arial"/>
          <w:sz w:val="20"/>
          <w:szCs w:val="20"/>
        </w:rPr>
        <w:t>hospodařila s celkem 2</w:t>
      </w:r>
      <w:r w:rsidR="007B4CB5">
        <w:rPr>
          <w:rFonts w:ascii="Calibri" w:hAnsi="Calibri" w:cs="Arial"/>
          <w:sz w:val="20"/>
          <w:szCs w:val="20"/>
        </w:rPr>
        <w:t>,6 mld</w:t>
      </w:r>
      <w:r>
        <w:rPr>
          <w:rFonts w:ascii="Calibri" w:hAnsi="Calibri" w:cs="Arial"/>
          <w:sz w:val="20"/>
          <w:szCs w:val="20"/>
        </w:rPr>
        <w:t xml:space="preserve">. Kč (včetně nákladů na vlastní činnost). </w:t>
      </w:r>
      <w:r w:rsidR="006144CB">
        <w:rPr>
          <w:rFonts w:ascii="Calibri" w:hAnsi="Calibri" w:cs="Arial"/>
          <w:sz w:val="20"/>
          <w:szCs w:val="20"/>
        </w:rPr>
        <w:t>Na projekty</w:t>
      </w:r>
      <w:r w:rsidR="00550684" w:rsidRPr="00550684">
        <w:rPr>
          <w:rFonts w:ascii="Calibri" w:hAnsi="Calibri" w:cs="Arial"/>
          <w:sz w:val="20"/>
          <w:szCs w:val="20"/>
        </w:rPr>
        <w:t xml:space="preserve"> VaV</w:t>
      </w:r>
      <w:r>
        <w:rPr>
          <w:rFonts w:ascii="Calibri" w:hAnsi="Calibri" w:cs="Arial"/>
          <w:sz w:val="20"/>
          <w:szCs w:val="20"/>
        </w:rPr>
        <w:t xml:space="preserve"> roz</w:t>
      </w:r>
      <w:r w:rsidR="00D34FDC">
        <w:rPr>
          <w:rFonts w:ascii="Calibri" w:hAnsi="Calibri" w:cs="Arial"/>
          <w:sz w:val="20"/>
          <w:szCs w:val="20"/>
        </w:rPr>
        <w:t>d</w:t>
      </w:r>
      <w:r>
        <w:rPr>
          <w:rFonts w:ascii="Calibri" w:hAnsi="Calibri" w:cs="Arial"/>
          <w:sz w:val="20"/>
          <w:szCs w:val="20"/>
        </w:rPr>
        <w:t xml:space="preserve">ělila celkem </w:t>
      </w:r>
      <w:r w:rsidR="00550684" w:rsidRPr="00550684">
        <w:rPr>
          <w:rFonts w:ascii="Calibri" w:hAnsi="Calibri" w:cs="Arial"/>
          <w:sz w:val="20"/>
          <w:szCs w:val="20"/>
        </w:rPr>
        <w:t>2</w:t>
      </w:r>
      <w:r w:rsidR="007B4CB5">
        <w:rPr>
          <w:rFonts w:ascii="Calibri" w:hAnsi="Calibri" w:cs="Arial"/>
          <w:sz w:val="20"/>
          <w:szCs w:val="20"/>
        </w:rPr>
        <w:t>,5 mld</w:t>
      </w:r>
      <w:r w:rsidR="00550684" w:rsidRPr="00550684">
        <w:rPr>
          <w:rFonts w:ascii="Calibri" w:hAnsi="Calibri" w:cs="Arial"/>
          <w:sz w:val="20"/>
          <w:szCs w:val="20"/>
        </w:rPr>
        <w:t>. Kč</w:t>
      </w:r>
      <w:r>
        <w:rPr>
          <w:rFonts w:ascii="Calibri" w:hAnsi="Calibri" w:cs="Arial"/>
          <w:sz w:val="20"/>
          <w:szCs w:val="20"/>
        </w:rPr>
        <w:t>, přičemž p</w:t>
      </w:r>
      <w:r w:rsidR="00550684" w:rsidRPr="00550684">
        <w:rPr>
          <w:rFonts w:ascii="Calibri" w:hAnsi="Calibri" w:cs="Arial"/>
          <w:sz w:val="20"/>
          <w:szCs w:val="20"/>
        </w:rPr>
        <w:t xml:space="preserve">řevážná část </w:t>
      </w:r>
      <w:r>
        <w:rPr>
          <w:rFonts w:ascii="Calibri" w:hAnsi="Calibri" w:cs="Arial"/>
          <w:sz w:val="20"/>
          <w:szCs w:val="20"/>
        </w:rPr>
        <w:t>finančních prostředků</w:t>
      </w:r>
      <w:r w:rsidR="00550684" w:rsidRPr="00550684">
        <w:rPr>
          <w:rFonts w:ascii="Calibri" w:hAnsi="Calibri" w:cs="Arial"/>
          <w:sz w:val="20"/>
          <w:szCs w:val="20"/>
        </w:rPr>
        <w:t xml:space="preserve"> směřovala na projekty aplikovaného výzkumu a</w:t>
      </w:r>
      <w:r w:rsidR="006144CB">
        <w:rPr>
          <w:rFonts w:ascii="Calibri" w:hAnsi="Calibri" w:cs="Arial"/>
          <w:sz w:val="20"/>
          <w:szCs w:val="20"/>
        </w:rPr>
        <w:t xml:space="preserve"> také</w:t>
      </w:r>
      <w:r w:rsidR="00550684" w:rsidRPr="00550684">
        <w:rPr>
          <w:rFonts w:ascii="Calibri" w:hAnsi="Calibri" w:cs="Arial"/>
          <w:sz w:val="20"/>
          <w:szCs w:val="20"/>
        </w:rPr>
        <w:t xml:space="preserve"> experimentálního vývoje (</w:t>
      </w:r>
      <w:r>
        <w:rPr>
          <w:rFonts w:ascii="Calibri" w:hAnsi="Calibri" w:cs="Arial"/>
          <w:sz w:val="20"/>
          <w:szCs w:val="20"/>
        </w:rPr>
        <w:t xml:space="preserve">Jednalo se </w:t>
      </w:r>
      <w:r w:rsidR="00550684" w:rsidRPr="00550684">
        <w:rPr>
          <w:rFonts w:ascii="Calibri" w:hAnsi="Calibri" w:cs="Arial"/>
          <w:sz w:val="20"/>
          <w:szCs w:val="20"/>
        </w:rPr>
        <w:t xml:space="preserve">celkem </w:t>
      </w:r>
      <w:r>
        <w:rPr>
          <w:rFonts w:ascii="Calibri" w:hAnsi="Calibri" w:cs="Arial"/>
          <w:sz w:val="20"/>
          <w:szCs w:val="20"/>
        </w:rPr>
        <w:t xml:space="preserve">o </w:t>
      </w:r>
      <w:r w:rsidR="00550684" w:rsidRPr="00550684">
        <w:rPr>
          <w:rFonts w:ascii="Calibri" w:hAnsi="Calibri" w:cs="Arial"/>
          <w:sz w:val="20"/>
          <w:szCs w:val="20"/>
        </w:rPr>
        <w:t>1</w:t>
      </w:r>
      <w:r w:rsidR="007B4CB5">
        <w:rPr>
          <w:rFonts w:ascii="Calibri" w:hAnsi="Calibri" w:cs="Arial"/>
          <w:sz w:val="20"/>
          <w:szCs w:val="20"/>
        </w:rPr>
        <w:t>,9 mld</w:t>
      </w:r>
      <w:r w:rsidR="00550684" w:rsidRPr="00550684">
        <w:rPr>
          <w:rFonts w:ascii="Calibri" w:hAnsi="Calibri" w:cs="Arial"/>
          <w:sz w:val="20"/>
          <w:szCs w:val="20"/>
        </w:rPr>
        <w:t xml:space="preserve">. Kč </w:t>
      </w:r>
      <w:r>
        <w:rPr>
          <w:rFonts w:ascii="Calibri" w:hAnsi="Calibri" w:cs="Arial"/>
          <w:sz w:val="20"/>
          <w:szCs w:val="20"/>
        </w:rPr>
        <w:t xml:space="preserve">distribuovaných </w:t>
      </w:r>
      <w:r w:rsidR="00550684" w:rsidRPr="00550684">
        <w:rPr>
          <w:rFonts w:ascii="Calibri" w:hAnsi="Calibri" w:cs="Arial"/>
          <w:sz w:val="20"/>
          <w:szCs w:val="20"/>
        </w:rPr>
        <w:t>v rámci programu ALFA).</w:t>
      </w:r>
    </w:p>
    <w:p w:rsidR="00923D80" w:rsidRPr="00550684" w:rsidRDefault="000124E0" w:rsidP="00BF6649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550684">
        <w:rPr>
          <w:rFonts w:ascii="Calibri" w:hAnsi="Calibri" w:cs="Arial"/>
          <w:sz w:val="20"/>
          <w:szCs w:val="20"/>
        </w:rPr>
        <w:t>Ministerstvo průmyslu a obchodu</w:t>
      </w:r>
      <w:r w:rsidR="00923D80" w:rsidRPr="00550684">
        <w:rPr>
          <w:rFonts w:ascii="Calibri" w:hAnsi="Calibri" w:cs="Arial"/>
          <w:sz w:val="20"/>
          <w:szCs w:val="20"/>
        </w:rPr>
        <w:t xml:space="preserve"> (MPO)</w:t>
      </w:r>
      <w:r w:rsidR="003A4818">
        <w:rPr>
          <w:rFonts w:ascii="Calibri" w:hAnsi="Calibri" w:cs="Arial"/>
          <w:sz w:val="20"/>
          <w:szCs w:val="20"/>
        </w:rPr>
        <w:t>, v pořadí pátý nejvýznamnější subjekt z hlediska objemu rozdělovaných financí na VaV</w:t>
      </w:r>
      <w:r w:rsidR="00916853">
        <w:rPr>
          <w:rFonts w:ascii="Calibri" w:hAnsi="Calibri" w:cs="Arial"/>
          <w:sz w:val="20"/>
          <w:szCs w:val="20"/>
        </w:rPr>
        <w:t>,</w:t>
      </w:r>
      <w:r w:rsidR="003A4818">
        <w:rPr>
          <w:rFonts w:ascii="Calibri" w:hAnsi="Calibri" w:cs="Arial"/>
          <w:sz w:val="20"/>
          <w:szCs w:val="20"/>
        </w:rPr>
        <w:t xml:space="preserve"> </w:t>
      </w:r>
      <w:r w:rsidR="00376F7E">
        <w:rPr>
          <w:rFonts w:ascii="Calibri" w:hAnsi="Calibri" w:cs="Arial"/>
          <w:sz w:val="20"/>
          <w:szCs w:val="20"/>
        </w:rPr>
        <w:t>podpořilo</w:t>
      </w:r>
      <w:r w:rsidRPr="00550684">
        <w:rPr>
          <w:rFonts w:ascii="Calibri" w:hAnsi="Calibri" w:cs="Arial"/>
          <w:sz w:val="20"/>
          <w:szCs w:val="20"/>
        </w:rPr>
        <w:t> </w:t>
      </w:r>
      <w:r w:rsidR="00916853">
        <w:rPr>
          <w:rFonts w:ascii="Calibri" w:hAnsi="Calibri" w:cs="Arial"/>
          <w:sz w:val="20"/>
          <w:szCs w:val="20"/>
        </w:rPr>
        <w:t xml:space="preserve">podnikatelské subjekty, zejména pak malé a střední podniky částkou </w:t>
      </w:r>
      <w:r w:rsidR="00FC452B" w:rsidRPr="00550684">
        <w:rPr>
          <w:rFonts w:ascii="Calibri" w:hAnsi="Calibri" w:cs="Arial"/>
          <w:sz w:val="20"/>
          <w:szCs w:val="20"/>
        </w:rPr>
        <w:t>2</w:t>
      </w:r>
      <w:r w:rsidR="007B4CB5">
        <w:rPr>
          <w:rFonts w:ascii="Calibri" w:hAnsi="Calibri" w:cs="Arial"/>
          <w:sz w:val="20"/>
          <w:szCs w:val="20"/>
        </w:rPr>
        <w:t>,6</w:t>
      </w:r>
      <w:r w:rsidRPr="00550684">
        <w:rPr>
          <w:rFonts w:ascii="Calibri" w:hAnsi="Calibri" w:cs="Arial"/>
          <w:sz w:val="20"/>
          <w:szCs w:val="20"/>
        </w:rPr>
        <w:t xml:space="preserve"> mil. Kč</w:t>
      </w:r>
      <w:r w:rsidR="00C50DB8">
        <w:rPr>
          <w:rFonts w:ascii="Calibri" w:hAnsi="Calibri" w:cs="Arial"/>
          <w:sz w:val="20"/>
          <w:szCs w:val="20"/>
        </w:rPr>
        <w:t>.</w:t>
      </w:r>
      <w:r w:rsidR="00FC452B" w:rsidRPr="00550684">
        <w:rPr>
          <w:rFonts w:ascii="Calibri" w:hAnsi="Calibri" w:cs="Arial"/>
          <w:sz w:val="20"/>
          <w:szCs w:val="20"/>
        </w:rPr>
        <w:t xml:space="preserve"> </w:t>
      </w:r>
      <w:r w:rsidRPr="00550684">
        <w:rPr>
          <w:rFonts w:ascii="Calibri" w:hAnsi="Calibri" w:cs="Arial"/>
          <w:sz w:val="20"/>
          <w:szCs w:val="20"/>
        </w:rPr>
        <w:t xml:space="preserve"> </w:t>
      </w:r>
      <w:r w:rsidR="00916853">
        <w:rPr>
          <w:rFonts w:ascii="Calibri" w:hAnsi="Calibri" w:cs="Arial"/>
          <w:sz w:val="20"/>
          <w:szCs w:val="20"/>
        </w:rPr>
        <w:t xml:space="preserve">Z hlediska dalšího členění těchto výdajů se jednalo </w:t>
      </w:r>
      <w:r w:rsidR="00C50DB8">
        <w:rPr>
          <w:rFonts w:ascii="Calibri" w:hAnsi="Calibri" w:cs="Arial"/>
          <w:sz w:val="20"/>
          <w:szCs w:val="20"/>
        </w:rPr>
        <w:t>zejména o účelovou</w:t>
      </w:r>
      <w:r w:rsidRPr="00550684">
        <w:rPr>
          <w:rFonts w:ascii="Calibri" w:hAnsi="Calibri" w:cs="Arial"/>
          <w:sz w:val="20"/>
          <w:szCs w:val="20"/>
        </w:rPr>
        <w:t xml:space="preserve"> podpor</w:t>
      </w:r>
      <w:r w:rsidR="00916853">
        <w:rPr>
          <w:rFonts w:ascii="Calibri" w:hAnsi="Calibri" w:cs="Arial"/>
          <w:sz w:val="20"/>
          <w:szCs w:val="20"/>
        </w:rPr>
        <w:t xml:space="preserve">u, která </w:t>
      </w:r>
      <w:r w:rsidR="00C50DB8">
        <w:rPr>
          <w:rFonts w:ascii="Calibri" w:hAnsi="Calibri" w:cs="Arial"/>
          <w:sz w:val="20"/>
          <w:szCs w:val="20"/>
        </w:rPr>
        <w:t>institucionální převyšovala</w:t>
      </w:r>
      <w:r w:rsidR="00916853">
        <w:rPr>
          <w:rFonts w:ascii="Calibri" w:hAnsi="Calibri" w:cs="Arial"/>
          <w:sz w:val="20"/>
          <w:szCs w:val="20"/>
        </w:rPr>
        <w:t xml:space="preserve"> ve </w:t>
      </w:r>
      <w:r w:rsidR="00C50DB8">
        <w:rPr>
          <w:rFonts w:ascii="Calibri" w:hAnsi="Calibri" w:cs="Arial"/>
          <w:sz w:val="20"/>
          <w:szCs w:val="20"/>
        </w:rPr>
        <w:t xml:space="preserve">složení </w:t>
      </w:r>
      <w:r w:rsidR="00C50DB8" w:rsidRPr="00550684">
        <w:rPr>
          <w:rFonts w:ascii="Calibri" w:hAnsi="Calibri" w:cs="Arial"/>
          <w:sz w:val="20"/>
          <w:szCs w:val="20"/>
        </w:rPr>
        <w:t>94</w:t>
      </w:r>
      <w:r w:rsidR="00550684" w:rsidRPr="00550684">
        <w:rPr>
          <w:rFonts w:ascii="Calibri" w:hAnsi="Calibri" w:cs="Arial"/>
          <w:sz w:val="20"/>
          <w:szCs w:val="20"/>
        </w:rPr>
        <w:t> % ku 6</w:t>
      </w:r>
      <w:r w:rsidRPr="00550684">
        <w:rPr>
          <w:rFonts w:ascii="Calibri" w:hAnsi="Calibri" w:cs="Arial"/>
          <w:sz w:val="20"/>
          <w:szCs w:val="20"/>
        </w:rPr>
        <w:t> %.</w:t>
      </w:r>
      <w:r w:rsidR="00FD632F" w:rsidRPr="00550684">
        <w:rPr>
          <w:rFonts w:ascii="Calibri" w:hAnsi="Calibri" w:cs="Arial"/>
          <w:sz w:val="20"/>
          <w:szCs w:val="20"/>
        </w:rPr>
        <w:t xml:space="preserve"> </w:t>
      </w:r>
      <w:r w:rsidR="00923D80" w:rsidRPr="00550684">
        <w:rPr>
          <w:rFonts w:ascii="Calibri" w:hAnsi="Calibri" w:cs="Arial"/>
          <w:sz w:val="20"/>
          <w:szCs w:val="20"/>
        </w:rPr>
        <w:t>V rámci podpory výzkumu a vývoje MPO</w:t>
      </w:r>
      <w:r w:rsidR="0049752B" w:rsidRPr="00550684">
        <w:rPr>
          <w:rFonts w:ascii="Calibri" w:hAnsi="Calibri" w:cs="Arial"/>
          <w:sz w:val="20"/>
          <w:szCs w:val="20"/>
        </w:rPr>
        <w:t xml:space="preserve"> spolufinancovalo </w:t>
      </w:r>
      <w:r w:rsidR="00923D80" w:rsidRPr="00550684">
        <w:rPr>
          <w:rFonts w:ascii="Calibri" w:hAnsi="Calibri" w:cs="Arial"/>
          <w:sz w:val="20"/>
          <w:szCs w:val="20"/>
        </w:rPr>
        <w:t xml:space="preserve">Operační </w:t>
      </w:r>
      <w:r w:rsidR="00F84DA3" w:rsidRPr="00550684">
        <w:rPr>
          <w:rFonts w:ascii="Calibri" w:hAnsi="Calibri" w:cs="Arial"/>
          <w:sz w:val="20"/>
          <w:szCs w:val="20"/>
        </w:rPr>
        <w:t xml:space="preserve">program EU </w:t>
      </w:r>
      <w:r w:rsidR="0049752B" w:rsidRPr="00550684">
        <w:rPr>
          <w:rFonts w:ascii="Calibri" w:hAnsi="Calibri" w:cs="Arial"/>
          <w:sz w:val="20"/>
          <w:szCs w:val="20"/>
        </w:rPr>
        <w:t xml:space="preserve">– </w:t>
      </w:r>
      <w:r w:rsidR="00F84DA3" w:rsidRPr="00550684">
        <w:rPr>
          <w:rFonts w:ascii="Calibri" w:hAnsi="Calibri" w:cs="Arial"/>
          <w:sz w:val="20"/>
          <w:szCs w:val="20"/>
        </w:rPr>
        <w:t>Podnikání a inovace, který je tematicky rozdělen na tři části (Potenciál, Prosperita, Spolupráce)</w:t>
      </w:r>
      <w:r w:rsidR="00923D80" w:rsidRPr="00550684">
        <w:rPr>
          <w:rFonts w:ascii="Calibri" w:hAnsi="Calibri" w:cs="Arial"/>
          <w:sz w:val="20"/>
          <w:szCs w:val="20"/>
        </w:rPr>
        <w:t xml:space="preserve">. Hlavním </w:t>
      </w:r>
      <w:r w:rsidR="00F84DA3" w:rsidRPr="00550684">
        <w:rPr>
          <w:rFonts w:ascii="Calibri" w:hAnsi="Calibri" w:cs="Arial"/>
          <w:sz w:val="20"/>
          <w:szCs w:val="20"/>
        </w:rPr>
        <w:t>záměrem operačního</w:t>
      </w:r>
      <w:r w:rsidR="00923D80" w:rsidRPr="00550684">
        <w:rPr>
          <w:rFonts w:ascii="Calibri" w:hAnsi="Calibri" w:cs="Arial"/>
          <w:sz w:val="20"/>
          <w:szCs w:val="20"/>
        </w:rPr>
        <w:t xml:space="preserve"> programu bylo rozšíření vědeckovýzkumných kapacit a zvýšení konkurenceschopnosti českého výzkumu a vývoje.</w:t>
      </w:r>
    </w:p>
    <w:p w:rsidR="00922427" w:rsidRDefault="00922427" w:rsidP="002962E8">
      <w:pPr>
        <w:pStyle w:val="Zkladntext2"/>
        <w:rPr>
          <w:rFonts w:ascii="Calibri" w:hAnsi="Calibri" w:cs="Arial"/>
          <w:sz w:val="20"/>
          <w:szCs w:val="20"/>
        </w:rPr>
      </w:pPr>
    </w:p>
    <w:p w:rsidR="00E84C4E" w:rsidRPr="0040040B" w:rsidRDefault="006A76CF" w:rsidP="0040040B">
      <w:pPr>
        <w:pStyle w:val="Titulek"/>
        <w:pBdr>
          <w:bottom w:val="single" w:sz="2" w:space="1" w:color="BFBFBF"/>
        </w:pBdr>
        <w:rPr>
          <w:color w:val="4F6228"/>
        </w:rPr>
      </w:pPr>
      <w:r>
        <w:rPr>
          <w:color w:val="4F6228"/>
        </w:rPr>
        <w:t>GRAF 1-3</w:t>
      </w:r>
      <w:r w:rsidR="00E84C4E" w:rsidRPr="00DA70D5">
        <w:rPr>
          <w:color w:val="4F6228"/>
        </w:rPr>
        <w:t>: Celkové</w:t>
      </w:r>
      <w:r w:rsidR="00E84C4E">
        <w:rPr>
          <w:color w:val="4F6228"/>
        </w:rPr>
        <w:t xml:space="preserve"> GBAORD podle nejvýznamnějších poskytovatelů</w:t>
      </w:r>
      <w:r w:rsidR="00E84C4E" w:rsidRPr="00DA70D5">
        <w:rPr>
          <w:color w:val="4F6228"/>
        </w:rPr>
        <w:t xml:space="preserve"> </w:t>
      </w:r>
      <w:r w:rsidR="00E84C4E">
        <w:rPr>
          <w:color w:val="4F6228"/>
        </w:rPr>
        <w:t>podpory VaV</w:t>
      </w:r>
      <w:r w:rsidR="007F1BC1">
        <w:rPr>
          <w:color w:val="4F6228"/>
        </w:rPr>
        <w:t xml:space="preserve"> (</w:t>
      </w:r>
      <w:r w:rsidR="00775CF3">
        <w:rPr>
          <w:color w:val="4F6228"/>
        </w:rPr>
        <w:t>mil. Kč, podíl na celkových GBAORD v %</w:t>
      </w:r>
      <w:r w:rsidR="00922427">
        <w:rPr>
          <w:color w:val="4F6228"/>
        </w:rPr>
        <w:t>)</w:t>
      </w:r>
      <w:r w:rsidR="009123F9">
        <w:rPr>
          <w:color w:val="4F6228"/>
        </w:rPr>
        <w:t>; 2013</w:t>
      </w:r>
    </w:p>
    <w:p w:rsidR="00275455" w:rsidRDefault="00FE3934" w:rsidP="00E84C4E">
      <w:pPr>
        <w:jc w:val="both"/>
        <w:rPr>
          <w:rFonts w:ascii="Calibri" w:hAnsi="Calibri"/>
          <w:sz w:val="16"/>
          <w:szCs w:val="20"/>
        </w:rPr>
      </w:pPr>
      <w:r>
        <w:rPr>
          <w:noProof/>
        </w:rPr>
        <w:drawing>
          <wp:inline distT="0" distB="0" distL="0" distR="0" wp14:anchorId="482F21E5" wp14:editId="68426C70">
            <wp:extent cx="5969480" cy="276908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1128" w:rsidRDefault="00211128" w:rsidP="00211128">
      <w:pPr>
        <w:pStyle w:val="Zkladntext2"/>
        <w:rPr>
          <w:rFonts w:ascii="Calibri" w:hAnsi="Calibri" w:cs="Arial"/>
          <w:sz w:val="20"/>
          <w:szCs w:val="20"/>
        </w:rPr>
      </w:pPr>
      <w:r w:rsidRPr="002D2A70">
        <w:rPr>
          <w:rFonts w:ascii="Calibri" w:hAnsi="Calibri" w:cs="Arial"/>
          <w:b/>
          <w:sz w:val="20"/>
          <w:szCs w:val="20"/>
        </w:rPr>
        <w:lastRenderedPageBreak/>
        <w:t>Podpora VaV ze státního rozpočtu podle</w:t>
      </w:r>
      <w:r>
        <w:rPr>
          <w:rFonts w:ascii="Calibri" w:hAnsi="Calibri" w:cs="Arial"/>
          <w:b/>
          <w:sz w:val="20"/>
          <w:szCs w:val="20"/>
        </w:rPr>
        <w:t xml:space="preserve"> sektorů provádění výzkumu a vývoje</w:t>
      </w:r>
    </w:p>
    <w:p w:rsidR="00FF18EB" w:rsidRPr="00C65E2E" w:rsidRDefault="00F37688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Sledujeme-li výzkum a vývoj z hlediska </w:t>
      </w:r>
      <w:r w:rsidR="008473DE" w:rsidRPr="00C65E2E">
        <w:rPr>
          <w:rFonts w:ascii="Calibri" w:hAnsi="Calibri" w:cs="Arial"/>
          <w:sz w:val="20"/>
          <w:szCs w:val="20"/>
        </w:rPr>
        <w:t>sektoru</w:t>
      </w:r>
      <w:r w:rsidR="003A0723">
        <w:rPr>
          <w:rFonts w:ascii="Calibri" w:hAnsi="Calibri" w:cs="Arial"/>
          <w:sz w:val="20"/>
          <w:szCs w:val="20"/>
        </w:rPr>
        <w:t>,</w:t>
      </w:r>
      <w:r w:rsidR="008473DE" w:rsidRPr="00C65E2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v němž je realizován, </w:t>
      </w:r>
      <w:proofErr w:type="gramStart"/>
      <w:r>
        <w:rPr>
          <w:rFonts w:ascii="Calibri" w:hAnsi="Calibri" w:cs="Arial"/>
          <w:sz w:val="20"/>
          <w:szCs w:val="20"/>
        </w:rPr>
        <w:t>vidíme</w:t>
      </w:r>
      <w:r w:rsidR="00F14625" w:rsidRPr="00C65E2E">
        <w:rPr>
          <w:rStyle w:val="Znakapoznpodarou"/>
          <w:rFonts w:ascii="Calibri" w:hAnsi="Calibri" w:cs="Arial"/>
          <w:sz w:val="20"/>
          <w:szCs w:val="20"/>
        </w:rPr>
        <w:footnoteReference w:id="7"/>
      </w:r>
      <w:r>
        <w:rPr>
          <w:rFonts w:ascii="Calibri" w:hAnsi="Calibri" w:cs="Arial"/>
          <w:sz w:val="20"/>
          <w:szCs w:val="20"/>
        </w:rPr>
        <w:t>,</w:t>
      </w:r>
      <w:r w:rsidR="008473DE" w:rsidRPr="00C65E2E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>že</w:t>
      </w:r>
      <w:proofErr w:type="gramEnd"/>
      <w:r>
        <w:rPr>
          <w:rFonts w:ascii="Calibri" w:hAnsi="Calibri" w:cs="Arial"/>
          <w:sz w:val="20"/>
          <w:szCs w:val="20"/>
        </w:rPr>
        <w:t xml:space="preserve"> </w:t>
      </w:r>
      <w:r w:rsidR="008473DE" w:rsidRPr="00C65E2E">
        <w:rPr>
          <w:rFonts w:ascii="Calibri" w:hAnsi="Calibri" w:cs="Arial"/>
          <w:sz w:val="20"/>
          <w:szCs w:val="20"/>
        </w:rPr>
        <w:t>nejvyšší podpor</w:t>
      </w:r>
      <w:r>
        <w:rPr>
          <w:rFonts w:ascii="Calibri" w:hAnsi="Calibri" w:cs="Arial"/>
          <w:sz w:val="20"/>
          <w:szCs w:val="20"/>
        </w:rPr>
        <w:t>a</w:t>
      </w:r>
      <w:r w:rsidR="008473DE" w:rsidRPr="00C65E2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směřovala do vysokoškolského </w:t>
      </w:r>
      <w:r w:rsidR="008473DE" w:rsidRPr="00C65E2E">
        <w:rPr>
          <w:rFonts w:ascii="Calibri" w:hAnsi="Calibri" w:cs="Arial"/>
          <w:sz w:val="20"/>
          <w:szCs w:val="20"/>
        </w:rPr>
        <w:t>sektor</w:t>
      </w:r>
      <w:r>
        <w:rPr>
          <w:rFonts w:ascii="Calibri" w:hAnsi="Calibri" w:cs="Arial"/>
          <w:sz w:val="20"/>
          <w:szCs w:val="20"/>
        </w:rPr>
        <w:t>u</w:t>
      </w:r>
      <w:r w:rsidR="008473DE" w:rsidRPr="00C65E2E">
        <w:rPr>
          <w:rFonts w:ascii="Calibri" w:hAnsi="Calibri" w:cs="Arial"/>
          <w:sz w:val="20"/>
          <w:szCs w:val="20"/>
        </w:rPr>
        <w:t xml:space="preserve"> (veřejn</w:t>
      </w:r>
      <w:r>
        <w:rPr>
          <w:rFonts w:ascii="Calibri" w:hAnsi="Calibri" w:cs="Arial"/>
          <w:sz w:val="20"/>
          <w:szCs w:val="20"/>
        </w:rPr>
        <w:t>ých</w:t>
      </w:r>
      <w:r w:rsidR="008473DE" w:rsidRPr="00C65E2E">
        <w:rPr>
          <w:rFonts w:ascii="Calibri" w:hAnsi="Calibri" w:cs="Arial"/>
          <w:sz w:val="20"/>
          <w:szCs w:val="20"/>
        </w:rPr>
        <w:t xml:space="preserve"> a soukrom</w:t>
      </w:r>
      <w:r>
        <w:rPr>
          <w:rFonts w:ascii="Calibri" w:hAnsi="Calibri" w:cs="Arial"/>
          <w:sz w:val="20"/>
          <w:szCs w:val="20"/>
        </w:rPr>
        <w:t>ých</w:t>
      </w:r>
      <w:r w:rsidR="00F14625" w:rsidRPr="00C65E2E">
        <w:rPr>
          <w:rFonts w:ascii="Calibri" w:hAnsi="Calibri" w:cs="Arial"/>
          <w:sz w:val="20"/>
          <w:szCs w:val="20"/>
        </w:rPr>
        <w:t xml:space="preserve"> vysok</w:t>
      </w:r>
      <w:r>
        <w:rPr>
          <w:rFonts w:ascii="Calibri" w:hAnsi="Calibri" w:cs="Arial"/>
          <w:sz w:val="20"/>
          <w:szCs w:val="20"/>
        </w:rPr>
        <w:t>ých</w:t>
      </w:r>
      <w:r w:rsidR="00F14625" w:rsidRPr="00C65E2E">
        <w:rPr>
          <w:rFonts w:ascii="Calibri" w:hAnsi="Calibri" w:cs="Arial"/>
          <w:sz w:val="20"/>
          <w:szCs w:val="20"/>
        </w:rPr>
        <w:t xml:space="preserve"> škol</w:t>
      </w:r>
      <w:r w:rsidR="00B555FC" w:rsidRPr="00C65E2E">
        <w:rPr>
          <w:rFonts w:ascii="Calibri" w:hAnsi="Calibri" w:cs="Arial"/>
          <w:sz w:val="20"/>
          <w:szCs w:val="20"/>
        </w:rPr>
        <w:t>). V roce 2013</w:t>
      </w:r>
      <w:r w:rsidR="008473DE" w:rsidRPr="00C65E2E">
        <w:rPr>
          <w:rFonts w:ascii="Calibri" w:hAnsi="Calibri" w:cs="Arial"/>
          <w:sz w:val="20"/>
          <w:szCs w:val="20"/>
        </w:rPr>
        <w:t xml:space="preserve"> byl ze státního rozpočtu v</w:t>
      </w:r>
      <w:r>
        <w:rPr>
          <w:rFonts w:ascii="Calibri" w:hAnsi="Calibri" w:cs="Arial"/>
          <w:sz w:val="20"/>
          <w:szCs w:val="20"/>
        </w:rPr>
        <w:t>  daném</w:t>
      </w:r>
      <w:r w:rsidR="008473DE" w:rsidRPr="00C65E2E">
        <w:rPr>
          <w:rFonts w:ascii="Calibri" w:hAnsi="Calibri" w:cs="Arial"/>
          <w:sz w:val="20"/>
          <w:szCs w:val="20"/>
        </w:rPr>
        <w:t xml:space="preserve"> sektoru financován</w:t>
      </w:r>
      <w:r w:rsidR="00740286" w:rsidRPr="00C65E2E">
        <w:rPr>
          <w:rFonts w:ascii="Calibri" w:hAnsi="Calibri" w:cs="Arial"/>
          <w:sz w:val="20"/>
          <w:szCs w:val="20"/>
        </w:rPr>
        <w:t xml:space="preserve"> výzkum a vývoj v hodnotě</w:t>
      </w:r>
      <w:r w:rsidR="00C65E2E" w:rsidRPr="00C65E2E">
        <w:rPr>
          <w:rFonts w:ascii="Calibri" w:hAnsi="Calibri" w:cs="Arial"/>
          <w:sz w:val="20"/>
          <w:szCs w:val="20"/>
        </w:rPr>
        <w:t xml:space="preserve"> 11</w:t>
      </w:r>
      <w:r w:rsidR="00761FB7">
        <w:rPr>
          <w:rFonts w:ascii="Calibri" w:hAnsi="Calibri" w:cs="Arial"/>
          <w:sz w:val="20"/>
          <w:szCs w:val="20"/>
        </w:rPr>
        <w:t>,3 mld</w:t>
      </w:r>
      <w:r w:rsidR="008473DE" w:rsidRPr="00C65E2E">
        <w:rPr>
          <w:rFonts w:ascii="Calibri" w:hAnsi="Calibri" w:cs="Arial"/>
          <w:sz w:val="20"/>
          <w:szCs w:val="20"/>
        </w:rPr>
        <w:t>. Kč</w:t>
      </w:r>
      <w:r w:rsidR="001B15FA">
        <w:rPr>
          <w:rFonts w:ascii="Calibri" w:hAnsi="Calibri" w:cs="Arial"/>
          <w:sz w:val="20"/>
          <w:szCs w:val="20"/>
        </w:rPr>
        <w:t>, z</w:t>
      </w:r>
      <w:r>
        <w:rPr>
          <w:rFonts w:ascii="Calibri" w:hAnsi="Calibri" w:cs="Arial"/>
          <w:sz w:val="20"/>
          <w:szCs w:val="20"/>
        </w:rPr>
        <w:t> níž</w:t>
      </w:r>
      <w:r w:rsidR="001B15FA">
        <w:rPr>
          <w:rFonts w:ascii="Calibri" w:hAnsi="Calibri" w:cs="Arial"/>
          <w:sz w:val="20"/>
          <w:szCs w:val="20"/>
        </w:rPr>
        <w:t xml:space="preserve"> plynulo formou institucionální </w:t>
      </w:r>
      <w:r w:rsidR="00794585">
        <w:rPr>
          <w:rFonts w:ascii="Calibri" w:hAnsi="Calibri" w:cs="Arial"/>
          <w:sz w:val="20"/>
          <w:szCs w:val="20"/>
        </w:rPr>
        <w:t xml:space="preserve">podpory </w:t>
      </w:r>
      <w:r w:rsidR="001B15FA">
        <w:rPr>
          <w:rFonts w:ascii="Calibri" w:hAnsi="Calibri" w:cs="Arial"/>
          <w:sz w:val="20"/>
          <w:szCs w:val="20"/>
        </w:rPr>
        <w:t>56,1 %</w:t>
      </w:r>
      <w:r w:rsidR="008473DE" w:rsidRPr="00C65E2E">
        <w:rPr>
          <w:rFonts w:ascii="Calibri" w:hAnsi="Calibri" w:cs="Arial"/>
          <w:sz w:val="20"/>
          <w:szCs w:val="20"/>
        </w:rPr>
        <w:t>.</w:t>
      </w:r>
      <w:r w:rsidR="007D5811" w:rsidRPr="00C65E2E">
        <w:rPr>
          <w:rFonts w:ascii="Calibri" w:hAnsi="Calibri" w:cs="Arial"/>
          <w:sz w:val="20"/>
          <w:szCs w:val="20"/>
        </w:rPr>
        <w:t xml:space="preserve"> Do vládního sektoru</w:t>
      </w:r>
      <w:r w:rsidR="008473DE" w:rsidRPr="00C65E2E">
        <w:rPr>
          <w:rFonts w:ascii="Calibri" w:hAnsi="Calibri" w:cs="Arial"/>
          <w:sz w:val="20"/>
          <w:szCs w:val="20"/>
        </w:rPr>
        <w:t xml:space="preserve"> </w:t>
      </w:r>
      <w:r w:rsidR="007D5811" w:rsidRPr="00C65E2E">
        <w:rPr>
          <w:rFonts w:ascii="Calibri" w:hAnsi="Calibri" w:cs="Arial"/>
          <w:sz w:val="20"/>
          <w:szCs w:val="20"/>
        </w:rPr>
        <w:t>směřovala státní podpora výzkumu</w:t>
      </w:r>
      <w:r w:rsidR="00761FB7">
        <w:rPr>
          <w:rFonts w:ascii="Calibri" w:hAnsi="Calibri" w:cs="Arial"/>
          <w:sz w:val="20"/>
          <w:szCs w:val="20"/>
        </w:rPr>
        <w:t xml:space="preserve"> a vývoje ve výši 9 mld</w:t>
      </w:r>
      <w:r w:rsidR="001B15FA">
        <w:rPr>
          <w:rFonts w:ascii="Calibri" w:hAnsi="Calibri" w:cs="Arial"/>
          <w:sz w:val="20"/>
          <w:szCs w:val="20"/>
        </w:rPr>
        <w:t xml:space="preserve">. Kč. Podíl institucionální podpory dosáhl 59,6 %. </w:t>
      </w:r>
      <w:r w:rsidR="00E6584E" w:rsidRPr="00C65E2E">
        <w:rPr>
          <w:rFonts w:ascii="Calibri" w:hAnsi="Calibri" w:cs="Arial"/>
          <w:sz w:val="20"/>
          <w:szCs w:val="20"/>
        </w:rPr>
        <w:t xml:space="preserve">Subjektům podnikatelského sektoru stát přispěl </w:t>
      </w:r>
      <w:r w:rsidR="001B15FA">
        <w:rPr>
          <w:rFonts w:ascii="Calibri" w:hAnsi="Calibri" w:cs="Arial"/>
          <w:sz w:val="20"/>
          <w:szCs w:val="20"/>
        </w:rPr>
        <w:t xml:space="preserve">převážně formou účelové podpory </w:t>
      </w:r>
      <w:r w:rsidR="00E6584E" w:rsidRPr="00C65E2E">
        <w:rPr>
          <w:rFonts w:ascii="Calibri" w:hAnsi="Calibri" w:cs="Arial"/>
          <w:sz w:val="20"/>
          <w:szCs w:val="20"/>
        </w:rPr>
        <w:t>na prováděn</w:t>
      </w:r>
      <w:r w:rsidR="007658DB" w:rsidRPr="00C65E2E">
        <w:rPr>
          <w:rFonts w:ascii="Calibri" w:hAnsi="Calibri" w:cs="Arial"/>
          <w:sz w:val="20"/>
          <w:szCs w:val="20"/>
        </w:rPr>
        <w:t xml:space="preserve">í výzkumu a vývoje </w:t>
      </w:r>
      <w:r>
        <w:rPr>
          <w:rFonts w:ascii="Calibri" w:hAnsi="Calibri" w:cs="Arial"/>
          <w:sz w:val="20"/>
          <w:szCs w:val="20"/>
        </w:rPr>
        <w:t xml:space="preserve">a to </w:t>
      </w:r>
      <w:r w:rsidR="007658DB" w:rsidRPr="00C65E2E">
        <w:rPr>
          <w:rFonts w:ascii="Calibri" w:hAnsi="Calibri" w:cs="Arial"/>
          <w:sz w:val="20"/>
          <w:szCs w:val="20"/>
        </w:rPr>
        <w:t>částkou 5</w:t>
      </w:r>
      <w:r w:rsidR="00761FB7">
        <w:rPr>
          <w:rFonts w:ascii="Calibri" w:hAnsi="Calibri" w:cs="Arial"/>
          <w:sz w:val="20"/>
          <w:szCs w:val="20"/>
        </w:rPr>
        <w:t>,1 mld</w:t>
      </w:r>
      <w:r w:rsidR="00E6584E" w:rsidRPr="00C65E2E">
        <w:rPr>
          <w:rFonts w:ascii="Calibri" w:hAnsi="Calibri" w:cs="Arial"/>
          <w:sz w:val="20"/>
          <w:szCs w:val="20"/>
        </w:rPr>
        <w:t xml:space="preserve">. Kč. </w:t>
      </w:r>
      <w:r w:rsidR="00AD685C">
        <w:rPr>
          <w:rFonts w:ascii="Calibri" w:hAnsi="Calibri" w:cs="Arial"/>
          <w:sz w:val="20"/>
          <w:szCs w:val="20"/>
        </w:rPr>
        <w:t xml:space="preserve">Soukromý sektor, který v roce 2013 získal státní podporu ve výši 195 mil. Kč, sehrál z hlediska </w:t>
      </w:r>
      <w:r w:rsidR="00555CC3">
        <w:rPr>
          <w:rFonts w:ascii="Calibri" w:hAnsi="Calibri" w:cs="Arial"/>
          <w:sz w:val="20"/>
          <w:szCs w:val="20"/>
        </w:rPr>
        <w:t xml:space="preserve">výdajů na </w:t>
      </w:r>
      <w:r w:rsidR="00E6584E" w:rsidRPr="00C65E2E">
        <w:rPr>
          <w:rFonts w:ascii="Calibri" w:hAnsi="Calibri" w:cs="Arial"/>
          <w:sz w:val="20"/>
          <w:szCs w:val="20"/>
        </w:rPr>
        <w:t>výzkumn</w:t>
      </w:r>
      <w:r w:rsidR="00555CC3">
        <w:rPr>
          <w:rFonts w:ascii="Calibri" w:hAnsi="Calibri" w:cs="Arial"/>
          <w:sz w:val="20"/>
          <w:szCs w:val="20"/>
        </w:rPr>
        <w:t>é</w:t>
      </w:r>
      <w:r w:rsidR="00E6584E" w:rsidRPr="00C65E2E">
        <w:rPr>
          <w:rFonts w:ascii="Calibri" w:hAnsi="Calibri" w:cs="Arial"/>
          <w:sz w:val="20"/>
          <w:szCs w:val="20"/>
        </w:rPr>
        <w:t xml:space="preserve"> a vývojov</w:t>
      </w:r>
      <w:r w:rsidR="00555CC3">
        <w:rPr>
          <w:rFonts w:ascii="Calibri" w:hAnsi="Calibri" w:cs="Arial"/>
          <w:sz w:val="20"/>
          <w:szCs w:val="20"/>
        </w:rPr>
        <w:t>é</w:t>
      </w:r>
      <w:r w:rsidR="00E6584E" w:rsidRPr="00C65E2E">
        <w:rPr>
          <w:rFonts w:ascii="Calibri" w:hAnsi="Calibri" w:cs="Arial"/>
          <w:sz w:val="20"/>
          <w:szCs w:val="20"/>
        </w:rPr>
        <w:t xml:space="preserve"> aktivit</w:t>
      </w:r>
      <w:r w:rsidR="00555CC3">
        <w:rPr>
          <w:rFonts w:ascii="Calibri" w:hAnsi="Calibri" w:cs="Arial"/>
          <w:sz w:val="20"/>
          <w:szCs w:val="20"/>
        </w:rPr>
        <w:t>y</w:t>
      </w:r>
      <w:r w:rsidR="00AD685C">
        <w:rPr>
          <w:rFonts w:ascii="Calibri" w:hAnsi="Calibri" w:cs="Arial"/>
          <w:sz w:val="20"/>
          <w:szCs w:val="20"/>
        </w:rPr>
        <w:t xml:space="preserve"> spíše marginální roli. </w:t>
      </w:r>
      <w:r w:rsidR="00E6584E" w:rsidRPr="00C65E2E">
        <w:rPr>
          <w:rFonts w:ascii="Calibri" w:hAnsi="Calibri" w:cs="Arial"/>
          <w:sz w:val="20"/>
          <w:szCs w:val="20"/>
        </w:rPr>
        <w:t xml:space="preserve"> </w:t>
      </w:r>
    </w:p>
    <w:p w:rsidR="00797B84" w:rsidRDefault="00E6584E" w:rsidP="007805BD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C65E2E">
        <w:rPr>
          <w:rFonts w:ascii="Calibri" w:hAnsi="Calibri" w:cs="Arial"/>
          <w:sz w:val="20"/>
          <w:szCs w:val="20"/>
        </w:rPr>
        <w:t>Mimo uvedené sektory</w:t>
      </w:r>
      <w:r w:rsidR="00D34712">
        <w:rPr>
          <w:rFonts w:ascii="Calibri" w:hAnsi="Calibri" w:cs="Arial"/>
          <w:sz w:val="20"/>
          <w:szCs w:val="20"/>
        </w:rPr>
        <w:t xml:space="preserve"> provádění </w:t>
      </w:r>
      <w:proofErr w:type="spellStart"/>
      <w:r w:rsidR="00D34712">
        <w:rPr>
          <w:rFonts w:ascii="Calibri" w:hAnsi="Calibri" w:cs="Arial"/>
          <w:sz w:val="20"/>
          <w:szCs w:val="20"/>
        </w:rPr>
        <w:t>VaV</w:t>
      </w:r>
      <w:proofErr w:type="spellEnd"/>
      <w:r w:rsidRPr="00C65E2E">
        <w:rPr>
          <w:rFonts w:ascii="Calibri" w:hAnsi="Calibri" w:cs="Arial"/>
          <w:sz w:val="20"/>
          <w:szCs w:val="20"/>
        </w:rPr>
        <w:t xml:space="preserve"> </w:t>
      </w:r>
      <w:r w:rsidR="00797B84">
        <w:rPr>
          <w:rFonts w:ascii="Calibri" w:hAnsi="Calibri" w:cs="Arial"/>
          <w:sz w:val="20"/>
          <w:szCs w:val="20"/>
        </w:rPr>
        <w:t>směřovalo</w:t>
      </w:r>
      <w:r w:rsidR="00761FB7">
        <w:rPr>
          <w:rFonts w:ascii="Calibri" w:hAnsi="Calibri" w:cs="Arial"/>
          <w:sz w:val="20"/>
          <w:szCs w:val="20"/>
        </w:rPr>
        <w:t xml:space="preserve"> další</w:t>
      </w:r>
      <w:r w:rsidR="00D34712">
        <w:rPr>
          <w:rFonts w:ascii="Calibri" w:hAnsi="Calibri" w:cs="Arial"/>
          <w:sz w:val="20"/>
          <w:szCs w:val="20"/>
        </w:rPr>
        <w:t>ch</w:t>
      </w:r>
      <w:r w:rsidR="00FF18EB" w:rsidRPr="00C65E2E">
        <w:rPr>
          <w:rFonts w:ascii="Calibri" w:hAnsi="Calibri" w:cs="Arial"/>
          <w:sz w:val="20"/>
          <w:szCs w:val="20"/>
        </w:rPr>
        <w:t xml:space="preserve"> </w:t>
      </w:r>
      <w:r w:rsidR="00761FB7">
        <w:rPr>
          <w:rFonts w:ascii="Calibri" w:hAnsi="Calibri" w:cs="Arial"/>
          <w:sz w:val="20"/>
          <w:szCs w:val="20"/>
        </w:rPr>
        <w:t>1 mld</w:t>
      </w:r>
      <w:r w:rsidR="00FF18EB" w:rsidRPr="00C65E2E">
        <w:rPr>
          <w:rFonts w:ascii="Calibri" w:hAnsi="Calibri" w:cs="Arial"/>
          <w:sz w:val="20"/>
          <w:szCs w:val="20"/>
        </w:rPr>
        <w:t xml:space="preserve">. Kč. Z této </w:t>
      </w:r>
      <w:r w:rsidR="00D34712">
        <w:rPr>
          <w:rFonts w:ascii="Calibri" w:hAnsi="Calibri" w:cs="Arial"/>
          <w:sz w:val="20"/>
          <w:szCs w:val="20"/>
        </w:rPr>
        <w:t>částky plynulo</w:t>
      </w:r>
      <w:r w:rsidR="007805BD">
        <w:rPr>
          <w:rFonts w:ascii="Calibri" w:hAnsi="Calibri" w:cs="Arial"/>
          <w:sz w:val="20"/>
          <w:szCs w:val="20"/>
        </w:rPr>
        <w:t xml:space="preserve"> </w:t>
      </w:r>
      <w:r w:rsidR="00A91E76">
        <w:rPr>
          <w:rFonts w:ascii="Calibri" w:hAnsi="Calibri" w:cs="Arial"/>
          <w:sz w:val="20"/>
          <w:szCs w:val="20"/>
        </w:rPr>
        <w:t>386</w:t>
      </w:r>
      <w:r w:rsidR="00797B84">
        <w:rPr>
          <w:rFonts w:ascii="Calibri" w:hAnsi="Calibri" w:cs="Arial"/>
          <w:sz w:val="20"/>
          <w:szCs w:val="20"/>
        </w:rPr>
        <w:t> </w:t>
      </w:r>
      <w:r w:rsidR="00FF18EB" w:rsidRPr="00C65E2E">
        <w:rPr>
          <w:rFonts w:ascii="Calibri" w:hAnsi="Calibri" w:cs="Arial"/>
          <w:sz w:val="20"/>
          <w:szCs w:val="20"/>
        </w:rPr>
        <w:t xml:space="preserve">mil. Kč formou institucionální podpory do zahraničí na </w:t>
      </w:r>
      <w:r w:rsidR="0005431C" w:rsidRPr="00C65E2E">
        <w:rPr>
          <w:rFonts w:ascii="Calibri" w:hAnsi="Calibri" w:cs="Arial"/>
          <w:sz w:val="20"/>
          <w:szCs w:val="20"/>
        </w:rPr>
        <w:t xml:space="preserve">poplatky za účast ČR </w:t>
      </w:r>
      <w:r w:rsidR="00791018">
        <w:rPr>
          <w:rFonts w:ascii="Calibri" w:hAnsi="Calibri" w:cs="Arial"/>
          <w:sz w:val="20"/>
          <w:szCs w:val="20"/>
        </w:rPr>
        <w:t xml:space="preserve">v mezinárodních programech </w:t>
      </w:r>
      <w:proofErr w:type="spellStart"/>
      <w:r w:rsidR="00791018">
        <w:rPr>
          <w:rFonts w:ascii="Calibri" w:hAnsi="Calibri" w:cs="Arial"/>
          <w:sz w:val="20"/>
          <w:szCs w:val="20"/>
        </w:rPr>
        <w:t>VaV</w:t>
      </w:r>
      <w:proofErr w:type="spellEnd"/>
      <w:r w:rsidR="00FF18EB" w:rsidRPr="00C65E2E">
        <w:rPr>
          <w:rFonts w:ascii="Calibri" w:hAnsi="Calibri" w:cs="Arial"/>
          <w:sz w:val="20"/>
          <w:szCs w:val="20"/>
        </w:rPr>
        <w:t xml:space="preserve"> a </w:t>
      </w:r>
      <w:r w:rsidR="00797B84">
        <w:rPr>
          <w:rFonts w:ascii="Calibri" w:hAnsi="Calibri" w:cs="Arial"/>
          <w:sz w:val="20"/>
          <w:szCs w:val="20"/>
        </w:rPr>
        <w:t xml:space="preserve">na příspěvky </w:t>
      </w:r>
      <w:r w:rsidR="0005431C" w:rsidRPr="00C65E2E">
        <w:rPr>
          <w:rFonts w:ascii="Calibri" w:hAnsi="Calibri" w:cs="Arial"/>
          <w:sz w:val="20"/>
          <w:szCs w:val="20"/>
        </w:rPr>
        <w:t>za účast</w:t>
      </w:r>
      <w:r w:rsidR="00797B84">
        <w:rPr>
          <w:rFonts w:ascii="Calibri" w:hAnsi="Calibri" w:cs="Arial"/>
          <w:sz w:val="20"/>
          <w:szCs w:val="20"/>
        </w:rPr>
        <w:t xml:space="preserve"> ČR</w:t>
      </w:r>
      <w:r w:rsidR="0005431C" w:rsidRPr="00C65E2E">
        <w:rPr>
          <w:rFonts w:ascii="Calibri" w:hAnsi="Calibri" w:cs="Arial"/>
          <w:sz w:val="20"/>
          <w:szCs w:val="20"/>
        </w:rPr>
        <w:t xml:space="preserve"> v </w:t>
      </w:r>
      <w:r w:rsidR="00791018">
        <w:rPr>
          <w:rFonts w:ascii="Calibri" w:hAnsi="Calibri" w:cs="Arial"/>
          <w:sz w:val="20"/>
          <w:szCs w:val="20"/>
        </w:rPr>
        <w:t>mezinárodních organizacích VaV</w:t>
      </w:r>
      <w:r w:rsidR="0005431C" w:rsidRPr="00C65E2E">
        <w:rPr>
          <w:rFonts w:ascii="Calibri" w:hAnsi="Calibri" w:cs="Arial"/>
          <w:sz w:val="20"/>
          <w:szCs w:val="20"/>
        </w:rPr>
        <w:t>, které obdržely zahraniční subjekty</w:t>
      </w:r>
      <w:r w:rsidRPr="00C65E2E">
        <w:rPr>
          <w:rFonts w:ascii="Calibri" w:hAnsi="Calibri" w:cs="Arial"/>
          <w:sz w:val="20"/>
          <w:szCs w:val="20"/>
        </w:rPr>
        <w:t>.</w:t>
      </w:r>
      <w:r w:rsidR="00F43F37" w:rsidRPr="00C65E2E">
        <w:rPr>
          <w:rFonts w:ascii="Calibri" w:hAnsi="Calibri" w:cs="Arial"/>
          <w:sz w:val="20"/>
          <w:szCs w:val="20"/>
        </w:rPr>
        <w:t xml:space="preserve"> </w:t>
      </w:r>
    </w:p>
    <w:p w:rsidR="008473DE" w:rsidRDefault="00F43F37" w:rsidP="007805BD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C65E2E">
        <w:rPr>
          <w:rFonts w:ascii="Calibri" w:hAnsi="Calibri" w:cs="Arial"/>
          <w:sz w:val="20"/>
          <w:szCs w:val="20"/>
        </w:rPr>
        <w:t>Zbytek této částky tvořily</w:t>
      </w:r>
      <w:r w:rsidR="00FF18EB" w:rsidRPr="00C65E2E">
        <w:rPr>
          <w:rFonts w:ascii="Calibri" w:hAnsi="Calibri" w:cs="Arial"/>
          <w:sz w:val="20"/>
          <w:szCs w:val="20"/>
        </w:rPr>
        <w:t xml:space="preserve"> nerozlišené výdaje</w:t>
      </w:r>
      <w:r w:rsidRPr="00C65E2E">
        <w:rPr>
          <w:rFonts w:ascii="Calibri" w:hAnsi="Calibri" w:cs="Arial"/>
          <w:sz w:val="20"/>
          <w:szCs w:val="20"/>
        </w:rPr>
        <w:t xml:space="preserve"> (finanční částky)</w:t>
      </w:r>
      <w:r w:rsidR="00FF18EB" w:rsidRPr="00C65E2E">
        <w:rPr>
          <w:rFonts w:ascii="Calibri" w:hAnsi="Calibri" w:cs="Arial"/>
          <w:sz w:val="20"/>
          <w:szCs w:val="20"/>
        </w:rPr>
        <w:t>, kterým nemohly být přiřazeny atributy z RES (Registru ekonomických subjektů)</w:t>
      </w:r>
      <w:r w:rsidRPr="00C65E2E">
        <w:rPr>
          <w:rFonts w:ascii="Calibri" w:hAnsi="Calibri" w:cs="Arial"/>
          <w:sz w:val="20"/>
          <w:szCs w:val="20"/>
        </w:rPr>
        <w:t xml:space="preserve"> dle příjemce finančních prostředků</w:t>
      </w:r>
      <w:r w:rsidR="007805BD">
        <w:rPr>
          <w:rFonts w:ascii="Calibri" w:hAnsi="Calibri" w:cs="Arial"/>
          <w:sz w:val="20"/>
          <w:szCs w:val="20"/>
        </w:rPr>
        <w:t xml:space="preserve"> a</w:t>
      </w:r>
      <w:r w:rsidR="000531B7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0531B7">
        <w:rPr>
          <w:rFonts w:ascii="Calibri" w:hAnsi="Calibri" w:cs="Arial"/>
          <w:sz w:val="20"/>
          <w:szCs w:val="20"/>
        </w:rPr>
        <w:t>dopočtové</w:t>
      </w:r>
      <w:proofErr w:type="spellEnd"/>
      <w:r w:rsidR="000531B7">
        <w:rPr>
          <w:rFonts w:ascii="Calibri" w:hAnsi="Calibri" w:cs="Arial"/>
          <w:sz w:val="20"/>
          <w:szCs w:val="20"/>
        </w:rPr>
        <w:t xml:space="preserve"> položky</w:t>
      </w:r>
      <w:r w:rsidR="00D34712">
        <w:rPr>
          <w:rFonts w:ascii="Calibri" w:hAnsi="Calibri" w:cs="Arial"/>
          <w:sz w:val="20"/>
          <w:szCs w:val="20"/>
        </w:rPr>
        <w:t xml:space="preserve"> (rozdělení </w:t>
      </w:r>
      <w:r w:rsidR="00D34712">
        <w:rPr>
          <w:rFonts w:ascii="Calibri" w:hAnsi="Calibri" w:cs="Arial"/>
          <w:sz w:val="20"/>
          <w:szCs w:val="20"/>
        </w:rPr>
        <w:t>nespotřebovaných nároků</w:t>
      </w:r>
      <w:r w:rsidR="00797B84">
        <w:rPr>
          <w:rFonts w:ascii="Calibri" w:hAnsi="Calibri" w:cs="Arial"/>
          <w:sz w:val="20"/>
          <w:szCs w:val="20"/>
        </w:rPr>
        <w:t>)</w:t>
      </w:r>
      <w:r w:rsidR="00DD5BDB">
        <w:rPr>
          <w:rStyle w:val="Znakapoznpodarou"/>
          <w:rFonts w:ascii="Calibri" w:hAnsi="Calibri" w:cs="Arial"/>
          <w:sz w:val="20"/>
          <w:szCs w:val="20"/>
        </w:rPr>
        <w:footnoteReference w:id="8"/>
      </w:r>
      <w:r w:rsidRPr="00C65E2E">
        <w:rPr>
          <w:rFonts w:ascii="Calibri" w:hAnsi="Calibri" w:cs="Arial"/>
          <w:sz w:val="20"/>
          <w:szCs w:val="20"/>
        </w:rPr>
        <w:t>.</w:t>
      </w:r>
      <w:r w:rsidR="00A033F1">
        <w:rPr>
          <w:rFonts w:ascii="Calibri" w:hAnsi="Calibri" w:cs="Arial"/>
          <w:sz w:val="20"/>
          <w:szCs w:val="20"/>
        </w:rPr>
        <w:t xml:space="preserve"> </w:t>
      </w:r>
    </w:p>
    <w:p w:rsidR="00A91E76" w:rsidRPr="00C65E2E" w:rsidRDefault="00A91E76" w:rsidP="00A033F1">
      <w:pPr>
        <w:pStyle w:val="Zkladntext2"/>
        <w:rPr>
          <w:rFonts w:ascii="Calibri" w:hAnsi="Calibri" w:cs="Arial"/>
          <w:sz w:val="20"/>
          <w:szCs w:val="20"/>
        </w:rPr>
      </w:pPr>
    </w:p>
    <w:p w:rsidR="00702AD7" w:rsidRPr="0040040B" w:rsidRDefault="006A76CF" w:rsidP="0040040B">
      <w:pPr>
        <w:pStyle w:val="Titulek"/>
        <w:pBdr>
          <w:bottom w:val="single" w:sz="2" w:space="1" w:color="BFBFBF"/>
        </w:pBdr>
        <w:rPr>
          <w:color w:val="4F6228"/>
        </w:rPr>
      </w:pPr>
      <w:r>
        <w:rPr>
          <w:color w:val="4F6228"/>
        </w:rPr>
        <w:t>GRAF 1-4</w:t>
      </w:r>
      <w:r w:rsidR="00702AD7" w:rsidRPr="00DA70D5">
        <w:rPr>
          <w:color w:val="4F6228"/>
        </w:rPr>
        <w:t>: Celkové</w:t>
      </w:r>
      <w:r w:rsidR="00702AD7">
        <w:rPr>
          <w:color w:val="4F6228"/>
        </w:rPr>
        <w:t xml:space="preserve"> GBAORD podle sektoru provádění VaV</w:t>
      </w:r>
      <w:r w:rsidR="002C72A1">
        <w:rPr>
          <w:color w:val="4F6228"/>
        </w:rPr>
        <w:t xml:space="preserve"> a typu podpory</w:t>
      </w:r>
      <w:r w:rsidR="00702AD7">
        <w:rPr>
          <w:color w:val="4F6228"/>
        </w:rPr>
        <w:t xml:space="preserve"> (</w:t>
      </w:r>
      <w:r w:rsidR="002C72A1">
        <w:rPr>
          <w:color w:val="4F6228"/>
        </w:rPr>
        <w:t>mil. Kč, podíl na celkových GBAORD</w:t>
      </w:r>
      <w:r w:rsidR="00702AD7">
        <w:rPr>
          <w:color w:val="4F6228"/>
        </w:rPr>
        <w:t xml:space="preserve"> v </w:t>
      </w:r>
      <w:r w:rsidR="002C72A1">
        <w:rPr>
          <w:color w:val="4F6228"/>
        </w:rPr>
        <w:t>%</w:t>
      </w:r>
      <w:r w:rsidR="00702AD7">
        <w:rPr>
          <w:color w:val="4F6228"/>
        </w:rPr>
        <w:t>)</w:t>
      </w:r>
      <w:r w:rsidR="009123F9">
        <w:rPr>
          <w:color w:val="4F6228"/>
        </w:rPr>
        <w:t>; 2013</w:t>
      </w:r>
    </w:p>
    <w:p w:rsidR="002C72A1" w:rsidRDefault="002D1F2D" w:rsidP="002962E8">
      <w:pPr>
        <w:pStyle w:val="Zkladntext2"/>
        <w:rPr>
          <w:rFonts w:ascii="Calibri" w:hAnsi="Calibri" w:cs="Arial"/>
          <w:sz w:val="20"/>
          <w:szCs w:val="20"/>
        </w:rPr>
      </w:pPr>
      <w:r w:rsidRPr="002D1F2D"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969480" cy="2432649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2AD7" w:rsidRDefault="00702AD7" w:rsidP="002962E8">
      <w:pPr>
        <w:pStyle w:val="Zkladntext2"/>
        <w:rPr>
          <w:rFonts w:ascii="Calibri" w:hAnsi="Calibri" w:cs="Arial"/>
          <w:sz w:val="20"/>
          <w:szCs w:val="20"/>
        </w:rPr>
      </w:pPr>
    </w:p>
    <w:p w:rsidR="00536916" w:rsidRDefault="00536916" w:rsidP="00211128">
      <w:pPr>
        <w:pStyle w:val="Zkladntext2"/>
        <w:rPr>
          <w:rFonts w:ascii="Calibri" w:hAnsi="Calibri" w:cs="Arial"/>
          <w:b/>
          <w:sz w:val="20"/>
          <w:szCs w:val="20"/>
        </w:rPr>
      </w:pPr>
    </w:p>
    <w:p w:rsidR="00536916" w:rsidRDefault="00536916" w:rsidP="00211128">
      <w:pPr>
        <w:pStyle w:val="Zkladntext2"/>
        <w:rPr>
          <w:rFonts w:ascii="Calibri" w:hAnsi="Calibri" w:cs="Arial"/>
          <w:b/>
          <w:sz w:val="20"/>
          <w:szCs w:val="20"/>
        </w:rPr>
      </w:pPr>
    </w:p>
    <w:p w:rsidR="00211128" w:rsidRDefault="00211128" w:rsidP="00211128">
      <w:pPr>
        <w:pStyle w:val="Zkladntext2"/>
        <w:rPr>
          <w:rFonts w:ascii="Calibri" w:hAnsi="Calibri" w:cs="Arial"/>
          <w:sz w:val="20"/>
          <w:szCs w:val="20"/>
        </w:rPr>
      </w:pPr>
      <w:r w:rsidRPr="002D2A70">
        <w:rPr>
          <w:rFonts w:ascii="Calibri" w:hAnsi="Calibri" w:cs="Arial"/>
          <w:b/>
          <w:sz w:val="20"/>
          <w:szCs w:val="20"/>
        </w:rPr>
        <w:t>Podpora VaV ze státního rozpočtu podle</w:t>
      </w:r>
      <w:r>
        <w:rPr>
          <w:rFonts w:ascii="Calibri" w:hAnsi="Calibri" w:cs="Arial"/>
          <w:b/>
          <w:sz w:val="20"/>
          <w:szCs w:val="20"/>
        </w:rPr>
        <w:t xml:space="preserve"> příjemců</w:t>
      </w:r>
    </w:p>
    <w:p w:rsidR="002E298F" w:rsidRDefault="00F27BAF" w:rsidP="00613A7E">
      <w:pPr>
        <w:pStyle w:val="Zkladntext2"/>
        <w:ind w:firstLine="357"/>
        <w:rPr>
          <w:rFonts w:ascii="Calibri" w:hAnsi="Calibri" w:cs="Arial"/>
          <w:color w:val="C00000"/>
          <w:sz w:val="20"/>
          <w:szCs w:val="20"/>
        </w:rPr>
      </w:pPr>
      <w:r w:rsidRPr="00CC2050">
        <w:rPr>
          <w:rFonts w:ascii="Calibri" w:hAnsi="Calibri" w:cs="Arial"/>
          <w:sz w:val="20"/>
          <w:szCs w:val="20"/>
        </w:rPr>
        <w:t>Nejvýznamnějším</w:t>
      </w:r>
      <w:r w:rsidR="00C95CBE" w:rsidRPr="00CC2050">
        <w:rPr>
          <w:rFonts w:ascii="Calibri" w:hAnsi="Calibri" w:cs="Arial"/>
          <w:sz w:val="20"/>
          <w:szCs w:val="20"/>
        </w:rPr>
        <w:t>i příjemci</w:t>
      </w:r>
      <w:r w:rsidRPr="00CC2050">
        <w:rPr>
          <w:rFonts w:ascii="Calibri" w:hAnsi="Calibri" w:cs="Arial"/>
          <w:sz w:val="20"/>
          <w:szCs w:val="20"/>
        </w:rPr>
        <w:t xml:space="preserve"> státní podpory výzkum</w:t>
      </w:r>
      <w:r w:rsidR="00794585">
        <w:rPr>
          <w:rFonts w:ascii="Calibri" w:hAnsi="Calibri" w:cs="Arial"/>
          <w:sz w:val="20"/>
          <w:szCs w:val="20"/>
        </w:rPr>
        <w:t>u</w:t>
      </w:r>
      <w:r w:rsidRPr="00CC2050">
        <w:rPr>
          <w:rFonts w:ascii="Calibri" w:hAnsi="Calibri" w:cs="Arial"/>
          <w:sz w:val="20"/>
          <w:szCs w:val="20"/>
        </w:rPr>
        <w:t xml:space="preserve"> a vývoje byly veřejné</w:t>
      </w:r>
      <w:r w:rsidR="007725DC" w:rsidRPr="00CC2050">
        <w:rPr>
          <w:rFonts w:ascii="Calibri" w:hAnsi="Calibri" w:cs="Arial"/>
          <w:sz w:val="20"/>
          <w:szCs w:val="20"/>
        </w:rPr>
        <w:t xml:space="preserve"> a státní </w:t>
      </w:r>
      <w:r w:rsidR="00FB7748" w:rsidRPr="00CC2050">
        <w:rPr>
          <w:rFonts w:ascii="Calibri" w:hAnsi="Calibri" w:cs="Arial"/>
          <w:sz w:val="20"/>
          <w:szCs w:val="20"/>
        </w:rPr>
        <w:t>vysoké školy. V roce 2013</w:t>
      </w:r>
      <w:r w:rsidRPr="00CC2050">
        <w:rPr>
          <w:rFonts w:ascii="Calibri" w:hAnsi="Calibri" w:cs="Arial"/>
          <w:sz w:val="20"/>
          <w:szCs w:val="20"/>
        </w:rPr>
        <w:t xml:space="preserve"> se jim podařilo získat </w:t>
      </w:r>
      <w:r w:rsidR="00977D41">
        <w:rPr>
          <w:rFonts w:ascii="Calibri" w:hAnsi="Calibri" w:cs="Arial"/>
          <w:sz w:val="20"/>
          <w:szCs w:val="20"/>
        </w:rPr>
        <w:t xml:space="preserve">veřejnou </w:t>
      </w:r>
      <w:r w:rsidRPr="00CC2050">
        <w:rPr>
          <w:rFonts w:ascii="Calibri" w:hAnsi="Calibri" w:cs="Arial"/>
          <w:sz w:val="20"/>
          <w:szCs w:val="20"/>
        </w:rPr>
        <w:t xml:space="preserve">podporu na provádění svých výzkumných aktivit ve výši </w:t>
      </w:r>
      <w:r w:rsidR="00CC2050" w:rsidRPr="00CC2050">
        <w:rPr>
          <w:rFonts w:ascii="Calibri" w:hAnsi="Calibri" w:cs="Arial"/>
          <w:sz w:val="20"/>
          <w:szCs w:val="20"/>
        </w:rPr>
        <w:t>10</w:t>
      </w:r>
      <w:r w:rsidR="00761FB7">
        <w:rPr>
          <w:rFonts w:ascii="Calibri" w:hAnsi="Calibri" w:cs="Arial"/>
          <w:sz w:val="20"/>
          <w:szCs w:val="20"/>
        </w:rPr>
        <w:t>,8 mld</w:t>
      </w:r>
      <w:r w:rsidRPr="00CC2050">
        <w:rPr>
          <w:rFonts w:ascii="Calibri" w:hAnsi="Calibri" w:cs="Arial"/>
          <w:sz w:val="20"/>
          <w:szCs w:val="20"/>
        </w:rPr>
        <w:t xml:space="preserve">. Kč. </w:t>
      </w:r>
      <w:r w:rsidR="009129D9" w:rsidRPr="00CC2050">
        <w:rPr>
          <w:rFonts w:ascii="Calibri" w:hAnsi="Calibri" w:cs="Arial"/>
          <w:sz w:val="20"/>
          <w:szCs w:val="20"/>
        </w:rPr>
        <w:t xml:space="preserve">Z této částky šlo formou </w:t>
      </w:r>
      <w:r w:rsidR="00CC2050" w:rsidRPr="00CC2050">
        <w:rPr>
          <w:rFonts w:ascii="Calibri" w:hAnsi="Calibri" w:cs="Arial"/>
          <w:sz w:val="20"/>
          <w:szCs w:val="20"/>
        </w:rPr>
        <w:t>institucionální podpory 6</w:t>
      </w:r>
      <w:r w:rsidR="00761FB7">
        <w:rPr>
          <w:rFonts w:ascii="Calibri" w:hAnsi="Calibri" w:cs="Arial"/>
          <w:sz w:val="20"/>
          <w:szCs w:val="20"/>
        </w:rPr>
        <w:t>,1 mld</w:t>
      </w:r>
      <w:r w:rsidR="00CC2050" w:rsidRPr="00CC2050">
        <w:rPr>
          <w:rFonts w:ascii="Calibri" w:hAnsi="Calibri" w:cs="Arial"/>
          <w:sz w:val="20"/>
          <w:szCs w:val="20"/>
        </w:rPr>
        <w:t>. Kč (56,7</w:t>
      </w:r>
      <w:r w:rsidR="009129D9" w:rsidRPr="00CC2050">
        <w:rPr>
          <w:rFonts w:ascii="Calibri" w:hAnsi="Calibri" w:cs="Arial"/>
          <w:sz w:val="20"/>
          <w:szCs w:val="20"/>
        </w:rPr>
        <w:t> %)</w:t>
      </w:r>
      <w:r w:rsidR="00C95CBE" w:rsidRPr="00CC2050">
        <w:rPr>
          <w:rFonts w:ascii="Calibri" w:hAnsi="Calibri" w:cs="Arial"/>
          <w:sz w:val="20"/>
          <w:szCs w:val="20"/>
        </w:rPr>
        <w:t>, zejména pak prostřednictvím podpory</w:t>
      </w:r>
      <w:r w:rsidR="009129D9" w:rsidRPr="00CC2050">
        <w:rPr>
          <w:rFonts w:ascii="Calibri" w:hAnsi="Calibri" w:cs="Arial"/>
          <w:sz w:val="20"/>
          <w:szCs w:val="20"/>
        </w:rPr>
        <w:t xml:space="preserve"> rozvoj</w:t>
      </w:r>
      <w:r w:rsidR="00C95CBE" w:rsidRPr="00CC2050">
        <w:rPr>
          <w:rFonts w:ascii="Calibri" w:hAnsi="Calibri" w:cs="Arial"/>
          <w:sz w:val="20"/>
          <w:szCs w:val="20"/>
        </w:rPr>
        <w:t>e</w:t>
      </w:r>
      <w:r w:rsidR="009129D9" w:rsidRPr="00CC2050">
        <w:rPr>
          <w:rFonts w:ascii="Calibri" w:hAnsi="Calibri" w:cs="Arial"/>
          <w:sz w:val="20"/>
          <w:szCs w:val="20"/>
        </w:rPr>
        <w:t xml:space="preserve"> vý</w:t>
      </w:r>
      <w:r w:rsidR="00C95CBE" w:rsidRPr="00CC2050">
        <w:rPr>
          <w:rFonts w:ascii="Calibri" w:hAnsi="Calibri" w:cs="Arial"/>
          <w:sz w:val="20"/>
          <w:szCs w:val="20"/>
        </w:rPr>
        <w:t>zkumných organizací a specifického</w:t>
      </w:r>
      <w:r w:rsidR="009129D9" w:rsidRPr="00CC2050">
        <w:rPr>
          <w:rFonts w:ascii="Calibri" w:hAnsi="Calibri" w:cs="Arial"/>
          <w:sz w:val="20"/>
          <w:szCs w:val="20"/>
        </w:rPr>
        <w:t xml:space="preserve"> výzkum</w:t>
      </w:r>
      <w:r w:rsidR="00C95CBE" w:rsidRPr="00CC2050">
        <w:rPr>
          <w:rFonts w:ascii="Calibri" w:hAnsi="Calibri" w:cs="Arial"/>
          <w:sz w:val="20"/>
          <w:szCs w:val="20"/>
        </w:rPr>
        <w:t>u</w:t>
      </w:r>
      <w:r w:rsidR="009129D9" w:rsidRPr="00CC2050">
        <w:rPr>
          <w:rFonts w:ascii="Calibri" w:hAnsi="Calibri" w:cs="Arial"/>
          <w:sz w:val="20"/>
          <w:szCs w:val="20"/>
        </w:rPr>
        <w:t xml:space="preserve"> na vysokých školách.</w:t>
      </w:r>
      <w:r w:rsidR="004D3810" w:rsidRPr="00D250D7">
        <w:rPr>
          <w:rFonts w:ascii="Calibri" w:hAnsi="Calibri" w:cs="Arial"/>
          <w:color w:val="C00000"/>
          <w:sz w:val="20"/>
          <w:szCs w:val="20"/>
        </w:rPr>
        <w:t xml:space="preserve"> </w:t>
      </w:r>
    </w:p>
    <w:p w:rsidR="002E298F" w:rsidRDefault="004D3810" w:rsidP="00613A7E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CC2050">
        <w:rPr>
          <w:rFonts w:ascii="Calibri" w:hAnsi="Calibri" w:cs="Arial"/>
          <w:sz w:val="20"/>
          <w:szCs w:val="20"/>
        </w:rPr>
        <w:t>Další významnou skupinou příjemců státní podpory VaV byly veřejné výzkumné instituce</w:t>
      </w:r>
      <w:r w:rsidR="00D27BDE" w:rsidRPr="00CC2050">
        <w:rPr>
          <w:rStyle w:val="Znakapoznpodarou"/>
          <w:rFonts w:ascii="Calibri" w:hAnsi="Calibri" w:cs="Arial"/>
          <w:sz w:val="20"/>
          <w:szCs w:val="20"/>
        </w:rPr>
        <w:footnoteReference w:id="9"/>
      </w:r>
      <w:r w:rsidR="00CC2050" w:rsidRPr="00CC2050">
        <w:rPr>
          <w:rFonts w:ascii="Calibri" w:hAnsi="Calibri" w:cs="Arial"/>
          <w:sz w:val="20"/>
          <w:szCs w:val="20"/>
        </w:rPr>
        <w:t>, které v roce 2013</w:t>
      </w:r>
      <w:r w:rsidRPr="00CC2050">
        <w:rPr>
          <w:rFonts w:ascii="Calibri" w:hAnsi="Calibri" w:cs="Arial"/>
          <w:sz w:val="20"/>
          <w:szCs w:val="20"/>
        </w:rPr>
        <w:t xml:space="preserve"> obdržely </w:t>
      </w:r>
      <w:r w:rsidR="00CC2050" w:rsidRPr="00CC2050">
        <w:rPr>
          <w:rFonts w:ascii="Calibri" w:hAnsi="Calibri" w:cs="Arial"/>
          <w:sz w:val="20"/>
          <w:szCs w:val="20"/>
        </w:rPr>
        <w:t>7</w:t>
      </w:r>
      <w:r w:rsidR="00761FB7">
        <w:rPr>
          <w:rFonts w:ascii="Calibri" w:hAnsi="Calibri" w:cs="Arial"/>
          <w:sz w:val="20"/>
          <w:szCs w:val="20"/>
        </w:rPr>
        <w:t>,9</w:t>
      </w:r>
      <w:r w:rsidR="004B4C71" w:rsidRPr="00CC2050">
        <w:rPr>
          <w:rFonts w:ascii="Calibri" w:hAnsi="Calibri" w:cs="Arial"/>
          <w:sz w:val="20"/>
          <w:szCs w:val="20"/>
        </w:rPr>
        <w:t xml:space="preserve"> </w:t>
      </w:r>
      <w:r w:rsidR="00761FB7">
        <w:rPr>
          <w:rFonts w:ascii="Calibri" w:hAnsi="Calibri" w:cs="Arial"/>
          <w:sz w:val="20"/>
          <w:szCs w:val="20"/>
        </w:rPr>
        <w:t>mld</w:t>
      </w:r>
      <w:r w:rsidRPr="00CC2050">
        <w:rPr>
          <w:rFonts w:ascii="Calibri" w:hAnsi="Calibri" w:cs="Arial"/>
          <w:sz w:val="20"/>
          <w:szCs w:val="20"/>
        </w:rPr>
        <w:t>. Kč.</w:t>
      </w:r>
      <w:r w:rsidR="00D27BDE" w:rsidRPr="00CC2050">
        <w:rPr>
          <w:rFonts w:ascii="Calibri" w:hAnsi="Calibri" w:cs="Arial"/>
          <w:sz w:val="20"/>
          <w:szCs w:val="20"/>
        </w:rPr>
        <w:t xml:space="preserve"> V tomto případě hraje institucionální forma financování (</w:t>
      </w:r>
      <w:r w:rsidR="00761FB7">
        <w:rPr>
          <w:rFonts w:ascii="Calibri" w:hAnsi="Calibri" w:cs="Arial"/>
          <w:sz w:val="20"/>
          <w:szCs w:val="20"/>
        </w:rPr>
        <w:t>4,9</w:t>
      </w:r>
      <w:r w:rsidR="00D27BDE" w:rsidRPr="00CC2050">
        <w:rPr>
          <w:rFonts w:ascii="Calibri" w:hAnsi="Calibri" w:cs="Arial"/>
          <w:sz w:val="20"/>
          <w:szCs w:val="20"/>
        </w:rPr>
        <w:t xml:space="preserve"> </w:t>
      </w:r>
      <w:r w:rsidR="00761FB7">
        <w:rPr>
          <w:rFonts w:ascii="Calibri" w:hAnsi="Calibri" w:cs="Arial"/>
          <w:sz w:val="20"/>
          <w:szCs w:val="20"/>
        </w:rPr>
        <w:t>mld</w:t>
      </w:r>
      <w:r w:rsidR="004B4C71" w:rsidRPr="00CC2050">
        <w:rPr>
          <w:rFonts w:ascii="Calibri" w:hAnsi="Calibri" w:cs="Arial"/>
          <w:sz w:val="20"/>
          <w:szCs w:val="20"/>
        </w:rPr>
        <w:t>. Kč, 61</w:t>
      </w:r>
      <w:r w:rsidR="00CC2050" w:rsidRPr="00CC2050">
        <w:rPr>
          <w:rFonts w:ascii="Calibri" w:hAnsi="Calibri" w:cs="Arial"/>
          <w:sz w:val="20"/>
          <w:szCs w:val="20"/>
        </w:rPr>
        <w:t>,1</w:t>
      </w:r>
      <w:r w:rsidR="00E97B94" w:rsidRPr="00CC2050">
        <w:rPr>
          <w:rFonts w:ascii="Calibri" w:hAnsi="Calibri" w:cs="Arial"/>
          <w:sz w:val="20"/>
          <w:szCs w:val="20"/>
        </w:rPr>
        <w:t xml:space="preserve"> %) </w:t>
      </w:r>
      <w:r w:rsidR="00613A7E">
        <w:rPr>
          <w:rFonts w:ascii="Calibri" w:hAnsi="Calibri" w:cs="Arial"/>
          <w:sz w:val="20"/>
          <w:szCs w:val="20"/>
        </w:rPr>
        <w:t>významnější</w:t>
      </w:r>
      <w:r w:rsidR="00D27BDE" w:rsidRPr="00CC2050">
        <w:rPr>
          <w:rFonts w:ascii="Calibri" w:hAnsi="Calibri" w:cs="Arial"/>
          <w:sz w:val="20"/>
          <w:szCs w:val="20"/>
        </w:rPr>
        <w:t xml:space="preserve"> roli než </w:t>
      </w:r>
      <w:r w:rsidR="00AC2E13">
        <w:rPr>
          <w:rFonts w:ascii="Calibri" w:hAnsi="Calibri" w:cs="Arial"/>
          <w:sz w:val="20"/>
          <w:szCs w:val="20"/>
        </w:rPr>
        <w:t xml:space="preserve">u </w:t>
      </w:r>
      <w:r w:rsidR="00D27BDE" w:rsidRPr="00CC2050">
        <w:rPr>
          <w:rFonts w:ascii="Calibri" w:hAnsi="Calibri" w:cs="Arial"/>
          <w:sz w:val="20"/>
          <w:szCs w:val="20"/>
        </w:rPr>
        <w:t>vysokých škol.</w:t>
      </w:r>
    </w:p>
    <w:p w:rsidR="002E298F" w:rsidRDefault="00613A7E" w:rsidP="00613A7E">
      <w:pPr>
        <w:pStyle w:val="Zkladntext2"/>
        <w:ind w:firstLine="357"/>
        <w:rPr>
          <w:rFonts w:ascii="Calibri" w:hAnsi="Calibri" w:cs="Arial"/>
          <w:color w:val="C0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Podnikům se podařilo na své výzkumné a vývojové aktivity získat státní podporu ve výši</w:t>
      </w:r>
      <w:r w:rsidR="00603537" w:rsidRPr="00CC2050">
        <w:rPr>
          <w:rFonts w:ascii="Calibri" w:hAnsi="Calibri" w:cs="Arial"/>
          <w:sz w:val="20"/>
          <w:szCs w:val="20"/>
        </w:rPr>
        <w:t xml:space="preserve"> </w:t>
      </w:r>
      <w:r w:rsidR="00CC2050" w:rsidRPr="00CC2050">
        <w:rPr>
          <w:rFonts w:ascii="Calibri" w:hAnsi="Calibri" w:cs="Arial"/>
          <w:sz w:val="20"/>
          <w:szCs w:val="20"/>
        </w:rPr>
        <w:t>4</w:t>
      </w:r>
      <w:r w:rsidR="00761FB7">
        <w:rPr>
          <w:rFonts w:ascii="Calibri" w:hAnsi="Calibri" w:cs="Arial"/>
          <w:sz w:val="20"/>
          <w:szCs w:val="20"/>
        </w:rPr>
        <w:t>,4</w:t>
      </w:r>
      <w:r w:rsidR="000C7219" w:rsidRPr="00CC2050">
        <w:rPr>
          <w:rFonts w:ascii="Calibri" w:hAnsi="Calibri" w:cs="Arial"/>
          <w:sz w:val="20"/>
          <w:szCs w:val="20"/>
        </w:rPr>
        <w:t xml:space="preserve"> </w:t>
      </w:r>
      <w:r w:rsidR="00761FB7">
        <w:rPr>
          <w:rFonts w:ascii="Calibri" w:hAnsi="Calibri" w:cs="Arial"/>
          <w:sz w:val="20"/>
          <w:szCs w:val="20"/>
        </w:rPr>
        <w:t>mld</w:t>
      </w:r>
      <w:r w:rsidR="00603537" w:rsidRPr="00CC2050">
        <w:rPr>
          <w:rFonts w:ascii="Calibri" w:hAnsi="Calibri" w:cs="Arial"/>
          <w:sz w:val="20"/>
          <w:szCs w:val="20"/>
        </w:rPr>
        <w:t>. Kč.</w:t>
      </w:r>
      <w:r w:rsidR="000C4EA2" w:rsidRPr="00CC2050">
        <w:rPr>
          <w:rFonts w:ascii="Calibri" w:hAnsi="Calibri" w:cs="Arial"/>
          <w:sz w:val="20"/>
          <w:szCs w:val="20"/>
        </w:rPr>
        <w:t xml:space="preserve"> V tomto případě zcela dominuje účelová podpora (</w:t>
      </w:r>
      <w:r w:rsidR="00CC2050" w:rsidRPr="00CC2050">
        <w:rPr>
          <w:rFonts w:ascii="Calibri" w:hAnsi="Calibri" w:cs="Arial"/>
          <w:sz w:val="20"/>
          <w:szCs w:val="20"/>
        </w:rPr>
        <w:t>4</w:t>
      </w:r>
      <w:r w:rsidR="00761FB7">
        <w:rPr>
          <w:rFonts w:ascii="Calibri" w:hAnsi="Calibri" w:cs="Arial"/>
          <w:sz w:val="20"/>
          <w:szCs w:val="20"/>
        </w:rPr>
        <w:t>,1 mld</w:t>
      </w:r>
      <w:r w:rsidR="00CC2050" w:rsidRPr="00CC2050">
        <w:rPr>
          <w:rFonts w:ascii="Calibri" w:hAnsi="Calibri" w:cs="Arial"/>
          <w:sz w:val="20"/>
          <w:szCs w:val="20"/>
        </w:rPr>
        <w:t>. Kč, 95,1</w:t>
      </w:r>
      <w:r w:rsidR="000C4EA2" w:rsidRPr="00CC2050">
        <w:rPr>
          <w:rFonts w:ascii="Calibri" w:hAnsi="Calibri" w:cs="Arial"/>
          <w:sz w:val="20"/>
          <w:szCs w:val="20"/>
        </w:rPr>
        <w:t> %).</w:t>
      </w:r>
      <w:r w:rsidR="00840AEC" w:rsidRPr="00CC2050">
        <w:rPr>
          <w:rFonts w:ascii="Calibri" w:hAnsi="Calibri" w:cs="Arial"/>
          <w:sz w:val="20"/>
          <w:szCs w:val="20"/>
        </w:rPr>
        <w:t xml:space="preserve"> Převážnou část celkové výše p</w:t>
      </w:r>
      <w:r w:rsidR="007D516A" w:rsidRPr="00CC2050">
        <w:rPr>
          <w:rFonts w:ascii="Calibri" w:hAnsi="Calibri" w:cs="Arial"/>
          <w:sz w:val="20"/>
          <w:szCs w:val="20"/>
        </w:rPr>
        <w:t>odpory obdržely soukromé domácí</w:t>
      </w:r>
      <w:r w:rsidR="00840AEC" w:rsidRPr="00CC2050">
        <w:rPr>
          <w:rFonts w:ascii="Calibri" w:hAnsi="Calibri" w:cs="Arial"/>
          <w:sz w:val="20"/>
          <w:szCs w:val="20"/>
        </w:rPr>
        <w:t xml:space="preserve"> podniky, </w:t>
      </w:r>
      <w:r w:rsidR="00840AEC" w:rsidRPr="00EB16F0">
        <w:rPr>
          <w:rFonts w:ascii="Calibri" w:hAnsi="Calibri" w:cs="Arial"/>
          <w:sz w:val="20"/>
          <w:szCs w:val="20"/>
        </w:rPr>
        <w:t>a to</w:t>
      </w:r>
      <w:r w:rsidR="00EB16F0" w:rsidRPr="00EB16F0">
        <w:rPr>
          <w:rFonts w:ascii="Calibri" w:hAnsi="Calibri" w:cs="Arial"/>
          <w:sz w:val="20"/>
          <w:szCs w:val="20"/>
        </w:rPr>
        <w:t xml:space="preserve"> 3</w:t>
      </w:r>
      <w:r w:rsidR="00761FB7">
        <w:rPr>
          <w:rFonts w:ascii="Calibri" w:hAnsi="Calibri" w:cs="Arial"/>
          <w:sz w:val="20"/>
          <w:szCs w:val="20"/>
        </w:rPr>
        <w:t>,3 mld</w:t>
      </w:r>
      <w:r w:rsidR="00840AEC" w:rsidRPr="00EB16F0">
        <w:rPr>
          <w:rFonts w:ascii="Calibri" w:hAnsi="Calibri" w:cs="Arial"/>
          <w:sz w:val="20"/>
          <w:szCs w:val="20"/>
        </w:rPr>
        <w:t>. Kč.</w:t>
      </w:r>
      <w:r w:rsidR="00603537" w:rsidRPr="00EB16F0">
        <w:rPr>
          <w:rFonts w:ascii="Calibri" w:hAnsi="Calibri" w:cs="Arial"/>
          <w:sz w:val="20"/>
          <w:szCs w:val="20"/>
        </w:rPr>
        <w:t> </w:t>
      </w:r>
      <w:r w:rsidR="007D516A" w:rsidRPr="00EB16F0">
        <w:rPr>
          <w:rFonts w:ascii="Calibri" w:hAnsi="Calibri" w:cs="Arial"/>
          <w:sz w:val="20"/>
          <w:szCs w:val="20"/>
        </w:rPr>
        <w:t xml:space="preserve">Soukromé </w:t>
      </w:r>
      <w:r w:rsidR="00977D41">
        <w:rPr>
          <w:rFonts w:ascii="Calibri" w:hAnsi="Calibri" w:cs="Arial"/>
          <w:sz w:val="20"/>
          <w:szCs w:val="20"/>
        </w:rPr>
        <w:t xml:space="preserve">zahraniční </w:t>
      </w:r>
      <w:r w:rsidR="00312CBB" w:rsidRPr="00EB16F0">
        <w:rPr>
          <w:rFonts w:ascii="Calibri" w:hAnsi="Calibri" w:cs="Arial"/>
          <w:sz w:val="20"/>
          <w:szCs w:val="20"/>
        </w:rPr>
        <w:t>podniky</w:t>
      </w:r>
      <w:r w:rsidR="007D516A" w:rsidRPr="00EB16F0">
        <w:rPr>
          <w:rFonts w:ascii="Calibri" w:hAnsi="Calibri" w:cs="Arial"/>
          <w:sz w:val="20"/>
          <w:szCs w:val="20"/>
        </w:rPr>
        <w:t xml:space="preserve"> </w:t>
      </w:r>
      <w:r w:rsidR="009E3532" w:rsidRPr="00EB16F0">
        <w:rPr>
          <w:rFonts w:ascii="Calibri" w:hAnsi="Calibri" w:cs="Arial"/>
          <w:sz w:val="20"/>
          <w:szCs w:val="20"/>
        </w:rPr>
        <w:t xml:space="preserve">pak </w:t>
      </w:r>
      <w:r w:rsidR="00EB16F0" w:rsidRPr="00EB16F0">
        <w:rPr>
          <w:rFonts w:ascii="Calibri" w:hAnsi="Calibri" w:cs="Arial"/>
          <w:sz w:val="20"/>
          <w:szCs w:val="20"/>
        </w:rPr>
        <w:t xml:space="preserve">obdržely </w:t>
      </w:r>
      <w:r w:rsidR="00977D41">
        <w:rPr>
          <w:rFonts w:ascii="Calibri" w:hAnsi="Calibri" w:cs="Arial"/>
          <w:sz w:val="20"/>
          <w:szCs w:val="20"/>
        </w:rPr>
        <w:t xml:space="preserve">veřejnou </w:t>
      </w:r>
      <w:r w:rsidR="00EB16F0" w:rsidRPr="00EB16F0">
        <w:rPr>
          <w:rFonts w:ascii="Calibri" w:hAnsi="Calibri" w:cs="Arial"/>
          <w:sz w:val="20"/>
          <w:szCs w:val="20"/>
        </w:rPr>
        <w:t>podporu ve výši 622 mil. Kč.</w:t>
      </w:r>
      <w:r w:rsidR="009E3532" w:rsidRPr="00EB16F0">
        <w:rPr>
          <w:rFonts w:ascii="Calibri" w:hAnsi="Calibri" w:cs="Arial"/>
          <w:sz w:val="20"/>
          <w:szCs w:val="20"/>
        </w:rPr>
        <w:t xml:space="preserve"> </w:t>
      </w:r>
      <w:r w:rsidR="00EB16F0" w:rsidRPr="00EB16F0">
        <w:rPr>
          <w:rFonts w:ascii="Calibri" w:hAnsi="Calibri" w:cs="Arial"/>
          <w:sz w:val="20"/>
          <w:szCs w:val="20"/>
        </w:rPr>
        <w:t>Veřejné podniky získaly na své výzkumné a vývojové</w:t>
      </w:r>
      <w:r>
        <w:rPr>
          <w:rFonts w:ascii="Calibri" w:hAnsi="Calibri" w:cs="Arial"/>
          <w:sz w:val="20"/>
          <w:szCs w:val="20"/>
        </w:rPr>
        <w:t xml:space="preserve"> činnosti státní</w:t>
      </w:r>
      <w:r w:rsidR="00977D41">
        <w:rPr>
          <w:rFonts w:ascii="Calibri" w:hAnsi="Calibri" w:cs="Arial"/>
          <w:sz w:val="20"/>
          <w:szCs w:val="20"/>
        </w:rPr>
        <w:t xml:space="preserve"> podporu v objemu</w:t>
      </w:r>
      <w:r w:rsidR="00EB16F0" w:rsidRPr="00EB16F0">
        <w:rPr>
          <w:rFonts w:ascii="Calibri" w:hAnsi="Calibri" w:cs="Arial"/>
          <w:sz w:val="20"/>
          <w:szCs w:val="20"/>
        </w:rPr>
        <w:t xml:space="preserve"> 421 mil. Kč</w:t>
      </w:r>
      <w:r w:rsidR="009E3532" w:rsidRPr="00EB16F0">
        <w:rPr>
          <w:rFonts w:ascii="Calibri" w:hAnsi="Calibri" w:cs="Arial"/>
          <w:sz w:val="20"/>
          <w:szCs w:val="20"/>
        </w:rPr>
        <w:t>.</w:t>
      </w:r>
      <w:r w:rsidR="00603537" w:rsidRPr="00D250D7">
        <w:rPr>
          <w:rFonts w:ascii="Calibri" w:hAnsi="Calibri" w:cs="Arial"/>
          <w:color w:val="C00000"/>
          <w:sz w:val="20"/>
          <w:szCs w:val="20"/>
        </w:rPr>
        <w:t xml:space="preserve"> </w:t>
      </w:r>
    </w:p>
    <w:p w:rsidR="008735A2" w:rsidRDefault="00977D41" w:rsidP="00613A7E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Lékařský výzkum prováděný</w:t>
      </w:r>
      <w:r w:rsidR="00AC2E13">
        <w:rPr>
          <w:rFonts w:ascii="Calibri" w:hAnsi="Calibri" w:cs="Arial"/>
          <w:sz w:val="20"/>
          <w:szCs w:val="20"/>
        </w:rPr>
        <w:t xml:space="preserve"> na půdě</w:t>
      </w:r>
      <w:r w:rsidR="002E298F">
        <w:rPr>
          <w:rFonts w:ascii="Calibri" w:hAnsi="Calibri" w:cs="Arial"/>
          <w:sz w:val="20"/>
          <w:szCs w:val="20"/>
        </w:rPr>
        <w:t xml:space="preserve"> fakultních nemocnic podpořil stát v roce 2013 částkou 993 mil. Kč, z</w:t>
      </w:r>
      <w:r w:rsidR="00AC2E13">
        <w:rPr>
          <w:rFonts w:ascii="Calibri" w:hAnsi="Calibri" w:cs="Arial"/>
          <w:sz w:val="20"/>
          <w:szCs w:val="20"/>
        </w:rPr>
        <w:t> níž činila</w:t>
      </w:r>
      <w:r w:rsidR="00917DBB">
        <w:rPr>
          <w:rFonts w:ascii="Calibri" w:hAnsi="Calibri" w:cs="Arial"/>
          <w:sz w:val="20"/>
          <w:szCs w:val="20"/>
        </w:rPr>
        <w:t xml:space="preserve"> institucionální podpora</w:t>
      </w:r>
      <w:r w:rsidR="002E298F">
        <w:rPr>
          <w:rFonts w:ascii="Calibri" w:hAnsi="Calibri" w:cs="Arial"/>
          <w:sz w:val="20"/>
          <w:szCs w:val="20"/>
        </w:rPr>
        <w:t xml:space="preserve"> 62,2 %.</w:t>
      </w:r>
    </w:p>
    <w:p w:rsidR="00DE7D00" w:rsidRDefault="00DE7D00" w:rsidP="00613A7E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DE7D00" w:rsidRDefault="00DE7D00" w:rsidP="00613A7E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DE7D00" w:rsidRDefault="00DE7D00" w:rsidP="00613A7E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DE7D00" w:rsidRDefault="00DE7D00" w:rsidP="00613A7E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DE7D00" w:rsidRPr="00613A7E" w:rsidRDefault="00DE7D00" w:rsidP="00613A7E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3946D4" w:rsidRPr="00DA70D5" w:rsidRDefault="006A76CF" w:rsidP="003946D4">
      <w:pPr>
        <w:pStyle w:val="Titulek"/>
        <w:pBdr>
          <w:bottom w:val="single" w:sz="2" w:space="1" w:color="BFBFBF"/>
        </w:pBdr>
        <w:rPr>
          <w:color w:val="4F6228"/>
        </w:rPr>
      </w:pPr>
      <w:bookmarkStart w:id="0" w:name="_GoBack"/>
      <w:bookmarkEnd w:id="0"/>
      <w:r>
        <w:rPr>
          <w:color w:val="4F6228"/>
        </w:rPr>
        <w:lastRenderedPageBreak/>
        <w:t>GRAF 1-5</w:t>
      </w:r>
      <w:r w:rsidR="003946D4" w:rsidRPr="00DA70D5">
        <w:rPr>
          <w:color w:val="4F6228"/>
        </w:rPr>
        <w:t>: Celkové</w:t>
      </w:r>
      <w:r w:rsidR="003946D4">
        <w:rPr>
          <w:color w:val="4F6228"/>
        </w:rPr>
        <w:t xml:space="preserve"> GBAORD podle příjemců</w:t>
      </w:r>
      <w:r w:rsidR="003946D4" w:rsidRPr="00DA70D5">
        <w:rPr>
          <w:color w:val="4F6228"/>
        </w:rPr>
        <w:t xml:space="preserve"> </w:t>
      </w:r>
      <w:r w:rsidR="003946D4">
        <w:rPr>
          <w:color w:val="4F6228"/>
        </w:rPr>
        <w:t xml:space="preserve">podpory VaV (mil. Kč, </w:t>
      </w:r>
      <w:r w:rsidR="00352000">
        <w:rPr>
          <w:color w:val="4F6228"/>
        </w:rPr>
        <w:t>podíl na celkových GBAORD v %</w:t>
      </w:r>
      <w:r w:rsidR="003946D4">
        <w:rPr>
          <w:color w:val="4F6228"/>
        </w:rPr>
        <w:t>)</w:t>
      </w:r>
      <w:r w:rsidR="009123F9">
        <w:rPr>
          <w:color w:val="4F6228"/>
        </w:rPr>
        <w:t>; 2013</w:t>
      </w:r>
    </w:p>
    <w:p w:rsidR="003946D4" w:rsidRDefault="00BA7DAF" w:rsidP="002962E8">
      <w:pPr>
        <w:pStyle w:val="Zkladntext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object w:dxaOrig="9635" w:dyaOrig="3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170.5pt" o:ole="">
            <v:imagedata r:id="rId13" o:title=""/>
          </v:shape>
          <o:OLEObject Type="Embed" ProgID="Excel.Sheet.12" ShapeID="_x0000_i1025" DrawAspect="Content" ObjectID="_1482308160" r:id="rId14"/>
        </w:object>
      </w:r>
    </w:p>
    <w:p w:rsidR="00C02932" w:rsidRDefault="00C02932" w:rsidP="002962E8">
      <w:pPr>
        <w:pStyle w:val="Zkladntext2"/>
        <w:rPr>
          <w:rFonts w:ascii="Calibri" w:hAnsi="Calibri" w:cs="Arial"/>
          <w:sz w:val="20"/>
          <w:szCs w:val="20"/>
        </w:rPr>
      </w:pPr>
    </w:p>
    <w:p w:rsidR="004D227F" w:rsidRDefault="004D227F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443F9E" w:rsidRDefault="004D227F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Přímou </w:t>
      </w:r>
      <w:r w:rsidR="00180380">
        <w:rPr>
          <w:rFonts w:ascii="Calibri" w:hAnsi="Calibri" w:cs="Arial"/>
          <w:sz w:val="20"/>
          <w:szCs w:val="20"/>
        </w:rPr>
        <w:t xml:space="preserve">veřejnou </w:t>
      </w:r>
      <w:r>
        <w:rPr>
          <w:rFonts w:ascii="Calibri" w:hAnsi="Calibri" w:cs="Arial"/>
          <w:sz w:val="20"/>
          <w:szCs w:val="20"/>
        </w:rPr>
        <w:t xml:space="preserve">podporu VaV v roce 2013 získalo 1 070 podniků, z nich </w:t>
      </w:r>
      <w:r w:rsidR="00CB36A2">
        <w:rPr>
          <w:rFonts w:ascii="Calibri" w:hAnsi="Calibri" w:cs="Arial"/>
          <w:sz w:val="20"/>
          <w:szCs w:val="20"/>
        </w:rPr>
        <w:t>bylo soukromých domácích podniků</w:t>
      </w:r>
      <w:r>
        <w:rPr>
          <w:rFonts w:ascii="Calibri" w:hAnsi="Calibri" w:cs="Arial"/>
          <w:sz w:val="20"/>
          <w:szCs w:val="20"/>
        </w:rPr>
        <w:t xml:space="preserve"> 836</w:t>
      </w:r>
      <w:r w:rsidR="008D6941">
        <w:rPr>
          <w:rFonts w:ascii="Calibri" w:hAnsi="Calibri" w:cs="Arial"/>
          <w:sz w:val="20"/>
          <w:szCs w:val="20"/>
        </w:rPr>
        <w:t xml:space="preserve"> a soukromých zahraničních podniků </w:t>
      </w:r>
      <w:r w:rsidR="00180380">
        <w:rPr>
          <w:rFonts w:ascii="Calibri" w:hAnsi="Calibri" w:cs="Arial"/>
          <w:sz w:val="20"/>
          <w:szCs w:val="20"/>
        </w:rPr>
        <w:t xml:space="preserve">pak </w:t>
      </w:r>
      <w:r w:rsidR="008D6941">
        <w:rPr>
          <w:rFonts w:ascii="Calibri" w:hAnsi="Calibri" w:cs="Arial"/>
          <w:sz w:val="20"/>
          <w:szCs w:val="20"/>
        </w:rPr>
        <w:t>207</w:t>
      </w:r>
      <w:r>
        <w:rPr>
          <w:rFonts w:ascii="Calibri" w:hAnsi="Calibri" w:cs="Arial"/>
          <w:sz w:val="20"/>
          <w:szCs w:val="20"/>
        </w:rPr>
        <w:t>. Podporu institucionální nebo účelovou obdrželo 27 veřejných a státních vysokých škol a 71 veřejných výzkumných organizací. Všechny fakultní nemocnice</w:t>
      </w:r>
      <w:r w:rsidR="008D6941">
        <w:rPr>
          <w:rFonts w:ascii="Calibri" w:hAnsi="Calibri" w:cs="Arial"/>
          <w:sz w:val="20"/>
          <w:szCs w:val="20"/>
        </w:rPr>
        <w:t xml:space="preserve"> (</w:t>
      </w:r>
      <w:r>
        <w:rPr>
          <w:rFonts w:ascii="Calibri" w:hAnsi="Calibri" w:cs="Arial"/>
          <w:sz w:val="20"/>
          <w:szCs w:val="20"/>
        </w:rPr>
        <w:t xml:space="preserve">9) obdržely na své výzkumné činnosti veřejnou podporu. </w:t>
      </w:r>
    </w:p>
    <w:p w:rsidR="002D2A70" w:rsidRDefault="00F22354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 položce ostatní jsou zahrnuty: soukromé neziskové in</w:t>
      </w:r>
      <w:r w:rsidR="00CB36A2">
        <w:rPr>
          <w:rFonts w:ascii="Calibri" w:hAnsi="Calibri" w:cs="Arial"/>
          <w:sz w:val="20"/>
          <w:szCs w:val="20"/>
        </w:rPr>
        <w:t>stituce (62), podnikatelé (42),</w:t>
      </w:r>
      <w:r w:rsidR="00180380">
        <w:rPr>
          <w:rFonts w:ascii="Calibri" w:hAnsi="Calibri" w:cs="Arial"/>
          <w:sz w:val="20"/>
          <w:szCs w:val="20"/>
        </w:rPr>
        <w:t xml:space="preserve"> nefakultní </w:t>
      </w:r>
      <w:r>
        <w:rPr>
          <w:rFonts w:ascii="Calibri" w:hAnsi="Calibri" w:cs="Arial"/>
          <w:sz w:val="20"/>
          <w:szCs w:val="20"/>
        </w:rPr>
        <w:t>nemocnice (32), soukromé vysoké školy (10) a zahraniční subjekty (6).</w:t>
      </w:r>
    </w:p>
    <w:p w:rsidR="004D227F" w:rsidRDefault="004D227F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4D227F" w:rsidRPr="00DA70D5" w:rsidRDefault="004D227F" w:rsidP="004D227F">
      <w:pPr>
        <w:pStyle w:val="Titulek"/>
        <w:pBdr>
          <w:bottom w:val="single" w:sz="2" w:space="1" w:color="BFBFBF"/>
        </w:pBdr>
        <w:rPr>
          <w:color w:val="4F6228"/>
        </w:rPr>
      </w:pPr>
      <w:r>
        <w:rPr>
          <w:color w:val="4F6228"/>
        </w:rPr>
        <w:t>GRAF 1-6: Počty příjemců</w:t>
      </w:r>
      <w:r w:rsidRPr="00DA70D5">
        <w:rPr>
          <w:color w:val="4F6228"/>
        </w:rPr>
        <w:t xml:space="preserve"> </w:t>
      </w:r>
      <w:r>
        <w:rPr>
          <w:color w:val="4F6228"/>
        </w:rPr>
        <w:t xml:space="preserve">podpory </w:t>
      </w:r>
      <w:proofErr w:type="spellStart"/>
      <w:r>
        <w:rPr>
          <w:color w:val="4F6228"/>
        </w:rPr>
        <w:t>VaV</w:t>
      </w:r>
      <w:proofErr w:type="spellEnd"/>
      <w:r w:rsidR="005F2FC7">
        <w:rPr>
          <w:color w:val="4F6228"/>
        </w:rPr>
        <w:t xml:space="preserve"> (GBAORD) </w:t>
      </w:r>
      <w:r>
        <w:rPr>
          <w:color w:val="4F6228"/>
        </w:rPr>
        <w:t>a podíl na celkovém počtu</w:t>
      </w:r>
      <w:r w:rsidR="00907656">
        <w:rPr>
          <w:color w:val="4F6228"/>
        </w:rPr>
        <w:t xml:space="preserve"> příjemců</w:t>
      </w:r>
      <w:r>
        <w:rPr>
          <w:color w:val="4F6228"/>
        </w:rPr>
        <w:t>; 2013</w:t>
      </w:r>
    </w:p>
    <w:p w:rsidR="004D227F" w:rsidRDefault="00F22354" w:rsidP="004D227F">
      <w:pPr>
        <w:pStyle w:val="Zkladntext2"/>
        <w:rPr>
          <w:rFonts w:ascii="Calibri" w:hAnsi="Calibri" w:cs="Arial"/>
          <w:sz w:val="20"/>
          <w:szCs w:val="20"/>
        </w:rPr>
      </w:pPr>
      <w:r>
        <w:rPr>
          <w:noProof/>
        </w:rPr>
        <w:drawing>
          <wp:inline distT="0" distB="0" distL="0" distR="0" wp14:anchorId="3685A89B" wp14:editId="4D502C98">
            <wp:extent cx="5972810" cy="2284095"/>
            <wp:effectExtent l="0" t="0" r="8890" b="190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2A70" w:rsidRDefault="002D2A70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4D227F" w:rsidRDefault="004D227F" w:rsidP="002D2A70">
      <w:pPr>
        <w:pStyle w:val="Zkladntext2"/>
        <w:rPr>
          <w:rFonts w:ascii="Calibri" w:hAnsi="Calibri" w:cs="Arial"/>
          <w:b/>
          <w:sz w:val="20"/>
          <w:szCs w:val="20"/>
        </w:rPr>
      </w:pPr>
    </w:p>
    <w:p w:rsidR="002D2A70" w:rsidRPr="002D2A70" w:rsidRDefault="002D2A70" w:rsidP="002D2A70">
      <w:pPr>
        <w:pStyle w:val="Zkladntext2"/>
        <w:rPr>
          <w:rFonts w:ascii="Calibri" w:hAnsi="Calibri" w:cs="Arial"/>
          <w:sz w:val="20"/>
          <w:szCs w:val="20"/>
        </w:rPr>
      </w:pPr>
      <w:r w:rsidRPr="002D2A70">
        <w:rPr>
          <w:rFonts w:ascii="Calibri" w:hAnsi="Calibri" w:cs="Arial"/>
          <w:b/>
          <w:sz w:val="20"/>
          <w:szCs w:val="20"/>
        </w:rPr>
        <w:t>Podpora VaV ze státního rozpočtu podle</w:t>
      </w:r>
      <w:r>
        <w:rPr>
          <w:rFonts w:ascii="Calibri" w:hAnsi="Calibri" w:cs="Arial"/>
          <w:b/>
          <w:sz w:val="20"/>
          <w:szCs w:val="20"/>
        </w:rPr>
        <w:t xml:space="preserve"> krajů</w:t>
      </w:r>
    </w:p>
    <w:p w:rsidR="008735A2" w:rsidRDefault="00C02932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  <w:r w:rsidRPr="00022DAE">
        <w:rPr>
          <w:rFonts w:ascii="Calibri" w:hAnsi="Calibri" w:cs="Arial"/>
          <w:sz w:val="20"/>
          <w:szCs w:val="20"/>
        </w:rPr>
        <w:t>Z krajského pohledu byly ne</w:t>
      </w:r>
      <w:r w:rsidR="000E1513">
        <w:rPr>
          <w:rFonts w:ascii="Calibri" w:hAnsi="Calibri" w:cs="Arial"/>
          <w:sz w:val="20"/>
          <w:szCs w:val="20"/>
        </w:rPr>
        <w:t>j</w:t>
      </w:r>
      <w:r w:rsidRPr="00022DAE">
        <w:rPr>
          <w:rFonts w:ascii="Calibri" w:hAnsi="Calibri" w:cs="Arial"/>
          <w:sz w:val="20"/>
          <w:szCs w:val="20"/>
        </w:rPr>
        <w:t xml:space="preserve">důležitějšími destinacemi statní podpory výzkumu a vývoje kraje </w:t>
      </w:r>
      <w:r w:rsidR="00B96C07">
        <w:rPr>
          <w:rFonts w:ascii="Calibri" w:hAnsi="Calibri" w:cs="Arial"/>
          <w:sz w:val="20"/>
          <w:szCs w:val="20"/>
        </w:rPr>
        <w:t>s</w:t>
      </w:r>
      <w:r w:rsidRPr="00022DAE">
        <w:rPr>
          <w:rFonts w:ascii="Calibri" w:hAnsi="Calibri" w:cs="Arial"/>
          <w:sz w:val="20"/>
          <w:szCs w:val="20"/>
        </w:rPr>
        <w:t xml:space="preserve"> vysok</w:t>
      </w:r>
      <w:r w:rsidR="00B96C07">
        <w:rPr>
          <w:rFonts w:ascii="Calibri" w:hAnsi="Calibri" w:cs="Arial"/>
          <w:sz w:val="20"/>
          <w:szCs w:val="20"/>
        </w:rPr>
        <w:t>ou</w:t>
      </w:r>
      <w:r w:rsidRPr="00022DAE">
        <w:rPr>
          <w:rFonts w:ascii="Calibri" w:hAnsi="Calibri" w:cs="Arial"/>
          <w:sz w:val="20"/>
          <w:szCs w:val="20"/>
        </w:rPr>
        <w:t xml:space="preserve"> koncentrac</w:t>
      </w:r>
      <w:r w:rsidR="00B96C07">
        <w:rPr>
          <w:rFonts w:ascii="Calibri" w:hAnsi="Calibri" w:cs="Arial"/>
          <w:sz w:val="20"/>
          <w:szCs w:val="20"/>
        </w:rPr>
        <w:t>í</w:t>
      </w:r>
      <w:r w:rsidRPr="00022DAE">
        <w:rPr>
          <w:rFonts w:ascii="Calibri" w:hAnsi="Calibri" w:cs="Arial"/>
          <w:sz w:val="20"/>
          <w:szCs w:val="20"/>
        </w:rPr>
        <w:t xml:space="preserve"> vysokých škol</w:t>
      </w:r>
      <w:r w:rsidR="002E3592" w:rsidRPr="00022DAE">
        <w:rPr>
          <w:rFonts w:ascii="Calibri" w:hAnsi="Calibri" w:cs="Arial"/>
          <w:sz w:val="20"/>
          <w:szCs w:val="20"/>
        </w:rPr>
        <w:t xml:space="preserve"> a veřejných výzkumných institucí</w:t>
      </w:r>
      <w:r w:rsidRPr="00022DAE">
        <w:rPr>
          <w:rFonts w:ascii="Calibri" w:hAnsi="Calibri" w:cs="Arial"/>
          <w:sz w:val="20"/>
          <w:szCs w:val="20"/>
        </w:rPr>
        <w:t>.</w:t>
      </w:r>
      <w:r w:rsidR="002E3592" w:rsidRPr="00022DAE">
        <w:rPr>
          <w:rFonts w:ascii="Calibri" w:hAnsi="Calibri" w:cs="Arial"/>
          <w:sz w:val="20"/>
          <w:szCs w:val="20"/>
        </w:rPr>
        <w:t xml:space="preserve"> </w:t>
      </w:r>
      <w:r w:rsidR="00FE5CD2">
        <w:rPr>
          <w:rFonts w:ascii="Calibri" w:hAnsi="Calibri" w:cs="Arial"/>
          <w:sz w:val="20"/>
          <w:szCs w:val="20"/>
        </w:rPr>
        <w:t xml:space="preserve"> Pomyslnou</w:t>
      </w:r>
      <w:r w:rsidR="002E3592" w:rsidRPr="00022DAE">
        <w:rPr>
          <w:rFonts w:ascii="Calibri" w:hAnsi="Calibri" w:cs="Arial"/>
          <w:sz w:val="20"/>
          <w:szCs w:val="20"/>
        </w:rPr>
        <w:t xml:space="preserve"> roli </w:t>
      </w:r>
      <w:r w:rsidR="009440D5" w:rsidRPr="00022DAE">
        <w:rPr>
          <w:rFonts w:ascii="Calibri" w:hAnsi="Calibri" w:cs="Arial"/>
          <w:sz w:val="20"/>
          <w:szCs w:val="20"/>
        </w:rPr>
        <w:t xml:space="preserve">krajského </w:t>
      </w:r>
      <w:r w:rsidR="002E3592" w:rsidRPr="00022DAE">
        <w:rPr>
          <w:rFonts w:ascii="Calibri" w:hAnsi="Calibri" w:cs="Arial"/>
          <w:sz w:val="20"/>
          <w:szCs w:val="20"/>
        </w:rPr>
        <w:t xml:space="preserve">centra českého výzkumu </w:t>
      </w:r>
      <w:r w:rsidR="00FE5CD2">
        <w:rPr>
          <w:rFonts w:ascii="Calibri" w:hAnsi="Calibri" w:cs="Arial"/>
          <w:sz w:val="20"/>
          <w:szCs w:val="20"/>
        </w:rPr>
        <w:t>(</w:t>
      </w:r>
      <w:r w:rsidR="002E3592" w:rsidRPr="00022DAE">
        <w:rPr>
          <w:rFonts w:ascii="Calibri" w:hAnsi="Calibri" w:cs="Arial"/>
          <w:sz w:val="20"/>
          <w:szCs w:val="20"/>
        </w:rPr>
        <w:t xml:space="preserve">měřeno alokací </w:t>
      </w:r>
      <w:r w:rsidR="00FE5CD2">
        <w:rPr>
          <w:rFonts w:ascii="Calibri" w:hAnsi="Calibri" w:cs="Arial"/>
          <w:sz w:val="20"/>
          <w:szCs w:val="20"/>
        </w:rPr>
        <w:t xml:space="preserve">finančních prostředků </w:t>
      </w:r>
      <w:r w:rsidR="002E3592" w:rsidRPr="00022DAE">
        <w:rPr>
          <w:rFonts w:ascii="Calibri" w:hAnsi="Calibri" w:cs="Arial"/>
          <w:sz w:val="20"/>
          <w:szCs w:val="20"/>
        </w:rPr>
        <w:t>státní podpory VaV</w:t>
      </w:r>
      <w:r w:rsidR="00FE5CD2">
        <w:rPr>
          <w:rFonts w:ascii="Calibri" w:hAnsi="Calibri" w:cs="Arial"/>
          <w:sz w:val="20"/>
          <w:szCs w:val="20"/>
        </w:rPr>
        <w:t>)</w:t>
      </w:r>
      <w:r w:rsidR="002E3592" w:rsidRPr="00022DAE">
        <w:rPr>
          <w:rFonts w:ascii="Calibri" w:hAnsi="Calibri" w:cs="Arial"/>
          <w:sz w:val="20"/>
          <w:szCs w:val="20"/>
        </w:rPr>
        <w:t xml:space="preserve"> hraje hla</w:t>
      </w:r>
      <w:r w:rsidR="000E2140" w:rsidRPr="00022DAE">
        <w:rPr>
          <w:rFonts w:ascii="Calibri" w:hAnsi="Calibri" w:cs="Arial"/>
          <w:sz w:val="20"/>
          <w:szCs w:val="20"/>
        </w:rPr>
        <w:t>vní město Praha, kde subjekty provádějící výzkum a vývoj získaly celkem</w:t>
      </w:r>
      <w:r w:rsidR="00794585">
        <w:rPr>
          <w:rFonts w:ascii="Calibri" w:hAnsi="Calibri" w:cs="Arial"/>
          <w:sz w:val="20"/>
          <w:szCs w:val="20"/>
        </w:rPr>
        <w:t xml:space="preserve"> 1</w:t>
      </w:r>
      <w:r w:rsidR="00022DAE" w:rsidRPr="00022DAE">
        <w:rPr>
          <w:rFonts w:ascii="Calibri" w:hAnsi="Calibri" w:cs="Arial"/>
          <w:sz w:val="20"/>
          <w:szCs w:val="20"/>
        </w:rPr>
        <w:t>4</w:t>
      </w:r>
      <w:r w:rsidR="00707EB6">
        <w:rPr>
          <w:rFonts w:ascii="Calibri" w:hAnsi="Calibri" w:cs="Arial"/>
          <w:sz w:val="20"/>
          <w:szCs w:val="20"/>
        </w:rPr>
        <w:t>,5 mld</w:t>
      </w:r>
      <w:r w:rsidR="00794585">
        <w:rPr>
          <w:rFonts w:ascii="Calibri" w:hAnsi="Calibri" w:cs="Arial"/>
          <w:sz w:val="20"/>
          <w:szCs w:val="20"/>
        </w:rPr>
        <w:t>. </w:t>
      </w:r>
      <w:r w:rsidR="00022DAE" w:rsidRPr="00022DAE">
        <w:rPr>
          <w:rFonts w:ascii="Calibri" w:hAnsi="Calibri" w:cs="Arial"/>
          <w:sz w:val="20"/>
          <w:szCs w:val="20"/>
        </w:rPr>
        <w:t>Kč</w:t>
      </w:r>
      <w:r w:rsidR="00FE5CD2">
        <w:rPr>
          <w:rFonts w:ascii="Calibri" w:hAnsi="Calibri" w:cs="Arial"/>
          <w:sz w:val="20"/>
          <w:szCs w:val="20"/>
        </w:rPr>
        <w:t xml:space="preserve">. Částka </w:t>
      </w:r>
      <w:r w:rsidR="00022DAE" w:rsidRPr="00022DAE">
        <w:rPr>
          <w:rFonts w:ascii="Calibri" w:hAnsi="Calibri" w:cs="Arial"/>
          <w:sz w:val="20"/>
          <w:szCs w:val="20"/>
        </w:rPr>
        <w:t>odpovídá podílu 54,2</w:t>
      </w:r>
      <w:r w:rsidR="000E2140" w:rsidRPr="00022DAE">
        <w:rPr>
          <w:rFonts w:ascii="Calibri" w:hAnsi="Calibri" w:cs="Arial"/>
          <w:sz w:val="20"/>
          <w:szCs w:val="20"/>
        </w:rPr>
        <w:t> % celkových GBAORD.</w:t>
      </w:r>
      <w:r w:rsidR="0037673D" w:rsidRPr="00022DAE">
        <w:rPr>
          <w:rFonts w:ascii="Calibri" w:hAnsi="Calibri" w:cs="Arial"/>
          <w:sz w:val="20"/>
          <w:szCs w:val="20"/>
        </w:rPr>
        <w:t xml:space="preserve"> </w:t>
      </w:r>
      <w:r w:rsidR="00B96C07">
        <w:rPr>
          <w:rFonts w:ascii="Calibri" w:hAnsi="Calibri" w:cs="Arial"/>
          <w:sz w:val="20"/>
          <w:szCs w:val="20"/>
        </w:rPr>
        <w:t>Z hlediska složení zde m</w:t>
      </w:r>
      <w:r w:rsidR="0037673D" w:rsidRPr="00022DAE">
        <w:rPr>
          <w:rFonts w:ascii="Calibri" w:hAnsi="Calibri" w:cs="Arial"/>
          <w:sz w:val="20"/>
          <w:szCs w:val="20"/>
        </w:rPr>
        <w:t>írně převažovala institucio</w:t>
      </w:r>
      <w:r w:rsidR="00022DAE" w:rsidRPr="00022DAE">
        <w:rPr>
          <w:rFonts w:ascii="Calibri" w:hAnsi="Calibri" w:cs="Arial"/>
          <w:sz w:val="20"/>
          <w:szCs w:val="20"/>
        </w:rPr>
        <w:t>nální podpora (7</w:t>
      </w:r>
      <w:r w:rsidR="00707EB6">
        <w:rPr>
          <w:rFonts w:ascii="Calibri" w:hAnsi="Calibri" w:cs="Arial"/>
          <w:sz w:val="20"/>
          <w:szCs w:val="20"/>
        </w:rPr>
        <w:t>,7</w:t>
      </w:r>
      <w:r w:rsidR="00794585">
        <w:rPr>
          <w:rFonts w:ascii="Calibri" w:hAnsi="Calibri" w:cs="Arial"/>
          <w:sz w:val="20"/>
          <w:szCs w:val="20"/>
        </w:rPr>
        <w:t> </w:t>
      </w:r>
      <w:r w:rsidR="00707EB6">
        <w:rPr>
          <w:rFonts w:ascii="Calibri" w:hAnsi="Calibri" w:cs="Arial"/>
          <w:sz w:val="20"/>
          <w:szCs w:val="20"/>
        </w:rPr>
        <w:t>mld</w:t>
      </w:r>
      <w:r w:rsidR="00022DAE" w:rsidRPr="00022DAE">
        <w:rPr>
          <w:rFonts w:ascii="Calibri" w:hAnsi="Calibri" w:cs="Arial"/>
          <w:sz w:val="20"/>
          <w:szCs w:val="20"/>
        </w:rPr>
        <w:t>. Kč; 53,4</w:t>
      </w:r>
      <w:r w:rsidR="0037673D" w:rsidRPr="00022DAE">
        <w:rPr>
          <w:rFonts w:ascii="Calibri" w:hAnsi="Calibri" w:cs="Arial"/>
          <w:sz w:val="20"/>
          <w:szCs w:val="20"/>
        </w:rPr>
        <w:t> %)</w:t>
      </w:r>
      <w:r w:rsidR="00022DAE" w:rsidRPr="00022DAE">
        <w:rPr>
          <w:rFonts w:ascii="Calibri" w:hAnsi="Calibri" w:cs="Arial"/>
          <w:sz w:val="20"/>
          <w:szCs w:val="20"/>
        </w:rPr>
        <w:t xml:space="preserve"> nad účelovou (6</w:t>
      </w:r>
      <w:r w:rsidR="00707EB6">
        <w:rPr>
          <w:rFonts w:ascii="Calibri" w:hAnsi="Calibri" w:cs="Arial"/>
          <w:sz w:val="20"/>
          <w:szCs w:val="20"/>
        </w:rPr>
        <w:t>,7 mld</w:t>
      </w:r>
      <w:r w:rsidR="00022DAE" w:rsidRPr="00022DAE">
        <w:rPr>
          <w:rFonts w:ascii="Calibri" w:hAnsi="Calibri" w:cs="Arial"/>
          <w:sz w:val="20"/>
          <w:szCs w:val="20"/>
        </w:rPr>
        <w:t>. Kč; 46,6</w:t>
      </w:r>
      <w:r w:rsidR="0037673D" w:rsidRPr="00022DAE">
        <w:rPr>
          <w:rFonts w:ascii="Calibri" w:hAnsi="Calibri" w:cs="Arial"/>
          <w:sz w:val="20"/>
          <w:szCs w:val="20"/>
        </w:rPr>
        <w:t> %).</w:t>
      </w:r>
      <w:r w:rsidR="0037673D" w:rsidRPr="00D250D7">
        <w:rPr>
          <w:rFonts w:ascii="Calibri" w:hAnsi="Calibri" w:cs="Arial"/>
          <w:color w:val="C00000"/>
          <w:sz w:val="20"/>
          <w:szCs w:val="20"/>
        </w:rPr>
        <w:t xml:space="preserve"> </w:t>
      </w:r>
      <w:r w:rsidR="006D72C4" w:rsidRPr="00022DAE">
        <w:rPr>
          <w:rFonts w:ascii="Calibri" w:hAnsi="Calibri" w:cs="Arial"/>
          <w:sz w:val="20"/>
          <w:szCs w:val="20"/>
        </w:rPr>
        <w:t xml:space="preserve">Subjekty </w:t>
      </w:r>
      <w:r w:rsidR="00A57997">
        <w:rPr>
          <w:rFonts w:ascii="Calibri" w:hAnsi="Calibri" w:cs="Arial"/>
          <w:sz w:val="20"/>
          <w:szCs w:val="20"/>
        </w:rPr>
        <w:t xml:space="preserve">provádějící VaV </w:t>
      </w:r>
      <w:r w:rsidR="006D72C4" w:rsidRPr="00022DAE">
        <w:rPr>
          <w:rFonts w:ascii="Calibri" w:hAnsi="Calibri" w:cs="Arial"/>
          <w:sz w:val="20"/>
          <w:szCs w:val="20"/>
        </w:rPr>
        <w:t xml:space="preserve"> </w:t>
      </w:r>
      <w:r w:rsidR="00036F75">
        <w:rPr>
          <w:rFonts w:ascii="Calibri" w:hAnsi="Calibri" w:cs="Arial"/>
          <w:sz w:val="20"/>
          <w:szCs w:val="20"/>
        </w:rPr>
        <w:t>v Jihomoravském kraji obdržely z</w:t>
      </w:r>
      <w:r w:rsidR="006D72C4" w:rsidRPr="00022DAE">
        <w:rPr>
          <w:rFonts w:ascii="Calibri" w:hAnsi="Calibri" w:cs="Arial"/>
          <w:sz w:val="20"/>
          <w:szCs w:val="20"/>
        </w:rPr>
        <w:t>e</w:t>
      </w:r>
      <w:r w:rsidR="00022DAE">
        <w:rPr>
          <w:rFonts w:ascii="Calibri" w:hAnsi="Calibri" w:cs="Arial"/>
          <w:color w:val="C00000"/>
          <w:sz w:val="20"/>
          <w:szCs w:val="20"/>
        </w:rPr>
        <w:t xml:space="preserve"> </w:t>
      </w:r>
      <w:r w:rsidR="00022DAE" w:rsidRPr="00022DAE">
        <w:rPr>
          <w:rFonts w:ascii="Calibri" w:hAnsi="Calibri" w:cs="Arial"/>
          <w:sz w:val="20"/>
          <w:szCs w:val="20"/>
        </w:rPr>
        <w:t>státního rozpočtu celkem 4</w:t>
      </w:r>
      <w:r w:rsidR="00707EB6">
        <w:rPr>
          <w:rFonts w:ascii="Calibri" w:hAnsi="Calibri" w:cs="Arial"/>
          <w:sz w:val="20"/>
          <w:szCs w:val="20"/>
        </w:rPr>
        <w:t>,3 mld</w:t>
      </w:r>
      <w:r w:rsidR="006D72C4" w:rsidRPr="00022DAE">
        <w:rPr>
          <w:rFonts w:ascii="Calibri" w:hAnsi="Calibri" w:cs="Arial"/>
          <w:sz w:val="20"/>
          <w:szCs w:val="20"/>
        </w:rPr>
        <w:t>. Kč</w:t>
      </w:r>
      <w:r w:rsidR="00707EB6">
        <w:rPr>
          <w:rFonts w:ascii="Calibri" w:hAnsi="Calibri" w:cs="Arial"/>
          <w:sz w:val="20"/>
          <w:szCs w:val="20"/>
        </w:rPr>
        <w:t>.</w:t>
      </w:r>
      <w:r w:rsidR="006D72C4" w:rsidRPr="00022DAE">
        <w:rPr>
          <w:rFonts w:ascii="Calibri" w:hAnsi="Calibri" w:cs="Arial"/>
          <w:sz w:val="20"/>
          <w:szCs w:val="20"/>
        </w:rPr>
        <w:t xml:space="preserve"> </w:t>
      </w:r>
      <w:r w:rsidR="00A57997">
        <w:rPr>
          <w:rFonts w:ascii="Calibri" w:hAnsi="Calibri" w:cs="Arial"/>
          <w:sz w:val="20"/>
          <w:szCs w:val="20"/>
        </w:rPr>
        <w:t xml:space="preserve"> V</w:t>
      </w:r>
      <w:r w:rsidR="006D72C4" w:rsidRPr="00022DAE">
        <w:rPr>
          <w:rFonts w:ascii="Calibri" w:hAnsi="Calibri" w:cs="Arial"/>
          <w:sz w:val="20"/>
          <w:szCs w:val="20"/>
        </w:rPr>
        <w:t xml:space="preserve"> porovnání s Prahu </w:t>
      </w:r>
      <w:r w:rsidR="00A57997">
        <w:rPr>
          <w:rFonts w:ascii="Calibri" w:hAnsi="Calibri" w:cs="Arial"/>
          <w:sz w:val="20"/>
          <w:szCs w:val="20"/>
        </w:rPr>
        <w:t>se jedná o třet</w:t>
      </w:r>
      <w:r w:rsidR="00917DBB">
        <w:rPr>
          <w:rFonts w:ascii="Calibri" w:hAnsi="Calibri" w:cs="Arial"/>
          <w:sz w:val="20"/>
          <w:szCs w:val="20"/>
        </w:rPr>
        <w:t>inu objemu získaných prostředků</w:t>
      </w:r>
      <w:r w:rsidR="006D72C4" w:rsidRPr="00022DAE">
        <w:rPr>
          <w:rFonts w:ascii="Calibri" w:hAnsi="Calibri" w:cs="Arial"/>
          <w:sz w:val="20"/>
          <w:szCs w:val="20"/>
        </w:rPr>
        <w:t>.</w:t>
      </w:r>
      <w:r w:rsidR="00F60C9C" w:rsidRPr="00022DAE">
        <w:rPr>
          <w:rFonts w:ascii="Calibri" w:hAnsi="Calibri" w:cs="Arial"/>
          <w:sz w:val="20"/>
          <w:szCs w:val="20"/>
        </w:rPr>
        <w:t xml:space="preserve"> Zajímavá je </w:t>
      </w:r>
      <w:r w:rsidR="00A57997">
        <w:rPr>
          <w:rFonts w:ascii="Calibri" w:hAnsi="Calibri" w:cs="Arial"/>
          <w:sz w:val="20"/>
          <w:szCs w:val="20"/>
        </w:rPr>
        <w:t xml:space="preserve">třetí </w:t>
      </w:r>
      <w:r w:rsidR="00F60C9C" w:rsidRPr="00022DAE">
        <w:rPr>
          <w:rFonts w:ascii="Calibri" w:hAnsi="Calibri" w:cs="Arial"/>
          <w:sz w:val="20"/>
          <w:szCs w:val="20"/>
        </w:rPr>
        <w:t xml:space="preserve">pozice Středočeského </w:t>
      </w:r>
      <w:r w:rsidR="00022DAE" w:rsidRPr="00022DAE">
        <w:rPr>
          <w:rFonts w:ascii="Calibri" w:hAnsi="Calibri" w:cs="Arial"/>
          <w:sz w:val="20"/>
          <w:szCs w:val="20"/>
        </w:rPr>
        <w:t>kraje s alokovanou částkou 1</w:t>
      </w:r>
      <w:r w:rsidR="00707EB6">
        <w:rPr>
          <w:rFonts w:ascii="Calibri" w:hAnsi="Calibri" w:cs="Arial"/>
          <w:sz w:val="20"/>
          <w:szCs w:val="20"/>
        </w:rPr>
        <w:t>,5 mld</w:t>
      </w:r>
      <w:r w:rsidR="00917DBB">
        <w:rPr>
          <w:rFonts w:ascii="Calibri" w:hAnsi="Calibri" w:cs="Arial"/>
          <w:sz w:val="20"/>
          <w:szCs w:val="20"/>
        </w:rPr>
        <w:t>. Kč. V tomto</w:t>
      </w:r>
      <w:r w:rsidR="00F60C9C" w:rsidRPr="00022DAE">
        <w:rPr>
          <w:rFonts w:ascii="Calibri" w:hAnsi="Calibri" w:cs="Arial"/>
          <w:sz w:val="20"/>
          <w:szCs w:val="20"/>
        </w:rPr>
        <w:t xml:space="preserve"> kraji </w:t>
      </w:r>
      <w:r w:rsidR="00A57997">
        <w:rPr>
          <w:rFonts w:ascii="Calibri" w:hAnsi="Calibri" w:cs="Arial"/>
          <w:sz w:val="20"/>
          <w:szCs w:val="20"/>
        </w:rPr>
        <w:t xml:space="preserve">sice </w:t>
      </w:r>
      <w:r w:rsidR="00F60C9C" w:rsidRPr="00022DAE">
        <w:rPr>
          <w:rFonts w:ascii="Calibri" w:hAnsi="Calibri" w:cs="Arial"/>
          <w:sz w:val="20"/>
          <w:szCs w:val="20"/>
        </w:rPr>
        <w:t>nepůsobí žádná veřejná vysoká škola</w:t>
      </w:r>
      <w:r w:rsidR="00A9440A" w:rsidRPr="00022DAE">
        <w:rPr>
          <w:rFonts w:ascii="Calibri" w:hAnsi="Calibri" w:cs="Arial"/>
          <w:sz w:val="20"/>
          <w:szCs w:val="20"/>
        </w:rPr>
        <w:t xml:space="preserve">, adresně </w:t>
      </w:r>
      <w:r w:rsidR="00A57997">
        <w:rPr>
          <w:rFonts w:ascii="Calibri" w:hAnsi="Calibri" w:cs="Arial"/>
          <w:sz w:val="20"/>
          <w:szCs w:val="20"/>
        </w:rPr>
        <w:t xml:space="preserve">zde </w:t>
      </w:r>
      <w:r w:rsidR="00A9440A" w:rsidRPr="00022DAE">
        <w:rPr>
          <w:rFonts w:ascii="Calibri" w:hAnsi="Calibri" w:cs="Arial"/>
          <w:sz w:val="20"/>
          <w:szCs w:val="20"/>
        </w:rPr>
        <w:t xml:space="preserve">provádí výzkum </w:t>
      </w:r>
      <w:r w:rsidR="00A57997">
        <w:rPr>
          <w:rFonts w:ascii="Calibri" w:hAnsi="Calibri" w:cs="Arial"/>
          <w:sz w:val="20"/>
          <w:szCs w:val="20"/>
        </w:rPr>
        <w:t xml:space="preserve">a vývoj </w:t>
      </w:r>
      <w:r w:rsidR="00A9440A" w:rsidRPr="00022DAE">
        <w:rPr>
          <w:rFonts w:ascii="Calibri" w:hAnsi="Calibri" w:cs="Arial"/>
          <w:sz w:val="20"/>
          <w:szCs w:val="20"/>
        </w:rPr>
        <w:t>několik veřejných výzku</w:t>
      </w:r>
      <w:r w:rsidR="00036F75">
        <w:rPr>
          <w:rFonts w:ascii="Calibri" w:hAnsi="Calibri" w:cs="Arial"/>
          <w:sz w:val="20"/>
          <w:szCs w:val="20"/>
        </w:rPr>
        <w:t xml:space="preserve">mných institucí, do </w:t>
      </w:r>
      <w:r w:rsidR="00A57997">
        <w:rPr>
          <w:rFonts w:ascii="Calibri" w:hAnsi="Calibri" w:cs="Arial"/>
          <w:sz w:val="20"/>
          <w:szCs w:val="20"/>
        </w:rPr>
        <w:t>nichž</w:t>
      </w:r>
      <w:r w:rsidR="00036F75">
        <w:rPr>
          <w:rFonts w:ascii="Calibri" w:hAnsi="Calibri" w:cs="Arial"/>
          <w:sz w:val="20"/>
          <w:szCs w:val="20"/>
        </w:rPr>
        <w:t xml:space="preserve"> směř</w:t>
      </w:r>
      <w:r w:rsidR="00A9440A" w:rsidRPr="00022DAE">
        <w:rPr>
          <w:rFonts w:ascii="Calibri" w:hAnsi="Calibri" w:cs="Arial"/>
          <w:sz w:val="20"/>
          <w:szCs w:val="20"/>
        </w:rPr>
        <w:t>ovala polovina</w:t>
      </w:r>
      <w:r w:rsidR="00022DAE">
        <w:rPr>
          <w:rFonts w:ascii="Calibri" w:hAnsi="Calibri" w:cs="Arial"/>
          <w:color w:val="C00000"/>
          <w:sz w:val="20"/>
          <w:szCs w:val="20"/>
        </w:rPr>
        <w:t xml:space="preserve"> </w:t>
      </w:r>
      <w:r w:rsidR="00022DAE" w:rsidRPr="00022DAE">
        <w:rPr>
          <w:rFonts w:ascii="Calibri" w:hAnsi="Calibri" w:cs="Arial"/>
          <w:sz w:val="20"/>
          <w:szCs w:val="20"/>
        </w:rPr>
        <w:t>(konkrétně 783</w:t>
      </w:r>
      <w:r w:rsidR="00A9440A" w:rsidRPr="00022DAE">
        <w:rPr>
          <w:rFonts w:ascii="Calibri" w:hAnsi="Calibri" w:cs="Arial"/>
          <w:sz w:val="20"/>
          <w:szCs w:val="20"/>
        </w:rPr>
        <w:t xml:space="preserve"> mil. Kč) GBAORD alokovaných v tomto kraji.</w:t>
      </w:r>
      <w:r w:rsidR="00705FD9" w:rsidRPr="00022DAE">
        <w:rPr>
          <w:rFonts w:ascii="Calibri" w:hAnsi="Calibri" w:cs="Arial"/>
          <w:sz w:val="20"/>
          <w:szCs w:val="20"/>
        </w:rPr>
        <w:t xml:space="preserve"> Vůbec nejméně obdržely subjekty provádějící </w:t>
      </w:r>
      <w:r w:rsidR="00705FD9" w:rsidRPr="00917DBB">
        <w:rPr>
          <w:rFonts w:ascii="Calibri" w:hAnsi="Calibri" w:cs="Arial"/>
          <w:sz w:val="20"/>
          <w:szCs w:val="20"/>
        </w:rPr>
        <w:t xml:space="preserve">VaV </w:t>
      </w:r>
      <w:r w:rsidR="00A57997" w:rsidRPr="00917DBB">
        <w:rPr>
          <w:rFonts w:ascii="Calibri" w:hAnsi="Calibri" w:cs="Arial"/>
          <w:sz w:val="20"/>
          <w:szCs w:val="20"/>
        </w:rPr>
        <w:t xml:space="preserve">v </w:t>
      </w:r>
      <w:r w:rsidR="00705FD9" w:rsidRPr="00917DBB">
        <w:rPr>
          <w:rFonts w:ascii="Calibri" w:hAnsi="Calibri" w:cs="Arial"/>
          <w:sz w:val="20"/>
          <w:szCs w:val="20"/>
        </w:rPr>
        <w:t xml:space="preserve">Karlovarském </w:t>
      </w:r>
      <w:r w:rsidR="00705FD9" w:rsidRPr="00022DAE">
        <w:rPr>
          <w:rFonts w:ascii="Calibri" w:hAnsi="Calibri" w:cs="Arial"/>
          <w:sz w:val="20"/>
          <w:szCs w:val="20"/>
        </w:rPr>
        <w:t xml:space="preserve">kraji, což je dáno </w:t>
      </w:r>
      <w:r w:rsidR="00A57997">
        <w:rPr>
          <w:rFonts w:ascii="Calibri" w:hAnsi="Calibri" w:cs="Arial"/>
          <w:sz w:val="20"/>
          <w:szCs w:val="20"/>
        </w:rPr>
        <w:t>především okolností</w:t>
      </w:r>
      <w:r w:rsidR="00705FD9" w:rsidRPr="00022DAE">
        <w:rPr>
          <w:rFonts w:ascii="Calibri" w:hAnsi="Calibri" w:cs="Arial"/>
          <w:sz w:val="20"/>
          <w:szCs w:val="20"/>
        </w:rPr>
        <w:t xml:space="preserve">, že zde nepůsobí žádná veřejná vysoká škola ani veřejná výzkumná </w:t>
      </w:r>
      <w:r w:rsidR="00E84531" w:rsidRPr="00022DAE">
        <w:rPr>
          <w:rFonts w:ascii="Calibri" w:hAnsi="Calibri" w:cs="Arial"/>
          <w:sz w:val="20"/>
          <w:szCs w:val="20"/>
        </w:rPr>
        <w:t>organizace.</w:t>
      </w:r>
      <w:r w:rsidR="00E84531">
        <w:rPr>
          <w:rFonts w:ascii="Calibri" w:hAnsi="Calibri" w:cs="Arial"/>
          <w:sz w:val="20"/>
          <w:szCs w:val="20"/>
        </w:rPr>
        <w:t xml:space="preserve"> V položce „Neurčeno</w:t>
      </w:r>
      <w:r w:rsidR="00705FD9">
        <w:rPr>
          <w:rFonts w:ascii="Calibri" w:hAnsi="Calibri" w:cs="Arial"/>
          <w:sz w:val="20"/>
          <w:szCs w:val="20"/>
        </w:rPr>
        <w:t>“ jsou částky směřující do zahraničí</w:t>
      </w:r>
      <w:r w:rsidR="00B36BF4">
        <w:rPr>
          <w:rStyle w:val="Znakapoznpodarou"/>
          <w:rFonts w:ascii="Calibri" w:hAnsi="Calibri" w:cs="Arial"/>
          <w:sz w:val="20"/>
          <w:szCs w:val="20"/>
        </w:rPr>
        <w:footnoteReference w:id="10"/>
      </w:r>
      <w:r w:rsidR="00036F75">
        <w:rPr>
          <w:rFonts w:ascii="Calibri" w:hAnsi="Calibri" w:cs="Arial"/>
          <w:sz w:val="20"/>
          <w:szCs w:val="20"/>
        </w:rPr>
        <w:t xml:space="preserve">, </w:t>
      </w:r>
      <w:r w:rsidR="00705FD9">
        <w:rPr>
          <w:rFonts w:ascii="Calibri" w:hAnsi="Calibri" w:cs="Arial"/>
          <w:sz w:val="20"/>
          <w:szCs w:val="20"/>
        </w:rPr>
        <w:t xml:space="preserve">částky, </w:t>
      </w:r>
      <w:r w:rsidR="00917DBB">
        <w:rPr>
          <w:rFonts w:ascii="Calibri" w:hAnsi="Calibri" w:cs="Arial"/>
          <w:sz w:val="20"/>
          <w:szCs w:val="20"/>
        </w:rPr>
        <w:t>jimž nebylo</w:t>
      </w:r>
      <w:r w:rsidR="00705FD9">
        <w:rPr>
          <w:rFonts w:ascii="Calibri" w:hAnsi="Calibri" w:cs="Arial"/>
          <w:sz w:val="20"/>
          <w:szCs w:val="20"/>
        </w:rPr>
        <w:t xml:space="preserve"> možn</w:t>
      </w:r>
      <w:r w:rsidR="00A57997">
        <w:rPr>
          <w:rFonts w:ascii="Calibri" w:hAnsi="Calibri" w:cs="Arial"/>
          <w:sz w:val="20"/>
          <w:szCs w:val="20"/>
        </w:rPr>
        <w:t>é</w:t>
      </w:r>
      <w:r w:rsidR="00705FD9">
        <w:rPr>
          <w:rFonts w:ascii="Calibri" w:hAnsi="Calibri" w:cs="Arial"/>
          <w:sz w:val="20"/>
          <w:szCs w:val="20"/>
        </w:rPr>
        <w:t xml:space="preserve"> přiřadit konkrétní subjekt </w:t>
      </w:r>
      <w:r w:rsidR="00A57997">
        <w:rPr>
          <w:rFonts w:ascii="Calibri" w:hAnsi="Calibri" w:cs="Arial"/>
          <w:sz w:val="20"/>
          <w:szCs w:val="20"/>
        </w:rPr>
        <w:t xml:space="preserve">dle </w:t>
      </w:r>
      <w:r w:rsidR="00705FD9">
        <w:rPr>
          <w:rFonts w:ascii="Calibri" w:hAnsi="Calibri" w:cs="Arial"/>
          <w:sz w:val="20"/>
          <w:szCs w:val="20"/>
        </w:rPr>
        <w:t>klasifikace krajů (NUTS3)</w:t>
      </w:r>
      <w:r w:rsidR="00036F75">
        <w:rPr>
          <w:rFonts w:ascii="Calibri" w:hAnsi="Calibri" w:cs="Arial"/>
          <w:sz w:val="20"/>
          <w:szCs w:val="20"/>
        </w:rPr>
        <w:t>,</w:t>
      </w:r>
      <w:r w:rsidR="000E1513">
        <w:rPr>
          <w:rFonts w:ascii="Calibri" w:hAnsi="Calibri" w:cs="Arial"/>
          <w:sz w:val="20"/>
          <w:szCs w:val="20"/>
        </w:rPr>
        <w:t xml:space="preserve"> a</w:t>
      </w:r>
      <w:r w:rsidR="00DA1DDE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DA1DDE">
        <w:rPr>
          <w:rFonts w:ascii="Calibri" w:hAnsi="Calibri" w:cs="Arial"/>
          <w:sz w:val="20"/>
          <w:szCs w:val="20"/>
        </w:rPr>
        <w:t>dopočtové</w:t>
      </w:r>
      <w:proofErr w:type="spellEnd"/>
      <w:r w:rsidR="00DA1DDE">
        <w:rPr>
          <w:rFonts w:ascii="Calibri" w:hAnsi="Calibri" w:cs="Arial"/>
          <w:sz w:val="20"/>
          <w:szCs w:val="20"/>
        </w:rPr>
        <w:t xml:space="preserve"> položky.</w:t>
      </w:r>
    </w:p>
    <w:p w:rsidR="00443F9E" w:rsidRDefault="00443F9E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443F9E" w:rsidRDefault="00443F9E" w:rsidP="00FC1623">
      <w:pPr>
        <w:pStyle w:val="Zkladntext2"/>
        <w:ind w:firstLine="357"/>
        <w:rPr>
          <w:rFonts w:ascii="Calibri" w:hAnsi="Calibri" w:cs="Arial"/>
          <w:sz w:val="20"/>
          <w:szCs w:val="20"/>
        </w:rPr>
      </w:pPr>
    </w:p>
    <w:p w:rsidR="00EB0402" w:rsidRPr="00B8318B" w:rsidRDefault="002A4ABF" w:rsidP="00B8318B">
      <w:pPr>
        <w:pStyle w:val="Titulek"/>
        <w:pBdr>
          <w:bottom w:val="single" w:sz="2" w:space="1" w:color="BFBFBF"/>
        </w:pBdr>
        <w:rPr>
          <w:color w:val="4F6228"/>
        </w:rPr>
      </w:pPr>
      <w:r>
        <w:rPr>
          <w:color w:val="4F6228"/>
        </w:rPr>
        <w:lastRenderedPageBreak/>
        <w:t>GRAF 1.7</w:t>
      </w:r>
      <w:r w:rsidR="00EB0402" w:rsidRPr="00DA70D5">
        <w:rPr>
          <w:color w:val="4F6228"/>
        </w:rPr>
        <w:t>: Celko</w:t>
      </w:r>
      <w:r w:rsidR="00EB0402">
        <w:rPr>
          <w:color w:val="4F6228"/>
        </w:rPr>
        <w:t>vé GBAORD podle krajů (mil. Kč, podíl na celkových GBAORD v %)</w:t>
      </w:r>
      <w:r w:rsidR="009123F9">
        <w:rPr>
          <w:color w:val="4F6228"/>
        </w:rPr>
        <w:t>; 2013</w:t>
      </w:r>
    </w:p>
    <w:p w:rsidR="00E4056A" w:rsidRDefault="0057184F" w:rsidP="002962E8">
      <w:pPr>
        <w:pStyle w:val="Zkladntext2"/>
        <w:rPr>
          <w:rFonts w:ascii="Calibri" w:hAnsi="Calibri" w:cs="Arial"/>
          <w:sz w:val="20"/>
          <w:szCs w:val="20"/>
        </w:rPr>
      </w:pPr>
      <w:r w:rsidRPr="00201905">
        <w:rPr>
          <w:rFonts w:ascii="Calibri" w:hAnsi="Calibri" w:cs="Arial"/>
          <w:sz w:val="20"/>
          <w:szCs w:val="20"/>
        </w:rPr>
        <w:object w:dxaOrig="9575" w:dyaOrig="5356">
          <v:shape id="_x0000_i1026" type="#_x0000_t75" style="width:478.85pt;height:267.6pt" o:ole="">
            <v:imagedata r:id="rId16" o:title=""/>
          </v:shape>
          <o:OLEObject Type="Embed" ProgID="Excel.Sheet.12" ShapeID="_x0000_i1026" DrawAspect="Content" ObjectID="_1482308161" r:id="rId17"/>
        </w:object>
      </w:r>
    </w:p>
    <w:p w:rsidR="00E4056A" w:rsidRPr="0046240E" w:rsidRDefault="00E4056A" w:rsidP="00E4056A">
      <w:pPr>
        <w:rPr>
          <w:rFonts w:ascii="Calibri" w:hAnsi="Calibri"/>
          <w:sz w:val="20"/>
          <w:szCs w:val="20"/>
        </w:rPr>
      </w:pPr>
    </w:p>
    <w:p w:rsidR="00E4056A" w:rsidRPr="0046240E" w:rsidRDefault="00E4056A" w:rsidP="00E4056A">
      <w:pPr>
        <w:rPr>
          <w:rFonts w:ascii="Calibri" w:hAnsi="Calibri"/>
          <w:sz w:val="20"/>
          <w:szCs w:val="20"/>
        </w:rPr>
      </w:pPr>
    </w:p>
    <w:sectPr w:rsidR="00E4056A" w:rsidRPr="0046240E" w:rsidSect="007D7BB1">
      <w:footerReference w:type="even" r:id="rId18"/>
      <w:footerReference w:type="defaul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F2" w:rsidRDefault="00E84AF2">
      <w:r>
        <w:separator/>
      </w:r>
    </w:p>
  </w:endnote>
  <w:endnote w:type="continuationSeparator" w:id="0">
    <w:p w:rsidR="00E84AF2" w:rsidRDefault="00E8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E" w:rsidRDefault="00FD7A6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A0F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0FEE" w:rsidRDefault="00BA0F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E" w:rsidRDefault="00BA0FEE" w:rsidP="00BE61A9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F2" w:rsidRDefault="00E84AF2">
      <w:r>
        <w:separator/>
      </w:r>
    </w:p>
  </w:footnote>
  <w:footnote w:type="continuationSeparator" w:id="0">
    <w:p w:rsidR="00E84AF2" w:rsidRDefault="00E84AF2">
      <w:r>
        <w:continuationSeparator/>
      </w:r>
    </w:p>
  </w:footnote>
  <w:footnote w:id="1">
    <w:p w:rsidR="00BA0FEE" w:rsidRPr="002868B5" w:rsidRDefault="00BA0FEE" w:rsidP="00D53A42">
      <w:pPr>
        <w:pStyle w:val="Textpoznpodarou"/>
        <w:jc w:val="both"/>
        <w:rPr>
          <w:rFonts w:ascii="Calibri" w:hAnsi="Calibri" w:cs="Arial"/>
          <w:strike/>
          <w:sz w:val="18"/>
          <w:szCs w:val="18"/>
        </w:rPr>
      </w:pPr>
      <w:r w:rsidRPr="002807A6">
        <w:rPr>
          <w:rStyle w:val="Znakapoznpodarou"/>
          <w:rFonts w:ascii="Calibri" w:hAnsi="Calibri" w:cs="Arial"/>
          <w:sz w:val="18"/>
          <w:szCs w:val="18"/>
        </w:rPr>
        <w:footnoteRef/>
      </w:r>
      <w:r w:rsidRPr="002807A6">
        <w:rPr>
          <w:rFonts w:ascii="Calibri" w:hAnsi="Calibri" w:cs="Arial"/>
          <w:sz w:val="18"/>
          <w:szCs w:val="18"/>
        </w:rPr>
        <w:t xml:space="preserve"> Veškeré údaje týkající se GBAORD a výdajů státního rozpočtu v</w:t>
      </w:r>
      <w:r w:rsidR="00293858">
        <w:rPr>
          <w:rFonts w:ascii="Calibri" w:hAnsi="Calibri" w:cs="Arial"/>
          <w:sz w:val="18"/>
          <w:szCs w:val="18"/>
        </w:rPr>
        <w:t xml:space="preserve">yjadřují </w:t>
      </w:r>
      <w:r w:rsidR="00332107">
        <w:rPr>
          <w:rFonts w:ascii="Calibri" w:hAnsi="Calibri" w:cs="Arial"/>
          <w:sz w:val="18"/>
          <w:szCs w:val="18"/>
        </w:rPr>
        <w:t>stav</w:t>
      </w:r>
      <w:r w:rsidR="00293858">
        <w:rPr>
          <w:rFonts w:ascii="Calibri" w:hAnsi="Calibri" w:cs="Arial"/>
          <w:sz w:val="18"/>
          <w:szCs w:val="18"/>
        </w:rPr>
        <w:t xml:space="preserve"> k </w:t>
      </w:r>
      <w:r w:rsidR="00815994">
        <w:rPr>
          <w:rFonts w:ascii="Calibri" w:hAnsi="Calibri" w:cs="Arial"/>
          <w:sz w:val="18"/>
          <w:szCs w:val="18"/>
        </w:rPr>
        <w:t>31. 12. </w:t>
      </w:r>
      <w:r w:rsidR="0069226A">
        <w:rPr>
          <w:rFonts w:ascii="Calibri" w:hAnsi="Calibri" w:cs="Arial"/>
          <w:sz w:val="18"/>
          <w:szCs w:val="18"/>
        </w:rPr>
        <w:t>2013</w:t>
      </w:r>
      <w:r w:rsidRPr="002807A6">
        <w:rPr>
          <w:rFonts w:ascii="Calibri" w:hAnsi="Calibri" w:cs="Arial"/>
          <w:sz w:val="18"/>
          <w:szCs w:val="18"/>
        </w:rPr>
        <w:t>.</w:t>
      </w:r>
      <w:r w:rsidR="00293858">
        <w:rPr>
          <w:rFonts w:ascii="Calibri" w:hAnsi="Calibri" w:cs="Arial"/>
          <w:sz w:val="18"/>
          <w:szCs w:val="18"/>
        </w:rPr>
        <w:t xml:space="preserve"> </w:t>
      </w:r>
      <w:r w:rsidR="00293858" w:rsidRPr="007C5432">
        <w:rPr>
          <w:rFonts w:ascii="Calibri" w:hAnsi="Calibri" w:cs="Arial"/>
          <w:sz w:val="18"/>
          <w:szCs w:val="18"/>
          <w:u w:val="single"/>
        </w:rPr>
        <w:t>GBAORD zahrnují pouze spolufinancování</w:t>
      </w:r>
      <w:r w:rsidR="00735277" w:rsidRPr="007C5432">
        <w:rPr>
          <w:rFonts w:ascii="Calibri" w:hAnsi="Calibri" w:cs="Arial"/>
          <w:sz w:val="18"/>
          <w:szCs w:val="18"/>
          <w:u w:val="single"/>
        </w:rPr>
        <w:t xml:space="preserve"> </w:t>
      </w:r>
      <w:r w:rsidR="00025101">
        <w:rPr>
          <w:rFonts w:ascii="Calibri" w:hAnsi="Calibri" w:cs="Arial"/>
          <w:sz w:val="18"/>
          <w:szCs w:val="18"/>
          <w:u w:val="single"/>
        </w:rPr>
        <w:t>s</w:t>
      </w:r>
      <w:r w:rsidR="00293858" w:rsidRPr="007C5432">
        <w:rPr>
          <w:rFonts w:ascii="Calibri" w:hAnsi="Calibri" w:cs="Arial"/>
          <w:sz w:val="18"/>
          <w:szCs w:val="18"/>
          <w:u w:val="single"/>
        </w:rPr>
        <w:t>trukturálních fondů EU, nikoliv jejich předfinancování.</w:t>
      </w:r>
    </w:p>
  </w:footnote>
  <w:footnote w:id="2">
    <w:p w:rsidR="00030ADE" w:rsidRDefault="00030ADE" w:rsidP="00D53A42">
      <w:pPr>
        <w:pStyle w:val="Textpoznpodarou"/>
        <w:jc w:val="both"/>
      </w:pPr>
      <w:r w:rsidRPr="00F3543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F35437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Nepřímá </w:t>
      </w:r>
      <w:r w:rsidR="00205E94">
        <w:rPr>
          <w:rFonts w:ascii="Calibri" w:hAnsi="Calibri" w:cs="Arial"/>
          <w:sz w:val="18"/>
          <w:szCs w:val="18"/>
        </w:rPr>
        <w:t>veřejná</w:t>
      </w:r>
      <w:r>
        <w:rPr>
          <w:rFonts w:ascii="Calibri" w:hAnsi="Calibri" w:cs="Arial"/>
          <w:sz w:val="18"/>
          <w:szCs w:val="18"/>
        </w:rPr>
        <w:t xml:space="preserve"> podpora VaV</w:t>
      </w:r>
      <w:r w:rsidR="00025101">
        <w:rPr>
          <w:rFonts w:ascii="Calibri" w:hAnsi="Calibri" w:cs="Arial"/>
          <w:sz w:val="18"/>
          <w:szCs w:val="18"/>
        </w:rPr>
        <w:t xml:space="preserve"> (daňové odpisy nákladů na VaV)</w:t>
      </w:r>
      <w:r>
        <w:rPr>
          <w:rFonts w:ascii="Calibri" w:hAnsi="Calibri" w:cs="Arial"/>
          <w:sz w:val="18"/>
          <w:szCs w:val="18"/>
        </w:rPr>
        <w:t xml:space="preserve"> u právnických osob</w:t>
      </w:r>
      <w:r w:rsidR="00F35437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v podnikatelském se</w:t>
      </w:r>
      <w:r w:rsidR="00D53A42">
        <w:rPr>
          <w:rFonts w:ascii="Calibri" w:hAnsi="Calibri" w:cs="Arial"/>
          <w:sz w:val="18"/>
          <w:szCs w:val="18"/>
        </w:rPr>
        <w:t>ktoru dosáhla v roce 2013 výše 2,3</w:t>
      </w:r>
      <w:r>
        <w:rPr>
          <w:rFonts w:ascii="Calibri" w:hAnsi="Calibri" w:cs="Arial"/>
          <w:sz w:val="18"/>
          <w:szCs w:val="18"/>
        </w:rPr>
        <w:t xml:space="preserve"> mld. Kč</w:t>
      </w:r>
      <w:r w:rsidR="002A0CA4">
        <w:rPr>
          <w:rFonts w:ascii="Calibri" w:hAnsi="Calibri" w:cs="Arial"/>
          <w:sz w:val="18"/>
          <w:szCs w:val="18"/>
        </w:rPr>
        <w:t>. S</w:t>
      </w:r>
      <w:r w:rsidR="00F35437">
        <w:rPr>
          <w:rFonts w:ascii="Calibri" w:hAnsi="Calibri" w:cs="Arial"/>
          <w:sz w:val="18"/>
          <w:szCs w:val="18"/>
        </w:rPr>
        <w:t xml:space="preserve">tát </w:t>
      </w:r>
      <w:r w:rsidR="002A0CA4">
        <w:rPr>
          <w:rFonts w:ascii="Calibri" w:hAnsi="Calibri" w:cs="Arial"/>
          <w:sz w:val="18"/>
          <w:szCs w:val="18"/>
        </w:rPr>
        <w:t xml:space="preserve">tedy </w:t>
      </w:r>
      <w:r w:rsidR="00F35437">
        <w:rPr>
          <w:rFonts w:ascii="Calibri" w:hAnsi="Calibri" w:cs="Arial"/>
          <w:sz w:val="18"/>
          <w:szCs w:val="18"/>
        </w:rPr>
        <w:t xml:space="preserve">podpořil </w:t>
      </w:r>
      <w:proofErr w:type="spellStart"/>
      <w:r w:rsidR="00F35437">
        <w:rPr>
          <w:rFonts w:ascii="Calibri" w:hAnsi="Calibri" w:cs="Arial"/>
          <w:sz w:val="18"/>
          <w:szCs w:val="18"/>
        </w:rPr>
        <w:t>VaV</w:t>
      </w:r>
      <w:proofErr w:type="spellEnd"/>
      <w:r w:rsidR="00F35437">
        <w:rPr>
          <w:rFonts w:ascii="Calibri" w:hAnsi="Calibri" w:cs="Arial"/>
          <w:sz w:val="18"/>
          <w:szCs w:val="18"/>
        </w:rPr>
        <w:t xml:space="preserve"> </w:t>
      </w:r>
      <w:r w:rsidR="00255FB8">
        <w:rPr>
          <w:rFonts w:ascii="Calibri" w:hAnsi="Calibri" w:cs="Arial"/>
          <w:sz w:val="18"/>
          <w:szCs w:val="18"/>
        </w:rPr>
        <w:t xml:space="preserve">v daném roce v celkové </w:t>
      </w:r>
      <w:r w:rsidR="00F35437">
        <w:rPr>
          <w:rFonts w:ascii="Calibri" w:hAnsi="Calibri" w:cs="Arial"/>
          <w:sz w:val="18"/>
          <w:szCs w:val="18"/>
        </w:rPr>
        <w:t>výši</w:t>
      </w:r>
      <w:r w:rsidR="00D53A42">
        <w:rPr>
          <w:rFonts w:ascii="Calibri" w:hAnsi="Calibri" w:cs="Arial"/>
          <w:sz w:val="18"/>
          <w:szCs w:val="18"/>
        </w:rPr>
        <w:t xml:space="preserve"> rovných 30</w:t>
      </w:r>
      <w:r w:rsidR="00F35437">
        <w:rPr>
          <w:rFonts w:ascii="Calibri" w:hAnsi="Calibri" w:cs="Arial"/>
          <w:sz w:val="18"/>
          <w:szCs w:val="18"/>
        </w:rPr>
        <w:t xml:space="preserve"> mld. Kč.</w:t>
      </w:r>
      <w:r>
        <w:rPr>
          <w:rFonts w:ascii="Calibri" w:hAnsi="Calibri" w:cs="Arial"/>
          <w:sz w:val="18"/>
          <w:szCs w:val="18"/>
        </w:rPr>
        <w:t xml:space="preserve">  </w:t>
      </w:r>
    </w:p>
  </w:footnote>
  <w:footnote w:id="3">
    <w:p w:rsidR="002B4234" w:rsidRPr="00CB0133" w:rsidRDefault="002B4234" w:rsidP="00D53A42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CB0133">
        <w:rPr>
          <w:rStyle w:val="Znakapoznpodarou"/>
          <w:rFonts w:ascii="Calibri" w:hAnsi="Calibri" w:cs="Calibri"/>
          <w:sz w:val="18"/>
          <w:szCs w:val="18"/>
        </w:rPr>
        <w:footnoteRef/>
      </w:r>
      <w:r w:rsidRPr="00CB0133">
        <w:rPr>
          <w:rFonts w:ascii="Calibri" w:hAnsi="Calibri" w:cs="Calibri"/>
          <w:sz w:val="18"/>
          <w:szCs w:val="18"/>
        </w:rPr>
        <w:t xml:space="preserve"> </w:t>
      </w:r>
      <w:r w:rsidR="00F35437" w:rsidRPr="00F35437">
        <w:rPr>
          <w:rFonts w:ascii="Calibri" w:hAnsi="Calibri" w:cs="Calibri"/>
          <w:sz w:val="18"/>
          <w:szCs w:val="18"/>
        </w:rPr>
        <w:t>V roce 2013 z celkové částky GBAORD 26,7 mld. Kč činily 2,4 mld. Kč použité nároky z minulých let. Část nevyužitých finančních prostředků z roku 2013 a z předchozích let dosáhla 4,9 mld. Kč. Tyto finanční prostředky, které nejsou zahrnuty v GBAORD za rok 2013 jsou pak k dispozici pro využití do dalších let</w:t>
      </w:r>
      <w:r w:rsidR="00F35437">
        <w:rPr>
          <w:rFonts w:ascii="Calibri" w:hAnsi="Calibri" w:cs="Calibri"/>
          <w:sz w:val="18"/>
          <w:szCs w:val="18"/>
        </w:rPr>
        <w:t>.</w:t>
      </w:r>
    </w:p>
  </w:footnote>
  <w:footnote w:id="4">
    <w:p w:rsidR="00030ADE" w:rsidRPr="002807A6" w:rsidRDefault="00030ADE" w:rsidP="00D53A42">
      <w:pPr>
        <w:pStyle w:val="Textpoznpodarou"/>
        <w:jc w:val="both"/>
        <w:rPr>
          <w:rFonts w:ascii="Calibri" w:hAnsi="Calibri" w:cs="Arial"/>
          <w:sz w:val="18"/>
          <w:szCs w:val="18"/>
        </w:rPr>
      </w:pPr>
      <w:r w:rsidRPr="002807A6">
        <w:rPr>
          <w:rStyle w:val="Znakapoznpodarou"/>
          <w:rFonts w:ascii="Calibri" w:hAnsi="Calibri" w:cs="Arial"/>
          <w:sz w:val="18"/>
          <w:szCs w:val="18"/>
        </w:rPr>
        <w:footnoteRef/>
      </w:r>
      <w:r>
        <w:rPr>
          <w:rFonts w:ascii="Calibri" w:hAnsi="Calibri" w:cs="Arial"/>
          <w:sz w:val="18"/>
          <w:szCs w:val="18"/>
        </w:rPr>
        <w:t xml:space="preserve"> Údaj o HDP platný ke dni 20. 11. 2014</w:t>
      </w:r>
      <w:r w:rsidRPr="002807A6">
        <w:rPr>
          <w:rFonts w:ascii="Calibri" w:hAnsi="Calibri" w:cs="Arial"/>
          <w:sz w:val="18"/>
          <w:szCs w:val="18"/>
        </w:rPr>
        <w:t>.</w:t>
      </w:r>
      <w:r>
        <w:rPr>
          <w:rFonts w:ascii="Calibri" w:hAnsi="Calibri" w:cs="Arial"/>
          <w:sz w:val="18"/>
          <w:szCs w:val="18"/>
        </w:rPr>
        <w:t xml:space="preserve"> Jedná se o údaje po revizi ESA 2010.</w:t>
      </w:r>
    </w:p>
  </w:footnote>
  <w:footnote w:id="5">
    <w:p w:rsidR="00272040" w:rsidRPr="00272040" w:rsidRDefault="00272040" w:rsidP="00272040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27204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204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Dle metodiky </w:t>
      </w:r>
      <w:proofErr w:type="spellStart"/>
      <w:r>
        <w:rPr>
          <w:rFonts w:asciiTheme="minorHAnsi" w:hAnsiTheme="minorHAnsi"/>
          <w:sz w:val="18"/>
          <w:szCs w:val="18"/>
        </w:rPr>
        <w:t>Eurostatu</w:t>
      </w:r>
      <w:proofErr w:type="spellEnd"/>
      <w:r>
        <w:rPr>
          <w:rFonts w:asciiTheme="minorHAnsi" w:hAnsiTheme="minorHAnsi"/>
          <w:sz w:val="18"/>
          <w:szCs w:val="18"/>
        </w:rPr>
        <w:t xml:space="preserve"> a OECD se považuje spolufinancování strukturálních fondů EU za účelovou (projektovou) formu podpory. V národní legislativě ČR týkající se veřejné podpory VaV je spolufinancování těchto fondů vedeno jako institucionální forma financování.</w:t>
      </w:r>
    </w:p>
  </w:footnote>
  <w:footnote w:id="6">
    <w:p w:rsidR="00F3332C" w:rsidRPr="00352A8C" w:rsidRDefault="00F3332C" w:rsidP="004A2E8F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352A8C">
        <w:rPr>
          <w:rStyle w:val="Znakapoznpodarou"/>
          <w:rFonts w:ascii="Calibri" w:hAnsi="Calibri" w:cs="Calibri"/>
          <w:sz w:val="18"/>
          <w:szCs w:val="18"/>
        </w:rPr>
        <w:footnoteRef/>
      </w:r>
      <w:r w:rsidRPr="00352A8C">
        <w:rPr>
          <w:rFonts w:ascii="Calibri" w:hAnsi="Calibri" w:cs="Calibri"/>
          <w:sz w:val="18"/>
          <w:szCs w:val="18"/>
        </w:rPr>
        <w:t xml:space="preserve"> </w:t>
      </w:r>
      <w:r w:rsidR="00AC2E13">
        <w:rPr>
          <w:rFonts w:ascii="Calibri" w:hAnsi="Calibri" w:cs="Calibri"/>
          <w:sz w:val="18"/>
          <w:szCs w:val="18"/>
        </w:rPr>
        <w:t xml:space="preserve"> K dalším</w:t>
      </w:r>
      <w:r w:rsidRPr="00352A8C">
        <w:rPr>
          <w:rFonts w:ascii="Calibri" w:hAnsi="Calibri" w:cs="Calibri"/>
          <w:sz w:val="18"/>
          <w:szCs w:val="18"/>
        </w:rPr>
        <w:t xml:space="preserve"> </w:t>
      </w:r>
      <w:r w:rsidR="00AC2E13">
        <w:rPr>
          <w:rFonts w:ascii="Calibri" w:hAnsi="Calibri" w:cs="Calibri"/>
          <w:sz w:val="18"/>
          <w:szCs w:val="18"/>
        </w:rPr>
        <w:t>informacím   o</w:t>
      </w:r>
      <w:r w:rsidRPr="00352A8C">
        <w:rPr>
          <w:rFonts w:ascii="Calibri" w:hAnsi="Calibri" w:cs="Calibri"/>
          <w:sz w:val="18"/>
          <w:szCs w:val="18"/>
        </w:rPr>
        <w:t xml:space="preserve"> Operačních program</w:t>
      </w:r>
      <w:r w:rsidR="00AC2E13">
        <w:rPr>
          <w:rFonts w:ascii="Calibri" w:hAnsi="Calibri" w:cs="Calibri"/>
          <w:sz w:val="18"/>
          <w:szCs w:val="18"/>
        </w:rPr>
        <w:t>ech</w:t>
      </w:r>
      <w:r w:rsidRPr="00352A8C">
        <w:rPr>
          <w:rFonts w:ascii="Calibri" w:hAnsi="Calibri" w:cs="Calibri"/>
          <w:sz w:val="18"/>
          <w:szCs w:val="18"/>
        </w:rPr>
        <w:t xml:space="preserve"> v gesci MŠMT viz následující odkaz: </w:t>
      </w:r>
      <w:hyperlink r:id="rId1" w:history="1">
        <w:r w:rsidRPr="001F35F5">
          <w:rPr>
            <w:rStyle w:val="Hypertextovodkaz"/>
            <w:rFonts w:ascii="Calibri" w:hAnsi="Calibri" w:cs="Calibri"/>
            <w:sz w:val="18"/>
            <w:szCs w:val="18"/>
          </w:rPr>
          <w:t>http://www.msmt.cz/strukturalni-fondy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  <w:r w:rsidRPr="00352A8C">
        <w:rPr>
          <w:rFonts w:ascii="Calibri" w:hAnsi="Calibri" w:cs="Calibri"/>
          <w:sz w:val="18"/>
          <w:szCs w:val="18"/>
        </w:rPr>
        <w:t xml:space="preserve"> </w:t>
      </w:r>
    </w:p>
  </w:footnote>
  <w:footnote w:id="7">
    <w:p w:rsidR="00F14625" w:rsidRPr="004B3DD3" w:rsidRDefault="00F14625" w:rsidP="004A2E8F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4B3DD3">
        <w:rPr>
          <w:rStyle w:val="Znakapoznpodarou"/>
          <w:rFonts w:ascii="Calibri" w:hAnsi="Calibri" w:cs="Calibri"/>
          <w:sz w:val="18"/>
          <w:szCs w:val="18"/>
        </w:rPr>
        <w:footnoteRef/>
      </w:r>
      <w:r w:rsidRPr="004B3DD3">
        <w:rPr>
          <w:rFonts w:ascii="Calibri" w:hAnsi="Calibri" w:cs="Calibri"/>
          <w:sz w:val="18"/>
          <w:szCs w:val="18"/>
        </w:rPr>
        <w:t xml:space="preserve"> Sektory provádění ve statistice výzkumu a vývoje (</w:t>
      </w:r>
      <w:r w:rsidR="00A1670D">
        <w:rPr>
          <w:rFonts w:ascii="Calibri" w:hAnsi="Calibri" w:cs="Calibri"/>
          <w:sz w:val="18"/>
          <w:szCs w:val="18"/>
        </w:rPr>
        <w:t>Roční šetření o výzkumu a vývoji [</w:t>
      </w:r>
      <w:r w:rsidRPr="004B3DD3">
        <w:rPr>
          <w:rFonts w:ascii="Calibri" w:hAnsi="Calibri" w:cs="Calibri"/>
          <w:sz w:val="18"/>
          <w:szCs w:val="18"/>
        </w:rPr>
        <w:t>VTR5-01</w:t>
      </w:r>
      <w:r w:rsidR="00A1670D">
        <w:rPr>
          <w:rFonts w:ascii="Calibri" w:hAnsi="Calibri" w:cs="Calibri"/>
          <w:sz w:val="18"/>
          <w:szCs w:val="18"/>
        </w:rPr>
        <w:t>]</w:t>
      </w:r>
      <w:r w:rsidRPr="004B3DD3">
        <w:rPr>
          <w:rFonts w:ascii="Calibri" w:hAnsi="Calibri" w:cs="Calibri"/>
          <w:sz w:val="18"/>
          <w:szCs w:val="18"/>
        </w:rPr>
        <w:t>) jsou následující: vysokoškolský, vládní, podnikate</w:t>
      </w:r>
      <w:r w:rsidR="00795209">
        <w:rPr>
          <w:rFonts w:ascii="Calibri" w:hAnsi="Calibri" w:cs="Calibri"/>
          <w:sz w:val="18"/>
          <w:szCs w:val="18"/>
        </w:rPr>
        <w:t>lský a soukromý neziskový</w:t>
      </w:r>
      <w:r w:rsidRPr="004B3DD3">
        <w:rPr>
          <w:rFonts w:ascii="Calibri" w:hAnsi="Calibri" w:cs="Calibri"/>
          <w:sz w:val="18"/>
          <w:szCs w:val="18"/>
        </w:rPr>
        <w:t xml:space="preserve">. Blíže viz: </w:t>
      </w:r>
      <w:hyperlink r:id="rId2" w:history="1">
        <w:r w:rsidRPr="005247DF">
          <w:rPr>
            <w:rStyle w:val="Hypertextovodkaz"/>
            <w:rFonts w:ascii="Calibri" w:hAnsi="Calibri" w:cs="Calibri"/>
            <w:sz w:val="18"/>
            <w:szCs w:val="18"/>
          </w:rPr>
          <w:t>http://www.czso.cz/csu/redakce.nsf/i/statistika_vyzkumu_a_vyvoje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  <w:r w:rsidR="00536916">
        <w:rPr>
          <w:rFonts w:ascii="Calibri" w:hAnsi="Calibri" w:cs="Calibri"/>
          <w:sz w:val="18"/>
          <w:szCs w:val="18"/>
        </w:rPr>
        <w:t xml:space="preserve">nebo v aktuální publikaci „Ukazatele výzkumu a vývoje v roce 2013“.  </w:t>
      </w:r>
    </w:p>
  </w:footnote>
  <w:footnote w:id="8">
    <w:p w:rsidR="00DD5BDB" w:rsidRPr="00DD5BDB" w:rsidRDefault="00DD5BDB">
      <w:pPr>
        <w:pStyle w:val="Textpoznpodarou"/>
        <w:rPr>
          <w:rFonts w:asciiTheme="minorHAnsi" w:hAnsiTheme="minorHAnsi"/>
          <w:sz w:val="18"/>
          <w:szCs w:val="18"/>
        </w:rPr>
      </w:pPr>
      <w:r w:rsidRPr="00DD5BDB">
        <w:rPr>
          <w:rStyle w:val="Znakapoznpodarou"/>
          <w:rFonts w:asciiTheme="minorHAnsi" w:hAnsiTheme="minorHAnsi"/>
          <w:sz w:val="18"/>
          <w:szCs w:val="18"/>
        </w:rPr>
        <w:footnoteRef/>
      </w:r>
      <w:r w:rsidRPr="00DD5BDB">
        <w:rPr>
          <w:rFonts w:asciiTheme="minorHAnsi" w:hAnsiTheme="minorHAnsi"/>
          <w:sz w:val="18"/>
          <w:szCs w:val="18"/>
        </w:rPr>
        <w:t xml:space="preserve"> </w:t>
      </w:r>
      <w:r w:rsidR="00226C73">
        <w:rPr>
          <w:rFonts w:asciiTheme="minorHAnsi" w:hAnsiTheme="minorHAnsi"/>
          <w:sz w:val="18"/>
          <w:szCs w:val="18"/>
        </w:rPr>
        <w:t xml:space="preserve">U </w:t>
      </w:r>
      <w:proofErr w:type="spellStart"/>
      <w:r w:rsidR="00226C73">
        <w:rPr>
          <w:rFonts w:asciiTheme="minorHAnsi" w:hAnsiTheme="minorHAnsi"/>
          <w:sz w:val="18"/>
          <w:szCs w:val="18"/>
        </w:rPr>
        <w:t>do</w:t>
      </w:r>
      <w:r>
        <w:rPr>
          <w:rFonts w:asciiTheme="minorHAnsi" w:hAnsiTheme="minorHAnsi"/>
          <w:sz w:val="18"/>
          <w:szCs w:val="18"/>
        </w:rPr>
        <w:t>počtových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r w:rsidR="0024511C">
        <w:rPr>
          <w:rFonts w:asciiTheme="minorHAnsi" w:hAnsiTheme="minorHAnsi"/>
          <w:sz w:val="18"/>
          <w:szCs w:val="18"/>
        </w:rPr>
        <w:t>položek (částek) s</w:t>
      </w:r>
      <w:r>
        <w:rPr>
          <w:rFonts w:asciiTheme="minorHAnsi" w:hAnsiTheme="minorHAnsi"/>
          <w:sz w:val="18"/>
          <w:szCs w:val="18"/>
        </w:rPr>
        <w:t xml:space="preserve">e </w:t>
      </w:r>
      <w:proofErr w:type="spellStart"/>
      <w:r w:rsidR="00226C73">
        <w:rPr>
          <w:rFonts w:asciiTheme="minorHAnsi" w:hAnsiTheme="minorHAnsi"/>
          <w:sz w:val="18"/>
          <w:szCs w:val="18"/>
        </w:rPr>
        <w:t>dopočtovou</w:t>
      </w:r>
      <w:proofErr w:type="spellEnd"/>
      <w:r w:rsidR="00226C73">
        <w:rPr>
          <w:rFonts w:asciiTheme="minorHAnsi" w:hAnsiTheme="minorHAnsi"/>
          <w:sz w:val="18"/>
          <w:szCs w:val="18"/>
        </w:rPr>
        <w:t xml:space="preserve"> metodou </w:t>
      </w:r>
      <w:r>
        <w:rPr>
          <w:rFonts w:asciiTheme="minorHAnsi" w:hAnsiTheme="minorHAnsi"/>
          <w:sz w:val="18"/>
          <w:szCs w:val="18"/>
        </w:rPr>
        <w:t>určuje</w:t>
      </w:r>
      <w:r w:rsidR="00226C73">
        <w:rPr>
          <w:rFonts w:asciiTheme="minorHAnsi" w:hAnsiTheme="minorHAnsi"/>
          <w:sz w:val="18"/>
          <w:szCs w:val="18"/>
        </w:rPr>
        <w:t xml:space="preserve"> pouze socioekonomický cíl. D</w:t>
      </w:r>
      <w:r>
        <w:rPr>
          <w:rFonts w:asciiTheme="minorHAnsi" w:hAnsiTheme="minorHAnsi"/>
          <w:sz w:val="18"/>
          <w:szCs w:val="18"/>
        </w:rPr>
        <w:t xml:space="preserve">alší atributy nejsou dostupné. </w:t>
      </w:r>
    </w:p>
  </w:footnote>
  <w:footnote w:id="9">
    <w:p w:rsidR="00D27BDE" w:rsidRPr="00D92684" w:rsidRDefault="00D27BDE">
      <w:pPr>
        <w:pStyle w:val="Textpoznpodarou"/>
        <w:rPr>
          <w:rFonts w:ascii="Calibri" w:hAnsi="Calibri" w:cs="Calibri"/>
          <w:sz w:val="18"/>
          <w:szCs w:val="18"/>
        </w:rPr>
      </w:pPr>
      <w:r w:rsidRPr="00D92684">
        <w:rPr>
          <w:rStyle w:val="Znakapoznpodarou"/>
          <w:rFonts w:ascii="Calibri" w:hAnsi="Calibri" w:cs="Calibri"/>
          <w:sz w:val="18"/>
          <w:szCs w:val="18"/>
        </w:rPr>
        <w:footnoteRef/>
      </w:r>
      <w:r w:rsidRPr="00D92684">
        <w:rPr>
          <w:rFonts w:ascii="Calibri" w:hAnsi="Calibri" w:cs="Calibri"/>
          <w:sz w:val="18"/>
          <w:szCs w:val="18"/>
        </w:rPr>
        <w:t xml:space="preserve"> Včetně</w:t>
      </w:r>
      <w:r w:rsidR="00A04192">
        <w:rPr>
          <w:rFonts w:ascii="Calibri" w:hAnsi="Calibri" w:cs="Calibri"/>
          <w:sz w:val="18"/>
          <w:szCs w:val="18"/>
        </w:rPr>
        <w:t xml:space="preserve"> ústředí</w:t>
      </w:r>
      <w:r w:rsidRPr="00D92684">
        <w:rPr>
          <w:rFonts w:ascii="Calibri" w:hAnsi="Calibri" w:cs="Calibri"/>
          <w:sz w:val="18"/>
          <w:szCs w:val="18"/>
        </w:rPr>
        <w:t xml:space="preserve"> Akademie věd ČR</w:t>
      </w:r>
      <w:r w:rsidR="00A4631F">
        <w:rPr>
          <w:rFonts w:ascii="Calibri" w:hAnsi="Calibri" w:cs="Calibri"/>
          <w:sz w:val="18"/>
          <w:szCs w:val="18"/>
        </w:rPr>
        <w:t>, která má v Registru ekonomických subjektů atribut organizační složky státu</w:t>
      </w:r>
      <w:r w:rsidRPr="00D92684">
        <w:rPr>
          <w:rFonts w:ascii="Calibri" w:hAnsi="Calibri" w:cs="Calibri"/>
          <w:sz w:val="18"/>
          <w:szCs w:val="18"/>
        </w:rPr>
        <w:t>.</w:t>
      </w:r>
    </w:p>
  </w:footnote>
  <w:footnote w:id="10">
    <w:p w:rsidR="00B36BF4" w:rsidRPr="00C65E2E" w:rsidRDefault="00B36BF4" w:rsidP="00B36BF4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D4B46">
        <w:rPr>
          <w:rStyle w:val="Znakapoznpodarou"/>
          <w:rFonts w:ascii="Calibri" w:hAnsi="Calibri" w:cs="Calibri"/>
          <w:sz w:val="18"/>
          <w:szCs w:val="18"/>
        </w:rPr>
        <w:footnoteRef/>
      </w:r>
      <w:r w:rsidRPr="009D4B46">
        <w:rPr>
          <w:rFonts w:ascii="Calibri" w:hAnsi="Calibri" w:cs="Calibri"/>
          <w:sz w:val="18"/>
          <w:szCs w:val="18"/>
        </w:rPr>
        <w:t xml:space="preserve"> </w:t>
      </w:r>
      <w:r w:rsidR="00C65E2E" w:rsidRPr="00C65E2E">
        <w:rPr>
          <w:rFonts w:ascii="Calibri" w:hAnsi="Calibri" w:cs="Calibri"/>
          <w:sz w:val="18"/>
          <w:szCs w:val="18"/>
        </w:rPr>
        <w:t>V roce 2013</w:t>
      </w:r>
      <w:r w:rsidRPr="00C65E2E">
        <w:rPr>
          <w:rFonts w:ascii="Calibri" w:hAnsi="Calibri" w:cs="Calibri"/>
          <w:sz w:val="18"/>
          <w:szCs w:val="18"/>
        </w:rPr>
        <w:t xml:space="preserve"> Mini</w:t>
      </w:r>
      <w:r w:rsidR="005D7CE2" w:rsidRPr="00C65E2E">
        <w:rPr>
          <w:rFonts w:ascii="Calibri" w:hAnsi="Calibri" w:cs="Calibri"/>
          <w:sz w:val="18"/>
          <w:szCs w:val="18"/>
        </w:rPr>
        <w:t>sterstvo školství</w:t>
      </w:r>
      <w:r w:rsidRPr="00C65E2E">
        <w:rPr>
          <w:rFonts w:ascii="Calibri" w:hAnsi="Calibri" w:cs="Calibri"/>
          <w:sz w:val="18"/>
          <w:szCs w:val="18"/>
        </w:rPr>
        <w:t xml:space="preserve">, mládeže a tělovýchovy vydalo na podporu zapojení ČR do mezinárodního výzkumu celkem </w:t>
      </w:r>
      <w:r w:rsidR="00C65E2E" w:rsidRPr="00C65E2E">
        <w:rPr>
          <w:rFonts w:ascii="Calibri" w:hAnsi="Calibri" w:cs="Calibri"/>
          <w:sz w:val="18"/>
          <w:szCs w:val="18"/>
        </w:rPr>
        <w:t>385,7</w:t>
      </w:r>
      <w:r w:rsidRPr="00C65E2E">
        <w:rPr>
          <w:rFonts w:ascii="Calibri" w:hAnsi="Calibri" w:cs="Calibri"/>
          <w:sz w:val="18"/>
          <w:szCs w:val="18"/>
        </w:rPr>
        <w:t xml:space="preserve"> mil. Kč </w:t>
      </w:r>
      <w:r w:rsidR="005D7CE2" w:rsidRPr="00C65E2E">
        <w:rPr>
          <w:rFonts w:ascii="Calibri" w:hAnsi="Calibri" w:cs="Calibri"/>
          <w:sz w:val="18"/>
          <w:szCs w:val="18"/>
        </w:rPr>
        <w:t>ve formě</w:t>
      </w:r>
      <w:r w:rsidRPr="00C65E2E">
        <w:rPr>
          <w:rFonts w:ascii="Calibri" w:hAnsi="Calibri" w:cs="Calibri"/>
          <w:sz w:val="18"/>
          <w:szCs w:val="18"/>
        </w:rPr>
        <w:t xml:space="preserve"> příspěvků a poplatků.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15C6"/>
    <w:multiLevelType w:val="hybridMultilevel"/>
    <w:tmpl w:val="620039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D72"/>
    <w:rsid w:val="0000396F"/>
    <w:rsid w:val="00003B45"/>
    <w:rsid w:val="00004CB7"/>
    <w:rsid w:val="00006787"/>
    <w:rsid w:val="0000785A"/>
    <w:rsid w:val="00007F35"/>
    <w:rsid w:val="000124E0"/>
    <w:rsid w:val="00013725"/>
    <w:rsid w:val="00013B48"/>
    <w:rsid w:val="00017393"/>
    <w:rsid w:val="000177F8"/>
    <w:rsid w:val="000227E2"/>
    <w:rsid w:val="00022DAE"/>
    <w:rsid w:val="00025101"/>
    <w:rsid w:val="00030ADE"/>
    <w:rsid w:val="0003231B"/>
    <w:rsid w:val="0003340B"/>
    <w:rsid w:val="00036527"/>
    <w:rsid w:val="00036F75"/>
    <w:rsid w:val="000372F7"/>
    <w:rsid w:val="00041F1A"/>
    <w:rsid w:val="0004213E"/>
    <w:rsid w:val="00042D4E"/>
    <w:rsid w:val="00043EEA"/>
    <w:rsid w:val="00044749"/>
    <w:rsid w:val="0004514B"/>
    <w:rsid w:val="00051059"/>
    <w:rsid w:val="00051EAE"/>
    <w:rsid w:val="000531B7"/>
    <w:rsid w:val="0005431C"/>
    <w:rsid w:val="00060A4E"/>
    <w:rsid w:val="00065209"/>
    <w:rsid w:val="00066B66"/>
    <w:rsid w:val="00067914"/>
    <w:rsid w:val="00071513"/>
    <w:rsid w:val="000759F2"/>
    <w:rsid w:val="0007685E"/>
    <w:rsid w:val="000815D7"/>
    <w:rsid w:val="0009072D"/>
    <w:rsid w:val="00090C57"/>
    <w:rsid w:val="000918C8"/>
    <w:rsid w:val="00095A9A"/>
    <w:rsid w:val="000A060C"/>
    <w:rsid w:val="000B33DF"/>
    <w:rsid w:val="000B5208"/>
    <w:rsid w:val="000B7CAF"/>
    <w:rsid w:val="000C0211"/>
    <w:rsid w:val="000C4EA2"/>
    <w:rsid w:val="000C7219"/>
    <w:rsid w:val="000D0FAD"/>
    <w:rsid w:val="000D19B1"/>
    <w:rsid w:val="000D2EE4"/>
    <w:rsid w:val="000E02FD"/>
    <w:rsid w:val="000E1513"/>
    <w:rsid w:val="000E2140"/>
    <w:rsid w:val="000E21CD"/>
    <w:rsid w:val="000E31F3"/>
    <w:rsid w:val="000E3F3D"/>
    <w:rsid w:val="000F19EC"/>
    <w:rsid w:val="000F2B25"/>
    <w:rsid w:val="000F73A3"/>
    <w:rsid w:val="00105394"/>
    <w:rsid w:val="0011027E"/>
    <w:rsid w:val="0011238B"/>
    <w:rsid w:val="00114A73"/>
    <w:rsid w:val="00117DEE"/>
    <w:rsid w:val="001235B4"/>
    <w:rsid w:val="00127B19"/>
    <w:rsid w:val="00133EBD"/>
    <w:rsid w:val="0013695F"/>
    <w:rsid w:val="001477D8"/>
    <w:rsid w:val="00150207"/>
    <w:rsid w:val="00155DD7"/>
    <w:rsid w:val="00162895"/>
    <w:rsid w:val="001629E5"/>
    <w:rsid w:val="001656D4"/>
    <w:rsid w:val="00167051"/>
    <w:rsid w:val="00171894"/>
    <w:rsid w:val="001733B9"/>
    <w:rsid w:val="00173C5B"/>
    <w:rsid w:val="001752CC"/>
    <w:rsid w:val="00175DAC"/>
    <w:rsid w:val="00180380"/>
    <w:rsid w:val="001804C3"/>
    <w:rsid w:val="00181C98"/>
    <w:rsid w:val="00185039"/>
    <w:rsid w:val="0018577B"/>
    <w:rsid w:val="001921D0"/>
    <w:rsid w:val="001966AC"/>
    <w:rsid w:val="001A3340"/>
    <w:rsid w:val="001A495D"/>
    <w:rsid w:val="001A6D09"/>
    <w:rsid w:val="001B15FA"/>
    <w:rsid w:val="001B365A"/>
    <w:rsid w:val="001B72B2"/>
    <w:rsid w:val="001C0151"/>
    <w:rsid w:val="001C1092"/>
    <w:rsid w:val="001C4325"/>
    <w:rsid w:val="001C460F"/>
    <w:rsid w:val="001C479D"/>
    <w:rsid w:val="001E064E"/>
    <w:rsid w:val="001E2227"/>
    <w:rsid w:val="001E419F"/>
    <w:rsid w:val="001E427C"/>
    <w:rsid w:val="001E5AA7"/>
    <w:rsid w:val="001F0E6C"/>
    <w:rsid w:val="001F214E"/>
    <w:rsid w:val="001F23EF"/>
    <w:rsid w:val="001F58A1"/>
    <w:rsid w:val="00201454"/>
    <w:rsid w:val="00201905"/>
    <w:rsid w:val="00204008"/>
    <w:rsid w:val="00204242"/>
    <w:rsid w:val="0020573B"/>
    <w:rsid w:val="00205E94"/>
    <w:rsid w:val="0020650C"/>
    <w:rsid w:val="0020708B"/>
    <w:rsid w:val="0021001E"/>
    <w:rsid w:val="00211128"/>
    <w:rsid w:val="00212E3E"/>
    <w:rsid w:val="0021389A"/>
    <w:rsid w:val="00214D9D"/>
    <w:rsid w:val="002202DE"/>
    <w:rsid w:val="002266B8"/>
    <w:rsid w:val="00226C73"/>
    <w:rsid w:val="00230439"/>
    <w:rsid w:val="00232ABE"/>
    <w:rsid w:val="00234A6B"/>
    <w:rsid w:val="00235C30"/>
    <w:rsid w:val="00237EDC"/>
    <w:rsid w:val="0024092C"/>
    <w:rsid w:val="00240FC0"/>
    <w:rsid w:val="00241122"/>
    <w:rsid w:val="00241829"/>
    <w:rsid w:val="00241B67"/>
    <w:rsid w:val="00243D06"/>
    <w:rsid w:val="002440DD"/>
    <w:rsid w:val="0024511C"/>
    <w:rsid w:val="002520AE"/>
    <w:rsid w:val="00254726"/>
    <w:rsid w:val="00255E4D"/>
    <w:rsid w:val="00255FB8"/>
    <w:rsid w:val="00260DCF"/>
    <w:rsid w:val="002615BB"/>
    <w:rsid w:val="00270E87"/>
    <w:rsid w:val="00272040"/>
    <w:rsid w:val="00274C2C"/>
    <w:rsid w:val="00274D3E"/>
    <w:rsid w:val="00275455"/>
    <w:rsid w:val="00275F7D"/>
    <w:rsid w:val="002770B9"/>
    <w:rsid w:val="002807A6"/>
    <w:rsid w:val="00282522"/>
    <w:rsid w:val="0028413A"/>
    <w:rsid w:val="00284594"/>
    <w:rsid w:val="002868B5"/>
    <w:rsid w:val="00293858"/>
    <w:rsid w:val="00295EDA"/>
    <w:rsid w:val="002962E8"/>
    <w:rsid w:val="00296AC1"/>
    <w:rsid w:val="002A0AFA"/>
    <w:rsid w:val="002A0CA4"/>
    <w:rsid w:val="002A4ABF"/>
    <w:rsid w:val="002B128A"/>
    <w:rsid w:val="002B4234"/>
    <w:rsid w:val="002B4418"/>
    <w:rsid w:val="002C098B"/>
    <w:rsid w:val="002C109A"/>
    <w:rsid w:val="002C62E0"/>
    <w:rsid w:val="002C72A1"/>
    <w:rsid w:val="002C7794"/>
    <w:rsid w:val="002D1F2D"/>
    <w:rsid w:val="002D2A70"/>
    <w:rsid w:val="002D315F"/>
    <w:rsid w:val="002D4F68"/>
    <w:rsid w:val="002D598A"/>
    <w:rsid w:val="002D6CB8"/>
    <w:rsid w:val="002E298F"/>
    <w:rsid w:val="002E2E21"/>
    <w:rsid w:val="002E3592"/>
    <w:rsid w:val="002E42DF"/>
    <w:rsid w:val="002F197C"/>
    <w:rsid w:val="002F244F"/>
    <w:rsid w:val="00304894"/>
    <w:rsid w:val="00305C2F"/>
    <w:rsid w:val="0030710E"/>
    <w:rsid w:val="00312CBB"/>
    <w:rsid w:val="00321439"/>
    <w:rsid w:val="00321B22"/>
    <w:rsid w:val="003228C9"/>
    <w:rsid w:val="0032423C"/>
    <w:rsid w:val="00324438"/>
    <w:rsid w:val="00332107"/>
    <w:rsid w:val="0033566F"/>
    <w:rsid w:val="00341CA2"/>
    <w:rsid w:val="0034281E"/>
    <w:rsid w:val="00343002"/>
    <w:rsid w:val="003447CC"/>
    <w:rsid w:val="00352000"/>
    <w:rsid w:val="0035290C"/>
    <w:rsid w:val="00352A8C"/>
    <w:rsid w:val="00353AC6"/>
    <w:rsid w:val="00356A29"/>
    <w:rsid w:val="00357077"/>
    <w:rsid w:val="0036501A"/>
    <w:rsid w:val="00365687"/>
    <w:rsid w:val="00372AF5"/>
    <w:rsid w:val="00372F42"/>
    <w:rsid w:val="0037673D"/>
    <w:rsid w:val="00376F7E"/>
    <w:rsid w:val="00387F9E"/>
    <w:rsid w:val="00391291"/>
    <w:rsid w:val="003946D4"/>
    <w:rsid w:val="0039627A"/>
    <w:rsid w:val="003A0723"/>
    <w:rsid w:val="003A4766"/>
    <w:rsid w:val="003A4818"/>
    <w:rsid w:val="003A7D6F"/>
    <w:rsid w:val="003C1417"/>
    <w:rsid w:val="003C3718"/>
    <w:rsid w:val="003D1AE3"/>
    <w:rsid w:val="003D3E92"/>
    <w:rsid w:val="003D55C2"/>
    <w:rsid w:val="003E4E17"/>
    <w:rsid w:val="003E56AA"/>
    <w:rsid w:val="003E56FE"/>
    <w:rsid w:val="003E5DCA"/>
    <w:rsid w:val="003E7D0B"/>
    <w:rsid w:val="003F098A"/>
    <w:rsid w:val="003F0C87"/>
    <w:rsid w:val="003F2D23"/>
    <w:rsid w:val="003F4B03"/>
    <w:rsid w:val="003F6B27"/>
    <w:rsid w:val="0040040B"/>
    <w:rsid w:val="0040728D"/>
    <w:rsid w:val="004124BC"/>
    <w:rsid w:val="004142DF"/>
    <w:rsid w:val="004239F6"/>
    <w:rsid w:val="004278CA"/>
    <w:rsid w:val="00434A70"/>
    <w:rsid w:val="00434B3A"/>
    <w:rsid w:val="00435A87"/>
    <w:rsid w:val="00441951"/>
    <w:rsid w:val="00443DEE"/>
    <w:rsid w:val="00443F9E"/>
    <w:rsid w:val="004461A8"/>
    <w:rsid w:val="004512E3"/>
    <w:rsid w:val="0045186C"/>
    <w:rsid w:val="00452C5A"/>
    <w:rsid w:val="00453B66"/>
    <w:rsid w:val="0046240E"/>
    <w:rsid w:val="004627E6"/>
    <w:rsid w:val="00465995"/>
    <w:rsid w:val="00466285"/>
    <w:rsid w:val="004712C5"/>
    <w:rsid w:val="00471E8E"/>
    <w:rsid w:val="00480F75"/>
    <w:rsid w:val="0049653F"/>
    <w:rsid w:val="0049752B"/>
    <w:rsid w:val="004A0784"/>
    <w:rsid w:val="004A1EB0"/>
    <w:rsid w:val="004A2E8F"/>
    <w:rsid w:val="004A74CE"/>
    <w:rsid w:val="004B0593"/>
    <w:rsid w:val="004B1977"/>
    <w:rsid w:val="004B1C8D"/>
    <w:rsid w:val="004B26F4"/>
    <w:rsid w:val="004B3DD3"/>
    <w:rsid w:val="004B4C71"/>
    <w:rsid w:val="004B54B6"/>
    <w:rsid w:val="004B66EC"/>
    <w:rsid w:val="004C2C52"/>
    <w:rsid w:val="004C59B1"/>
    <w:rsid w:val="004C79C7"/>
    <w:rsid w:val="004C7B84"/>
    <w:rsid w:val="004D07EC"/>
    <w:rsid w:val="004D227F"/>
    <w:rsid w:val="004D3810"/>
    <w:rsid w:val="004D7159"/>
    <w:rsid w:val="004E0036"/>
    <w:rsid w:val="004E3522"/>
    <w:rsid w:val="004F117E"/>
    <w:rsid w:val="004F2C8C"/>
    <w:rsid w:val="004F4724"/>
    <w:rsid w:val="004F6563"/>
    <w:rsid w:val="004F7FB0"/>
    <w:rsid w:val="00513017"/>
    <w:rsid w:val="00514180"/>
    <w:rsid w:val="005235F0"/>
    <w:rsid w:val="00523E8F"/>
    <w:rsid w:val="00524283"/>
    <w:rsid w:val="005270B4"/>
    <w:rsid w:val="0053117C"/>
    <w:rsid w:val="00532E61"/>
    <w:rsid w:val="00536916"/>
    <w:rsid w:val="00536E95"/>
    <w:rsid w:val="00543DDA"/>
    <w:rsid w:val="00550684"/>
    <w:rsid w:val="00550AEC"/>
    <w:rsid w:val="00552B44"/>
    <w:rsid w:val="005543D5"/>
    <w:rsid w:val="00555CC3"/>
    <w:rsid w:val="005560E3"/>
    <w:rsid w:val="00557017"/>
    <w:rsid w:val="00562B1C"/>
    <w:rsid w:val="005710A5"/>
    <w:rsid w:val="0057184F"/>
    <w:rsid w:val="0057664E"/>
    <w:rsid w:val="0058541C"/>
    <w:rsid w:val="00585EA5"/>
    <w:rsid w:val="00592FDC"/>
    <w:rsid w:val="00594CB2"/>
    <w:rsid w:val="00596662"/>
    <w:rsid w:val="00596A27"/>
    <w:rsid w:val="005A122D"/>
    <w:rsid w:val="005A234D"/>
    <w:rsid w:val="005A478C"/>
    <w:rsid w:val="005A6AB5"/>
    <w:rsid w:val="005B028D"/>
    <w:rsid w:val="005B361F"/>
    <w:rsid w:val="005B6F6E"/>
    <w:rsid w:val="005B796C"/>
    <w:rsid w:val="005D7144"/>
    <w:rsid w:val="005D7305"/>
    <w:rsid w:val="005D7CE2"/>
    <w:rsid w:val="005E5CB8"/>
    <w:rsid w:val="005F2FC7"/>
    <w:rsid w:val="005F5B34"/>
    <w:rsid w:val="00600CC9"/>
    <w:rsid w:val="0060107B"/>
    <w:rsid w:val="006023F6"/>
    <w:rsid w:val="00603537"/>
    <w:rsid w:val="00603627"/>
    <w:rsid w:val="00604CC7"/>
    <w:rsid w:val="00605FDE"/>
    <w:rsid w:val="00610330"/>
    <w:rsid w:val="00613A7E"/>
    <w:rsid w:val="006144CB"/>
    <w:rsid w:val="00616D4B"/>
    <w:rsid w:val="006171DE"/>
    <w:rsid w:val="00623AE8"/>
    <w:rsid w:val="00624506"/>
    <w:rsid w:val="00626B46"/>
    <w:rsid w:val="00633962"/>
    <w:rsid w:val="00637397"/>
    <w:rsid w:val="00637E75"/>
    <w:rsid w:val="00640AA7"/>
    <w:rsid w:val="0064277F"/>
    <w:rsid w:val="00642E1C"/>
    <w:rsid w:val="006465F2"/>
    <w:rsid w:val="00646F98"/>
    <w:rsid w:val="006474A6"/>
    <w:rsid w:val="00663DF3"/>
    <w:rsid w:val="00665E8C"/>
    <w:rsid w:val="00670D6B"/>
    <w:rsid w:val="006718D1"/>
    <w:rsid w:val="00671D9C"/>
    <w:rsid w:val="00672603"/>
    <w:rsid w:val="006749C7"/>
    <w:rsid w:val="00681D1B"/>
    <w:rsid w:val="00682AEF"/>
    <w:rsid w:val="0068593F"/>
    <w:rsid w:val="0069226A"/>
    <w:rsid w:val="006953A0"/>
    <w:rsid w:val="006973D8"/>
    <w:rsid w:val="006A0AE1"/>
    <w:rsid w:val="006A167E"/>
    <w:rsid w:val="006A1FBB"/>
    <w:rsid w:val="006A39B1"/>
    <w:rsid w:val="006A76CF"/>
    <w:rsid w:val="006B3002"/>
    <w:rsid w:val="006B5E8D"/>
    <w:rsid w:val="006B6BF5"/>
    <w:rsid w:val="006C21DC"/>
    <w:rsid w:val="006C3115"/>
    <w:rsid w:val="006C3BB7"/>
    <w:rsid w:val="006C5E49"/>
    <w:rsid w:val="006C5F73"/>
    <w:rsid w:val="006C67E9"/>
    <w:rsid w:val="006D31B8"/>
    <w:rsid w:val="006D4E0D"/>
    <w:rsid w:val="006D5B08"/>
    <w:rsid w:val="006D72C4"/>
    <w:rsid w:val="006E1CCA"/>
    <w:rsid w:val="006E5F6A"/>
    <w:rsid w:val="006F0D4C"/>
    <w:rsid w:val="006F2925"/>
    <w:rsid w:val="006F77AA"/>
    <w:rsid w:val="00702AD7"/>
    <w:rsid w:val="00703D07"/>
    <w:rsid w:val="00705FD9"/>
    <w:rsid w:val="007079BA"/>
    <w:rsid w:val="00707EB6"/>
    <w:rsid w:val="0071478C"/>
    <w:rsid w:val="00714DFE"/>
    <w:rsid w:val="0072167E"/>
    <w:rsid w:val="0072287C"/>
    <w:rsid w:val="00723469"/>
    <w:rsid w:val="00725E40"/>
    <w:rsid w:val="007312C5"/>
    <w:rsid w:val="00732AEC"/>
    <w:rsid w:val="007345B1"/>
    <w:rsid w:val="00735277"/>
    <w:rsid w:val="007353D1"/>
    <w:rsid w:val="007356B9"/>
    <w:rsid w:val="00736BFF"/>
    <w:rsid w:val="00740286"/>
    <w:rsid w:val="007433C8"/>
    <w:rsid w:val="00743FC0"/>
    <w:rsid w:val="007456CD"/>
    <w:rsid w:val="00761FB7"/>
    <w:rsid w:val="007658DB"/>
    <w:rsid w:val="007720D9"/>
    <w:rsid w:val="007725DC"/>
    <w:rsid w:val="00775CF3"/>
    <w:rsid w:val="007805BD"/>
    <w:rsid w:val="0078328E"/>
    <w:rsid w:val="00791018"/>
    <w:rsid w:val="00792676"/>
    <w:rsid w:val="00794585"/>
    <w:rsid w:val="00795209"/>
    <w:rsid w:val="007952FE"/>
    <w:rsid w:val="00797B84"/>
    <w:rsid w:val="007A5E66"/>
    <w:rsid w:val="007B4CB5"/>
    <w:rsid w:val="007C39DC"/>
    <w:rsid w:val="007C5432"/>
    <w:rsid w:val="007C69F7"/>
    <w:rsid w:val="007D516A"/>
    <w:rsid w:val="007D5811"/>
    <w:rsid w:val="007D59BF"/>
    <w:rsid w:val="007D7BB1"/>
    <w:rsid w:val="007E29CC"/>
    <w:rsid w:val="007E364E"/>
    <w:rsid w:val="007E50D5"/>
    <w:rsid w:val="007F00C7"/>
    <w:rsid w:val="007F1BC1"/>
    <w:rsid w:val="007F40B6"/>
    <w:rsid w:val="007F575F"/>
    <w:rsid w:val="007F5E49"/>
    <w:rsid w:val="007F5FD0"/>
    <w:rsid w:val="007F742C"/>
    <w:rsid w:val="00802422"/>
    <w:rsid w:val="00804EBD"/>
    <w:rsid w:val="00807172"/>
    <w:rsid w:val="00807CA7"/>
    <w:rsid w:val="00811F88"/>
    <w:rsid w:val="008128A7"/>
    <w:rsid w:val="00815994"/>
    <w:rsid w:val="008210CE"/>
    <w:rsid w:val="00824B04"/>
    <w:rsid w:val="00824D3E"/>
    <w:rsid w:val="008252CC"/>
    <w:rsid w:val="0082671C"/>
    <w:rsid w:val="008354B2"/>
    <w:rsid w:val="008361A2"/>
    <w:rsid w:val="00840AEC"/>
    <w:rsid w:val="008442C3"/>
    <w:rsid w:val="008458E1"/>
    <w:rsid w:val="00846C5E"/>
    <w:rsid w:val="00846F16"/>
    <w:rsid w:val="008473DE"/>
    <w:rsid w:val="008523E2"/>
    <w:rsid w:val="00853134"/>
    <w:rsid w:val="008623AB"/>
    <w:rsid w:val="008706E7"/>
    <w:rsid w:val="00870774"/>
    <w:rsid w:val="00871716"/>
    <w:rsid w:val="00872169"/>
    <w:rsid w:val="00872F7D"/>
    <w:rsid w:val="008735A2"/>
    <w:rsid w:val="00880BDB"/>
    <w:rsid w:val="00887E7B"/>
    <w:rsid w:val="00891314"/>
    <w:rsid w:val="008A106B"/>
    <w:rsid w:val="008A3594"/>
    <w:rsid w:val="008A45FC"/>
    <w:rsid w:val="008A4BC0"/>
    <w:rsid w:val="008B247A"/>
    <w:rsid w:val="008B7587"/>
    <w:rsid w:val="008C0A7F"/>
    <w:rsid w:val="008C30F7"/>
    <w:rsid w:val="008C46A4"/>
    <w:rsid w:val="008C513B"/>
    <w:rsid w:val="008D2E94"/>
    <w:rsid w:val="008D3357"/>
    <w:rsid w:val="008D3DC0"/>
    <w:rsid w:val="008D6941"/>
    <w:rsid w:val="008E0837"/>
    <w:rsid w:val="008E3E6B"/>
    <w:rsid w:val="008F3F6C"/>
    <w:rsid w:val="008F4C73"/>
    <w:rsid w:val="008F77AC"/>
    <w:rsid w:val="00904AA4"/>
    <w:rsid w:val="00907504"/>
    <w:rsid w:val="00907656"/>
    <w:rsid w:val="009115E0"/>
    <w:rsid w:val="009123F9"/>
    <w:rsid w:val="009129D9"/>
    <w:rsid w:val="00914F01"/>
    <w:rsid w:val="00915EBE"/>
    <w:rsid w:val="00916853"/>
    <w:rsid w:val="0091706C"/>
    <w:rsid w:val="00917137"/>
    <w:rsid w:val="00917DBB"/>
    <w:rsid w:val="00922427"/>
    <w:rsid w:val="0092287A"/>
    <w:rsid w:val="00923D80"/>
    <w:rsid w:val="009262A6"/>
    <w:rsid w:val="00933119"/>
    <w:rsid w:val="00935283"/>
    <w:rsid w:val="00936464"/>
    <w:rsid w:val="00936BC9"/>
    <w:rsid w:val="009410CB"/>
    <w:rsid w:val="00943591"/>
    <w:rsid w:val="00943845"/>
    <w:rsid w:val="009440D5"/>
    <w:rsid w:val="00952E5D"/>
    <w:rsid w:val="00955A50"/>
    <w:rsid w:val="00955E67"/>
    <w:rsid w:val="00956565"/>
    <w:rsid w:val="00966BB7"/>
    <w:rsid w:val="00966BBE"/>
    <w:rsid w:val="00971D37"/>
    <w:rsid w:val="0097724D"/>
    <w:rsid w:val="00977D41"/>
    <w:rsid w:val="00980213"/>
    <w:rsid w:val="00981E2C"/>
    <w:rsid w:val="00986F07"/>
    <w:rsid w:val="00986F45"/>
    <w:rsid w:val="009A116F"/>
    <w:rsid w:val="009A1834"/>
    <w:rsid w:val="009B456D"/>
    <w:rsid w:val="009C0E75"/>
    <w:rsid w:val="009C45FA"/>
    <w:rsid w:val="009C57A8"/>
    <w:rsid w:val="009D0406"/>
    <w:rsid w:val="009D1389"/>
    <w:rsid w:val="009D3DF9"/>
    <w:rsid w:val="009D4B46"/>
    <w:rsid w:val="009E1F7D"/>
    <w:rsid w:val="009E3532"/>
    <w:rsid w:val="009F411D"/>
    <w:rsid w:val="009F65CF"/>
    <w:rsid w:val="009F7F1E"/>
    <w:rsid w:val="00A033F1"/>
    <w:rsid w:val="00A04192"/>
    <w:rsid w:val="00A11E9B"/>
    <w:rsid w:val="00A1239A"/>
    <w:rsid w:val="00A12616"/>
    <w:rsid w:val="00A14093"/>
    <w:rsid w:val="00A14C6B"/>
    <w:rsid w:val="00A1670D"/>
    <w:rsid w:val="00A2473D"/>
    <w:rsid w:val="00A25E19"/>
    <w:rsid w:val="00A274A8"/>
    <w:rsid w:val="00A30E6C"/>
    <w:rsid w:val="00A3203C"/>
    <w:rsid w:val="00A327D0"/>
    <w:rsid w:val="00A36E49"/>
    <w:rsid w:val="00A40122"/>
    <w:rsid w:val="00A4462D"/>
    <w:rsid w:val="00A4618A"/>
    <w:rsid w:val="00A4631F"/>
    <w:rsid w:val="00A52F43"/>
    <w:rsid w:val="00A56F40"/>
    <w:rsid w:val="00A5719D"/>
    <w:rsid w:val="00A57997"/>
    <w:rsid w:val="00A64886"/>
    <w:rsid w:val="00A65522"/>
    <w:rsid w:val="00A66714"/>
    <w:rsid w:val="00A740AD"/>
    <w:rsid w:val="00A75A68"/>
    <w:rsid w:val="00A80525"/>
    <w:rsid w:val="00A80B78"/>
    <w:rsid w:val="00A830EC"/>
    <w:rsid w:val="00A83AB2"/>
    <w:rsid w:val="00A86327"/>
    <w:rsid w:val="00A8676B"/>
    <w:rsid w:val="00A868BD"/>
    <w:rsid w:val="00A8748F"/>
    <w:rsid w:val="00A91E76"/>
    <w:rsid w:val="00A9440A"/>
    <w:rsid w:val="00AA58BD"/>
    <w:rsid w:val="00AB0108"/>
    <w:rsid w:val="00AB0F5C"/>
    <w:rsid w:val="00AB22CB"/>
    <w:rsid w:val="00AB3982"/>
    <w:rsid w:val="00AC2E13"/>
    <w:rsid w:val="00AD4192"/>
    <w:rsid w:val="00AD685C"/>
    <w:rsid w:val="00AE39F5"/>
    <w:rsid w:val="00AE53F7"/>
    <w:rsid w:val="00AE5BA5"/>
    <w:rsid w:val="00AE6FF0"/>
    <w:rsid w:val="00AF19AA"/>
    <w:rsid w:val="00B00EAA"/>
    <w:rsid w:val="00B030CF"/>
    <w:rsid w:val="00B048C0"/>
    <w:rsid w:val="00B06B53"/>
    <w:rsid w:val="00B0703E"/>
    <w:rsid w:val="00B07846"/>
    <w:rsid w:val="00B11794"/>
    <w:rsid w:val="00B13922"/>
    <w:rsid w:val="00B26285"/>
    <w:rsid w:val="00B2658B"/>
    <w:rsid w:val="00B265C7"/>
    <w:rsid w:val="00B26A9F"/>
    <w:rsid w:val="00B36BF4"/>
    <w:rsid w:val="00B427BB"/>
    <w:rsid w:val="00B42CAA"/>
    <w:rsid w:val="00B43B5F"/>
    <w:rsid w:val="00B555FC"/>
    <w:rsid w:val="00B56DF8"/>
    <w:rsid w:val="00B576BF"/>
    <w:rsid w:val="00B61BA3"/>
    <w:rsid w:val="00B63C61"/>
    <w:rsid w:val="00B64CB9"/>
    <w:rsid w:val="00B6534C"/>
    <w:rsid w:val="00B67F8B"/>
    <w:rsid w:val="00B744AD"/>
    <w:rsid w:val="00B74AC9"/>
    <w:rsid w:val="00B76347"/>
    <w:rsid w:val="00B80796"/>
    <w:rsid w:val="00B81022"/>
    <w:rsid w:val="00B810C7"/>
    <w:rsid w:val="00B8318B"/>
    <w:rsid w:val="00B85A3F"/>
    <w:rsid w:val="00B879DE"/>
    <w:rsid w:val="00B87BD4"/>
    <w:rsid w:val="00B900F2"/>
    <w:rsid w:val="00B90F89"/>
    <w:rsid w:val="00B93626"/>
    <w:rsid w:val="00B948FB"/>
    <w:rsid w:val="00B94BB5"/>
    <w:rsid w:val="00B96C07"/>
    <w:rsid w:val="00B96E30"/>
    <w:rsid w:val="00BA0FEE"/>
    <w:rsid w:val="00BA2889"/>
    <w:rsid w:val="00BA2B54"/>
    <w:rsid w:val="00BA7DAF"/>
    <w:rsid w:val="00BB371F"/>
    <w:rsid w:val="00BC34C4"/>
    <w:rsid w:val="00BC34E4"/>
    <w:rsid w:val="00BC6E02"/>
    <w:rsid w:val="00BD089A"/>
    <w:rsid w:val="00BD324A"/>
    <w:rsid w:val="00BD3F42"/>
    <w:rsid w:val="00BD421E"/>
    <w:rsid w:val="00BD6469"/>
    <w:rsid w:val="00BE016D"/>
    <w:rsid w:val="00BE06F0"/>
    <w:rsid w:val="00BE2CAC"/>
    <w:rsid w:val="00BE3AA1"/>
    <w:rsid w:val="00BE5434"/>
    <w:rsid w:val="00BE61A9"/>
    <w:rsid w:val="00BF13C2"/>
    <w:rsid w:val="00BF28F7"/>
    <w:rsid w:val="00BF3AEA"/>
    <w:rsid w:val="00BF5099"/>
    <w:rsid w:val="00BF628E"/>
    <w:rsid w:val="00BF6649"/>
    <w:rsid w:val="00BF7E0B"/>
    <w:rsid w:val="00C01775"/>
    <w:rsid w:val="00C02932"/>
    <w:rsid w:val="00C02C3D"/>
    <w:rsid w:val="00C0456D"/>
    <w:rsid w:val="00C04953"/>
    <w:rsid w:val="00C06179"/>
    <w:rsid w:val="00C10081"/>
    <w:rsid w:val="00C110AA"/>
    <w:rsid w:val="00C13E48"/>
    <w:rsid w:val="00C20D6F"/>
    <w:rsid w:val="00C21CB8"/>
    <w:rsid w:val="00C301E5"/>
    <w:rsid w:val="00C31C04"/>
    <w:rsid w:val="00C34F37"/>
    <w:rsid w:val="00C4288B"/>
    <w:rsid w:val="00C431E8"/>
    <w:rsid w:val="00C50832"/>
    <w:rsid w:val="00C50DB8"/>
    <w:rsid w:val="00C52BB1"/>
    <w:rsid w:val="00C5343D"/>
    <w:rsid w:val="00C63176"/>
    <w:rsid w:val="00C6509F"/>
    <w:rsid w:val="00C65779"/>
    <w:rsid w:val="00C65D48"/>
    <w:rsid w:val="00C65E2E"/>
    <w:rsid w:val="00C66F25"/>
    <w:rsid w:val="00C67463"/>
    <w:rsid w:val="00C67BCA"/>
    <w:rsid w:val="00C67E0E"/>
    <w:rsid w:val="00C743B4"/>
    <w:rsid w:val="00C7530B"/>
    <w:rsid w:val="00C755BE"/>
    <w:rsid w:val="00C816DB"/>
    <w:rsid w:val="00C87053"/>
    <w:rsid w:val="00C91FA6"/>
    <w:rsid w:val="00C93F85"/>
    <w:rsid w:val="00C95CBE"/>
    <w:rsid w:val="00CA5975"/>
    <w:rsid w:val="00CB0133"/>
    <w:rsid w:val="00CB36A2"/>
    <w:rsid w:val="00CB5963"/>
    <w:rsid w:val="00CB711B"/>
    <w:rsid w:val="00CC2050"/>
    <w:rsid w:val="00CC7656"/>
    <w:rsid w:val="00CD1B84"/>
    <w:rsid w:val="00CD605F"/>
    <w:rsid w:val="00CD6E35"/>
    <w:rsid w:val="00CE2FA6"/>
    <w:rsid w:val="00CF183B"/>
    <w:rsid w:val="00CF41C9"/>
    <w:rsid w:val="00CF4C7D"/>
    <w:rsid w:val="00CF6C57"/>
    <w:rsid w:val="00CF784A"/>
    <w:rsid w:val="00D028C8"/>
    <w:rsid w:val="00D12440"/>
    <w:rsid w:val="00D23AF2"/>
    <w:rsid w:val="00D24D7E"/>
    <w:rsid w:val="00D250D7"/>
    <w:rsid w:val="00D27885"/>
    <w:rsid w:val="00D27BDE"/>
    <w:rsid w:val="00D31F68"/>
    <w:rsid w:val="00D33100"/>
    <w:rsid w:val="00D33424"/>
    <w:rsid w:val="00D346DB"/>
    <w:rsid w:val="00D34712"/>
    <w:rsid w:val="00D34FDC"/>
    <w:rsid w:val="00D37F0D"/>
    <w:rsid w:val="00D433B8"/>
    <w:rsid w:val="00D435C6"/>
    <w:rsid w:val="00D46708"/>
    <w:rsid w:val="00D52BE3"/>
    <w:rsid w:val="00D530EA"/>
    <w:rsid w:val="00D53A42"/>
    <w:rsid w:val="00D54316"/>
    <w:rsid w:val="00D54E7A"/>
    <w:rsid w:val="00D6726F"/>
    <w:rsid w:val="00D70FDC"/>
    <w:rsid w:val="00D735D5"/>
    <w:rsid w:val="00D74F76"/>
    <w:rsid w:val="00D75185"/>
    <w:rsid w:val="00D86323"/>
    <w:rsid w:val="00D8691E"/>
    <w:rsid w:val="00D92684"/>
    <w:rsid w:val="00D9307C"/>
    <w:rsid w:val="00D935CB"/>
    <w:rsid w:val="00D93936"/>
    <w:rsid w:val="00D9430A"/>
    <w:rsid w:val="00D95900"/>
    <w:rsid w:val="00D96498"/>
    <w:rsid w:val="00D967D2"/>
    <w:rsid w:val="00D96919"/>
    <w:rsid w:val="00DA1DDE"/>
    <w:rsid w:val="00DA6282"/>
    <w:rsid w:val="00DA689D"/>
    <w:rsid w:val="00DA70D5"/>
    <w:rsid w:val="00DA754C"/>
    <w:rsid w:val="00DB2C7C"/>
    <w:rsid w:val="00DB460A"/>
    <w:rsid w:val="00DC1204"/>
    <w:rsid w:val="00DC48EE"/>
    <w:rsid w:val="00DD1EF4"/>
    <w:rsid w:val="00DD30B1"/>
    <w:rsid w:val="00DD5104"/>
    <w:rsid w:val="00DD5BDB"/>
    <w:rsid w:val="00DE3F71"/>
    <w:rsid w:val="00DE5806"/>
    <w:rsid w:val="00DE5AC9"/>
    <w:rsid w:val="00DE5B39"/>
    <w:rsid w:val="00DE7D00"/>
    <w:rsid w:val="00DF0730"/>
    <w:rsid w:val="00DF2FF0"/>
    <w:rsid w:val="00DF76EA"/>
    <w:rsid w:val="00DF7F88"/>
    <w:rsid w:val="00E02D28"/>
    <w:rsid w:val="00E06897"/>
    <w:rsid w:val="00E1183E"/>
    <w:rsid w:val="00E12865"/>
    <w:rsid w:val="00E14B50"/>
    <w:rsid w:val="00E15D5B"/>
    <w:rsid w:val="00E20749"/>
    <w:rsid w:val="00E218B4"/>
    <w:rsid w:val="00E23D19"/>
    <w:rsid w:val="00E25B8C"/>
    <w:rsid w:val="00E311D5"/>
    <w:rsid w:val="00E33234"/>
    <w:rsid w:val="00E338AE"/>
    <w:rsid w:val="00E33A17"/>
    <w:rsid w:val="00E348C5"/>
    <w:rsid w:val="00E4056A"/>
    <w:rsid w:val="00E410DD"/>
    <w:rsid w:val="00E45850"/>
    <w:rsid w:val="00E463E7"/>
    <w:rsid w:val="00E469BC"/>
    <w:rsid w:val="00E5008F"/>
    <w:rsid w:val="00E524D1"/>
    <w:rsid w:val="00E559F0"/>
    <w:rsid w:val="00E57373"/>
    <w:rsid w:val="00E638E3"/>
    <w:rsid w:val="00E6584E"/>
    <w:rsid w:val="00E679A0"/>
    <w:rsid w:val="00E74481"/>
    <w:rsid w:val="00E75D87"/>
    <w:rsid w:val="00E82483"/>
    <w:rsid w:val="00E84531"/>
    <w:rsid w:val="00E84AF2"/>
    <w:rsid w:val="00E84C4E"/>
    <w:rsid w:val="00E86DF4"/>
    <w:rsid w:val="00E91E3F"/>
    <w:rsid w:val="00E9204D"/>
    <w:rsid w:val="00E97B94"/>
    <w:rsid w:val="00EA1811"/>
    <w:rsid w:val="00EB0402"/>
    <w:rsid w:val="00EB16F0"/>
    <w:rsid w:val="00EB3151"/>
    <w:rsid w:val="00EB5884"/>
    <w:rsid w:val="00EC003C"/>
    <w:rsid w:val="00EC2CD7"/>
    <w:rsid w:val="00EC34E5"/>
    <w:rsid w:val="00EC35B9"/>
    <w:rsid w:val="00ED2150"/>
    <w:rsid w:val="00EE0351"/>
    <w:rsid w:val="00EE1961"/>
    <w:rsid w:val="00EE4685"/>
    <w:rsid w:val="00EE4F3C"/>
    <w:rsid w:val="00EE4F83"/>
    <w:rsid w:val="00EE5CA2"/>
    <w:rsid w:val="00EE6C5A"/>
    <w:rsid w:val="00EE7B58"/>
    <w:rsid w:val="00EF524E"/>
    <w:rsid w:val="00F01508"/>
    <w:rsid w:val="00F02355"/>
    <w:rsid w:val="00F06131"/>
    <w:rsid w:val="00F076E7"/>
    <w:rsid w:val="00F10188"/>
    <w:rsid w:val="00F140F9"/>
    <w:rsid w:val="00F14625"/>
    <w:rsid w:val="00F147ED"/>
    <w:rsid w:val="00F14CDB"/>
    <w:rsid w:val="00F2085F"/>
    <w:rsid w:val="00F20B3B"/>
    <w:rsid w:val="00F22354"/>
    <w:rsid w:val="00F26D9D"/>
    <w:rsid w:val="00F27BAF"/>
    <w:rsid w:val="00F3332C"/>
    <w:rsid w:val="00F35437"/>
    <w:rsid w:val="00F36501"/>
    <w:rsid w:val="00F37688"/>
    <w:rsid w:val="00F438F6"/>
    <w:rsid w:val="00F43F37"/>
    <w:rsid w:val="00F4779C"/>
    <w:rsid w:val="00F506DC"/>
    <w:rsid w:val="00F507D8"/>
    <w:rsid w:val="00F51925"/>
    <w:rsid w:val="00F526BB"/>
    <w:rsid w:val="00F57F27"/>
    <w:rsid w:val="00F60C9C"/>
    <w:rsid w:val="00F63FE5"/>
    <w:rsid w:val="00F65742"/>
    <w:rsid w:val="00F670ED"/>
    <w:rsid w:val="00F675DD"/>
    <w:rsid w:val="00F73205"/>
    <w:rsid w:val="00F751D2"/>
    <w:rsid w:val="00F77811"/>
    <w:rsid w:val="00F804D9"/>
    <w:rsid w:val="00F81A56"/>
    <w:rsid w:val="00F82815"/>
    <w:rsid w:val="00F843A8"/>
    <w:rsid w:val="00F84DA3"/>
    <w:rsid w:val="00F85813"/>
    <w:rsid w:val="00F86C6A"/>
    <w:rsid w:val="00F87510"/>
    <w:rsid w:val="00F9046F"/>
    <w:rsid w:val="00FA06D1"/>
    <w:rsid w:val="00FA244C"/>
    <w:rsid w:val="00FA52EC"/>
    <w:rsid w:val="00FA6872"/>
    <w:rsid w:val="00FB42C5"/>
    <w:rsid w:val="00FB4BC6"/>
    <w:rsid w:val="00FB5D68"/>
    <w:rsid w:val="00FB688C"/>
    <w:rsid w:val="00FB7748"/>
    <w:rsid w:val="00FC125A"/>
    <w:rsid w:val="00FC1623"/>
    <w:rsid w:val="00FC4187"/>
    <w:rsid w:val="00FC452B"/>
    <w:rsid w:val="00FC4A4F"/>
    <w:rsid w:val="00FC611C"/>
    <w:rsid w:val="00FC7D72"/>
    <w:rsid w:val="00FD131E"/>
    <w:rsid w:val="00FD3345"/>
    <w:rsid w:val="00FD632F"/>
    <w:rsid w:val="00FD6CE7"/>
    <w:rsid w:val="00FD7A68"/>
    <w:rsid w:val="00FE0E5E"/>
    <w:rsid w:val="00FE19D8"/>
    <w:rsid w:val="00FE3934"/>
    <w:rsid w:val="00FE3F4F"/>
    <w:rsid w:val="00FE57E8"/>
    <w:rsid w:val="00FE5CD2"/>
    <w:rsid w:val="00FE6596"/>
    <w:rsid w:val="00FF0208"/>
    <w:rsid w:val="00FF18EB"/>
    <w:rsid w:val="00FF1E77"/>
    <w:rsid w:val="00FF3045"/>
    <w:rsid w:val="00FF445C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4506"/>
    <w:rPr>
      <w:sz w:val="24"/>
      <w:szCs w:val="24"/>
    </w:rPr>
  </w:style>
  <w:style w:type="paragraph" w:styleId="Nadpis1">
    <w:name w:val="heading 1"/>
    <w:basedOn w:val="Normln"/>
    <w:next w:val="Normln"/>
    <w:qFormat/>
    <w:rsid w:val="0062450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24506"/>
    <w:pPr>
      <w:keepNext/>
      <w:jc w:val="center"/>
      <w:outlineLvl w:val="1"/>
    </w:pPr>
    <w:rPr>
      <w:rFonts w:ascii="Garamond" w:hAnsi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45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45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506"/>
  </w:style>
  <w:style w:type="paragraph" w:styleId="Zkladntext">
    <w:name w:val="Body Text"/>
    <w:basedOn w:val="Normln"/>
    <w:rsid w:val="00624506"/>
    <w:pPr>
      <w:jc w:val="center"/>
    </w:pPr>
  </w:style>
  <w:style w:type="paragraph" w:styleId="Zkladntext2">
    <w:name w:val="Body Text 2"/>
    <w:basedOn w:val="Normln"/>
    <w:rsid w:val="00624506"/>
    <w:pPr>
      <w:jc w:val="both"/>
    </w:pPr>
    <w:rPr>
      <w:rFonts w:ascii="Garamond" w:hAnsi="Garamond"/>
    </w:rPr>
  </w:style>
  <w:style w:type="paragraph" w:styleId="Textpoznpodarou">
    <w:name w:val="footnote text"/>
    <w:basedOn w:val="Normln"/>
    <w:semiHidden/>
    <w:rsid w:val="00624506"/>
    <w:rPr>
      <w:sz w:val="20"/>
      <w:szCs w:val="20"/>
    </w:rPr>
  </w:style>
  <w:style w:type="character" w:styleId="Znakapoznpodarou">
    <w:name w:val="footnote reference"/>
    <w:semiHidden/>
    <w:rsid w:val="00624506"/>
    <w:rPr>
      <w:vertAlign w:val="superscript"/>
    </w:rPr>
  </w:style>
  <w:style w:type="paragraph" w:styleId="Titulek">
    <w:name w:val="caption"/>
    <w:basedOn w:val="Normln"/>
    <w:next w:val="Normln"/>
    <w:qFormat/>
    <w:rsid w:val="00E469BC"/>
    <w:pPr>
      <w:pBdr>
        <w:bottom w:val="single" w:sz="4" w:space="1" w:color="808080"/>
      </w:pBdr>
    </w:pPr>
    <w:rPr>
      <w:rFonts w:ascii="Calibri" w:hAnsi="Calibri"/>
      <w:b/>
      <w:bCs/>
      <w:sz w:val="18"/>
      <w:szCs w:val="18"/>
    </w:rPr>
  </w:style>
  <w:style w:type="paragraph" w:styleId="Zkladntextodsazen">
    <w:name w:val="Body Text Indent"/>
    <w:basedOn w:val="Normln"/>
    <w:rsid w:val="00624506"/>
    <w:pPr>
      <w:ind w:firstLine="360"/>
      <w:jc w:val="both"/>
    </w:pPr>
    <w:rPr>
      <w:rFonts w:ascii="Garamond" w:hAnsi="Garamond"/>
    </w:rPr>
  </w:style>
  <w:style w:type="paragraph" w:styleId="Seznamobrzk">
    <w:name w:val="table of figures"/>
    <w:basedOn w:val="Normln"/>
    <w:next w:val="Normln"/>
    <w:semiHidden/>
    <w:rsid w:val="00624506"/>
    <w:pPr>
      <w:ind w:left="480" w:hanging="480"/>
    </w:pPr>
  </w:style>
  <w:style w:type="paragraph" w:styleId="Rejstk1">
    <w:name w:val="index 1"/>
    <w:basedOn w:val="Normln"/>
    <w:next w:val="Normln"/>
    <w:autoRedefine/>
    <w:semiHidden/>
    <w:rsid w:val="00624506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2450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2450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2450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2450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2450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2450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2450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24506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24506"/>
  </w:style>
  <w:style w:type="paragraph" w:styleId="Obsah1">
    <w:name w:val="toc 1"/>
    <w:basedOn w:val="Normln"/>
    <w:next w:val="Normln"/>
    <w:autoRedefine/>
    <w:semiHidden/>
    <w:rsid w:val="00624506"/>
  </w:style>
  <w:style w:type="paragraph" w:styleId="Obsah2">
    <w:name w:val="toc 2"/>
    <w:basedOn w:val="Normln"/>
    <w:next w:val="Normln"/>
    <w:autoRedefine/>
    <w:semiHidden/>
    <w:rsid w:val="00624506"/>
    <w:pPr>
      <w:ind w:left="240"/>
    </w:pPr>
  </w:style>
  <w:style w:type="paragraph" w:styleId="Obsah3">
    <w:name w:val="toc 3"/>
    <w:basedOn w:val="Normln"/>
    <w:next w:val="Normln"/>
    <w:autoRedefine/>
    <w:semiHidden/>
    <w:rsid w:val="00624506"/>
    <w:pPr>
      <w:ind w:left="480"/>
    </w:pPr>
  </w:style>
  <w:style w:type="paragraph" w:styleId="Obsah4">
    <w:name w:val="toc 4"/>
    <w:basedOn w:val="Normln"/>
    <w:next w:val="Normln"/>
    <w:autoRedefine/>
    <w:semiHidden/>
    <w:rsid w:val="00624506"/>
    <w:pPr>
      <w:ind w:left="720"/>
    </w:pPr>
  </w:style>
  <w:style w:type="paragraph" w:styleId="Obsah5">
    <w:name w:val="toc 5"/>
    <w:basedOn w:val="Normln"/>
    <w:next w:val="Normln"/>
    <w:autoRedefine/>
    <w:semiHidden/>
    <w:rsid w:val="00624506"/>
    <w:pPr>
      <w:ind w:left="960"/>
    </w:pPr>
  </w:style>
  <w:style w:type="paragraph" w:styleId="Obsah6">
    <w:name w:val="toc 6"/>
    <w:basedOn w:val="Normln"/>
    <w:next w:val="Normln"/>
    <w:autoRedefine/>
    <w:semiHidden/>
    <w:rsid w:val="00624506"/>
    <w:pPr>
      <w:ind w:left="1200"/>
    </w:pPr>
  </w:style>
  <w:style w:type="paragraph" w:styleId="Obsah7">
    <w:name w:val="toc 7"/>
    <w:basedOn w:val="Normln"/>
    <w:next w:val="Normln"/>
    <w:autoRedefine/>
    <w:semiHidden/>
    <w:rsid w:val="00624506"/>
    <w:pPr>
      <w:ind w:left="1440"/>
    </w:pPr>
  </w:style>
  <w:style w:type="paragraph" w:styleId="Obsah8">
    <w:name w:val="toc 8"/>
    <w:basedOn w:val="Normln"/>
    <w:next w:val="Normln"/>
    <w:autoRedefine/>
    <w:semiHidden/>
    <w:rsid w:val="00624506"/>
    <w:pPr>
      <w:ind w:left="1680"/>
    </w:pPr>
  </w:style>
  <w:style w:type="paragraph" w:styleId="Obsah9">
    <w:name w:val="toc 9"/>
    <w:basedOn w:val="Normln"/>
    <w:next w:val="Normln"/>
    <w:autoRedefine/>
    <w:semiHidden/>
    <w:rsid w:val="00624506"/>
    <w:pPr>
      <w:ind w:left="1920"/>
    </w:pPr>
  </w:style>
  <w:style w:type="character" w:styleId="Hypertextovodkaz">
    <w:name w:val="Hyperlink"/>
    <w:rsid w:val="0062450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7B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D7BB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168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68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853"/>
  </w:style>
  <w:style w:type="paragraph" w:styleId="Pedmtkomente">
    <w:name w:val="annotation subject"/>
    <w:basedOn w:val="Textkomente"/>
    <w:next w:val="Textkomente"/>
    <w:link w:val="PedmtkomenteChar"/>
    <w:rsid w:val="00916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16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4506"/>
    <w:rPr>
      <w:sz w:val="24"/>
      <w:szCs w:val="24"/>
    </w:rPr>
  </w:style>
  <w:style w:type="paragraph" w:styleId="Nadpis1">
    <w:name w:val="heading 1"/>
    <w:basedOn w:val="Normln"/>
    <w:next w:val="Normln"/>
    <w:qFormat/>
    <w:rsid w:val="0062450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24506"/>
    <w:pPr>
      <w:keepNext/>
      <w:jc w:val="center"/>
      <w:outlineLvl w:val="1"/>
    </w:pPr>
    <w:rPr>
      <w:rFonts w:ascii="Garamond" w:hAnsi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45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45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506"/>
  </w:style>
  <w:style w:type="paragraph" w:styleId="Zkladntext">
    <w:name w:val="Body Text"/>
    <w:basedOn w:val="Normln"/>
    <w:rsid w:val="00624506"/>
    <w:pPr>
      <w:jc w:val="center"/>
    </w:pPr>
  </w:style>
  <w:style w:type="paragraph" w:styleId="Zkladntext2">
    <w:name w:val="Body Text 2"/>
    <w:basedOn w:val="Normln"/>
    <w:rsid w:val="00624506"/>
    <w:pPr>
      <w:jc w:val="both"/>
    </w:pPr>
    <w:rPr>
      <w:rFonts w:ascii="Garamond" w:hAnsi="Garamond"/>
    </w:rPr>
  </w:style>
  <w:style w:type="paragraph" w:styleId="Textpoznpodarou">
    <w:name w:val="footnote text"/>
    <w:basedOn w:val="Normln"/>
    <w:semiHidden/>
    <w:rsid w:val="00624506"/>
    <w:rPr>
      <w:sz w:val="20"/>
      <w:szCs w:val="20"/>
    </w:rPr>
  </w:style>
  <w:style w:type="character" w:styleId="Znakapoznpodarou">
    <w:name w:val="footnote reference"/>
    <w:semiHidden/>
    <w:rsid w:val="00624506"/>
    <w:rPr>
      <w:vertAlign w:val="superscript"/>
    </w:rPr>
  </w:style>
  <w:style w:type="paragraph" w:styleId="Titulek">
    <w:name w:val="caption"/>
    <w:basedOn w:val="Normln"/>
    <w:next w:val="Normln"/>
    <w:qFormat/>
    <w:rsid w:val="00E469BC"/>
    <w:pPr>
      <w:pBdr>
        <w:bottom w:val="single" w:sz="4" w:space="1" w:color="808080"/>
      </w:pBdr>
    </w:pPr>
    <w:rPr>
      <w:rFonts w:ascii="Calibri" w:hAnsi="Calibri"/>
      <w:b/>
      <w:bCs/>
      <w:sz w:val="18"/>
      <w:szCs w:val="18"/>
    </w:rPr>
  </w:style>
  <w:style w:type="paragraph" w:styleId="Zkladntextodsazen">
    <w:name w:val="Body Text Indent"/>
    <w:basedOn w:val="Normln"/>
    <w:rsid w:val="00624506"/>
    <w:pPr>
      <w:ind w:firstLine="360"/>
      <w:jc w:val="both"/>
    </w:pPr>
    <w:rPr>
      <w:rFonts w:ascii="Garamond" w:hAnsi="Garamond"/>
    </w:rPr>
  </w:style>
  <w:style w:type="paragraph" w:styleId="Seznamobrzk">
    <w:name w:val="table of figures"/>
    <w:basedOn w:val="Normln"/>
    <w:next w:val="Normln"/>
    <w:semiHidden/>
    <w:rsid w:val="00624506"/>
    <w:pPr>
      <w:ind w:left="480" w:hanging="480"/>
    </w:pPr>
  </w:style>
  <w:style w:type="paragraph" w:styleId="Rejstk1">
    <w:name w:val="index 1"/>
    <w:basedOn w:val="Normln"/>
    <w:next w:val="Normln"/>
    <w:autoRedefine/>
    <w:semiHidden/>
    <w:rsid w:val="00624506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2450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2450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2450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2450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2450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2450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2450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24506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24506"/>
  </w:style>
  <w:style w:type="paragraph" w:styleId="Obsah1">
    <w:name w:val="toc 1"/>
    <w:basedOn w:val="Normln"/>
    <w:next w:val="Normln"/>
    <w:autoRedefine/>
    <w:semiHidden/>
    <w:rsid w:val="00624506"/>
  </w:style>
  <w:style w:type="paragraph" w:styleId="Obsah2">
    <w:name w:val="toc 2"/>
    <w:basedOn w:val="Normln"/>
    <w:next w:val="Normln"/>
    <w:autoRedefine/>
    <w:semiHidden/>
    <w:rsid w:val="00624506"/>
    <w:pPr>
      <w:ind w:left="240"/>
    </w:pPr>
  </w:style>
  <w:style w:type="paragraph" w:styleId="Obsah3">
    <w:name w:val="toc 3"/>
    <w:basedOn w:val="Normln"/>
    <w:next w:val="Normln"/>
    <w:autoRedefine/>
    <w:semiHidden/>
    <w:rsid w:val="00624506"/>
    <w:pPr>
      <w:ind w:left="480"/>
    </w:pPr>
  </w:style>
  <w:style w:type="paragraph" w:styleId="Obsah4">
    <w:name w:val="toc 4"/>
    <w:basedOn w:val="Normln"/>
    <w:next w:val="Normln"/>
    <w:autoRedefine/>
    <w:semiHidden/>
    <w:rsid w:val="00624506"/>
    <w:pPr>
      <w:ind w:left="720"/>
    </w:pPr>
  </w:style>
  <w:style w:type="paragraph" w:styleId="Obsah5">
    <w:name w:val="toc 5"/>
    <w:basedOn w:val="Normln"/>
    <w:next w:val="Normln"/>
    <w:autoRedefine/>
    <w:semiHidden/>
    <w:rsid w:val="00624506"/>
    <w:pPr>
      <w:ind w:left="960"/>
    </w:pPr>
  </w:style>
  <w:style w:type="paragraph" w:styleId="Obsah6">
    <w:name w:val="toc 6"/>
    <w:basedOn w:val="Normln"/>
    <w:next w:val="Normln"/>
    <w:autoRedefine/>
    <w:semiHidden/>
    <w:rsid w:val="00624506"/>
    <w:pPr>
      <w:ind w:left="1200"/>
    </w:pPr>
  </w:style>
  <w:style w:type="paragraph" w:styleId="Obsah7">
    <w:name w:val="toc 7"/>
    <w:basedOn w:val="Normln"/>
    <w:next w:val="Normln"/>
    <w:autoRedefine/>
    <w:semiHidden/>
    <w:rsid w:val="00624506"/>
    <w:pPr>
      <w:ind w:left="1440"/>
    </w:pPr>
  </w:style>
  <w:style w:type="paragraph" w:styleId="Obsah8">
    <w:name w:val="toc 8"/>
    <w:basedOn w:val="Normln"/>
    <w:next w:val="Normln"/>
    <w:autoRedefine/>
    <w:semiHidden/>
    <w:rsid w:val="00624506"/>
    <w:pPr>
      <w:ind w:left="1680"/>
    </w:pPr>
  </w:style>
  <w:style w:type="paragraph" w:styleId="Obsah9">
    <w:name w:val="toc 9"/>
    <w:basedOn w:val="Normln"/>
    <w:next w:val="Normln"/>
    <w:autoRedefine/>
    <w:semiHidden/>
    <w:rsid w:val="00624506"/>
    <w:pPr>
      <w:ind w:left="1920"/>
    </w:pPr>
  </w:style>
  <w:style w:type="character" w:styleId="Hypertextovodkaz">
    <w:name w:val="Hyperlink"/>
    <w:rsid w:val="0062450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7B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D7BB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168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68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853"/>
  </w:style>
  <w:style w:type="paragraph" w:styleId="Pedmtkomente">
    <w:name w:val="annotation subject"/>
    <w:basedOn w:val="Textkomente"/>
    <w:next w:val="Textkomente"/>
    <w:link w:val="PedmtkomenteChar"/>
    <w:rsid w:val="00916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16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package" Target="embeddings/Microsoft_Excel_Worksheet1.xlsx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/csu/redakce.nsf/i/statistika_vyzkumu_a_vyvoje" TargetMode="External"/><Relationship Id="rId1" Type="http://schemas.openxmlformats.org/officeDocument/2006/relationships/hyperlink" Target="http://www.msmt.cz/strukturalni-fond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PRACOVNI\02_Statistick&#233;%20&#250;lohy\00_GBOARD\02_IS%20VaV_GBAORD\06_V&#253;stupy%20z%20projektu\01_Publikace\GBAORD%202013\01_TEXTY\CZ\ANAL&#221;ZA\GBAORD2013_ANAL_v02_2015-01-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PRACOVNI\02_Statistick&#233;%20&#250;lohy\00_GBOARD\02_IS%20VaV_GBAORD\06_V&#253;stupy%20z%20projektu\01_Publikace\GBAORD%202013\01_TEXTY\CZ\ANAL&#221;ZA\GBAORD2013_ANAL_v02_2015-01-0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PRACOVNI\02_Statistick&#233;%20&#250;lohy\00_GBOARD\02_IS%20VaV_GBAORD\06_V&#253;stupy%20z%20projektu\01_Publikace\GBAORD%202013\01_TEXTY\CZ\ANAL&#221;ZA\GBAORD2013_ANAL_v02_2015-01-0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GBAORD%202013\01_TEXTY\CZ\ANAL&#221;ZA\GBAORD2013_ANAL_v02_2015-01-0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PRACOVNI\02_Statistick&#233;%20&#250;lohy\00_GBOARD\02_IS%20VaV_GBAORD\06_V&#253;stupy%20z%20projektu\01_Publikace\GBAORD%202013\01_TEXTY\CZ\ANAL&#221;ZA\GBAORD2013_ANAL_v02_2015-01-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'GRAF1-1 (2)'!$A$4</c:f>
              <c:strCache>
                <c:ptCount val="1"/>
                <c:pt idx="0">
                  <c:v>mld. Kč</c:v>
                </c:pt>
              </c:strCache>
            </c:strRef>
          </c:tx>
          <c:invertIfNegative val="0"/>
          <c:cat>
            <c:numRef>
              <c:f>'GRAF1-1 (2)'!$B$3:$O$3</c:f>
              <c:numCache>
                <c:formatCode>@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'GRAF1-1 (2)'!$B$4:$O$4</c:f>
              <c:numCache>
                <c:formatCode>0.0</c:formatCode>
                <c:ptCount val="14"/>
                <c:pt idx="0">
                  <c:v>11.895704</c:v>
                </c:pt>
                <c:pt idx="1">
                  <c:v>12.609980929999999</c:v>
                </c:pt>
                <c:pt idx="2">
                  <c:v>12.276076160000001</c:v>
                </c:pt>
                <c:pt idx="3">
                  <c:v>13.424991749999998</c:v>
                </c:pt>
                <c:pt idx="4">
                  <c:v>14.174552649999999</c:v>
                </c:pt>
                <c:pt idx="5">
                  <c:v>16.442694750000001</c:v>
                </c:pt>
                <c:pt idx="6">
                  <c:v>18.307698160000001</c:v>
                </c:pt>
                <c:pt idx="7">
                  <c:v>20.475804380000003</c:v>
                </c:pt>
                <c:pt idx="8">
                  <c:v>20.489574149999996</c:v>
                </c:pt>
                <c:pt idx="9">
                  <c:v>23.005164500000006</c:v>
                </c:pt>
                <c:pt idx="10">
                  <c:v>22.602125440000009</c:v>
                </c:pt>
                <c:pt idx="11">
                  <c:v>25.77805846</c:v>
                </c:pt>
                <c:pt idx="12">
                  <c:v>26.153504999999999</c:v>
                </c:pt>
                <c:pt idx="13">
                  <c:v>26.7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1"/>
        <c:axId val="104571264"/>
        <c:axId val="104572800"/>
      </c:barChart>
      <c:lineChart>
        <c:grouping val="standard"/>
        <c:varyColors val="0"/>
        <c:ser>
          <c:idx val="1"/>
          <c:order val="1"/>
          <c:tx>
            <c:strRef>
              <c:f>'GRAF1-1 (2)'!$A$5</c:f>
              <c:strCache>
                <c:ptCount val="1"/>
                <c:pt idx="0">
                  <c:v>podíl na HDP (po revizi ESA 2010)</c:v>
                </c:pt>
              </c:strCache>
            </c:strRef>
          </c:tx>
          <c:val>
            <c:numRef>
              <c:f>'GRAF1-1 (2)'!$B$5:$O$5</c:f>
              <c:numCache>
                <c:formatCode>0.00%</c:formatCode>
                <c:ptCount val="14"/>
                <c:pt idx="0">
                  <c:v>5.0137206391219873E-3</c:v>
                </c:pt>
                <c:pt idx="1">
                  <c:v>4.9206244441851663E-3</c:v>
                </c:pt>
                <c:pt idx="2">
                  <c:v>4.5898153392202445E-3</c:v>
                </c:pt>
                <c:pt idx="3">
                  <c:v>4.7926492496152481E-3</c:v>
                </c:pt>
                <c:pt idx="4">
                  <c:v>4.6357517349868852E-3</c:v>
                </c:pt>
                <c:pt idx="5">
                  <c:v>5.0469110078294101E-3</c:v>
                </c:pt>
                <c:pt idx="6">
                  <c:v>5.2201352501517629E-3</c:v>
                </c:pt>
                <c:pt idx="7">
                  <c:v>5.3436251503528754E-3</c:v>
                </c:pt>
                <c:pt idx="8">
                  <c:v>5.1028165816843669E-3</c:v>
                </c:pt>
                <c:pt idx="9">
                  <c:v>5.8659304706709416E-3</c:v>
                </c:pt>
                <c:pt idx="10">
                  <c:v>5.7167730383890763E-3</c:v>
                </c:pt>
                <c:pt idx="11">
                  <c:v>6.4086103753719778E-3</c:v>
                </c:pt>
                <c:pt idx="12">
                  <c:v>6.4613648576034386E-3</c:v>
                </c:pt>
                <c:pt idx="13">
                  <c:v>6.534092299559988E-3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'GRAF1-1 (2)'!$A$6</c:f>
              <c:strCache>
                <c:ptCount val="1"/>
                <c:pt idx="0">
                  <c:v>podíl na státním rozpočtu ČR</c:v>
                </c:pt>
              </c:strCache>
            </c:strRef>
          </c:tx>
          <c:val>
            <c:numRef>
              <c:f>'GRAF1-1 (2)'!$B$6:$O$6</c:f>
              <c:numCache>
                <c:formatCode>0.00%</c:formatCode>
                <c:ptCount val="14"/>
                <c:pt idx="0">
                  <c:v>1.8814338223664649E-2</c:v>
                </c:pt>
                <c:pt idx="1">
                  <c:v>1.8172069918621858E-2</c:v>
                </c:pt>
                <c:pt idx="2">
                  <c:v>1.6351575554306448E-2</c:v>
                </c:pt>
                <c:pt idx="3">
                  <c:v>1.6600337509490328E-2</c:v>
                </c:pt>
                <c:pt idx="4">
                  <c:v>1.6426798081335785E-2</c:v>
                </c:pt>
                <c:pt idx="5">
                  <c:v>1.781633410987106E-2</c:v>
                </c:pt>
                <c:pt idx="6">
                  <c:v>1.7937644552874207E-2</c:v>
                </c:pt>
                <c:pt idx="7">
                  <c:v>1.8746101586604048E-2</c:v>
                </c:pt>
                <c:pt idx="8">
                  <c:v>1.8902797699881173E-2</c:v>
                </c:pt>
                <c:pt idx="9">
                  <c:v>1.9712928092242652E-2</c:v>
                </c:pt>
                <c:pt idx="10">
                  <c:v>1.9538600253334943E-2</c:v>
                </c:pt>
                <c:pt idx="11">
                  <c:v>2.2308501836158495E-2</c:v>
                </c:pt>
                <c:pt idx="12">
                  <c:v>2.269507754029854E-2</c:v>
                </c:pt>
                <c:pt idx="13">
                  <c:v>2.2759668193463346E-2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'GRAF1-1 (2)'!$A$7</c:f>
              <c:strCache>
                <c:ptCount val="1"/>
                <c:pt idx="0">
                  <c:v>podíl na veřejných rozpočtech ČR</c:v>
                </c:pt>
              </c:strCache>
            </c:strRef>
          </c:tx>
          <c:val>
            <c:numRef>
              <c:f>'GRAF1-1 (2)'!$B$7:$O$7</c:f>
              <c:numCache>
                <c:formatCode>0.00%</c:formatCode>
                <c:ptCount val="14"/>
                <c:pt idx="0">
                  <c:v>1.258465070272043E-2</c:v>
                </c:pt>
                <c:pt idx="1">
                  <c:v>1.1731087829791983E-2</c:v>
                </c:pt>
                <c:pt idx="2">
                  <c:v>1.0485687040570712E-2</c:v>
                </c:pt>
                <c:pt idx="3">
                  <c:v>9.9888628760799857E-3</c:v>
                </c:pt>
                <c:pt idx="4">
                  <c:v>1.1181138303410847E-2</c:v>
                </c:pt>
                <c:pt idx="5">
                  <c:v>1.226954148984832E-2</c:v>
                </c:pt>
                <c:pt idx="6">
                  <c:v>1.3011932653538434E-2</c:v>
                </c:pt>
                <c:pt idx="7">
                  <c:v>1.3622265511641508E-2</c:v>
                </c:pt>
                <c:pt idx="8">
                  <c:v>1.293920100509811E-2</c:v>
                </c:pt>
                <c:pt idx="9">
                  <c:v>1.3697211040331617E-2</c:v>
                </c:pt>
                <c:pt idx="10">
                  <c:v>1.3601202955395866E-2</c:v>
                </c:pt>
                <c:pt idx="11">
                  <c:v>1.5594994742796298E-2</c:v>
                </c:pt>
                <c:pt idx="12">
                  <c:v>1.5296630045456778E-2</c:v>
                </c:pt>
                <c:pt idx="13">
                  <c:v>1.5552244474293361E-2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584704"/>
        <c:axId val="104583168"/>
      </c:lineChart>
      <c:catAx>
        <c:axId val="10457126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104572800"/>
        <c:crosses val="autoZero"/>
        <c:auto val="1"/>
        <c:lblAlgn val="ctr"/>
        <c:lblOffset val="100"/>
        <c:noMultiLvlLbl val="0"/>
      </c:catAx>
      <c:valAx>
        <c:axId val="10457280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mld. Kč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04571264"/>
        <c:crosses val="autoZero"/>
        <c:crossBetween val="between"/>
      </c:valAx>
      <c:valAx>
        <c:axId val="104583168"/>
        <c:scaling>
          <c:orientation val="minMax"/>
        </c:scaling>
        <c:delete val="0"/>
        <c:axPos val="r"/>
        <c:numFmt formatCode="0.0%" sourceLinked="0"/>
        <c:majorTickMark val="out"/>
        <c:minorTickMark val="none"/>
        <c:tickLblPos val="nextTo"/>
        <c:crossAx val="104584704"/>
        <c:crosses val="max"/>
        <c:crossBetween val="between"/>
        <c:majorUnit val="5.0000000000000044E-3"/>
      </c:valAx>
      <c:catAx>
        <c:axId val="104584704"/>
        <c:scaling>
          <c:orientation val="minMax"/>
        </c:scaling>
        <c:delete val="1"/>
        <c:axPos val="b"/>
        <c:numFmt formatCode="@" sourceLinked="1"/>
        <c:majorTickMark val="out"/>
        <c:minorTickMark val="none"/>
        <c:tickLblPos val="none"/>
        <c:crossAx val="104583168"/>
        <c:crosses val="autoZero"/>
        <c:auto val="1"/>
        <c:lblAlgn val="ctr"/>
        <c:lblOffset val="100"/>
        <c:noMultiLvlLbl val="0"/>
      </c:cat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'GRAF1-2'!$A$8</c:f>
              <c:strCache>
                <c:ptCount val="1"/>
                <c:pt idx="0">
                  <c:v>Institucionální</c:v>
                </c:pt>
              </c:strCache>
            </c:strRef>
          </c:tx>
          <c:invertIfNegative val="0"/>
          <c:cat>
            <c:strRef>
              <c:f>'GRAF1-2'!$B$7:$O$7</c:f>
              <c:strCach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strCache>
            </c:strRef>
          </c:cat>
          <c:val>
            <c:numRef>
              <c:f>'GRAF1-2'!$B$8:$O$8</c:f>
              <c:numCache>
                <c:formatCode>#,##0.0</c:formatCode>
                <c:ptCount val="14"/>
                <c:pt idx="0">
                  <c:v>6.4558239999999971</c:v>
                </c:pt>
                <c:pt idx="1">
                  <c:v>6.9897310000000115</c:v>
                </c:pt>
                <c:pt idx="2">
                  <c:v>7.1280489999999963</c:v>
                </c:pt>
                <c:pt idx="3">
                  <c:v>7.6714340000000005</c:v>
                </c:pt>
                <c:pt idx="4">
                  <c:v>7.7702130000000054</c:v>
                </c:pt>
                <c:pt idx="5">
                  <c:v>9.3470840099999926</c:v>
                </c:pt>
                <c:pt idx="6">
                  <c:v>9.8633000100000103</c:v>
                </c:pt>
                <c:pt idx="7">
                  <c:v>11.321539000000005</c:v>
                </c:pt>
                <c:pt idx="8">
                  <c:v>11.041636000000009</c:v>
                </c:pt>
                <c:pt idx="9">
                  <c:v>11.815813</c:v>
                </c:pt>
                <c:pt idx="10">
                  <c:v>11.588380000000004</c:v>
                </c:pt>
                <c:pt idx="11">
                  <c:v>11.672818259999996</c:v>
                </c:pt>
                <c:pt idx="12">
                  <c:v>12.449922553099999</c:v>
                </c:pt>
                <c:pt idx="13">
                  <c:v>13.143822395030012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1"/>
        <c:axId val="105074048"/>
        <c:axId val="105096320"/>
      </c:barChart>
      <c:barChart>
        <c:barDir val="col"/>
        <c:grouping val="clustered"/>
        <c:varyColors val="0"/>
        <c:ser>
          <c:idx val="1"/>
          <c:order val="1"/>
          <c:tx>
            <c:strRef>
              <c:f>'GRAF1-2'!$A$9</c:f>
              <c:strCache>
                <c:ptCount val="1"/>
                <c:pt idx="0">
                  <c:v>Účelové</c:v>
                </c:pt>
              </c:strCache>
            </c:strRef>
          </c:tx>
          <c:invertIfNegative val="0"/>
          <c:cat>
            <c:strRef>
              <c:f>'GRAF1-2'!$B$7:$O$7</c:f>
              <c:strCach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strCache>
            </c:strRef>
          </c:cat>
          <c:val>
            <c:numRef>
              <c:f>'GRAF1-2'!$B$9:$O$9</c:f>
              <c:numCache>
                <c:formatCode>#,##0.0</c:formatCode>
                <c:ptCount val="14"/>
                <c:pt idx="0">
                  <c:v>5.4048799999999844</c:v>
                </c:pt>
                <c:pt idx="1">
                  <c:v>5.5852500000000465</c:v>
                </c:pt>
                <c:pt idx="2">
                  <c:v>5.1390260000000101</c:v>
                </c:pt>
                <c:pt idx="3">
                  <c:v>5.7525149999999812</c:v>
                </c:pt>
                <c:pt idx="4">
                  <c:v>6.3912399999999803</c:v>
                </c:pt>
                <c:pt idx="5">
                  <c:v>7.09401200000001</c:v>
                </c:pt>
                <c:pt idx="6">
                  <c:v>8.4443979999999836</c:v>
                </c:pt>
                <c:pt idx="7">
                  <c:v>9.1542630000000056</c:v>
                </c:pt>
                <c:pt idx="8">
                  <c:v>9.4479379999999491</c:v>
                </c:pt>
                <c:pt idx="9">
                  <c:v>11.189353999999978</c:v>
                </c:pt>
                <c:pt idx="10">
                  <c:v>11.013745000000064</c:v>
                </c:pt>
                <c:pt idx="11">
                  <c:v>14.161721999999992</c:v>
                </c:pt>
                <c:pt idx="12">
                  <c:v>13.700979999999948</c:v>
                </c:pt>
                <c:pt idx="13">
                  <c:v>13.561315999999993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104128"/>
        <c:axId val="105098240"/>
      </c:barChart>
      <c:catAx>
        <c:axId val="105074048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105096320"/>
        <c:crosses val="autoZero"/>
        <c:auto val="1"/>
        <c:lblAlgn val="ctr"/>
        <c:lblOffset val="100"/>
        <c:noMultiLvlLbl val="0"/>
      </c:catAx>
      <c:valAx>
        <c:axId val="10509632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mld. Kč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05074048"/>
        <c:crosses val="autoZero"/>
        <c:crossBetween val="between"/>
      </c:valAx>
      <c:valAx>
        <c:axId val="105098240"/>
        <c:scaling>
          <c:orientation val="minMax"/>
        </c:scaling>
        <c:delete val="1"/>
        <c:axPos val="r"/>
        <c:numFmt formatCode="0.0%" sourceLinked="0"/>
        <c:majorTickMark val="out"/>
        <c:minorTickMark val="none"/>
        <c:tickLblPos val="nextTo"/>
        <c:crossAx val="105104128"/>
        <c:crosses val="max"/>
        <c:crossBetween val="between"/>
        <c:majorUnit val="5.0000000000000044E-3"/>
      </c:valAx>
      <c:catAx>
        <c:axId val="105104128"/>
        <c:scaling>
          <c:orientation val="minMax"/>
        </c:scaling>
        <c:delete val="1"/>
        <c:axPos val="b"/>
        <c:numFmt formatCode="@" sourceLinked="1"/>
        <c:majorTickMark val="out"/>
        <c:minorTickMark val="none"/>
        <c:tickLblPos val="none"/>
        <c:crossAx val="105098240"/>
        <c:crosses val="autoZero"/>
        <c:auto val="1"/>
        <c:lblAlgn val="ctr"/>
        <c:lblOffset val="100"/>
        <c:noMultiLvlLbl val="0"/>
      </c:cat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575996732026218"/>
          <c:y val="4.4011236876640533E-2"/>
          <c:w val="0.57272794117647063"/>
          <c:h val="0.933118438320210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'GRAF1-3'!$B$4</c:f>
              <c:strCache>
                <c:ptCount val="1"/>
                <c:pt idx="0">
                  <c:v>mil. Kč</c:v>
                </c:pt>
              </c:strCache>
            </c:strRef>
          </c:tx>
          <c:invertIfNegative val="0"/>
          <c:dLbls>
            <c:numFmt formatCode="#,##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'GRAF1-3'!$A$5:$A$16</c:f>
              <c:strCache>
                <c:ptCount val="12"/>
                <c:pt idx="0">
                  <c:v>Úřad vlády ČR (0,1%)</c:v>
                </c:pt>
                <c:pt idx="1">
                  <c:v>Ministerstvo obrany (1,4%)</c:v>
                </c:pt>
                <c:pt idx="2">
                  <c:v>Ministerstvo kultury (1,8%)</c:v>
                </c:pt>
                <c:pt idx="3">
                  <c:v>Ministerstvo vnitra (2,4%)</c:v>
                </c:pt>
                <c:pt idx="4">
                  <c:v>Nespecifikováno (2,5%)</c:v>
                </c:pt>
                <c:pt idx="5">
                  <c:v>Ministerstvo zemědělství (2,9%)</c:v>
                </c:pt>
                <c:pt idx="6">
                  <c:v>Ministerstvo zdravotnictví (4,6%)</c:v>
                </c:pt>
                <c:pt idx="7">
                  <c:v>Ministerstvo průmyslu a obchodu (9,5%)</c:v>
                </c:pt>
                <c:pt idx="8">
                  <c:v>Technologická agentura (9,8%)</c:v>
                </c:pt>
                <c:pt idx="9">
                  <c:v>Grantová agentura ČR (12,2%)</c:v>
                </c:pt>
                <c:pt idx="10">
                  <c:v>Akademie věd ČR (16,7%)</c:v>
                </c:pt>
                <c:pt idx="11">
                  <c:v>MŠMT (36,1%)</c:v>
                </c:pt>
              </c:strCache>
            </c:strRef>
          </c:cat>
          <c:val>
            <c:numRef>
              <c:f>'GRAF1-3'!$B$5:$B$16</c:f>
              <c:numCache>
                <c:formatCode>General</c:formatCode>
                <c:ptCount val="12"/>
                <c:pt idx="0">
                  <c:v>38.892000000000003</c:v>
                </c:pt>
                <c:pt idx="1">
                  <c:v>369.30799999999999</c:v>
                </c:pt>
                <c:pt idx="2">
                  <c:v>473.91500000000002</c:v>
                </c:pt>
                <c:pt idx="3">
                  <c:v>631.18100000000004</c:v>
                </c:pt>
                <c:pt idx="4">
                  <c:v>669.01226999999994</c:v>
                </c:pt>
                <c:pt idx="5">
                  <c:v>768.47199999999998</c:v>
                </c:pt>
                <c:pt idx="6">
                  <c:v>1235.9760000000001</c:v>
                </c:pt>
                <c:pt idx="7">
                  <c:v>2548.3609999999999</c:v>
                </c:pt>
                <c:pt idx="8">
                  <c:v>2625.81601</c:v>
                </c:pt>
                <c:pt idx="9">
                  <c:v>3258.0129900000002</c:v>
                </c:pt>
                <c:pt idx="10">
                  <c:v>4449.174</c:v>
                </c:pt>
                <c:pt idx="11">
                  <c:v>9637.0181250000005</c:v>
                </c:pt>
              </c:numCache>
            </c:numRef>
          </c:val>
        </c:ser>
        <c:ser>
          <c:idx val="1"/>
          <c:order val="1"/>
          <c:tx>
            <c:strRef>
              <c:f>'GRAF1-3'!$C$4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'GRAF1-3'!$A$5:$A$16</c:f>
              <c:strCache>
                <c:ptCount val="12"/>
                <c:pt idx="0">
                  <c:v>Úřad vlády ČR (0,1%)</c:v>
                </c:pt>
                <c:pt idx="1">
                  <c:v>Ministerstvo obrany (1,4%)</c:v>
                </c:pt>
                <c:pt idx="2">
                  <c:v>Ministerstvo kultury (1,8%)</c:v>
                </c:pt>
                <c:pt idx="3">
                  <c:v>Ministerstvo vnitra (2,4%)</c:v>
                </c:pt>
                <c:pt idx="4">
                  <c:v>Nespecifikováno (2,5%)</c:v>
                </c:pt>
                <c:pt idx="5">
                  <c:v>Ministerstvo zemědělství (2,9%)</c:v>
                </c:pt>
                <c:pt idx="6">
                  <c:v>Ministerstvo zdravotnictví (4,6%)</c:v>
                </c:pt>
                <c:pt idx="7">
                  <c:v>Ministerstvo průmyslu a obchodu (9,5%)</c:v>
                </c:pt>
                <c:pt idx="8">
                  <c:v>Technologická agentura (9,8%)</c:v>
                </c:pt>
                <c:pt idx="9">
                  <c:v>Grantová agentura ČR (12,2%)</c:v>
                </c:pt>
                <c:pt idx="10">
                  <c:v>Akademie věd ČR (16,7%)</c:v>
                </c:pt>
                <c:pt idx="11">
                  <c:v>MŠMT (36,1%)</c:v>
                </c:pt>
              </c:strCache>
            </c:strRef>
          </c:cat>
          <c:val>
            <c:numRef>
              <c:f>'GRAF1-3'!$C$5:$C$16</c:f>
              <c:numCache>
                <c:formatCode>0.0%</c:formatCode>
                <c:ptCount val="12"/>
                <c:pt idx="0">
                  <c:v>1.4563489402188616E-3</c:v>
                </c:pt>
                <c:pt idx="1">
                  <c:v>1.3829098899885511E-2</c:v>
                </c:pt>
                <c:pt idx="2">
                  <c:v>1.774621022328041E-2</c:v>
                </c:pt>
                <c:pt idx="3">
                  <c:v>2.3635189253221261E-2</c:v>
                </c:pt>
                <c:pt idx="4">
                  <c:v>2.505181812218232E-2</c:v>
                </c:pt>
                <c:pt idx="5">
                  <c:v>2.8776184891182475E-2</c:v>
                </c:pt>
                <c:pt idx="6">
                  <c:v>4.6282328955465073E-2</c:v>
                </c:pt>
                <c:pt idx="7">
                  <c:v>9.5425867572896172E-2</c:v>
                </c:pt>
                <c:pt idx="8">
                  <c:v>9.8326246101337528E-2</c:v>
                </c:pt>
                <c:pt idx="9">
                  <c:v>0.1219994797183427</c:v>
                </c:pt>
                <c:pt idx="10">
                  <c:v>0.16660366758586118</c:v>
                </c:pt>
                <c:pt idx="11">
                  <c:v>0.36086755973500234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22201984"/>
        <c:axId val="122203520"/>
      </c:barChart>
      <c:catAx>
        <c:axId val="122201984"/>
        <c:scaling>
          <c:orientation val="minMax"/>
        </c:scaling>
        <c:delete val="0"/>
        <c:axPos val="l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  <c:max val="10000"/>
        </c:scaling>
        <c:delete val="1"/>
        <c:axPos val="b"/>
        <c:numFmt formatCode="#,##0" sourceLinked="0"/>
        <c:majorTickMark val="out"/>
        <c:minorTickMark val="none"/>
        <c:tickLblPos val="none"/>
        <c:crossAx val="122201984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34820261437921"/>
          <c:y val="0"/>
          <c:w val="0.57272794117647063"/>
          <c:h val="0.9331184383202100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'GRAF1-3'!$C$10</c:f>
              <c:strCache>
                <c:ptCount val="1"/>
                <c:pt idx="0">
                  <c:v>Institucionální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2"/>
              <c:layout>
                <c:manualLayout>
                  <c:x val="1.24509803921568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'GRAF1-3'!$B$11:$B$15</c:f>
              <c:strCache>
                <c:ptCount val="5"/>
                <c:pt idx="0">
                  <c:v>Soukromý neziskový (0,7%)</c:v>
                </c:pt>
                <c:pt idx="1">
                  <c:v>Zahraničí, nerozlišeno (4%)</c:v>
                </c:pt>
                <c:pt idx="2">
                  <c:v>Podnikatelský (19,1%)</c:v>
                </c:pt>
                <c:pt idx="3">
                  <c:v>Vládní (33,7%)</c:v>
                </c:pt>
                <c:pt idx="4">
                  <c:v>Vysokoškolský (42,5%)</c:v>
                </c:pt>
              </c:strCache>
            </c:strRef>
          </c:cat>
          <c:val>
            <c:numRef>
              <c:f>'GRAF1-3'!$C$11:$C$15</c:f>
              <c:numCache>
                <c:formatCode>#,##0</c:formatCode>
                <c:ptCount val="5"/>
                <c:pt idx="0">
                  <c:v>4.4980000000000002</c:v>
                </c:pt>
                <c:pt idx="1">
                  <c:v>1065.0212700000002</c:v>
                </c:pt>
                <c:pt idx="2">
                  <c:v>345.34100000000007</c:v>
                </c:pt>
                <c:pt idx="3">
                  <c:v>5369.1100000000024</c:v>
                </c:pt>
                <c:pt idx="4">
                  <c:v>6359.8521250300018</c:v>
                </c:pt>
              </c:numCache>
            </c:numRef>
          </c:val>
        </c:ser>
        <c:ser>
          <c:idx val="1"/>
          <c:order val="1"/>
          <c:tx>
            <c:strRef>
              <c:f>'GRAF1-3'!$D$10</c:f>
              <c:strCache>
                <c:ptCount val="1"/>
                <c:pt idx="0">
                  <c:v>Účelová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01307189542485E-2"/>
                  <c:y val="-4.273504273504282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'GRAF1-3'!$B$11:$B$15</c:f>
              <c:strCache>
                <c:ptCount val="5"/>
                <c:pt idx="0">
                  <c:v>Soukromý neziskový (0,7%)</c:v>
                </c:pt>
                <c:pt idx="1">
                  <c:v>Zahraničí, nerozlišeno (4%)</c:v>
                </c:pt>
                <c:pt idx="2">
                  <c:v>Podnikatelský (19,1%)</c:v>
                </c:pt>
                <c:pt idx="3">
                  <c:v>Vládní (33,7%)</c:v>
                </c:pt>
                <c:pt idx="4">
                  <c:v>Vysokoškolský (42,5%)</c:v>
                </c:pt>
              </c:strCache>
            </c:strRef>
          </c:cat>
          <c:val>
            <c:numRef>
              <c:f>'GRAF1-3'!$D$11:$D$15</c:f>
              <c:numCache>
                <c:formatCode>#,##0</c:formatCode>
                <c:ptCount val="5"/>
                <c:pt idx="0">
                  <c:v>190.07259290569618</c:v>
                </c:pt>
                <c:pt idx="1">
                  <c:v>0.56600000000000017</c:v>
                </c:pt>
                <c:pt idx="2">
                  <c:v>4754.3867086088276</c:v>
                </c:pt>
                <c:pt idx="3">
                  <c:v>3632.5165137151339</c:v>
                </c:pt>
                <c:pt idx="4">
                  <c:v>4983.7741847703401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25743488"/>
        <c:axId val="125745024"/>
      </c:barChart>
      <c:catAx>
        <c:axId val="125743488"/>
        <c:scaling>
          <c:orientation val="minMax"/>
        </c:scaling>
        <c:delete val="0"/>
        <c:axPos val="l"/>
        <c:majorTickMark val="out"/>
        <c:minorTickMark val="none"/>
        <c:tickLblPos val="nextTo"/>
        <c:crossAx val="125745024"/>
        <c:crosses val="autoZero"/>
        <c:auto val="1"/>
        <c:lblAlgn val="ctr"/>
        <c:lblOffset val="100"/>
        <c:noMultiLvlLbl val="0"/>
      </c:catAx>
      <c:valAx>
        <c:axId val="125745024"/>
        <c:scaling>
          <c:orientation val="minMax"/>
        </c:scaling>
        <c:delete val="0"/>
        <c:axPos val="b"/>
        <c:numFmt formatCode="#,##0" sourceLinked="0"/>
        <c:majorTickMark val="out"/>
        <c:minorTickMark val="none"/>
        <c:tickLblPos val="nextTo"/>
        <c:crossAx val="12574348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446111111111109"/>
          <c:y val="0.12482905982905983"/>
          <c:w val="0.29037532679738565"/>
          <c:h val="0.75944316239316234"/>
        </c:manualLayout>
      </c:layout>
      <c:pieChart>
        <c:varyColors val="1"/>
        <c:ser>
          <c:idx val="0"/>
          <c:order val="0"/>
          <c:tx>
            <c:strRef>
              <c:f>'GRAF1-5 (2)'!$C$50</c:f>
              <c:strCache>
                <c:ptCount val="1"/>
                <c:pt idx="0">
                  <c:v>Počet příjemců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'GRAF1-5 (2)'!$B$51:$B$56</c:f>
              <c:strCache>
                <c:ptCount val="6"/>
                <c:pt idx="0">
                  <c:v>Podniky (77,3%)</c:v>
                </c:pt>
                <c:pt idx="1">
                  <c:v>Ostatní (11%)</c:v>
                </c:pt>
                <c:pt idx="2">
                  <c:v>Veřejné výzkumné instituce (5,1%)</c:v>
                </c:pt>
                <c:pt idx="3">
                  <c:v>Ostatní vládní a veřejné organizace (4%)</c:v>
                </c:pt>
                <c:pt idx="4">
                  <c:v>Veřejné a státní vysoké školy (1,9%)</c:v>
                </c:pt>
                <c:pt idx="5">
                  <c:v>Fakultní nemocnice (0,6%)</c:v>
                </c:pt>
              </c:strCache>
            </c:strRef>
          </c:cat>
          <c:val>
            <c:numRef>
              <c:f>'GRAF1-5 (2)'!$C$51:$C$56</c:f>
              <c:numCache>
                <c:formatCode>General</c:formatCode>
                <c:ptCount val="6"/>
                <c:pt idx="0">
                  <c:v>1070</c:v>
                </c:pt>
                <c:pt idx="1">
                  <c:v>152</c:v>
                </c:pt>
                <c:pt idx="2">
                  <c:v>71</c:v>
                </c:pt>
                <c:pt idx="3">
                  <c:v>56</c:v>
                </c:pt>
                <c:pt idx="4">
                  <c:v>27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l"/>
      <c:layout>
        <c:manualLayout>
          <c:xMode val="edge"/>
          <c:yMode val="edge"/>
          <c:x val="1.2450980392156863E-2"/>
          <c:y val="0.17096495726495725"/>
          <c:w val="0.33682450980392159"/>
          <c:h val="0.69063418803418808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C1F1-D114-4063-958E-2D4BEBD0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2153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GBAORD</vt:lpstr>
    </vt:vector>
  </TitlesOfParts>
  <Company>CSU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GBAORD</dc:title>
  <dc:creator>csu</dc:creator>
  <cp:lastModifiedBy>Václav Sojka</cp:lastModifiedBy>
  <cp:revision>85</cp:revision>
  <cp:lastPrinted>2015-01-07T10:43:00Z</cp:lastPrinted>
  <dcterms:created xsi:type="dcterms:W3CDTF">2015-01-06T19:17:00Z</dcterms:created>
  <dcterms:modified xsi:type="dcterms:W3CDTF">2015-01-09T10:29:00Z</dcterms:modified>
</cp:coreProperties>
</file>