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A13B6" w14:textId="2E52962E" w:rsidR="00C6020C" w:rsidRPr="00DD6E6B" w:rsidRDefault="00C6020C" w:rsidP="00C6020C">
      <w:pPr>
        <w:pStyle w:val="Nadpis11"/>
        <w:rPr>
          <w:lang w:val="en-GB"/>
        </w:rPr>
      </w:pPr>
      <w:bookmarkStart w:id="0" w:name="_Toc114134050"/>
      <w:bookmarkStart w:id="1" w:name="_Toc121993822"/>
      <w:bookmarkStart w:id="2" w:name="_Toc148437388"/>
      <w:r w:rsidRPr="00DD6E6B">
        <w:rPr>
          <w:lang w:val="en-GB"/>
        </w:rPr>
        <w:t>5. </w:t>
      </w:r>
      <w:r w:rsidR="007E4AF6" w:rsidRPr="00DD6E6B">
        <w:rPr>
          <w:lang w:val="en-GB"/>
        </w:rPr>
        <w:t>Prices</w:t>
      </w:r>
      <w:bookmarkEnd w:id="2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4"/>
        <w:gridCol w:w="224"/>
        <w:gridCol w:w="7611"/>
      </w:tblGrid>
      <w:tr w:rsidR="00C6020C" w:rsidRPr="00DD6E6B" w14:paraId="23EC816A" w14:textId="77777777" w:rsidTr="006849F8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0E6214D5" w14:textId="696ACB15" w:rsidR="00C6020C" w:rsidRPr="00DD6E6B" w:rsidRDefault="007E4AF6" w:rsidP="00AA49E1">
            <w:pPr>
              <w:pStyle w:val="Marginlie"/>
              <w:rPr>
                <w:spacing w:val="0"/>
                <w:lang w:val="en-GB"/>
              </w:rPr>
            </w:pPr>
            <w:r w:rsidRPr="00DD6E6B">
              <w:rPr>
                <w:spacing w:val="0"/>
                <w:lang w:val="en-GB"/>
              </w:rPr>
              <w:t xml:space="preserve">Total price level grew in </w:t>
            </w:r>
            <w:r w:rsidR="00D2192C" w:rsidRPr="00DD6E6B">
              <w:rPr>
                <w:spacing w:val="0"/>
                <w:lang w:val="en-GB"/>
              </w:rPr>
              <w:t>Q</w:t>
            </w:r>
            <w:r w:rsidR="00AA49E1" w:rsidRPr="00DD6E6B">
              <w:rPr>
                <w:spacing w:val="0"/>
                <w:lang w:val="en-GB"/>
              </w:rPr>
              <w:t>2.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63C5DAE9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386C0AF1" w14:textId="40444610" w:rsidR="00C6020C" w:rsidRPr="00DD6E6B" w:rsidRDefault="00BA0986" w:rsidP="006849F8">
            <w:pPr>
              <w:rPr>
                <w:szCs w:val="20"/>
                <w:lang w:val="en-GB"/>
              </w:rPr>
            </w:pPr>
            <w:r w:rsidRPr="00DD6E6B">
              <w:rPr>
                <w:szCs w:val="20"/>
                <w:lang w:val="en-GB"/>
              </w:rPr>
              <w:t xml:space="preserve">Total price level gauged by the GDP deflator </w:t>
            </w:r>
            <w:r w:rsidR="00E64893" w:rsidRPr="00DD6E6B">
              <w:rPr>
                <w:szCs w:val="20"/>
                <w:lang w:val="en-GB"/>
              </w:rPr>
              <w:t xml:space="preserve">increased by </w:t>
            </w:r>
            <w:r w:rsidR="00C6020C" w:rsidRPr="00DD6E6B">
              <w:rPr>
                <w:szCs w:val="20"/>
                <w:lang w:val="en-GB"/>
              </w:rPr>
              <w:t>10</w:t>
            </w:r>
            <w:r w:rsidR="00E64893" w:rsidRPr="00DD6E6B">
              <w:rPr>
                <w:szCs w:val="20"/>
                <w:lang w:val="en-GB"/>
              </w:rPr>
              <w:t>.</w:t>
            </w:r>
            <w:r w:rsidR="00C6020C" w:rsidRPr="00DD6E6B">
              <w:rPr>
                <w:szCs w:val="20"/>
                <w:lang w:val="en-GB"/>
              </w:rPr>
              <w:t>2%</w:t>
            </w:r>
            <w:r w:rsidR="00E64893" w:rsidRPr="00DD6E6B">
              <w:rPr>
                <w:szCs w:val="20"/>
                <w:lang w:val="en-GB"/>
              </w:rPr>
              <w:t xml:space="preserve"> year-on-year in Q2</w:t>
            </w:r>
            <w:r w:rsidR="00C6020C" w:rsidRPr="00DD6E6B">
              <w:rPr>
                <w:szCs w:val="20"/>
                <w:lang w:val="en-GB"/>
              </w:rPr>
              <w:t>.</w:t>
            </w:r>
            <w:r w:rsidR="00E64893" w:rsidRPr="00DD6E6B">
              <w:rPr>
                <w:szCs w:val="20"/>
                <w:lang w:val="en-GB"/>
              </w:rPr>
              <w:t xml:space="preserve"> The pace thus slightly </w:t>
            </w:r>
            <w:r w:rsidR="0054156A" w:rsidRPr="00DD6E6B">
              <w:rPr>
                <w:szCs w:val="20"/>
                <w:lang w:val="en-GB"/>
              </w:rPr>
              <w:t xml:space="preserve">slowed down compared to the previous quarter. </w:t>
            </w:r>
            <w:r w:rsidR="00481F13" w:rsidRPr="00DD6E6B">
              <w:rPr>
                <w:szCs w:val="20"/>
                <w:lang w:val="en-GB"/>
              </w:rPr>
              <w:t xml:space="preserve">The year-on-year </w:t>
            </w:r>
            <w:r w:rsidR="00961A4C" w:rsidRPr="00DD6E6B">
              <w:rPr>
                <w:szCs w:val="20"/>
                <w:lang w:val="en-GB"/>
              </w:rPr>
              <w:t xml:space="preserve">rate of growth of prices of consumption considerably slowed down </w:t>
            </w:r>
            <w:r w:rsidR="00C6020C" w:rsidRPr="00DD6E6B">
              <w:rPr>
                <w:szCs w:val="20"/>
                <w:lang w:val="en-GB"/>
              </w:rPr>
              <w:t>(</w:t>
            </w:r>
            <w:r w:rsidR="00961A4C" w:rsidRPr="00DD6E6B">
              <w:rPr>
                <w:szCs w:val="20"/>
                <w:lang w:val="en-GB"/>
              </w:rPr>
              <w:t xml:space="preserve">from </w:t>
            </w:r>
            <w:r w:rsidR="00C6020C" w:rsidRPr="00DD6E6B">
              <w:rPr>
                <w:szCs w:val="20"/>
                <w:lang w:val="en-GB"/>
              </w:rPr>
              <w:t>12</w:t>
            </w:r>
            <w:r w:rsidR="00961A4C" w:rsidRPr="00DD6E6B">
              <w:rPr>
                <w:szCs w:val="20"/>
                <w:lang w:val="en-GB"/>
              </w:rPr>
              <w:t>.</w:t>
            </w:r>
            <w:r w:rsidR="00C6020C" w:rsidRPr="00DD6E6B">
              <w:rPr>
                <w:szCs w:val="20"/>
                <w:lang w:val="en-GB"/>
              </w:rPr>
              <w:t>2%</w:t>
            </w:r>
            <w:r w:rsidR="00961A4C" w:rsidRPr="00DD6E6B">
              <w:rPr>
                <w:szCs w:val="20"/>
                <w:lang w:val="en-GB"/>
              </w:rPr>
              <w:t xml:space="preserve"> to </w:t>
            </w:r>
            <w:r w:rsidR="00C6020C" w:rsidRPr="00DD6E6B">
              <w:rPr>
                <w:szCs w:val="20"/>
                <w:lang w:val="en-GB"/>
              </w:rPr>
              <w:t>9</w:t>
            </w:r>
            <w:r w:rsidR="00961A4C" w:rsidRPr="00DD6E6B">
              <w:rPr>
                <w:szCs w:val="20"/>
                <w:lang w:val="en-GB"/>
              </w:rPr>
              <w:t>.</w:t>
            </w:r>
            <w:r w:rsidR="00C6020C" w:rsidRPr="00DD6E6B">
              <w:rPr>
                <w:szCs w:val="20"/>
                <w:lang w:val="en-GB"/>
              </w:rPr>
              <w:t xml:space="preserve">0%), </w:t>
            </w:r>
            <w:r w:rsidR="00FB6A41" w:rsidRPr="00DD6E6B">
              <w:rPr>
                <w:szCs w:val="20"/>
                <w:lang w:val="en-GB"/>
              </w:rPr>
              <w:t xml:space="preserve">mainly the household consumption </w:t>
            </w:r>
            <w:r w:rsidR="00C6020C" w:rsidRPr="00DD6E6B">
              <w:rPr>
                <w:szCs w:val="20"/>
                <w:lang w:val="en-GB"/>
              </w:rPr>
              <w:t>(10</w:t>
            </w:r>
            <w:r w:rsidR="00FB6A41" w:rsidRPr="00DD6E6B">
              <w:rPr>
                <w:szCs w:val="20"/>
                <w:lang w:val="en-GB"/>
              </w:rPr>
              <w:t>.</w:t>
            </w:r>
            <w:r w:rsidR="00C6020C" w:rsidRPr="00DD6E6B">
              <w:rPr>
                <w:szCs w:val="20"/>
                <w:lang w:val="en-GB"/>
              </w:rPr>
              <w:t>0%).</w:t>
            </w:r>
            <w:r w:rsidR="00FB6A41" w:rsidRPr="00DD6E6B">
              <w:rPr>
                <w:szCs w:val="20"/>
                <w:lang w:val="en-GB"/>
              </w:rPr>
              <w:t xml:space="preserve"> Prices of capital goods increased by </w:t>
            </w:r>
            <w:r w:rsidR="00C6020C" w:rsidRPr="00DD6E6B">
              <w:rPr>
                <w:szCs w:val="20"/>
                <w:lang w:val="en-GB"/>
              </w:rPr>
              <w:t>3</w:t>
            </w:r>
            <w:r w:rsidR="00FB6A41" w:rsidRPr="00DD6E6B">
              <w:rPr>
                <w:szCs w:val="20"/>
                <w:lang w:val="en-GB"/>
              </w:rPr>
              <w:t>.</w:t>
            </w:r>
            <w:r w:rsidR="00C6020C" w:rsidRPr="00DD6E6B">
              <w:rPr>
                <w:szCs w:val="20"/>
                <w:lang w:val="en-GB"/>
              </w:rPr>
              <w:t>3%</w:t>
            </w:r>
            <w:r w:rsidR="00FB6A41" w:rsidRPr="00DD6E6B">
              <w:rPr>
                <w:szCs w:val="20"/>
                <w:lang w:val="en-GB"/>
              </w:rPr>
              <w:t xml:space="preserve"> year-on-year, which represents a </w:t>
            </w:r>
            <w:r w:rsidR="003B5A37" w:rsidRPr="00DD6E6B">
              <w:rPr>
                <w:szCs w:val="20"/>
                <w:lang w:val="en-GB"/>
              </w:rPr>
              <w:t xml:space="preserve">rapid deceleration </w:t>
            </w:r>
            <w:r w:rsidR="00C6020C" w:rsidRPr="00DD6E6B">
              <w:rPr>
                <w:szCs w:val="20"/>
                <w:lang w:val="en-GB"/>
              </w:rPr>
              <w:t>(</w:t>
            </w:r>
            <w:r w:rsidR="003B5A37" w:rsidRPr="00DD6E6B">
              <w:rPr>
                <w:szCs w:val="20"/>
                <w:lang w:val="en-GB"/>
              </w:rPr>
              <w:t xml:space="preserve">prices rose by </w:t>
            </w:r>
            <w:r w:rsidR="00C6020C" w:rsidRPr="00DD6E6B">
              <w:rPr>
                <w:szCs w:val="20"/>
                <w:lang w:val="en-GB"/>
              </w:rPr>
              <w:t>10</w:t>
            </w:r>
            <w:r w:rsidR="003B5A37" w:rsidRPr="00DD6E6B">
              <w:rPr>
                <w:szCs w:val="20"/>
                <w:lang w:val="en-GB"/>
              </w:rPr>
              <w:t>.</w:t>
            </w:r>
            <w:r w:rsidR="00C6020C" w:rsidRPr="00DD6E6B">
              <w:rPr>
                <w:szCs w:val="20"/>
                <w:lang w:val="en-GB"/>
              </w:rPr>
              <w:t>2%</w:t>
            </w:r>
            <w:r w:rsidR="003B5A37" w:rsidRPr="00DD6E6B">
              <w:rPr>
                <w:szCs w:val="20"/>
                <w:lang w:val="en-GB"/>
              </w:rPr>
              <w:t xml:space="preserve"> in Q1</w:t>
            </w:r>
            <w:r w:rsidR="00C6020C" w:rsidRPr="00DD6E6B">
              <w:rPr>
                <w:szCs w:val="20"/>
                <w:lang w:val="en-GB"/>
              </w:rPr>
              <w:t xml:space="preserve">). </w:t>
            </w:r>
            <w:r w:rsidR="00961A4C" w:rsidRPr="00DD6E6B">
              <w:rPr>
                <w:szCs w:val="20"/>
                <w:lang w:val="en-GB"/>
              </w:rPr>
              <w:t xml:space="preserve">Year-on-year terms of trade amounted to </w:t>
            </w:r>
            <w:r w:rsidR="009B5861" w:rsidRPr="00DD6E6B">
              <w:rPr>
                <w:szCs w:val="20"/>
                <w:lang w:val="en-GB"/>
              </w:rPr>
              <w:t xml:space="preserve">substantial </w:t>
            </w:r>
            <w:r w:rsidR="00C6020C" w:rsidRPr="00DD6E6B">
              <w:rPr>
                <w:szCs w:val="20"/>
                <w:lang w:val="en-GB"/>
              </w:rPr>
              <w:t>104</w:t>
            </w:r>
            <w:r w:rsidR="009B5861" w:rsidRPr="00DD6E6B">
              <w:rPr>
                <w:szCs w:val="20"/>
                <w:lang w:val="en-GB"/>
              </w:rPr>
              <w:t>.</w:t>
            </w:r>
            <w:r w:rsidR="00C6020C" w:rsidRPr="00DD6E6B">
              <w:rPr>
                <w:szCs w:val="20"/>
                <w:lang w:val="en-GB"/>
              </w:rPr>
              <w:t>6% a</w:t>
            </w:r>
            <w:r w:rsidR="009B5861" w:rsidRPr="00DD6E6B">
              <w:rPr>
                <w:szCs w:val="20"/>
                <w:lang w:val="en-GB"/>
              </w:rPr>
              <w:t xml:space="preserve">nd they were markedly positive in case of goods </w:t>
            </w:r>
            <w:r w:rsidR="00C6020C" w:rsidRPr="00DD6E6B">
              <w:rPr>
                <w:szCs w:val="20"/>
                <w:lang w:val="en-GB"/>
              </w:rPr>
              <w:t>(104</w:t>
            </w:r>
            <w:r w:rsidR="009B5861" w:rsidRPr="00DD6E6B">
              <w:rPr>
                <w:szCs w:val="20"/>
                <w:lang w:val="en-GB"/>
              </w:rPr>
              <w:t>.</w:t>
            </w:r>
            <w:r w:rsidR="00C6020C" w:rsidRPr="00DD6E6B">
              <w:rPr>
                <w:szCs w:val="20"/>
                <w:lang w:val="en-GB"/>
              </w:rPr>
              <w:t>7%)</w:t>
            </w:r>
            <w:r w:rsidR="009B5861" w:rsidRPr="00DD6E6B">
              <w:rPr>
                <w:szCs w:val="20"/>
                <w:lang w:val="en-GB"/>
              </w:rPr>
              <w:t xml:space="preserve"> as well as services </w:t>
            </w:r>
            <w:r w:rsidR="00C6020C" w:rsidRPr="00DD6E6B">
              <w:rPr>
                <w:szCs w:val="20"/>
                <w:lang w:val="en-GB"/>
              </w:rPr>
              <w:t>(103</w:t>
            </w:r>
            <w:r w:rsidR="009B5861" w:rsidRPr="00DD6E6B">
              <w:rPr>
                <w:szCs w:val="20"/>
                <w:lang w:val="en-GB"/>
              </w:rPr>
              <w:t>.</w:t>
            </w:r>
            <w:r w:rsidR="00C6020C" w:rsidRPr="00DD6E6B">
              <w:rPr>
                <w:szCs w:val="20"/>
                <w:lang w:val="en-GB"/>
              </w:rPr>
              <w:t xml:space="preserve">1%). </w:t>
            </w:r>
            <w:r w:rsidR="00D23EA4">
              <w:rPr>
                <w:szCs w:val="20"/>
                <w:lang w:val="en-GB"/>
              </w:rPr>
              <w:t>The total </w:t>
            </w:r>
            <w:r w:rsidR="00A25A28" w:rsidRPr="00DD6E6B">
              <w:rPr>
                <w:szCs w:val="20"/>
                <w:lang w:val="en-GB"/>
              </w:rPr>
              <w:t xml:space="preserve">price level went up by </w:t>
            </w:r>
            <w:r w:rsidR="00C6020C" w:rsidRPr="00DD6E6B">
              <w:rPr>
                <w:szCs w:val="20"/>
                <w:lang w:val="en-GB"/>
              </w:rPr>
              <w:t>1</w:t>
            </w:r>
            <w:r w:rsidR="00A25A28" w:rsidRPr="00DD6E6B">
              <w:rPr>
                <w:szCs w:val="20"/>
                <w:lang w:val="en-GB"/>
              </w:rPr>
              <w:t>.</w:t>
            </w:r>
            <w:r w:rsidR="00C6020C" w:rsidRPr="00DD6E6B">
              <w:rPr>
                <w:szCs w:val="20"/>
                <w:lang w:val="en-GB"/>
              </w:rPr>
              <w:t>1%</w:t>
            </w:r>
            <w:r w:rsidR="00A25A28" w:rsidRPr="00DD6E6B">
              <w:rPr>
                <w:szCs w:val="20"/>
                <w:lang w:val="en-GB"/>
              </w:rPr>
              <w:t xml:space="preserve"> quarter-on-quarter in Q2</w:t>
            </w:r>
            <w:r w:rsidR="00C6020C" w:rsidRPr="00DD6E6B">
              <w:rPr>
                <w:szCs w:val="20"/>
                <w:lang w:val="en-GB"/>
              </w:rPr>
              <w:t xml:space="preserve">. </w:t>
            </w:r>
            <w:r w:rsidR="00A25A28" w:rsidRPr="00DD6E6B">
              <w:rPr>
                <w:szCs w:val="20"/>
                <w:lang w:val="en-GB"/>
              </w:rPr>
              <w:t xml:space="preserve">Prices of consumption goods </w:t>
            </w:r>
            <w:r w:rsidR="00D23EA4">
              <w:rPr>
                <w:szCs w:val="20"/>
                <w:lang w:val="en-GB"/>
              </w:rPr>
              <w:t>(</w:t>
            </w:r>
            <w:r w:rsidR="00D23EA4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szCs w:val="20"/>
                <w:lang w:val="en-GB"/>
              </w:rPr>
              <w:t>0</w:t>
            </w:r>
            <w:r w:rsidR="00A25A28" w:rsidRPr="00DD6E6B">
              <w:rPr>
                <w:szCs w:val="20"/>
                <w:lang w:val="en-GB"/>
              </w:rPr>
              <w:t>.</w:t>
            </w:r>
            <w:r w:rsidR="00C6020C" w:rsidRPr="00DD6E6B">
              <w:rPr>
                <w:szCs w:val="20"/>
                <w:lang w:val="en-GB"/>
              </w:rPr>
              <w:t>2%)</w:t>
            </w:r>
            <w:r w:rsidR="00A25A28" w:rsidRPr="00DD6E6B">
              <w:rPr>
                <w:szCs w:val="20"/>
                <w:lang w:val="en-GB"/>
              </w:rPr>
              <w:t xml:space="preserve"> as well as capital goods </w:t>
            </w:r>
            <w:r w:rsidR="0052635B">
              <w:rPr>
                <w:szCs w:val="20"/>
                <w:lang w:val="en-GB"/>
              </w:rPr>
              <w:t>(</w:t>
            </w:r>
            <w:r w:rsidR="0052635B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szCs w:val="20"/>
                <w:lang w:val="en-GB"/>
              </w:rPr>
              <w:t>1</w:t>
            </w:r>
            <w:r w:rsidR="00A25A28" w:rsidRPr="00DD6E6B">
              <w:rPr>
                <w:szCs w:val="20"/>
                <w:lang w:val="en-GB"/>
              </w:rPr>
              <w:t>.</w:t>
            </w:r>
            <w:r w:rsidR="00C6020C" w:rsidRPr="00DD6E6B">
              <w:rPr>
                <w:szCs w:val="20"/>
                <w:lang w:val="en-GB"/>
              </w:rPr>
              <w:t>9%)</w:t>
            </w:r>
            <w:r w:rsidR="00A25A28" w:rsidRPr="00DD6E6B">
              <w:rPr>
                <w:szCs w:val="20"/>
                <w:lang w:val="en-GB"/>
              </w:rPr>
              <w:t xml:space="preserve"> fell</w:t>
            </w:r>
            <w:r w:rsidR="00C6020C" w:rsidRPr="00DD6E6B">
              <w:rPr>
                <w:szCs w:val="20"/>
                <w:lang w:val="en-GB"/>
              </w:rPr>
              <w:t xml:space="preserve">. </w:t>
            </w:r>
            <w:r w:rsidR="00A25A28" w:rsidRPr="00DD6E6B">
              <w:rPr>
                <w:szCs w:val="20"/>
                <w:lang w:val="en-GB"/>
              </w:rPr>
              <w:t xml:space="preserve">Quarter-on-quarter terms of trade totalled </w:t>
            </w:r>
            <w:r w:rsidR="00C6020C" w:rsidRPr="00DD6E6B">
              <w:rPr>
                <w:szCs w:val="20"/>
                <w:lang w:val="en-GB"/>
              </w:rPr>
              <w:t>102</w:t>
            </w:r>
            <w:r w:rsidR="00A25A28" w:rsidRPr="00DD6E6B">
              <w:rPr>
                <w:szCs w:val="20"/>
                <w:lang w:val="en-GB"/>
              </w:rPr>
              <w:t>.</w:t>
            </w:r>
            <w:r w:rsidR="00C6020C" w:rsidRPr="00DD6E6B">
              <w:rPr>
                <w:szCs w:val="20"/>
                <w:lang w:val="en-GB"/>
              </w:rPr>
              <w:t xml:space="preserve">9%. </w:t>
            </w:r>
            <w:r w:rsidR="000D2854" w:rsidRPr="00DD6E6B">
              <w:rPr>
                <w:szCs w:val="20"/>
                <w:lang w:val="en-GB"/>
              </w:rPr>
              <w:t xml:space="preserve">In that the terms of trade with goods were </w:t>
            </w:r>
            <w:r w:rsidR="00C6020C" w:rsidRPr="00DD6E6B">
              <w:rPr>
                <w:szCs w:val="20"/>
                <w:lang w:val="en-GB"/>
              </w:rPr>
              <w:t>102</w:t>
            </w:r>
            <w:r w:rsidR="000D2854" w:rsidRPr="00DD6E6B">
              <w:rPr>
                <w:szCs w:val="20"/>
                <w:lang w:val="en-GB"/>
              </w:rPr>
              <w:t>.</w:t>
            </w:r>
            <w:r w:rsidR="00C6020C" w:rsidRPr="00DD6E6B">
              <w:rPr>
                <w:szCs w:val="20"/>
                <w:lang w:val="en-GB"/>
              </w:rPr>
              <w:t>7% a</w:t>
            </w:r>
            <w:r w:rsidR="000D2854" w:rsidRPr="00DD6E6B">
              <w:rPr>
                <w:szCs w:val="20"/>
                <w:lang w:val="en-GB"/>
              </w:rPr>
              <w:t xml:space="preserve">nd with services </w:t>
            </w:r>
            <w:r w:rsidR="00C6020C" w:rsidRPr="00DD6E6B">
              <w:rPr>
                <w:szCs w:val="20"/>
                <w:lang w:val="en-GB"/>
              </w:rPr>
              <w:t>103</w:t>
            </w:r>
            <w:r w:rsidR="000D2854" w:rsidRPr="00DD6E6B">
              <w:rPr>
                <w:szCs w:val="20"/>
                <w:lang w:val="en-GB"/>
              </w:rPr>
              <w:t>.</w:t>
            </w:r>
            <w:r w:rsidR="00C6020C" w:rsidRPr="00DD6E6B">
              <w:rPr>
                <w:szCs w:val="20"/>
                <w:lang w:val="en-GB"/>
              </w:rPr>
              <w:t xml:space="preserve">5%. </w:t>
            </w:r>
          </w:p>
        </w:tc>
      </w:tr>
      <w:tr w:rsidR="00C6020C" w:rsidRPr="00DD6E6B" w14:paraId="1BA78F43" w14:textId="77777777" w:rsidTr="006849F8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432D8C62" w14:textId="4C04E81F" w:rsidR="00C6020C" w:rsidRPr="00DD6E6B" w:rsidRDefault="00D2192C" w:rsidP="006849F8">
            <w:pPr>
              <w:pStyle w:val="Marginlie"/>
              <w:rPr>
                <w:spacing w:val="0"/>
                <w:lang w:val="en-GB"/>
              </w:rPr>
            </w:pPr>
            <w:r w:rsidRPr="00DD6E6B">
              <w:rPr>
                <w:spacing w:val="0"/>
                <w:lang w:val="en-GB"/>
              </w:rPr>
              <w:t xml:space="preserve">Year-on-year growth of consumer prices slowed down.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456F7361" w14:textId="77777777" w:rsidR="00C6020C" w:rsidRPr="00DD6E6B" w:rsidRDefault="00C6020C" w:rsidP="006849F8">
            <w:pPr>
              <w:pStyle w:val="Textpoznpodarou1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5FAA19AB" w14:textId="1D3E7A84" w:rsidR="00C6020C" w:rsidRPr="00DD6E6B" w:rsidRDefault="00E71A3C" w:rsidP="0052635B">
            <w:pPr>
              <w:rPr>
                <w:lang w:val="en-GB"/>
              </w:rPr>
            </w:pPr>
            <w:r w:rsidRPr="00DD6E6B">
              <w:rPr>
                <w:lang w:val="en-GB"/>
              </w:rPr>
              <w:t xml:space="preserve">The consumer price index hiked up by </w:t>
            </w:r>
            <w:r w:rsidR="00C6020C" w:rsidRPr="00DD6E6B">
              <w:rPr>
                <w:lang w:val="en-GB"/>
              </w:rPr>
              <w:t>11</w:t>
            </w:r>
            <w:r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1%</w:t>
            </w:r>
            <w:r w:rsidRPr="00DD6E6B">
              <w:rPr>
                <w:lang w:val="en-GB"/>
              </w:rPr>
              <w:t xml:space="preserve"> year-on-year in Q2 2023</w:t>
            </w:r>
            <w:r w:rsidR="00C6020C" w:rsidRPr="00DD6E6B">
              <w:rPr>
                <w:lang w:val="en-GB"/>
              </w:rPr>
              <w:t>. T</w:t>
            </w:r>
            <w:r w:rsidR="00062A8F" w:rsidRPr="00DD6E6B">
              <w:rPr>
                <w:lang w:val="en-GB"/>
              </w:rPr>
              <w:t xml:space="preserve">his represents a notable </w:t>
            </w:r>
            <w:r w:rsidR="00C9300A" w:rsidRPr="00DD6E6B">
              <w:rPr>
                <w:lang w:val="en-GB"/>
              </w:rPr>
              <w:t xml:space="preserve">deceleration </w:t>
            </w:r>
            <w:r w:rsidR="00062A8F" w:rsidRPr="00DD6E6B">
              <w:rPr>
                <w:lang w:val="en-GB"/>
              </w:rPr>
              <w:t>of the pace compared to Q</w:t>
            </w:r>
            <w:r w:rsidR="00C6020C" w:rsidRPr="00DD6E6B">
              <w:rPr>
                <w:lang w:val="en-GB"/>
              </w:rPr>
              <w:t>1</w:t>
            </w:r>
            <w:r w:rsidR="00062A8F" w:rsidRPr="00DD6E6B">
              <w:rPr>
                <w:lang w:val="en-GB"/>
              </w:rPr>
              <w:t xml:space="preserve"> </w:t>
            </w:r>
            <w:r w:rsidR="00C6020C" w:rsidRPr="00DD6E6B">
              <w:rPr>
                <w:lang w:val="en-GB"/>
              </w:rPr>
              <w:t>(16</w:t>
            </w:r>
            <w:r w:rsidR="00062A8F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4%). </w:t>
            </w:r>
            <w:r w:rsidR="005F7AD7" w:rsidRPr="00DD6E6B">
              <w:rPr>
                <w:lang w:val="en-GB"/>
              </w:rPr>
              <w:t>Mostly t</w:t>
            </w:r>
            <w:r w:rsidR="00C9300A" w:rsidRPr="00DD6E6B">
              <w:rPr>
                <w:lang w:val="en-GB"/>
              </w:rPr>
              <w:t>he high comparative basis of the last year</w:t>
            </w:r>
            <w:r w:rsidR="005F7AD7" w:rsidRPr="00DD6E6B">
              <w:rPr>
                <w:lang w:val="en-GB"/>
              </w:rPr>
              <w:t xml:space="preserve"> has a large share in the decrease. </w:t>
            </w:r>
            <w:r w:rsidR="00A44964" w:rsidRPr="00DD6E6B">
              <w:rPr>
                <w:lang w:val="en-GB"/>
              </w:rPr>
              <w:t xml:space="preserve">Since the view on the index with the basis in year </w:t>
            </w:r>
            <w:r w:rsidR="00C6020C" w:rsidRPr="00DD6E6B">
              <w:rPr>
                <w:lang w:val="en-GB"/>
              </w:rPr>
              <w:t xml:space="preserve">2015 </w:t>
            </w:r>
            <w:r w:rsidR="00F974AA" w:rsidRPr="00DD6E6B">
              <w:rPr>
                <w:lang w:val="en-GB"/>
              </w:rPr>
              <w:t>shows more clearly, that following this year’</w:t>
            </w:r>
            <w:r w:rsidR="0052635B">
              <w:rPr>
                <w:lang w:val="en-GB"/>
              </w:rPr>
              <w:t>s</w:t>
            </w:r>
            <w:r w:rsidR="00F974AA" w:rsidRPr="00DD6E6B">
              <w:rPr>
                <w:lang w:val="en-GB"/>
              </w:rPr>
              <w:t xml:space="preserve"> January </w:t>
            </w:r>
            <w:r w:rsidR="00F6765B" w:rsidRPr="00DD6E6B">
              <w:rPr>
                <w:lang w:val="en-GB"/>
              </w:rPr>
              <w:t>sharp acceleration the level of consumer prices rose already only mildly</w:t>
            </w:r>
            <w:r w:rsidR="00C6020C" w:rsidRPr="00DD6E6B">
              <w:rPr>
                <w:rStyle w:val="Znakapoznpodarou"/>
                <w:lang w:val="en-GB"/>
              </w:rPr>
              <w:footnoteReference w:id="1"/>
            </w:r>
            <w:r w:rsidR="00C6020C" w:rsidRPr="00DD6E6B">
              <w:rPr>
                <w:lang w:val="en-GB"/>
              </w:rPr>
              <w:t xml:space="preserve">. </w:t>
            </w:r>
            <w:r w:rsidR="002742A7" w:rsidRPr="00DD6E6B">
              <w:rPr>
                <w:lang w:val="en-GB"/>
              </w:rPr>
              <w:t>The development of prices of food and non-alcoholic beverages, housing and energ</w:t>
            </w:r>
            <w:r w:rsidR="009606FA">
              <w:rPr>
                <w:lang w:val="en-GB"/>
              </w:rPr>
              <w:t>y</w:t>
            </w:r>
            <w:r w:rsidR="002742A7" w:rsidRPr="00DD6E6B">
              <w:rPr>
                <w:lang w:val="en-GB"/>
              </w:rPr>
              <w:t xml:space="preserve"> and transport</w:t>
            </w:r>
            <w:r w:rsidR="00C6020C" w:rsidRPr="00DD6E6B">
              <w:rPr>
                <w:lang w:val="en-GB"/>
              </w:rPr>
              <w:t xml:space="preserve">, </w:t>
            </w:r>
            <w:r w:rsidR="002742A7" w:rsidRPr="00DD6E6B">
              <w:rPr>
                <w:lang w:val="en-GB"/>
              </w:rPr>
              <w:t>which dominated the price growth in the last year’s H</w:t>
            </w:r>
            <w:r w:rsidR="00C6020C" w:rsidRPr="00DD6E6B">
              <w:rPr>
                <w:lang w:val="en-GB"/>
              </w:rPr>
              <w:t>1</w:t>
            </w:r>
            <w:r w:rsidR="00EE226A" w:rsidRPr="00DD6E6B">
              <w:rPr>
                <w:lang w:val="en-GB"/>
              </w:rPr>
              <w:t>, the most contributed to the weakening of the year-on-year pace in Q2</w:t>
            </w:r>
            <w:r w:rsidR="00C6020C" w:rsidRPr="00DD6E6B">
              <w:rPr>
                <w:lang w:val="en-GB"/>
              </w:rPr>
              <w:t>.</w:t>
            </w:r>
            <w:r w:rsidR="00EE226A" w:rsidRPr="00DD6E6B">
              <w:rPr>
                <w:lang w:val="en-GB"/>
              </w:rPr>
              <w:t xml:space="preserve"> </w:t>
            </w:r>
            <w:r w:rsidR="00D96FA4" w:rsidRPr="00DD6E6B">
              <w:rPr>
                <w:lang w:val="en-GB"/>
              </w:rPr>
              <w:t xml:space="preserve">Despite notable slow down however </w:t>
            </w:r>
            <w:r w:rsidR="009C3376" w:rsidRPr="00DD6E6B">
              <w:rPr>
                <w:lang w:val="en-GB"/>
              </w:rPr>
              <w:t xml:space="preserve">the housing and </w:t>
            </w:r>
            <w:r w:rsidR="009606FA">
              <w:rPr>
                <w:lang w:val="en-GB"/>
              </w:rPr>
              <w:t>energy</w:t>
            </w:r>
            <w:r w:rsidR="009C3376" w:rsidRPr="00DD6E6B">
              <w:rPr>
                <w:lang w:val="en-GB"/>
              </w:rPr>
              <w:t xml:space="preserve"> as well as the food and non-alcoholic beverages remained a driver </w:t>
            </w:r>
            <w:r w:rsidR="00C6020C" w:rsidRPr="00DD6E6B">
              <w:rPr>
                <w:lang w:val="en-GB"/>
              </w:rPr>
              <w:t>a</w:t>
            </w:r>
            <w:r w:rsidR="000961E8" w:rsidRPr="00DD6E6B">
              <w:rPr>
                <w:lang w:val="en-GB"/>
              </w:rPr>
              <w:t xml:space="preserve">nd contribute from more than one half to the year-on-year increase of the consumer prices. </w:t>
            </w:r>
            <w:r w:rsidR="00F3313E" w:rsidRPr="00DD6E6B">
              <w:rPr>
                <w:lang w:val="en-GB"/>
              </w:rPr>
              <w:t>Consumer prices increased by 0.3%</w:t>
            </w:r>
            <w:r w:rsidR="00514D48" w:rsidRPr="00DD6E6B">
              <w:rPr>
                <w:lang w:val="en-GB"/>
              </w:rPr>
              <w:t xml:space="preserve"> </w:t>
            </w:r>
            <w:r w:rsidR="00F3313E" w:rsidRPr="00DD6E6B">
              <w:rPr>
                <w:lang w:val="en-GB"/>
              </w:rPr>
              <w:t>quarter-on-quarter in Q2</w:t>
            </w:r>
            <w:r w:rsidR="00C6020C" w:rsidRPr="00DD6E6B">
              <w:rPr>
                <w:lang w:val="en-GB"/>
              </w:rPr>
              <w:t xml:space="preserve">.   </w:t>
            </w:r>
          </w:p>
        </w:tc>
      </w:tr>
      <w:tr w:rsidR="00C6020C" w:rsidRPr="00DD6E6B" w14:paraId="22E85D03" w14:textId="77777777" w:rsidTr="006849F8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062FC487" w14:textId="08D6450C" w:rsidR="00C6020C" w:rsidRPr="00DD6E6B" w:rsidRDefault="009B27ED" w:rsidP="006849F8">
            <w:pPr>
              <w:pStyle w:val="Marginlie"/>
              <w:rPr>
                <w:spacing w:val="0"/>
                <w:lang w:val="en-GB"/>
              </w:rPr>
            </w:pPr>
            <w:r w:rsidRPr="00DD6E6B">
              <w:rPr>
                <w:spacing w:val="0"/>
                <w:lang w:val="en-GB"/>
              </w:rPr>
              <w:t xml:space="preserve">Increase of prices of housing and </w:t>
            </w:r>
            <w:r w:rsidR="009606FA">
              <w:rPr>
                <w:spacing w:val="0"/>
                <w:lang w:val="en-GB"/>
              </w:rPr>
              <w:t>energy</w:t>
            </w:r>
            <w:r w:rsidRPr="00DD6E6B">
              <w:rPr>
                <w:spacing w:val="0"/>
                <w:lang w:val="en-GB"/>
              </w:rPr>
              <w:t xml:space="preserve"> moderated.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71931195" w14:textId="77777777" w:rsidR="00C6020C" w:rsidRPr="00DD6E6B" w:rsidRDefault="00C6020C" w:rsidP="006849F8">
            <w:pPr>
              <w:pStyle w:val="Textpoznpodarou1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32167738" w14:textId="343E6920" w:rsidR="00C6020C" w:rsidRPr="00DD6E6B" w:rsidRDefault="00E71A3C" w:rsidP="006849F8">
            <w:pPr>
              <w:rPr>
                <w:lang w:val="en-GB"/>
              </w:rPr>
            </w:pPr>
            <w:r w:rsidRPr="00DD6E6B">
              <w:rPr>
                <w:lang w:val="en-GB"/>
              </w:rPr>
              <w:t xml:space="preserve">Prices of housing and </w:t>
            </w:r>
            <w:r w:rsidR="009606FA">
              <w:rPr>
                <w:lang w:val="en-GB"/>
              </w:rPr>
              <w:t>energy</w:t>
            </w:r>
            <w:r w:rsidRPr="00DD6E6B">
              <w:rPr>
                <w:lang w:val="en-GB"/>
              </w:rPr>
              <w:t xml:space="preserve"> jumped by </w:t>
            </w:r>
            <w:r w:rsidR="00C6020C" w:rsidRPr="00DD6E6B">
              <w:rPr>
                <w:lang w:val="en-GB"/>
              </w:rPr>
              <w:t>16</w:t>
            </w:r>
            <w:r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0%</w:t>
            </w:r>
            <w:r w:rsidRPr="00DD6E6B">
              <w:rPr>
                <w:lang w:val="en-GB"/>
              </w:rPr>
              <w:t xml:space="preserve"> year-on-year in Q2</w:t>
            </w:r>
            <w:r w:rsidR="00C6020C" w:rsidRPr="00DD6E6B">
              <w:rPr>
                <w:lang w:val="en-GB"/>
              </w:rPr>
              <w:t>.</w:t>
            </w:r>
            <w:r w:rsidRPr="00DD6E6B">
              <w:rPr>
                <w:lang w:val="en-GB"/>
              </w:rPr>
              <w:t xml:space="preserve"> The growth thus slowed down from the previous </w:t>
            </w:r>
            <w:r w:rsidR="0026072D" w:rsidRPr="00DD6E6B">
              <w:rPr>
                <w:lang w:val="en-GB"/>
              </w:rPr>
              <w:t>22.2% but</w:t>
            </w:r>
            <w:r w:rsidRPr="00DD6E6B">
              <w:rPr>
                <w:lang w:val="en-GB"/>
              </w:rPr>
              <w:t xml:space="preserve"> remained relatively high and </w:t>
            </w:r>
            <w:r w:rsidR="005B1B45" w:rsidRPr="00DD6E6B">
              <w:rPr>
                <w:lang w:val="en-GB"/>
              </w:rPr>
              <w:t xml:space="preserve">with respect to the large weight of housing and </w:t>
            </w:r>
            <w:r w:rsidR="009606FA">
              <w:rPr>
                <w:lang w:val="en-GB"/>
              </w:rPr>
              <w:t>energy</w:t>
            </w:r>
            <w:r w:rsidR="005B1B45" w:rsidRPr="00DD6E6B">
              <w:rPr>
                <w:lang w:val="en-GB"/>
              </w:rPr>
              <w:t xml:space="preserve"> in the consumer basket </w:t>
            </w:r>
            <w:r w:rsidR="00AB640C" w:rsidRPr="00DD6E6B">
              <w:rPr>
                <w:lang w:val="en-GB"/>
              </w:rPr>
              <w:t xml:space="preserve">contributed from more than one third to the total year-on-year increase of consumer prices. </w:t>
            </w:r>
            <w:r w:rsidR="000763FD" w:rsidRPr="00DD6E6B">
              <w:rPr>
                <w:lang w:val="en-GB"/>
              </w:rPr>
              <w:t xml:space="preserve">Prices of housing and </w:t>
            </w:r>
            <w:r w:rsidR="009606FA">
              <w:rPr>
                <w:lang w:val="en-GB"/>
              </w:rPr>
              <w:t>energy</w:t>
            </w:r>
            <w:r w:rsidR="000763FD" w:rsidRPr="00DD6E6B">
              <w:rPr>
                <w:lang w:val="en-GB"/>
              </w:rPr>
              <w:t xml:space="preserve"> grew by </w:t>
            </w:r>
            <w:r w:rsidR="00C6020C" w:rsidRPr="00DD6E6B">
              <w:rPr>
                <w:lang w:val="en-GB"/>
              </w:rPr>
              <w:t>0</w:t>
            </w:r>
            <w:r w:rsidR="000763FD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2%</w:t>
            </w:r>
            <w:r w:rsidR="000763FD" w:rsidRPr="00DD6E6B">
              <w:rPr>
                <w:lang w:val="en-GB"/>
              </w:rPr>
              <w:t xml:space="preserve"> quarter-on-quarter</w:t>
            </w:r>
            <w:r w:rsidR="00C6020C" w:rsidRPr="00DD6E6B">
              <w:rPr>
                <w:lang w:val="en-GB"/>
              </w:rPr>
              <w:t xml:space="preserve">. </w:t>
            </w:r>
            <w:r w:rsidR="002D48A1" w:rsidRPr="00DD6E6B">
              <w:rPr>
                <w:lang w:val="en-GB"/>
              </w:rPr>
              <w:t>Slowdown</w:t>
            </w:r>
            <w:r w:rsidR="001A5977" w:rsidRPr="00DD6E6B">
              <w:rPr>
                <w:lang w:val="en-GB"/>
              </w:rPr>
              <w:t xml:space="preserve"> of the year-on-year pace affected the most prices of </w:t>
            </w:r>
            <w:r w:rsidR="009606FA">
              <w:rPr>
                <w:lang w:val="en-GB"/>
              </w:rPr>
              <w:t>electricity, gas and other fuels</w:t>
            </w:r>
            <w:r w:rsidR="002D48A1" w:rsidRPr="00DD6E6B">
              <w:rPr>
                <w:lang w:val="en-GB"/>
              </w:rPr>
              <w:t xml:space="preserve">, which were by </w:t>
            </w:r>
            <w:r w:rsidR="00C6020C" w:rsidRPr="00DD6E6B">
              <w:rPr>
                <w:lang w:val="en-GB"/>
              </w:rPr>
              <w:t>33</w:t>
            </w:r>
            <w:r w:rsidR="002D48A1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8%</w:t>
            </w:r>
            <w:r w:rsidR="002D48A1" w:rsidRPr="00DD6E6B">
              <w:rPr>
                <w:lang w:val="en-GB"/>
              </w:rPr>
              <w:t xml:space="preserve"> higher year-on-year</w:t>
            </w:r>
            <w:r w:rsidR="00C6020C" w:rsidRPr="00DD6E6B">
              <w:rPr>
                <w:lang w:val="en-GB"/>
              </w:rPr>
              <w:t xml:space="preserve">. </w:t>
            </w:r>
            <w:r w:rsidR="00B0454F" w:rsidRPr="00DD6E6B">
              <w:rPr>
                <w:lang w:val="en-GB"/>
              </w:rPr>
              <w:t xml:space="preserve">For other services associated with </w:t>
            </w:r>
            <w:r w:rsidR="00D47A67" w:rsidRPr="00DD6E6B">
              <w:rPr>
                <w:lang w:val="en-GB"/>
              </w:rPr>
              <w:t>dwelling</w:t>
            </w:r>
            <w:r w:rsidR="00B0454F" w:rsidRPr="00DD6E6B">
              <w:rPr>
                <w:lang w:val="en-GB"/>
              </w:rPr>
              <w:t xml:space="preserve"> the increase was retained at considerable </w:t>
            </w:r>
            <w:r w:rsidR="00C6020C" w:rsidRPr="00DD6E6B">
              <w:rPr>
                <w:lang w:val="en-GB"/>
              </w:rPr>
              <w:t>15</w:t>
            </w:r>
            <w:r w:rsidR="00B0454F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9% a</w:t>
            </w:r>
            <w:r w:rsidR="00B0454F" w:rsidRPr="00DD6E6B">
              <w:rPr>
                <w:lang w:val="en-GB"/>
              </w:rPr>
              <w:t>n</w:t>
            </w:r>
            <w:r w:rsidR="0026072D" w:rsidRPr="00DD6E6B">
              <w:rPr>
                <w:lang w:val="en-GB"/>
              </w:rPr>
              <w:t>d</w:t>
            </w:r>
            <w:r w:rsidR="00B0454F" w:rsidRPr="00DD6E6B">
              <w:rPr>
                <w:lang w:val="en-GB"/>
              </w:rPr>
              <w:t xml:space="preserve"> prices of </w:t>
            </w:r>
            <w:r w:rsidR="00D47A67" w:rsidRPr="00DD6E6B">
              <w:rPr>
                <w:lang w:val="en-GB"/>
              </w:rPr>
              <w:t>maintenance and repair</w:t>
            </w:r>
            <w:r w:rsidR="009606FA">
              <w:rPr>
                <w:lang w:val="en-GB"/>
              </w:rPr>
              <w:t xml:space="preserve"> of dwelling</w:t>
            </w:r>
            <w:r w:rsidR="00452985" w:rsidRPr="00DD6E6B">
              <w:rPr>
                <w:lang w:val="en-GB"/>
              </w:rPr>
              <w:t xml:space="preserve"> increased by </w:t>
            </w:r>
            <w:r w:rsidR="00C6020C" w:rsidRPr="00DD6E6B">
              <w:rPr>
                <w:lang w:val="en-GB"/>
              </w:rPr>
              <w:t>12</w:t>
            </w:r>
            <w:r w:rsidR="00452985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2%. </w:t>
            </w:r>
            <w:r w:rsidR="00452985" w:rsidRPr="00DD6E6B">
              <w:rPr>
                <w:lang w:val="en-GB"/>
              </w:rPr>
              <w:t xml:space="preserve">The year-on-year increase on the </w:t>
            </w:r>
            <w:r w:rsidR="009606FA">
              <w:rPr>
                <w:lang w:val="en-GB"/>
              </w:rPr>
              <w:t xml:space="preserve">actual </w:t>
            </w:r>
            <w:r w:rsidR="00452985" w:rsidRPr="00DD6E6B">
              <w:rPr>
                <w:lang w:val="en-GB"/>
              </w:rPr>
              <w:t xml:space="preserve">rentals for housing slightly increased to </w:t>
            </w:r>
            <w:r w:rsidR="00C6020C" w:rsidRPr="00DD6E6B">
              <w:rPr>
                <w:lang w:val="en-GB"/>
              </w:rPr>
              <w:t>6</w:t>
            </w:r>
            <w:r w:rsidR="00452985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9%,</w:t>
            </w:r>
            <w:r w:rsidR="00452985" w:rsidRPr="00DD6E6B">
              <w:rPr>
                <w:lang w:val="en-GB"/>
              </w:rPr>
              <w:t xml:space="preserve"> but further slow down to 3.1% manifested for the imputed rent</w:t>
            </w:r>
            <w:r w:rsidR="009606FA">
              <w:rPr>
                <w:lang w:val="en-GB"/>
              </w:rPr>
              <w:t>als</w:t>
            </w:r>
            <w:r w:rsidR="00C6020C" w:rsidRPr="00DD6E6B">
              <w:rPr>
                <w:rStyle w:val="Znakapoznpodarou"/>
                <w:lang w:val="en-GB"/>
              </w:rPr>
              <w:footnoteReference w:id="2"/>
            </w:r>
            <w:r w:rsidR="00452985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 </w:t>
            </w:r>
          </w:p>
        </w:tc>
      </w:tr>
      <w:tr w:rsidR="00C6020C" w:rsidRPr="00DD6E6B" w14:paraId="1204D454" w14:textId="77777777" w:rsidTr="006849F8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4745025F" w14:textId="3FD254F0" w:rsidR="00C6020C" w:rsidRPr="00DD6E6B" w:rsidRDefault="00A0032F" w:rsidP="006849F8">
            <w:pPr>
              <w:pStyle w:val="Marginlie"/>
              <w:rPr>
                <w:spacing w:val="0"/>
                <w:lang w:val="en-GB"/>
              </w:rPr>
            </w:pPr>
            <w:r w:rsidRPr="00DD6E6B">
              <w:rPr>
                <w:spacing w:val="0"/>
                <w:lang w:val="en-GB"/>
              </w:rPr>
              <w:t xml:space="preserve">Prices of food and non-alcoholic beverages decreased quarter-on-quarter.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3D78DEE3" w14:textId="77777777" w:rsidR="00C6020C" w:rsidRPr="00DD6E6B" w:rsidRDefault="00C6020C" w:rsidP="006849F8">
            <w:pPr>
              <w:pStyle w:val="Textpoznpodarou1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610B8547" w14:textId="14A838B1" w:rsidR="00C6020C" w:rsidRPr="00DD6E6B" w:rsidRDefault="000C1948" w:rsidP="006849F8">
            <w:pPr>
              <w:rPr>
                <w:lang w:val="en-GB"/>
              </w:rPr>
            </w:pPr>
            <w:r w:rsidRPr="00DD6E6B">
              <w:rPr>
                <w:lang w:val="en-GB"/>
              </w:rPr>
              <w:t>The significant deceleration of the year-on-year growth also concerned the prices of food and non-alcoholic beverages in Q</w:t>
            </w:r>
            <w:r w:rsidR="00C6020C" w:rsidRPr="00DD6E6B">
              <w:rPr>
                <w:lang w:val="en-GB"/>
              </w:rPr>
              <w:t>2</w:t>
            </w:r>
            <w:r w:rsidRPr="00DD6E6B">
              <w:rPr>
                <w:lang w:val="en-GB"/>
              </w:rPr>
              <w:t xml:space="preserve">, </w:t>
            </w:r>
            <w:r w:rsidR="00ED4E87" w:rsidRPr="00DD6E6B">
              <w:rPr>
                <w:lang w:val="en-GB"/>
              </w:rPr>
              <w:t>where the</w:t>
            </w:r>
            <w:r w:rsidR="00A14F4D" w:rsidRPr="00DD6E6B">
              <w:rPr>
                <w:lang w:val="en-GB"/>
              </w:rPr>
              <w:t xml:space="preserve"> increase amounted to </w:t>
            </w:r>
            <w:r w:rsidR="00C6020C" w:rsidRPr="00DD6E6B">
              <w:rPr>
                <w:lang w:val="en-GB"/>
              </w:rPr>
              <w:t>14</w:t>
            </w:r>
            <w:r w:rsidR="00A14F4D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6%. </w:t>
            </w:r>
            <w:r w:rsidR="00B56231" w:rsidRPr="00DD6E6B">
              <w:rPr>
                <w:lang w:val="en-GB"/>
              </w:rPr>
              <w:t>Quarter-on-quarter prices of good</w:t>
            </w:r>
            <w:r w:rsidR="00A14F4D" w:rsidRPr="00DD6E6B">
              <w:rPr>
                <w:lang w:val="en-GB"/>
              </w:rPr>
              <w:t xml:space="preserve"> and non-alcoholic beverages fell by </w:t>
            </w:r>
            <w:r w:rsidR="00C6020C" w:rsidRPr="00DD6E6B">
              <w:rPr>
                <w:lang w:val="en-GB"/>
              </w:rPr>
              <w:t>0</w:t>
            </w:r>
            <w:r w:rsidR="00A14F4D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6%. </w:t>
            </w:r>
            <w:r w:rsidR="00A27D06" w:rsidRPr="00DD6E6B">
              <w:rPr>
                <w:lang w:val="en-GB"/>
              </w:rPr>
              <w:t>The</w:t>
            </w:r>
            <w:r w:rsidR="00BB298E" w:rsidRPr="00DD6E6B">
              <w:rPr>
                <w:lang w:val="en-GB"/>
              </w:rPr>
              <w:t xml:space="preserve"> weakening of year-on-year dynamics was especially substantial </w:t>
            </w:r>
            <w:r w:rsidR="00A27D06" w:rsidRPr="00DD6E6B">
              <w:rPr>
                <w:lang w:val="en-GB"/>
              </w:rPr>
              <w:t xml:space="preserve">in case of oils and fats </w:t>
            </w:r>
            <w:r w:rsidR="00C6020C" w:rsidRPr="00DD6E6B">
              <w:rPr>
                <w:lang w:val="en-GB"/>
              </w:rPr>
              <w:t>(</w:t>
            </w:r>
            <w:r w:rsidR="00A27D06" w:rsidRPr="00DD6E6B">
              <w:rPr>
                <w:lang w:val="en-GB"/>
              </w:rPr>
              <w:t xml:space="preserve">from </w:t>
            </w:r>
            <w:r w:rsidR="00C6020C" w:rsidRPr="00DD6E6B">
              <w:rPr>
                <w:lang w:val="en-GB"/>
              </w:rPr>
              <w:t>23</w:t>
            </w:r>
            <w:r w:rsidR="00A27D0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5%</w:t>
            </w:r>
            <w:r w:rsidR="00A27D06" w:rsidRPr="00DD6E6B">
              <w:rPr>
                <w:lang w:val="en-GB"/>
              </w:rPr>
              <w:t xml:space="preserve"> in Q</w:t>
            </w:r>
            <w:r w:rsidR="00C6020C" w:rsidRPr="00DD6E6B">
              <w:rPr>
                <w:lang w:val="en-GB"/>
              </w:rPr>
              <w:t>1</w:t>
            </w:r>
            <w:r w:rsidR="00A27D06" w:rsidRPr="00DD6E6B">
              <w:rPr>
                <w:lang w:val="en-GB"/>
              </w:rPr>
              <w:t xml:space="preserve"> to </w:t>
            </w:r>
            <w:r w:rsidR="00C6020C" w:rsidRPr="00DD6E6B">
              <w:rPr>
                <w:lang w:val="en-GB"/>
              </w:rPr>
              <w:t>2</w:t>
            </w:r>
            <w:r w:rsidR="00A27D0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4%</w:t>
            </w:r>
            <w:r w:rsidR="00A27D06" w:rsidRPr="00DD6E6B">
              <w:rPr>
                <w:lang w:val="en-GB"/>
              </w:rPr>
              <w:t xml:space="preserve"> in Q</w:t>
            </w:r>
            <w:r w:rsidR="00C6020C" w:rsidRPr="00DD6E6B">
              <w:rPr>
                <w:lang w:val="en-GB"/>
              </w:rPr>
              <w:t>2), m</w:t>
            </w:r>
            <w:r w:rsidR="00A27D06" w:rsidRPr="00DD6E6B">
              <w:rPr>
                <w:lang w:val="en-GB"/>
              </w:rPr>
              <w:t xml:space="preserve">eat </w:t>
            </w:r>
            <w:r w:rsidR="00C6020C" w:rsidRPr="00DD6E6B">
              <w:rPr>
                <w:lang w:val="en-GB"/>
              </w:rPr>
              <w:t>(</w:t>
            </w:r>
            <w:r w:rsidR="00A27D06" w:rsidRPr="00DD6E6B">
              <w:rPr>
                <w:lang w:val="en-GB"/>
              </w:rPr>
              <w:t xml:space="preserve">from </w:t>
            </w:r>
            <w:r w:rsidR="00C6020C" w:rsidRPr="00DD6E6B">
              <w:rPr>
                <w:lang w:val="en-GB"/>
              </w:rPr>
              <w:t>24</w:t>
            </w:r>
            <w:r w:rsidR="00A27D0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4%</w:t>
            </w:r>
            <w:r w:rsidR="00A27D06" w:rsidRPr="00DD6E6B">
              <w:rPr>
                <w:lang w:val="en-GB"/>
              </w:rPr>
              <w:t xml:space="preserve"> to </w:t>
            </w:r>
            <w:r w:rsidR="00C6020C" w:rsidRPr="00DD6E6B">
              <w:rPr>
                <w:lang w:val="en-GB"/>
              </w:rPr>
              <w:t>8</w:t>
            </w:r>
            <w:r w:rsidR="00A27D0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6%), m</w:t>
            </w:r>
            <w:r w:rsidR="00A27D06" w:rsidRPr="00DD6E6B">
              <w:rPr>
                <w:lang w:val="en-GB"/>
              </w:rPr>
              <w:t>ilk, cheese and eggs</w:t>
            </w:r>
            <w:r w:rsidR="00BB298E" w:rsidRPr="00DD6E6B">
              <w:rPr>
                <w:lang w:val="en-GB"/>
              </w:rPr>
              <w:t xml:space="preserve"> </w:t>
            </w:r>
            <w:r w:rsidR="00C6020C" w:rsidRPr="00DD6E6B">
              <w:rPr>
                <w:lang w:val="en-GB"/>
              </w:rPr>
              <w:t>(</w:t>
            </w:r>
            <w:r w:rsidR="00BB298E" w:rsidRPr="00DD6E6B">
              <w:rPr>
                <w:lang w:val="en-GB"/>
              </w:rPr>
              <w:t xml:space="preserve">from </w:t>
            </w:r>
            <w:r w:rsidR="00C6020C" w:rsidRPr="00DD6E6B">
              <w:rPr>
                <w:lang w:val="en-GB"/>
              </w:rPr>
              <w:t>32</w:t>
            </w:r>
            <w:r w:rsidR="00BB298E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7%</w:t>
            </w:r>
            <w:r w:rsidR="00BB298E" w:rsidRPr="00DD6E6B">
              <w:rPr>
                <w:lang w:val="en-GB"/>
              </w:rPr>
              <w:t xml:space="preserve"> to </w:t>
            </w:r>
            <w:r w:rsidR="00C6020C" w:rsidRPr="00DD6E6B">
              <w:rPr>
                <w:lang w:val="en-GB"/>
              </w:rPr>
              <w:t>17</w:t>
            </w:r>
            <w:r w:rsidR="00BB298E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4%) a</w:t>
            </w:r>
            <w:r w:rsidR="00BB298E" w:rsidRPr="00DD6E6B">
              <w:rPr>
                <w:lang w:val="en-GB"/>
              </w:rPr>
              <w:t>nd b</w:t>
            </w:r>
            <w:r w:rsidR="009606FA">
              <w:rPr>
                <w:lang w:val="en-GB"/>
              </w:rPr>
              <w:t>read</w:t>
            </w:r>
            <w:r w:rsidR="00BB298E" w:rsidRPr="00DD6E6B">
              <w:rPr>
                <w:lang w:val="en-GB"/>
              </w:rPr>
              <w:t xml:space="preserve"> and cereals </w:t>
            </w:r>
            <w:r w:rsidR="00C6020C" w:rsidRPr="00DD6E6B">
              <w:rPr>
                <w:lang w:val="en-GB"/>
              </w:rPr>
              <w:t>(</w:t>
            </w:r>
            <w:r w:rsidR="00BB298E" w:rsidRPr="00DD6E6B">
              <w:rPr>
                <w:lang w:val="en-GB"/>
              </w:rPr>
              <w:t xml:space="preserve">from </w:t>
            </w:r>
            <w:r w:rsidR="00C6020C" w:rsidRPr="00DD6E6B">
              <w:rPr>
                <w:lang w:val="en-GB"/>
              </w:rPr>
              <w:t>26</w:t>
            </w:r>
            <w:r w:rsidR="00BB298E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5%</w:t>
            </w:r>
            <w:r w:rsidR="00BB298E" w:rsidRPr="00DD6E6B">
              <w:rPr>
                <w:lang w:val="en-GB"/>
              </w:rPr>
              <w:t xml:space="preserve"> to </w:t>
            </w:r>
            <w:r w:rsidR="00C6020C" w:rsidRPr="00DD6E6B">
              <w:rPr>
                <w:lang w:val="en-GB"/>
              </w:rPr>
              <w:t>16</w:t>
            </w:r>
            <w:r w:rsidR="00BB298E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8%). S</w:t>
            </w:r>
            <w:r w:rsidR="00A7108C" w:rsidRPr="00DD6E6B">
              <w:rPr>
                <w:lang w:val="en-GB"/>
              </w:rPr>
              <w:t xml:space="preserve">trong growth of prices prevailed for vegetables </w:t>
            </w:r>
            <w:r w:rsidR="00C6020C" w:rsidRPr="00DD6E6B">
              <w:rPr>
                <w:lang w:val="en-GB"/>
              </w:rPr>
              <w:t>(22</w:t>
            </w:r>
            <w:r w:rsidR="00A7108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6%), </w:t>
            </w:r>
            <w:r w:rsidR="003F5E2D" w:rsidRPr="00DD6E6B">
              <w:rPr>
                <w:lang w:val="en-GB"/>
              </w:rPr>
              <w:t>sugar</w:t>
            </w:r>
            <w:r w:rsidR="00C6020C" w:rsidRPr="00DD6E6B">
              <w:rPr>
                <w:lang w:val="en-GB"/>
              </w:rPr>
              <w:t xml:space="preserve">, </w:t>
            </w:r>
            <w:r w:rsidR="003F5E2D" w:rsidRPr="00DD6E6B">
              <w:rPr>
                <w:lang w:val="en-GB"/>
              </w:rPr>
              <w:t xml:space="preserve">jam, honey, chocolate, confectionary </w:t>
            </w:r>
            <w:r w:rsidR="00C6020C" w:rsidRPr="00DD6E6B">
              <w:rPr>
                <w:lang w:val="en-GB"/>
              </w:rPr>
              <w:t>(20</w:t>
            </w:r>
            <w:r w:rsidR="003F5E2D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0%) a</w:t>
            </w:r>
            <w:r w:rsidR="003F5E2D" w:rsidRPr="00DD6E6B">
              <w:rPr>
                <w:lang w:val="en-GB"/>
              </w:rPr>
              <w:t xml:space="preserve">nd other food products </w:t>
            </w:r>
            <w:r w:rsidR="00C6020C" w:rsidRPr="00DD6E6B">
              <w:rPr>
                <w:lang w:val="en-GB"/>
              </w:rPr>
              <w:t>(17</w:t>
            </w:r>
            <w:r w:rsidR="003F5E2D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4%). </w:t>
            </w:r>
            <w:r w:rsidR="00793776" w:rsidRPr="00DD6E6B">
              <w:rPr>
                <w:lang w:val="en-GB"/>
              </w:rPr>
              <w:t xml:space="preserve">Growth of prices of fruit strengthened to </w:t>
            </w:r>
            <w:r w:rsidR="00C6020C" w:rsidRPr="00DD6E6B">
              <w:rPr>
                <w:lang w:val="en-GB"/>
              </w:rPr>
              <w:t>14</w:t>
            </w:r>
            <w:r w:rsidR="0079377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4%.</w:t>
            </w:r>
          </w:p>
        </w:tc>
      </w:tr>
      <w:tr w:rsidR="00C6020C" w:rsidRPr="00DD6E6B" w14:paraId="12641F01" w14:textId="77777777" w:rsidTr="006849F8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5E5264B1" w14:textId="1F8DF62A" w:rsidR="00C6020C" w:rsidRPr="00DD6E6B" w:rsidRDefault="00A0032F" w:rsidP="006849F8">
            <w:pPr>
              <w:pStyle w:val="Marginlie"/>
              <w:rPr>
                <w:spacing w:val="0"/>
                <w:lang w:val="en-GB"/>
              </w:rPr>
            </w:pPr>
            <w:r w:rsidRPr="00DD6E6B">
              <w:rPr>
                <w:spacing w:val="0"/>
                <w:lang w:val="en-GB"/>
              </w:rPr>
              <w:t xml:space="preserve">Prices of various services kept </w:t>
            </w:r>
            <w:r w:rsidR="00C20906" w:rsidRPr="00DD6E6B">
              <w:rPr>
                <w:spacing w:val="0"/>
                <w:lang w:val="en-GB"/>
              </w:rPr>
              <w:t>strongly</w:t>
            </w:r>
            <w:r w:rsidRPr="00DD6E6B">
              <w:rPr>
                <w:spacing w:val="0"/>
                <w:lang w:val="en-GB"/>
              </w:rPr>
              <w:t xml:space="preserve"> growing.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19EDD3C3" w14:textId="77777777" w:rsidR="00C6020C" w:rsidRPr="00DD6E6B" w:rsidRDefault="00C6020C" w:rsidP="006849F8">
            <w:pPr>
              <w:pStyle w:val="Textpoznpodarou1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53E1A42C" w14:textId="59F2C709" w:rsidR="00C6020C" w:rsidRPr="00DD6E6B" w:rsidRDefault="007E0F2A" w:rsidP="006849F8">
            <w:pPr>
              <w:rPr>
                <w:lang w:val="en-GB"/>
              </w:rPr>
            </w:pPr>
            <w:r w:rsidRPr="00DD6E6B">
              <w:rPr>
                <w:lang w:val="en-GB"/>
              </w:rPr>
              <w:t>Year-on-year growth of prices of many services remained extensive.</w:t>
            </w:r>
            <w:r w:rsidR="00B746AB" w:rsidRPr="00DD6E6B">
              <w:rPr>
                <w:lang w:val="en-GB"/>
              </w:rPr>
              <w:t xml:space="preserve"> </w:t>
            </w:r>
            <w:r w:rsidR="001F2604" w:rsidRPr="00DD6E6B">
              <w:rPr>
                <w:lang w:val="en-GB"/>
              </w:rPr>
              <w:t>Prices of recreation and cultur</w:t>
            </w:r>
            <w:r w:rsidR="009606FA">
              <w:rPr>
                <w:lang w:val="en-GB"/>
              </w:rPr>
              <w:t>e</w:t>
            </w:r>
            <w:r w:rsidR="001F2604" w:rsidRPr="00DD6E6B">
              <w:rPr>
                <w:lang w:val="en-GB"/>
              </w:rPr>
              <w:t xml:space="preserve">, which picked up by </w:t>
            </w:r>
            <w:r w:rsidR="00C6020C" w:rsidRPr="00DD6E6B">
              <w:rPr>
                <w:lang w:val="en-GB"/>
              </w:rPr>
              <w:t>11</w:t>
            </w:r>
            <w:r w:rsidR="001F2604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7%</w:t>
            </w:r>
            <w:r w:rsidR="001F2604" w:rsidRPr="00DD6E6B">
              <w:rPr>
                <w:lang w:val="en-GB"/>
              </w:rPr>
              <w:t xml:space="preserve"> contributed notably to the total year-on-year growth of consumer prices</w:t>
            </w:r>
            <w:r w:rsidR="00C6020C" w:rsidRPr="00DD6E6B">
              <w:rPr>
                <w:lang w:val="en-GB"/>
              </w:rPr>
              <w:t xml:space="preserve">. </w:t>
            </w:r>
            <w:r w:rsidR="00E70812" w:rsidRPr="00DD6E6B">
              <w:rPr>
                <w:lang w:val="en-GB"/>
              </w:rPr>
              <w:t xml:space="preserve">Mainly prices of package holidays </w:t>
            </w:r>
            <w:r w:rsidR="00C6020C" w:rsidRPr="00DD6E6B">
              <w:rPr>
                <w:lang w:val="en-GB"/>
              </w:rPr>
              <w:t>(17</w:t>
            </w:r>
            <w:r w:rsidR="00E70812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3%), </w:t>
            </w:r>
            <w:r w:rsidR="00C6020C" w:rsidRPr="00DD6E6B">
              <w:rPr>
                <w:lang w:val="en-GB"/>
              </w:rPr>
              <w:lastRenderedPageBreak/>
              <w:t>re</w:t>
            </w:r>
            <w:r w:rsidR="00E70812" w:rsidRPr="00DD6E6B">
              <w:rPr>
                <w:lang w:val="en-GB"/>
              </w:rPr>
              <w:t xml:space="preserve">creational and cultural services </w:t>
            </w:r>
            <w:r w:rsidR="00C6020C" w:rsidRPr="00DD6E6B">
              <w:rPr>
                <w:lang w:val="en-GB"/>
              </w:rPr>
              <w:t>(10</w:t>
            </w:r>
            <w:r w:rsidR="00E70812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8%)</w:t>
            </w:r>
            <w:r w:rsidR="00E70812" w:rsidRPr="00DD6E6B">
              <w:rPr>
                <w:lang w:val="en-GB"/>
              </w:rPr>
              <w:t xml:space="preserve"> and other items for recreation and leisure time </w:t>
            </w:r>
            <w:r w:rsidR="00C6020C" w:rsidRPr="00DD6E6B">
              <w:rPr>
                <w:lang w:val="en-GB"/>
              </w:rPr>
              <w:t>(13</w:t>
            </w:r>
            <w:r w:rsidR="00E70812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9%)</w:t>
            </w:r>
            <w:r w:rsidR="00E70812" w:rsidRPr="00DD6E6B">
              <w:rPr>
                <w:lang w:val="en-GB"/>
              </w:rPr>
              <w:t xml:space="preserve"> had a significant effect</w:t>
            </w:r>
            <w:r w:rsidR="00C6020C" w:rsidRPr="00DD6E6B">
              <w:rPr>
                <w:lang w:val="en-GB"/>
              </w:rPr>
              <w:t xml:space="preserve">. </w:t>
            </w:r>
            <w:r w:rsidR="003A7E41" w:rsidRPr="00DD6E6B">
              <w:rPr>
                <w:lang w:val="en-GB"/>
              </w:rPr>
              <w:t xml:space="preserve">Quarter-on-quarter the prices of recreation and culture lowered by </w:t>
            </w:r>
            <w:r w:rsidR="00C6020C" w:rsidRPr="00DD6E6B">
              <w:rPr>
                <w:lang w:val="en-GB"/>
              </w:rPr>
              <w:t>0</w:t>
            </w:r>
            <w:r w:rsidR="003A7E41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3%. </w:t>
            </w:r>
            <w:r w:rsidR="00756F00" w:rsidRPr="00DD6E6B">
              <w:rPr>
                <w:lang w:val="en-GB"/>
              </w:rPr>
              <w:t xml:space="preserve">Despite the weakening of the year-on-year growth the increase of prices of </w:t>
            </w:r>
            <w:r w:rsidR="00636DDD">
              <w:rPr>
                <w:lang w:val="en-GB"/>
              </w:rPr>
              <w:t>restaurants and hotels</w:t>
            </w:r>
            <w:r w:rsidR="00756F00" w:rsidRPr="00DD6E6B">
              <w:rPr>
                <w:lang w:val="en-GB"/>
              </w:rPr>
              <w:t xml:space="preserve">, which were by </w:t>
            </w:r>
            <w:r w:rsidR="00C6020C" w:rsidRPr="00DD6E6B">
              <w:rPr>
                <w:lang w:val="en-GB"/>
              </w:rPr>
              <w:t>15</w:t>
            </w:r>
            <w:r w:rsidR="00756F00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4%</w:t>
            </w:r>
            <w:r w:rsidR="00756F00" w:rsidRPr="00DD6E6B">
              <w:rPr>
                <w:lang w:val="en-GB"/>
              </w:rPr>
              <w:t xml:space="preserve"> higher year-on-year, also remained considerable. </w:t>
            </w:r>
            <w:r w:rsidR="00417B6C" w:rsidRPr="00DD6E6B">
              <w:rPr>
                <w:lang w:val="en-GB"/>
              </w:rPr>
              <w:t>At the same time the pri</w:t>
            </w:r>
            <w:r w:rsidR="003018D9" w:rsidRPr="00DD6E6B">
              <w:rPr>
                <w:lang w:val="en-GB"/>
              </w:rPr>
              <w:t>c</w:t>
            </w:r>
            <w:r w:rsidR="00417B6C" w:rsidRPr="00DD6E6B">
              <w:rPr>
                <w:lang w:val="en-GB"/>
              </w:rPr>
              <w:t xml:space="preserve">es of </w:t>
            </w:r>
            <w:r w:rsidR="00636DDD">
              <w:rPr>
                <w:lang w:val="en-GB"/>
              </w:rPr>
              <w:t>catering</w:t>
            </w:r>
            <w:r w:rsidR="00417B6C" w:rsidRPr="00DD6E6B">
              <w:rPr>
                <w:lang w:val="en-GB"/>
              </w:rPr>
              <w:t xml:space="preserve"> services grew by </w:t>
            </w:r>
            <w:r w:rsidR="00C6020C" w:rsidRPr="00DD6E6B">
              <w:rPr>
                <w:lang w:val="en-GB"/>
              </w:rPr>
              <w:t>15</w:t>
            </w:r>
            <w:r w:rsidR="00417B6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5%</w:t>
            </w:r>
            <w:r w:rsidR="00417B6C" w:rsidRPr="00DD6E6B">
              <w:rPr>
                <w:lang w:val="en-GB"/>
              </w:rPr>
              <w:t xml:space="preserve"> and accommodation services by </w:t>
            </w:r>
            <w:r w:rsidR="00C6020C" w:rsidRPr="00DD6E6B">
              <w:rPr>
                <w:lang w:val="en-GB"/>
              </w:rPr>
              <w:t>15</w:t>
            </w:r>
            <w:r w:rsidR="00417B6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1%</w:t>
            </w:r>
            <w:r w:rsidR="00417B6C" w:rsidRPr="00DD6E6B">
              <w:rPr>
                <w:lang w:val="en-GB"/>
              </w:rPr>
              <w:t xml:space="preserve"> year-on-year</w:t>
            </w:r>
            <w:r w:rsidR="00C6020C" w:rsidRPr="00DD6E6B">
              <w:rPr>
                <w:lang w:val="en-GB"/>
              </w:rPr>
              <w:t xml:space="preserve">. </w:t>
            </w:r>
            <w:r w:rsidR="00836065" w:rsidRPr="00DD6E6B">
              <w:rPr>
                <w:lang w:val="en-GB"/>
              </w:rPr>
              <w:t xml:space="preserve">Prices of </w:t>
            </w:r>
            <w:r w:rsidR="00636DDD">
              <w:rPr>
                <w:lang w:val="en-GB"/>
              </w:rPr>
              <w:t>restaurants and hotels</w:t>
            </w:r>
            <w:r w:rsidR="00836065" w:rsidRPr="00DD6E6B">
              <w:rPr>
                <w:lang w:val="en-GB"/>
              </w:rPr>
              <w:t xml:space="preserve"> had one the highest quarter-on-quarter increases </w:t>
            </w:r>
            <w:r w:rsidR="00C6020C" w:rsidRPr="00DD6E6B">
              <w:rPr>
                <w:lang w:val="en-GB"/>
              </w:rPr>
              <w:t>(2</w:t>
            </w:r>
            <w:r w:rsidR="00836065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7%)</w:t>
            </w:r>
            <w:r w:rsidR="00836065" w:rsidRPr="00DD6E6B">
              <w:rPr>
                <w:lang w:val="en-GB"/>
              </w:rPr>
              <w:t xml:space="preserve"> in the whole consumer basket</w:t>
            </w:r>
            <w:r w:rsidR="00C6020C" w:rsidRPr="00DD6E6B">
              <w:rPr>
                <w:lang w:val="en-GB"/>
              </w:rPr>
              <w:t>.</w:t>
            </w:r>
            <w:r w:rsidR="00836065" w:rsidRPr="00DD6E6B">
              <w:rPr>
                <w:lang w:val="en-GB"/>
              </w:rPr>
              <w:t xml:space="preserve"> Prices of </w:t>
            </w:r>
            <w:r w:rsidR="00636DDD">
              <w:rPr>
                <w:lang w:val="en-GB"/>
              </w:rPr>
              <w:t>miscellaneous</w:t>
            </w:r>
            <w:r w:rsidR="00836065" w:rsidRPr="00DD6E6B">
              <w:rPr>
                <w:lang w:val="en-GB"/>
              </w:rPr>
              <w:t xml:space="preserve"> goods and services</w:t>
            </w:r>
            <w:r w:rsidR="00C6020C" w:rsidRPr="00DD6E6B">
              <w:rPr>
                <w:rStyle w:val="Znakapoznpodarou"/>
                <w:lang w:val="en-GB"/>
              </w:rPr>
              <w:footnoteReference w:id="3"/>
            </w:r>
            <w:r w:rsidR="00C6020C" w:rsidRPr="00DD6E6B">
              <w:rPr>
                <w:lang w:val="en-GB"/>
              </w:rPr>
              <w:t xml:space="preserve"> </w:t>
            </w:r>
            <w:r w:rsidR="00836065" w:rsidRPr="00DD6E6B">
              <w:rPr>
                <w:lang w:val="en-GB"/>
              </w:rPr>
              <w:t xml:space="preserve">rose by </w:t>
            </w:r>
            <w:r w:rsidR="00C6020C" w:rsidRPr="00DD6E6B">
              <w:rPr>
                <w:lang w:val="en-GB"/>
              </w:rPr>
              <w:t>11</w:t>
            </w:r>
            <w:r w:rsidR="00836065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2%</w:t>
            </w:r>
            <w:r w:rsidR="00836065" w:rsidRPr="00DD6E6B">
              <w:rPr>
                <w:lang w:val="en-GB"/>
              </w:rPr>
              <w:t xml:space="preserve"> year-on-year and were by </w:t>
            </w:r>
            <w:r w:rsidR="00C6020C" w:rsidRPr="00DD6E6B">
              <w:rPr>
                <w:lang w:val="en-GB"/>
              </w:rPr>
              <w:t>1</w:t>
            </w:r>
            <w:r w:rsidR="00836065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4%</w:t>
            </w:r>
            <w:r w:rsidR="00836065" w:rsidRPr="00DD6E6B">
              <w:rPr>
                <w:lang w:val="en-GB"/>
              </w:rPr>
              <w:t xml:space="preserve"> higher quarter-on-quarter.</w:t>
            </w:r>
          </w:p>
        </w:tc>
      </w:tr>
      <w:tr w:rsidR="00C6020C" w:rsidRPr="00DD6E6B" w14:paraId="014FA0F2" w14:textId="77777777" w:rsidTr="006849F8">
        <w:trPr>
          <w:trHeight w:val="170"/>
        </w:trPr>
        <w:tc>
          <w:tcPr>
            <w:tcW w:w="1804" w:type="dxa"/>
            <w:vMerge w:val="restart"/>
            <w:shd w:val="clear" w:color="auto" w:fill="auto"/>
            <w:tcMar>
              <w:left w:w="0" w:type="dxa"/>
            </w:tcMar>
          </w:tcPr>
          <w:p w14:paraId="260615DF" w14:textId="77777777" w:rsidR="00C6020C" w:rsidRPr="00DD6E6B" w:rsidRDefault="00C6020C" w:rsidP="006849F8">
            <w:pPr>
              <w:pStyle w:val="Marginlie"/>
              <w:rPr>
                <w:spacing w:val="0"/>
                <w:lang w:val="en-GB"/>
              </w:rPr>
            </w:pPr>
          </w:p>
        </w:tc>
        <w:tc>
          <w:tcPr>
            <w:tcW w:w="224" w:type="dxa"/>
            <w:vMerge w:val="restart"/>
            <w:shd w:val="clear" w:color="auto" w:fill="auto"/>
            <w:tcMar>
              <w:left w:w="0" w:type="dxa"/>
            </w:tcMar>
          </w:tcPr>
          <w:p w14:paraId="5281E1CE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5BC074D9" w14:textId="335809CE" w:rsidR="00C6020C" w:rsidRPr="00DD6E6B" w:rsidRDefault="00BA0986" w:rsidP="006849F8">
            <w:pPr>
              <w:spacing w:after="0"/>
              <w:rPr>
                <w:lang w:val="en-GB"/>
              </w:rPr>
            </w:pPr>
            <w:r w:rsidRPr="00DD6E6B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>Chart</w:t>
            </w:r>
            <w:r w:rsidR="00FA2C07" w:rsidRPr="00DD6E6B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> 10</w:t>
            </w:r>
            <w:r w:rsidR="00C6020C" w:rsidRPr="00DD6E6B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="00F506A6" w:rsidRPr="00DD6E6B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Prices in the selected divisions of the consumer price index </w:t>
            </w:r>
            <w:r w:rsidR="00F506A6" w:rsidRPr="00DD6E6B">
              <w:rPr>
                <w:rFonts w:cs="Arial"/>
                <w:color w:val="000000"/>
                <w:sz w:val="18"/>
                <w:szCs w:val="18"/>
                <w:lang w:val="en-GB"/>
              </w:rPr>
              <w:t>(year-on-year in %)</w:t>
            </w:r>
          </w:p>
        </w:tc>
      </w:tr>
      <w:tr w:rsidR="00C6020C" w:rsidRPr="00DD6E6B" w14:paraId="72DCDE7B" w14:textId="77777777" w:rsidTr="000A01E8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4" w:type="dxa"/>
            <w:vMerge/>
          </w:tcPr>
          <w:p w14:paraId="66DE1DE8" w14:textId="77777777" w:rsidR="00C6020C" w:rsidRPr="00DD6E6B" w:rsidRDefault="00C6020C" w:rsidP="006849F8">
            <w:pPr>
              <w:pStyle w:val="Marginlie"/>
              <w:rPr>
                <w:spacing w:val="0"/>
                <w:lang w:val="en-GB"/>
              </w:rPr>
            </w:pPr>
          </w:p>
        </w:tc>
        <w:tc>
          <w:tcPr>
            <w:tcW w:w="224" w:type="dxa"/>
            <w:vMerge/>
          </w:tcPr>
          <w:p w14:paraId="722E3DBF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</w:tcPr>
          <w:p w14:paraId="7303C657" w14:textId="46FAC948" w:rsidR="00C6020C" w:rsidRPr="00DD6E6B" w:rsidRDefault="000A01E8" w:rsidP="006849F8">
            <w:pPr>
              <w:spacing w:after="0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1E08AEB1" wp14:editId="4E22867B">
                  <wp:extent cx="4743950" cy="3381750"/>
                  <wp:effectExtent l="0" t="0" r="0" b="0"/>
                  <wp:docPr id="1255043172" name="Graf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C6020C" w:rsidRPr="00DD6E6B" w14:paraId="49054711" w14:textId="77777777" w:rsidTr="006849F8">
        <w:trPr>
          <w:trHeight w:val="170"/>
        </w:trPr>
        <w:tc>
          <w:tcPr>
            <w:tcW w:w="1804" w:type="dxa"/>
            <w:vMerge/>
            <w:tcMar>
              <w:left w:w="0" w:type="dxa"/>
            </w:tcMar>
          </w:tcPr>
          <w:p w14:paraId="1E4FFDA9" w14:textId="77777777" w:rsidR="00C6020C" w:rsidRPr="00DD6E6B" w:rsidRDefault="00C6020C" w:rsidP="006849F8">
            <w:pPr>
              <w:pStyle w:val="Marginlie"/>
              <w:rPr>
                <w:spacing w:val="0"/>
                <w:lang w:val="en-GB"/>
              </w:rPr>
            </w:pPr>
          </w:p>
        </w:tc>
        <w:tc>
          <w:tcPr>
            <w:tcW w:w="224" w:type="dxa"/>
            <w:vMerge/>
            <w:tcMar>
              <w:left w:w="0" w:type="dxa"/>
            </w:tcMar>
          </w:tcPr>
          <w:p w14:paraId="7DC3024D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3D3C2FDF" w14:textId="675485B8" w:rsidR="006636BD" w:rsidRPr="00DD6E6B" w:rsidRDefault="00DD54CD" w:rsidP="000A01E8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D6E6B">
              <w:rPr>
                <w:sz w:val="14"/>
                <w:szCs w:val="14"/>
                <w:lang w:val="en-GB"/>
              </w:rPr>
              <w:t>Source</w:t>
            </w:r>
            <w:r w:rsidR="00C6020C" w:rsidRPr="00DD6E6B">
              <w:rPr>
                <w:sz w:val="14"/>
                <w:szCs w:val="14"/>
                <w:lang w:val="en-GB"/>
              </w:rPr>
              <w:t xml:space="preserve">: </w:t>
            </w:r>
            <w:r w:rsidRPr="00DD6E6B">
              <w:rPr>
                <w:sz w:val="14"/>
                <w:szCs w:val="14"/>
                <w:lang w:val="en-GB"/>
              </w:rPr>
              <w:t>CZSO</w:t>
            </w:r>
            <w:r w:rsidR="000A01E8">
              <w:rPr>
                <w:sz w:val="14"/>
                <w:szCs w:val="14"/>
                <w:lang w:val="en-GB"/>
              </w:rPr>
              <w:t>-</w:t>
            </w:r>
          </w:p>
        </w:tc>
      </w:tr>
      <w:tr w:rsidR="00C6020C" w:rsidRPr="00DD6E6B" w14:paraId="6F8D4B04" w14:textId="77777777" w:rsidTr="006849F8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6A8434D5" w14:textId="143B6CA8" w:rsidR="00C6020C" w:rsidRPr="00DD6E6B" w:rsidRDefault="00CC6F4D" w:rsidP="006849F8">
            <w:pPr>
              <w:pStyle w:val="Marginlie"/>
              <w:rPr>
                <w:spacing w:val="0"/>
                <w:lang w:val="en-GB"/>
              </w:rPr>
            </w:pPr>
            <w:r w:rsidRPr="00DD6E6B">
              <w:rPr>
                <w:spacing w:val="0"/>
                <w:lang w:val="en-GB"/>
              </w:rPr>
              <w:t xml:space="preserve">Year-on-year rate of growth of prices of </w:t>
            </w:r>
            <w:r w:rsidR="00796F41">
              <w:rPr>
                <w:spacing w:val="0"/>
                <w:lang w:val="en-GB"/>
              </w:rPr>
              <w:t>clothing</w:t>
            </w:r>
            <w:r w:rsidRPr="00DD6E6B">
              <w:rPr>
                <w:spacing w:val="0"/>
                <w:lang w:val="en-GB"/>
              </w:rPr>
              <w:t xml:space="preserve"> and footwear as well as household equipment remained significant.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6CEBD187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2DD21571" w14:textId="62C11ED4" w:rsidR="00C6020C" w:rsidRPr="00DD6E6B" w:rsidRDefault="00CC6F4D" w:rsidP="006849F8">
            <w:pPr>
              <w:rPr>
                <w:lang w:val="en-GB"/>
              </w:rPr>
            </w:pPr>
            <w:r w:rsidRPr="00DD6E6B">
              <w:rPr>
                <w:lang w:val="en-GB"/>
              </w:rPr>
              <w:t xml:space="preserve">Significant year-on-year pace of prices of </w:t>
            </w:r>
            <w:r w:rsidR="00636DDD">
              <w:rPr>
                <w:lang w:val="en-GB"/>
              </w:rPr>
              <w:t>clothing</w:t>
            </w:r>
            <w:r w:rsidRPr="00DD6E6B">
              <w:rPr>
                <w:lang w:val="en-GB"/>
              </w:rPr>
              <w:t xml:space="preserve"> and footwear </w:t>
            </w:r>
            <w:r w:rsidR="00C6020C" w:rsidRPr="00DD6E6B">
              <w:rPr>
                <w:lang w:val="en-GB"/>
              </w:rPr>
              <w:t>(12</w:t>
            </w:r>
            <w:r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2%) </w:t>
            </w:r>
            <w:r w:rsidRPr="00DD6E6B">
              <w:rPr>
                <w:lang w:val="en-GB"/>
              </w:rPr>
              <w:t xml:space="preserve">as well as household equipment, goods and repairs </w:t>
            </w:r>
            <w:r w:rsidR="00C6020C" w:rsidRPr="00DD6E6B">
              <w:rPr>
                <w:lang w:val="en-GB"/>
              </w:rPr>
              <w:t>(10</w:t>
            </w:r>
            <w:r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4%)</w:t>
            </w:r>
            <w:r w:rsidRPr="00DD6E6B">
              <w:rPr>
                <w:lang w:val="en-GB"/>
              </w:rPr>
              <w:t xml:space="preserve"> persisted in Q2</w:t>
            </w:r>
            <w:r w:rsidR="00C6020C" w:rsidRPr="00DD6E6B">
              <w:rPr>
                <w:lang w:val="en-GB"/>
              </w:rPr>
              <w:t>.</w:t>
            </w:r>
            <w:r w:rsidRPr="00DD6E6B">
              <w:rPr>
                <w:lang w:val="en-GB"/>
              </w:rPr>
              <w:t xml:space="preserve"> Prices in both divisions also </w:t>
            </w:r>
            <w:r w:rsidR="00FE77EF" w:rsidRPr="00DD6E6B">
              <w:rPr>
                <w:lang w:val="en-GB"/>
              </w:rPr>
              <w:t>strongly grew</w:t>
            </w:r>
            <w:r w:rsidRPr="00DD6E6B">
              <w:rPr>
                <w:lang w:val="en-GB"/>
              </w:rPr>
              <w:t xml:space="preserve"> quarter-on-quarter </w:t>
            </w:r>
            <w:r w:rsidR="00C6020C" w:rsidRPr="00DD6E6B">
              <w:rPr>
                <w:lang w:val="en-GB"/>
              </w:rPr>
              <w:t xml:space="preserve">– </w:t>
            </w:r>
            <w:r w:rsidRPr="00DD6E6B">
              <w:rPr>
                <w:lang w:val="en-GB"/>
              </w:rPr>
              <w:t xml:space="preserve">prices of wearing apparel and footwear were raised by </w:t>
            </w:r>
            <w:r w:rsidR="00C6020C" w:rsidRPr="00DD6E6B">
              <w:rPr>
                <w:lang w:val="en-GB"/>
              </w:rPr>
              <w:t>2</w:t>
            </w:r>
            <w:r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2% a</w:t>
            </w:r>
            <w:r w:rsidRPr="00DD6E6B">
              <w:rPr>
                <w:lang w:val="en-GB"/>
              </w:rPr>
              <w:t xml:space="preserve">nd </w:t>
            </w:r>
            <w:r w:rsidR="00636DDD">
              <w:rPr>
                <w:lang w:val="en-GB"/>
              </w:rPr>
              <w:t>f</w:t>
            </w:r>
            <w:r w:rsidR="00636DDD" w:rsidRPr="00636DDD">
              <w:rPr>
                <w:lang w:val="en-GB"/>
              </w:rPr>
              <w:t xml:space="preserve">urnishings, households equipment and maintenance </w:t>
            </w:r>
            <w:r w:rsidRPr="00DD6E6B">
              <w:rPr>
                <w:lang w:val="en-GB"/>
              </w:rPr>
              <w:t xml:space="preserve">by </w:t>
            </w:r>
            <w:r w:rsidR="00C6020C" w:rsidRPr="00DD6E6B">
              <w:rPr>
                <w:lang w:val="en-GB"/>
              </w:rPr>
              <w:t>1</w:t>
            </w:r>
            <w:r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6%. </w:t>
            </w:r>
            <w:r w:rsidR="00FE77EF" w:rsidRPr="00DD6E6B">
              <w:rPr>
                <w:lang w:val="en-GB"/>
              </w:rPr>
              <w:t>The year-on-year rate of growth of prices of alcoholic beverages and tobacco remained relatively stable in Q</w:t>
            </w:r>
            <w:r w:rsidR="00C6020C" w:rsidRPr="00DD6E6B">
              <w:rPr>
                <w:lang w:val="en-GB"/>
              </w:rPr>
              <w:t>2</w:t>
            </w:r>
            <w:r w:rsidR="00FE77EF" w:rsidRPr="00DD6E6B">
              <w:rPr>
                <w:lang w:val="en-GB"/>
              </w:rPr>
              <w:t xml:space="preserve"> </w:t>
            </w:r>
            <w:r w:rsidR="00C6020C" w:rsidRPr="00DD6E6B">
              <w:rPr>
                <w:lang w:val="en-GB"/>
              </w:rPr>
              <w:t>(6</w:t>
            </w:r>
            <w:r w:rsidR="00FE77EF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5%, </w:t>
            </w:r>
            <w:r w:rsidR="00FE77EF" w:rsidRPr="00DD6E6B">
              <w:rPr>
                <w:lang w:val="en-GB"/>
              </w:rPr>
              <w:t>prices grew by 0.4% here quarter-on-quarter</w:t>
            </w:r>
            <w:r w:rsidR="00C6020C" w:rsidRPr="00DD6E6B">
              <w:rPr>
                <w:lang w:val="en-GB"/>
              </w:rPr>
              <w:t xml:space="preserve">). </w:t>
            </w:r>
            <w:r w:rsidR="00A13367" w:rsidRPr="00DD6E6B">
              <w:rPr>
                <w:lang w:val="en-GB"/>
              </w:rPr>
              <w:t xml:space="preserve">The year-on-year increase of prices in the area of health care did not change </w:t>
            </w:r>
            <w:r w:rsidR="00C6020C" w:rsidRPr="00DD6E6B">
              <w:rPr>
                <w:lang w:val="en-GB"/>
              </w:rPr>
              <w:t>(9</w:t>
            </w:r>
            <w:r w:rsidR="00A1336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5%, 3</w:t>
            </w:r>
            <w:r w:rsidR="00A1336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1%</w:t>
            </w:r>
            <w:r w:rsidR="00A13367" w:rsidRPr="00DD6E6B">
              <w:rPr>
                <w:lang w:val="en-GB"/>
              </w:rPr>
              <w:t xml:space="preserve"> quarter-on-quarter</w:t>
            </w:r>
            <w:r w:rsidR="00C6020C" w:rsidRPr="00DD6E6B">
              <w:rPr>
                <w:lang w:val="en-GB"/>
              </w:rPr>
              <w:t>) a</w:t>
            </w:r>
            <w:r w:rsidR="00247258" w:rsidRPr="00DD6E6B">
              <w:rPr>
                <w:lang w:val="en-GB"/>
              </w:rPr>
              <w:t xml:space="preserve">nd the pace was stable for prices of education </w:t>
            </w:r>
            <w:r w:rsidR="00C6020C" w:rsidRPr="00DD6E6B">
              <w:rPr>
                <w:lang w:val="en-GB"/>
              </w:rPr>
              <w:t>(7</w:t>
            </w:r>
            <w:r w:rsidR="00247258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2%, 0</w:t>
            </w:r>
            <w:r w:rsidR="00247258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2%</w:t>
            </w:r>
            <w:r w:rsidR="00247258" w:rsidRPr="00DD6E6B">
              <w:rPr>
                <w:lang w:val="en-GB"/>
              </w:rPr>
              <w:t xml:space="preserve"> quarter-on-quarter</w:t>
            </w:r>
            <w:r w:rsidR="00C6020C" w:rsidRPr="00DD6E6B">
              <w:rPr>
                <w:lang w:val="en-GB"/>
              </w:rPr>
              <w:t xml:space="preserve">). </w:t>
            </w:r>
            <w:r w:rsidR="00247258" w:rsidRPr="00DD6E6B">
              <w:rPr>
                <w:lang w:val="en-GB"/>
              </w:rPr>
              <w:t xml:space="preserve">The year-on-year growth of prices of post and telecommunication </w:t>
            </w:r>
            <w:r w:rsidR="0079505F" w:rsidRPr="00DD6E6B">
              <w:rPr>
                <w:lang w:val="en-GB"/>
              </w:rPr>
              <w:t xml:space="preserve">strengthened year-on-year </w:t>
            </w:r>
            <w:r w:rsidR="00C6020C" w:rsidRPr="00DD6E6B">
              <w:rPr>
                <w:lang w:val="en-GB"/>
              </w:rPr>
              <w:t>(3</w:t>
            </w:r>
            <w:r w:rsidR="00247258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9%</w:t>
            </w:r>
            <w:r w:rsidR="0079505F" w:rsidRPr="00DD6E6B">
              <w:rPr>
                <w:lang w:val="en-GB"/>
              </w:rPr>
              <w:t>;</w:t>
            </w:r>
            <w:r w:rsidR="00C6020C" w:rsidRPr="00DD6E6B">
              <w:rPr>
                <w:lang w:val="en-GB"/>
              </w:rPr>
              <w:t xml:space="preserve"> 1</w:t>
            </w:r>
            <w:r w:rsidR="00247258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4%</w:t>
            </w:r>
            <w:r w:rsidR="00247258" w:rsidRPr="00DD6E6B">
              <w:rPr>
                <w:lang w:val="en-GB"/>
              </w:rPr>
              <w:t xml:space="preserve"> quarter-on-quarter</w:t>
            </w:r>
            <w:r w:rsidR="00C6020C" w:rsidRPr="00DD6E6B">
              <w:rPr>
                <w:lang w:val="en-GB"/>
              </w:rPr>
              <w:t xml:space="preserve">).      </w:t>
            </w:r>
          </w:p>
        </w:tc>
      </w:tr>
      <w:tr w:rsidR="00C6020C" w:rsidRPr="00DD6E6B" w14:paraId="5894B598" w14:textId="77777777" w:rsidTr="006849F8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1A83D6C9" w14:textId="5655C6E7" w:rsidR="00C6020C" w:rsidRPr="00DD6E6B" w:rsidRDefault="002E3036" w:rsidP="006849F8">
            <w:pPr>
              <w:pStyle w:val="Marginlie"/>
              <w:rPr>
                <w:spacing w:val="0"/>
                <w:lang w:val="en-GB"/>
              </w:rPr>
            </w:pPr>
            <w:r w:rsidRPr="00DD6E6B">
              <w:rPr>
                <w:spacing w:val="0"/>
                <w:lang w:val="en-GB"/>
              </w:rPr>
              <w:t xml:space="preserve">Only the prices of transport were falling year-on-year.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4ED39A16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26CB1942" w14:textId="098DAB66" w:rsidR="00C6020C" w:rsidRPr="00DD6E6B" w:rsidRDefault="00FE77EF" w:rsidP="006849F8">
            <w:pPr>
              <w:rPr>
                <w:lang w:val="en-GB"/>
              </w:rPr>
            </w:pPr>
            <w:r w:rsidRPr="00DD6E6B">
              <w:rPr>
                <w:lang w:val="en-GB"/>
              </w:rPr>
              <w:t xml:space="preserve">Transport was the only division of the consumer prices, where the prices decreased year-on-year. Prices went down by </w:t>
            </w:r>
            <w:r w:rsidR="00C6020C" w:rsidRPr="00DD6E6B">
              <w:rPr>
                <w:lang w:val="en-GB"/>
              </w:rPr>
              <w:t>4</w:t>
            </w:r>
            <w:r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0%</w:t>
            </w:r>
            <w:r w:rsidRPr="00DD6E6B">
              <w:rPr>
                <w:lang w:val="en-GB"/>
              </w:rPr>
              <w:t xml:space="preserve"> here and </w:t>
            </w:r>
            <w:r w:rsidR="006D6B1A" w:rsidRPr="00DD6E6B">
              <w:rPr>
                <w:lang w:val="en-GB"/>
              </w:rPr>
              <w:t>the decrease of costs of operati</w:t>
            </w:r>
            <w:r w:rsidR="00636DDD">
              <w:rPr>
                <w:lang w:val="en-GB"/>
              </w:rPr>
              <w:t>on of</w:t>
            </w:r>
            <w:r w:rsidR="006D6B1A" w:rsidRPr="00DD6E6B">
              <w:rPr>
                <w:lang w:val="en-GB"/>
              </w:rPr>
              <w:t xml:space="preserve"> personal transport equipment by 10.3% stood solely behind it. </w:t>
            </w:r>
            <w:r w:rsidR="0050668E" w:rsidRPr="00DD6E6B">
              <w:rPr>
                <w:lang w:val="en-GB"/>
              </w:rPr>
              <w:t xml:space="preserve">The year-on-year growth of prices of </w:t>
            </w:r>
            <w:r w:rsidR="00636DDD">
              <w:rPr>
                <w:lang w:val="en-GB"/>
              </w:rPr>
              <w:t>p</w:t>
            </w:r>
            <w:r w:rsidR="0050668E" w:rsidRPr="00DD6E6B">
              <w:rPr>
                <w:lang w:val="en-GB"/>
              </w:rPr>
              <w:t>urchas</w:t>
            </w:r>
            <w:r w:rsidR="00636DDD">
              <w:rPr>
                <w:lang w:val="en-GB"/>
              </w:rPr>
              <w:t>e of vehicles</w:t>
            </w:r>
            <w:r w:rsidR="0050668E" w:rsidRPr="00DD6E6B">
              <w:rPr>
                <w:lang w:val="en-GB"/>
              </w:rPr>
              <w:t xml:space="preserve"> considerably shrank </w:t>
            </w:r>
            <w:r w:rsidR="00C6020C" w:rsidRPr="00DD6E6B">
              <w:rPr>
                <w:lang w:val="en-GB"/>
              </w:rPr>
              <w:t>(1</w:t>
            </w:r>
            <w:r w:rsidR="0050668E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0%). </w:t>
            </w:r>
            <w:r w:rsidR="00EA7C51" w:rsidRPr="00DD6E6B">
              <w:rPr>
                <w:lang w:val="en-GB"/>
              </w:rPr>
              <w:t>The prices of transport services ceased to be affected by the last year’s restrictions of student discounts on fare</w:t>
            </w:r>
            <w:r w:rsidR="00C6020C" w:rsidRPr="00DD6E6B">
              <w:rPr>
                <w:lang w:val="en-GB"/>
              </w:rPr>
              <w:t xml:space="preserve">, </w:t>
            </w:r>
            <w:r w:rsidR="00EA7C51" w:rsidRPr="00DD6E6B">
              <w:rPr>
                <w:lang w:val="en-GB"/>
              </w:rPr>
              <w:t xml:space="preserve">thus the pace markedly decelerated against the preceding quarter. </w:t>
            </w:r>
            <w:r w:rsidR="00C6020C" w:rsidRPr="00DD6E6B">
              <w:rPr>
                <w:lang w:val="en-GB"/>
              </w:rPr>
              <w:lastRenderedPageBreak/>
              <w:t>S</w:t>
            </w:r>
            <w:r w:rsidR="00D62180" w:rsidRPr="00DD6E6B">
              <w:rPr>
                <w:lang w:val="en-GB"/>
              </w:rPr>
              <w:t xml:space="preserve">till the prices of transport services went up by substantial </w:t>
            </w:r>
            <w:r w:rsidR="00C6020C" w:rsidRPr="00DD6E6B">
              <w:rPr>
                <w:lang w:val="en-GB"/>
              </w:rPr>
              <w:t>11</w:t>
            </w:r>
            <w:r w:rsidR="00D62180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3%</w:t>
            </w:r>
            <w:r w:rsidR="00D62180" w:rsidRPr="00DD6E6B">
              <w:rPr>
                <w:lang w:val="en-GB"/>
              </w:rPr>
              <w:t xml:space="preserve"> year-on-year</w:t>
            </w:r>
            <w:r w:rsidR="00C6020C" w:rsidRPr="00DD6E6B">
              <w:rPr>
                <w:lang w:val="en-GB"/>
              </w:rPr>
              <w:t xml:space="preserve">. </w:t>
            </w:r>
            <w:r w:rsidR="00D62180" w:rsidRPr="00DD6E6B">
              <w:rPr>
                <w:lang w:val="en-GB"/>
              </w:rPr>
              <w:t>Prices of transport also fell quarter-on-quarter for the third time in a row, specifically by 0.</w:t>
            </w:r>
            <w:r w:rsidR="00C6020C" w:rsidRPr="00DD6E6B">
              <w:rPr>
                <w:lang w:val="en-GB"/>
              </w:rPr>
              <w:t>8%.</w:t>
            </w:r>
          </w:p>
        </w:tc>
      </w:tr>
      <w:tr w:rsidR="00C6020C" w:rsidRPr="00DD6E6B" w14:paraId="143E686C" w14:textId="77777777" w:rsidTr="006849F8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5C076009" w14:textId="736F8122" w:rsidR="00C6020C" w:rsidRPr="00DD6E6B" w:rsidRDefault="002E3036" w:rsidP="006849F8">
            <w:pPr>
              <w:pStyle w:val="Marginlie"/>
              <w:rPr>
                <w:spacing w:val="0"/>
                <w:lang w:val="en-GB"/>
              </w:rPr>
            </w:pPr>
            <w:r w:rsidRPr="00DD6E6B">
              <w:rPr>
                <w:spacing w:val="0"/>
                <w:lang w:val="en-GB"/>
              </w:rPr>
              <w:lastRenderedPageBreak/>
              <w:t xml:space="preserve">Growth of consumer </w:t>
            </w:r>
            <w:r w:rsidR="00204A45" w:rsidRPr="00DD6E6B">
              <w:rPr>
                <w:spacing w:val="0"/>
                <w:lang w:val="en-GB"/>
              </w:rPr>
              <w:t xml:space="preserve">prices slowed down in the EU.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21FC0E9D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5DC9729A" w14:textId="614EB95D" w:rsidR="00C6020C" w:rsidRPr="00DD6E6B" w:rsidRDefault="00C6020C" w:rsidP="006849F8">
            <w:pPr>
              <w:rPr>
                <w:lang w:val="en-GB"/>
              </w:rPr>
            </w:pPr>
            <w:r w:rsidRPr="00DD6E6B">
              <w:rPr>
                <w:lang w:val="en-GB"/>
              </w:rPr>
              <w:t>Harmoniz</w:t>
            </w:r>
            <w:r w:rsidR="006E7275" w:rsidRPr="00DD6E6B">
              <w:rPr>
                <w:lang w:val="en-GB"/>
              </w:rPr>
              <w:t xml:space="preserve">ed index of consumer prices </w:t>
            </w:r>
            <w:r w:rsidRPr="00DD6E6B">
              <w:rPr>
                <w:lang w:val="en-GB"/>
              </w:rPr>
              <w:t>(HICP)</w:t>
            </w:r>
            <w:r w:rsidRPr="00DD6E6B">
              <w:rPr>
                <w:rStyle w:val="Znakapoznpodarou"/>
                <w:lang w:val="en-GB"/>
              </w:rPr>
              <w:footnoteReference w:id="4"/>
            </w:r>
            <w:r w:rsidRPr="00DD6E6B">
              <w:rPr>
                <w:lang w:val="en-GB"/>
              </w:rPr>
              <w:t xml:space="preserve"> </w:t>
            </w:r>
            <w:r w:rsidR="006E7275" w:rsidRPr="00DD6E6B">
              <w:rPr>
                <w:lang w:val="en-GB"/>
              </w:rPr>
              <w:t>increased by 7.2% in the European Union year-on-year in Q2</w:t>
            </w:r>
            <w:r w:rsidRPr="00DD6E6B">
              <w:rPr>
                <w:lang w:val="en-GB"/>
              </w:rPr>
              <w:t>.</w:t>
            </w:r>
            <w:r w:rsidR="006E7275" w:rsidRPr="00DD6E6B">
              <w:rPr>
                <w:lang w:val="en-GB"/>
              </w:rPr>
              <w:t xml:space="preserve"> The year-on-year dynamics of consumer prices in the EU similarly to the domestic economy decelerates since the beginning of the year, mainly under the influence of falling prices of </w:t>
            </w:r>
            <w:r w:rsidR="009606FA">
              <w:rPr>
                <w:lang w:val="en-GB"/>
              </w:rPr>
              <w:t>energy</w:t>
            </w:r>
            <w:r w:rsidR="006E7275" w:rsidRPr="00DD6E6B">
              <w:rPr>
                <w:lang w:val="en-GB"/>
              </w:rPr>
              <w:t xml:space="preserve"> and fuels. On the other hand, </w:t>
            </w:r>
            <w:r w:rsidR="00D2628C" w:rsidRPr="00DD6E6B">
              <w:rPr>
                <w:lang w:val="en-GB"/>
              </w:rPr>
              <w:t>the growth of prices of food remained strong throughout H</w:t>
            </w:r>
            <w:r w:rsidRPr="00DD6E6B">
              <w:rPr>
                <w:lang w:val="en-GB"/>
              </w:rPr>
              <w:t>1.</w:t>
            </w:r>
            <w:r w:rsidR="00D2628C" w:rsidRPr="00DD6E6B">
              <w:rPr>
                <w:lang w:val="en-GB"/>
              </w:rPr>
              <w:t xml:space="preserve"> According to the HICP, the prices increased the most year-on-year in Q</w:t>
            </w:r>
            <w:r w:rsidRPr="00DD6E6B">
              <w:rPr>
                <w:lang w:val="en-GB"/>
              </w:rPr>
              <w:t>2</w:t>
            </w:r>
            <w:r w:rsidR="00D2628C" w:rsidRPr="00DD6E6B">
              <w:rPr>
                <w:lang w:val="en-GB"/>
              </w:rPr>
              <w:t xml:space="preserve"> in Hungary </w:t>
            </w:r>
            <w:r w:rsidRPr="00DD6E6B">
              <w:rPr>
                <w:lang w:val="en-GB"/>
              </w:rPr>
              <w:t>(22</w:t>
            </w:r>
            <w:r w:rsidR="00D2628C" w:rsidRPr="00DD6E6B">
              <w:rPr>
                <w:lang w:val="en-GB"/>
              </w:rPr>
              <w:t>.</w:t>
            </w:r>
            <w:r w:rsidRPr="00DD6E6B">
              <w:rPr>
                <w:lang w:val="en-GB"/>
              </w:rPr>
              <w:t xml:space="preserve">1%), </w:t>
            </w:r>
            <w:r w:rsidR="00D2628C" w:rsidRPr="00DD6E6B">
              <w:rPr>
                <w:lang w:val="en-GB"/>
              </w:rPr>
              <w:t xml:space="preserve">where mainly the prices of food, food service and accommodation and housing and </w:t>
            </w:r>
            <w:r w:rsidR="009606FA">
              <w:rPr>
                <w:lang w:val="en-GB"/>
              </w:rPr>
              <w:t>energy</w:t>
            </w:r>
            <w:r w:rsidR="00D2628C" w:rsidRPr="00DD6E6B">
              <w:rPr>
                <w:lang w:val="en-GB"/>
              </w:rPr>
              <w:t xml:space="preserve"> grew massively. Nevertheless, double-digit year-on-year increases had a majority of divisions</w:t>
            </w:r>
            <w:r w:rsidR="006453B2" w:rsidRPr="00DD6E6B">
              <w:rPr>
                <w:lang w:val="en-GB"/>
              </w:rPr>
              <w:t xml:space="preserve"> in</w:t>
            </w:r>
            <w:r w:rsidR="00D2628C" w:rsidRPr="00DD6E6B">
              <w:rPr>
                <w:lang w:val="en-GB"/>
              </w:rPr>
              <w:t xml:space="preserve"> the Hungarian consumer basket. </w:t>
            </w:r>
            <w:r w:rsidR="00D8125F" w:rsidRPr="00DD6E6B">
              <w:rPr>
                <w:lang w:val="en-GB"/>
              </w:rPr>
              <w:t xml:space="preserve">The subsequent countries in the ranking </w:t>
            </w:r>
            <w:r w:rsidRPr="00DD6E6B">
              <w:rPr>
                <w:lang w:val="en-GB"/>
              </w:rPr>
              <w:t xml:space="preserve">– </w:t>
            </w:r>
            <w:r w:rsidR="00D8125F" w:rsidRPr="00DD6E6B">
              <w:rPr>
                <w:lang w:val="en-GB"/>
              </w:rPr>
              <w:t xml:space="preserve">the CR </w:t>
            </w:r>
            <w:r w:rsidRPr="00DD6E6B">
              <w:rPr>
                <w:lang w:val="en-GB"/>
              </w:rPr>
              <w:t>(12</w:t>
            </w:r>
            <w:r w:rsidR="00D8125F" w:rsidRPr="00DD6E6B">
              <w:rPr>
                <w:lang w:val="en-GB"/>
              </w:rPr>
              <w:t>.</w:t>
            </w:r>
            <w:r w:rsidRPr="00DD6E6B">
              <w:rPr>
                <w:lang w:val="en-GB"/>
              </w:rPr>
              <w:t>6%), Slov</w:t>
            </w:r>
            <w:r w:rsidR="00D8125F" w:rsidRPr="00DD6E6B">
              <w:rPr>
                <w:lang w:val="en-GB"/>
              </w:rPr>
              <w:t xml:space="preserve">akia </w:t>
            </w:r>
            <w:r w:rsidRPr="00DD6E6B">
              <w:rPr>
                <w:lang w:val="en-GB"/>
              </w:rPr>
              <w:t>(12</w:t>
            </w:r>
            <w:r w:rsidR="00D8125F" w:rsidRPr="00DD6E6B">
              <w:rPr>
                <w:lang w:val="en-GB"/>
              </w:rPr>
              <w:t>.</w:t>
            </w:r>
            <w:r w:rsidRPr="00DD6E6B">
              <w:rPr>
                <w:lang w:val="en-GB"/>
              </w:rPr>
              <w:t>5%) a</w:t>
            </w:r>
            <w:r w:rsidR="00D8125F" w:rsidRPr="00DD6E6B">
              <w:rPr>
                <w:lang w:val="en-GB"/>
              </w:rPr>
              <w:t xml:space="preserve">nd Poland </w:t>
            </w:r>
            <w:r w:rsidRPr="00DD6E6B">
              <w:rPr>
                <w:lang w:val="en-GB"/>
              </w:rPr>
              <w:t>(12</w:t>
            </w:r>
            <w:r w:rsidR="00D8125F" w:rsidRPr="00DD6E6B">
              <w:rPr>
                <w:lang w:val="en-GB"/>
              </w:rPr>
              <w:t>.</w:t>
            </w:r>
            <w:r w:rsidRPr="00DD6E6B">
              <w:rPr>
                <w:lang w:val="en-GB"/>
              </w:rPr>
              <w:t>5%)</w:t>
            </w:r>
            <w:r w:rsidR="00D8125F" w:rsidRPr="00DD6E6B">
              <w:rPr>
                <w:lang w:val="en-GB"/>
              </w:rPr>
              <w:t xml:space="preserve"> were placed behind Hungary with a considerable distance. The consumer prices were growing year-on-year in the whole EU, but the inflation already returned into a moderate band in some countries </w:t>
            </w:r>
            <w:r w:rsidRPr="00DD6E6B">
              <w:rPr>
                <w:lang w:val="en-GB"/>
              </w:rPr>
              <w:t>–</w:t>
            </w:r>
            <w:r w:rsidR="00D8125F" w:rsidRPr="00DD6E6B">
              <w:rPr>
                <w:lang w:val="en-GB"/>
              </w:rPr>
              <w:t xml:space="preserve"> the prices increased year-on-year by </w:t>
            </w:r>
            <w:r w:rsidRPr="00DD6E6B">
              <w:rPr>
                <w:lang w:val="en-GB"/>
              </w:rPr>
              <w:t>1</w:t>
            </w:r>
            <w:r w:rsidR="00D8125F" w:rsidRPr="00DD6E6B">
              <w:rPr>
                <w:lang w:val="en-GB"/>
              </w:rPr>
              <w:t>.</w:t>
            </w:r>
            <w:r w:rsidRPr="00DD6E6B">
              <w:rPr>
                <w:lang w:val="en-GB"/>
              </w:rPr>
              <w:t>9%</w:t>
            </w:r>
            <w:r w:rsidR="00D8125F" w:rsidRPr="00DD6E6B">
              <w:rPr>
                <w:lang w:val="en-GB"/>
              </w:rPr>
              <w:t xml:space="preserve"> in Luxembourg</w:t>
            </w:r>
            <w:r w:rsidRPr="00DD6E6B">
              <w:rPr>
                <w:lang w:val="en-GB"/>
              </w:rPr>
              <w:t xml:space="preserve">, </w:t>
            </w:r>
            <w:r w:rsidR="00D8125F" w:rsidRPr="00DD6E6B">
              <w:rPr>
                <w:lang w:val="en-GB"/>
              </w:rPr>
              <w:t xml:space="preserve">by </w:t>
            </w:r>
            <w:r w:rsidRPr="00DD6E6B">
              <w:rPr>
                <w:lang w:val="en-GB"/>
              </w:rPr>
              <w:t>2</w:t>
            </w:r>
            <w:r w:rsidR="00D8125F" w:rsidRPr="00DD6E6B">
              <w:rPr>
                <w:lang w:val="en-GB"/>
              </w:rPr>
              <w:t>.</w:t>
            </w:r>
            <w:r w:rsidRPr="00DD6E6B">
              <w:rPr>
                <w:lang w:val="en-GB"/>
              </w:rPr>
              <w:t>6%</w:t>
            </w:r>
            <w:r w:rsidR="00D8125F" w:rsidRPr="00DD6E6B">
              <w:rPr>
                <w:lang w:val="en-GB"/>
              </w:rPr>
              <w:t xml:space="preserve"> in Belgium and by </w:t>
            </w:r>
            <w:r w:rsidRPr="00DD6E6B">
              <w:rPr>
                <w:lang w:val="en-GB"/>
              </w:rPr>
              <w:t>2</w:t>
            </w:r>
            <w:r w:rsidR="00D8125F" w:rsidRPr="00DD6E6B">
              <w:rPr>
                <w:lang w:val="en-GB"/>
              </w:rPr>
              <w:t>.</w:t>
            </w:r>
            <w:r w:rsidRPr="00DD6E6B">
              <w:rPr>
                <w:lang w:val="en-GB"/>
              </w:rPr>
              <w:t>8%</w:t>
            </w:r>
            <w:r w:rsidR="00D8125F" w:rsidRPr="00DD6E6B">
              <w:rPr>
                <w:lang w:val="en-GB"/>
              </w:rPr>
              <w:t xml:space="preserve"> in Spain</w:t>
            </w:r>
            <w:r w:rsidRPr="00DD6E6B">
              <w:rPr>
                <w:lang w:val="en-GB"/>
              </w:rPr>
              <w:t xml:space="preserve">. </w:t>
            </w:r>
            <w:r w:rsidR="00AE1767" w:rsidRPr="00DD6E6B">
              <w:rPr>
                <w:lang w:val="en-GB"/>
              </w:rPr>
              <w:t>Quarter-on-quarter, the consumer prices increased by 1.6% in the EU in Q</w:t>
            </w:r>
            <w:r w:rsidRPr="00DD6E6B">
              <w:rPr>
                <w:lang w:val="en-GB"/>
              </w:rPr>
              <w:t>2. </w:t>
            </w:r>
            <w:r w:rsidR="0022144F" w:rsidRPr="00DD6E6B">
              <w:rPr>
                <w:lang w:val="en-GB"/>
              </w:rPr>
              <w:t xml:space="preserve">Prices in Malta </w:t>
            </w:r>
            <w:r w:rsidRPr="00DD6E6B">
              <w:rPr>
                <w:lang w:val="en-GB"/>
              </w:rPr>
              <w:t>(6</w:t>
            </w:r>
            <w:r w:rsidR="0022144F" w:rsidRPr="00DD6E6B">
              <w:rPr>
                <w:lang w:val="en-GB"/>
              </w:rPr>
              <w:t>.</w:t>
            </w:r>
            <w:r w:rsidRPr="00DD6E6B">
              <w:rPr>
                <w:lang w:val="en-GB"/>
              </w:rPr>
              <w:t>0%),</w:t>
            </w:r>
            <w:r w:rsidR="0022144F" w:rsidRPr="00DD6E6B">
              <w:rPr>
                <w:lang w:val="en-GB"/>
              </w:rPr>
              <w:t xml:space="preserve"> Estonia </w:t>
            </w:r>
            <w:r w:rsidRPr="00DD6E6B">
              <w:rPr>
                <w:lang w:val="en-GB"/>
              </w:rPr>
              <w:t>(2</w:t>
            </w:r>
            <w:r w:rsidR="0022144F" w:rsidRPr="00DD6E6B">
              <w:rPr>
                <w:lang w:val="en-GB"/>
              </w:rPr>
              <w:t>.</w:t>
            </w:r>
            <w:r w:rsidRPr="00DD6E6B">
              <w:rPr>
                <w:lang w:val="en-GB"/>
              </w:rPr>
              <w:t>9%) a</w:t>
            </w:r>
            <w:r w:rsidR="0022144F" w:rsidRPr="00DD6E6B">
              <w:rPr>
                <w:lang w:val="en-GB"/>
              </w:rPr>
              <w:t xml:space="preserve">nd Greece </w:t>
            </w:r>
            <w:r w:rsidRPr="00DD6E6B">
              <w:rPr>
                <w:lang w:val="en-GB"/>
              </w:rPr>
              <w:t>(2</w:t>
            </w:r>
            <w:r w:rsidR="0022144F" w:rsidRPr="00DD6E6B">
              <w:rPr>
                <w:lang w:val="en-GB"/>
              </w:rPr>
              <w:t>.</w:t>
            </w:r>
            <w:r w:rsidRPr="00DD6E6B">
              <w:rPr>
                <w:lang w:val="en-GB"/>
              </w:rPr>
              <w:t>9%)</w:t>
            </w:r>
            <w:r w:rsidR="0022144F" w:rsidRPr="00DD6E6B">
              <w:rPr>
                <w:lang w:val="en-GB"/>
              </w:rPr>
              <w:t xml:space="preserve"> f</w:t>
            </w:r>
            <w:r w:rsidR="00A375ED">
              <w:rPr>
                <w:lang w:val="en-GB"/>
              </w:rPr>
              <w:t>eatured the largest </w:t>
            </w:r>
            <w:r w:rsidR="0022144F" w:rsidRPr="00DD6E6B">
              <w:rPr>
                <w:lang w:val="en-GB"/>
              </w:rPr>
              <w:t>quarter-on-quarter increase</w:t>
            </w:r>
            <w:r w:rsidRPr="00DD6E6B">
              <w:rPr>
                <w:lang w:val="en-GB"/>
              </w:rPr>
              <w:t>.</w:t>
            </w:r>
            <w:r w:rsidR="0022144F" w:rsidRPr="00DD6E6B">
              <w:rPr>
                <w:lang w:val="en-GB"/>
              </w:rPr>
              <w:t xml:space="preserve"> Consumer prices fell quarter-on-quarter in Belgium </w:t>
            </w:r>
            <w:r w:rsidR="00A375ED">
              <w:rPr>
                <w:lang w:val="en-GB"/>
              </w:rPr>
              <w:t>(</w:t>
            </w:r>
            <w:r w:rsidR="00A375ED">
              <w:rPr>
                <w:color w:val="000000"/>
                <w:shd w:val="clear" w:color="auto" w:fill="FFFFFF"/>
              </w:rPr>
              <w:t>–</w:t>
            </w:r>
            <w:r w:rsidRPr="00DD6E6B">
              <w:rPr>
                <w:lang w:val="en-GB"/>
              </w:rPr>
              <w:t>0</w:t>
            </w:r>
            <w:r w:rsidR="0022144F" w:rsidRPr="00DD6E6B">
              <w:rPr>
                <w:lang w:val="en-GB"/>
              </w:rPr>
              <w:t>.</w:t>
            </w:r>
            <w:r w:rsidRPr="00DD6E6B">
              <w:rPr>
                <w:lang w:val="en-GB"/>
              </w:rPr>
              <w:t>9%) a</w:t>
            </w:r>
            <w:r w:rsidR="0022144F" w:rsidRPr="00DD6E6B">
              <w:rPr>
                <w:lang w:val="en-GB"/>
              </w:rPr>
              <w:t xml:space="preserve">nd Denmark </w:t>
            </w:r>
            <w:r w:rsidR="00A375ED">
              <w:rPr>
                <w:lang w:val="en-GB"/>
              </w:rPr>
              <w:t>(</w:t>
            </w:r>
            <w:r w:rsidR="00A375ED">
              <w:rPr>
                <w:color w:val="000000"/>
                <w:shd w:val="clear" w:color="auto" w:fill="FFFFFF"/>
              </w:rPr>
              <w:t>–</w:t>
            </w:r>
            <w:r w:rsidRPr="00DD6E6B">
              <w:rPr>
                <w:lang w:val="en-GB"/>
              </w:rPr>
              <w:t>0</w:t>
            </w:r>
            <w:r w:rsidR="0022144F" w:rsidRPr="00DD6E6B">
              <w:rPr>
                <w:lang w:val="en-GB"/>
              </w:rPr>
              <w:t>.</w:t>
            </w:r>
            <w:r w:rsidRPr="00DD6E6B">
              <w:rPr>
                <w:lang w:val="en-GB"/>
              </w:rPr>
              <w:t>5%).</w:t>
            </w:r>
          </w:p>
        </w:tc>
      </w:tr>
      <w:tr w:rsidR="00C6020C" w:rsidRPr="00DD6E6B" w14:paraId="31A69CB7" w14:textId="77777777" w:rsidTr="006849F8">
        <w:trPr>
          <w:trHeight w:val="170"/>
        </w:trPr>
        <w:tc>
          <w:tcPr>
            <w:tcW w:w="1804" w:type="dxa"/>
            <w:vMerge w:val="restart"/>
            <w:shd w:val="clear" w:color="auto" w:fill="auto"/>
            <w:tcMar>
              <w:left w:w="0" w:type="dxa"/>
            </w:tcMar>
          </w:tcPr>
          <w:p w14:paraId="3938AEFB" w14:textId="77777777" w:rsidR="00C6020C" w:rsidRPr="00DD6E6B" w:rsidRDefault="00C6020C" w:rsidP="006849F8">
            <w:pPr>
              <w:pStyle w:val="Marginlie"/>
              <w:rPr>
                <w:spacing w:val="0"/>
                <w:lang w:val="en-GB"/>
              </w:rPr>
            </w:pPr>
          </w:p>
        </w:tc>
        <w:tc>
          <w:tcPr>
            <w:tcW w:w="224" w:type="dxa"/>
            <w:vMerge w:val="restart"/>
            <w:shd w:val="clear" w:color="auto" w:fill="auto"/>
            <w:tcMar>
              <w:left w:w="0" w:type="dxa"/>
            </w:tcMar>
          </w:tcPr>
          <w:p w14:paraId="4E9DB26B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12D2878B" w14:textId="36993966" w:rsidR="00C6020C" w:rsidRPr="00DD6E6B" w:rsidRDefault="00BA0986" w:rsidP="006849F8">
            <w:pPr>
              <w:spacing w:after="0"/>
              <w:rPr>
                <w:lang w:val="en-GB"/>
              </w:rPr>
            </w:pPr>
            <w:r w:rsidRPr="00DD6E6B">
              <w:rPr>
                <w:b/>
                <w:sz w:val="18"/>
                <w:szCs w:val="18"/>
                <w:lang w:val="en-GB" w:eastAsia="en-US"/>
              </w:rPr>
              <w:t xml:space="preserve">Chart </w:t>
            </w:r>
            <w:r w:rsidR="00FA2C07" w:rsidRPr="00DD6E6B">
              <w:rPr>
                <w:b/>
                <w:sz w:val="18"/>
                <w:szCs w:val="18"/>
                <w:lang w:val="en-GB" w:eastAsia="en-US"/>
              </w:rPr>
              <w:t>11</w:t>
            </w:r>
            <w:r w:rsidR="00C6020C" w:rsidRPr="00DD6E6B">
              <w:rPr>
                <w:b/>
                <w:sz w:val="18"/>
                <w:szCs w:val="18"/>
                <w:lang w:val="en-GB" w:eastAsia="en-US"/>
              </w:rPr>
              <w:t xml:space="preserve"> </w:t>
            </w:r>
            <w:r w:rsidR="00570A34" w:rsidRPr="00DD6E6B">
              <w:rPr>
                <w:b/>
                <w:sz w:val="18"/>
                <w:szCs w:val="18"/>
                <w:lang w:val="en-GB" w:eastAsia="en-US"/>
              </w:rPr>
              <w:t xml:space="preserve">Prices of real estate </w:t>
            </w:r>
            <w:r w:rsidR="00C6020C" w:rsidRPr="00DD6E6B">
              <w:rPr>
                <w:sz w:val="18"/>
                <w:szCs w:val="18"/>
                <w:lang w:val="en-GB" w:eastAsia="en-US"/>
              </w:rPr>
              <w:t>(</w:t>
            </w:r>
            <w:r w:rsidR="003D1E2E" w:rsidRPr="00DD6E6B">
              <w:rPr>
                <w:sz w:val="18"/>
                <w:szCs w:val="18"/>
                <w:lang w:val="en-GB" w:eastAsia="en-US"/>
              </w:rPr>
              <w:t>year-on-year change</w:t>
            </w:r>
            <w:r w:rsidR="00C6020C" w:rsidRPr="00DD6E6B">
              <w:rPr>
                <w:sz w:val="18"/>
                <w:szCs w:val="18"/>
                <w:lang w:val="en-GB" w:eastAsia="en-US"/>
              </w:rPr>
              <w:t xml:space="preserve">, </w:t>
            </w:r>
            <w:r w:rsidR="003D1E2E" w:rsidRPr="00DD6E6B">
              <w:rPr>
                <w:sz w:val="18"/>
                <w:szCs w:val="18"/>
                <w:lang w:val="en-GB" w:eastAsia="en-US"/>
              </w:rPr>
              <w:t>in</w:t>
            </w:r>
            <w:r w:rsidR="00C6020C" w:rsidRPr="00DD6E6B">
              <w:rPr>
                <w:sz w:val="18"/>
                <w:szCs w:val="18"/>
                <w:lang w:val="en-GB" w:eastAsia="en-US"/>
              </w:rPr>
              <w:t> %)</w:t>
            </w:r>
          </w:p>
        </w:tc>
      </w:tr>
      <w:tr w:rsidR="00C6020C" w:rsidRPr="00DD6E6B" w14:paraId="3FC1D8F4" w14:textId="77777777" w:rsidTr="00201CB1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4" w:type="dxa"/>
            <w:vMerge/>
          </w:tcPr>
          <w:p w14:paraId="5FD6DB51" w14:textId="77777777" w:rsidR="00C6020C" w:rsidRPr="00DD6E6B" w:rsidRDefault="00C6020C" w:rsidP="006849F8">
            <w:pPr>
              <w:pStyle w:val="Marginlie"/>
              <w:rPr>
                <w:spacing w:val="0"/>
                <w:lang w:val="en-GB"/>
              </w:rPr>
            </w:pPr>
          </w:p>
        </w:tc>
        <w:tc>
          <w:tcPr>
            <w:tcW w:w="224" w:type="dxa"/>
            <w:vMerge/>
          </w:tcPr>
          <w:p w14:paraId="50A88D2A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</w:tcPr>
          <w:p w14:paraId="6D3C5CD2" w14:textId="79C85CB9" w:rsidR="00C6020C" w:rsidRPr="00DD6E6B" w:rsidRDefault="00201CB1" w:rsidP="006849F8">
            <w:pPr>
              <w:spacing w:after="0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169A28EF" wp14:editId="332118E4">
                  <wp:extent cx="4734425" cy="3378575"/>
                  <wp:effectExtent l="0" t="0" r="0" b="0"/>
                  <wp:docPr id="481890195" name="Graf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C6020C" w:rsidRPr="00DD6E6B" w14:paraId="55D94CF1" w14:textId="77777777" w:rsidTr="006849F8">
        <w:trPr>
          <w:trHeight w:val="170"/>
        </w:trPr>
        <w:tc>
          <w:tcPr>
            <w:tcW w:w="1804" w:type="dxa"/>
            <w:vMerge/>
            <w:tcMar>
              <w:left w:w="0" w:type="dxa"/>
            </w:tcMar>
          </w:tcPr>
          <w:p w14:paraId="0AACDB71" w14:textId="77777777" w:rsidR="00C6020C" w:rsidRPr="00DD6E6B" w:rsidRDefault="00C6020C" w:rsidP="006849F8">
            <w:pPr>
              <w:pStyle w:val="Marginlie"/>
              <w:rPr>
                <w:spacing w:val="0"/>
                <w:lang w:val="en-GB"/>
              </w:rPr>
            </w:pPr>
          </w:p>
        </w:tc>
        <w:tc>
          <w:tcPr>
            <w:tcW w:w="224" w:type="dxa"/>
            <w:vMerge/>
            <w:tcMar>
              <w:left w:w="0" w:type="dxa"/>
            </w:tcMar>
          </w:tcPr>
          <w:p w14:paraId="246B2684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3DB14CBA" w14:textId="3D7DFAFD" w:rsidR="00D55602" w:rsidRPr="00DD6E6B" w:rsidRDefault="00BA0986" w:rsidP="00201CB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D6E6B">
              <w:rPr>
                <w:sz w:val="14"/>
                <w:szCs w:val="14"/>
                <w:lang w:val="en-GB"/>
              </w:rPr>
              <w:t>Source</w:t>
            </w:r>
            <w:r w:rsidR="00C6020C" w:rsidRPr="00DD6E6B">
              <w:rPr>
                <w:sz w:val="14"/>
                <w:szCs w:val="14"/>
                <w:lang w:val="en-GB"/>
              </w:rPr>
              <w:t xml:space="preserve">: </w:t>
            </w:r>
            <w:r w:rsidRPr="00DD6E6B">
              <w:rPr>
                <w:sz w:val="14"/>
                <w:szCs w:val="14"/>
                <w:lang w:val="en-GB"/>
              </w:rPr>
              <w:t>CZSO</w:t>
            </w:r>
          </w:p>
        </w:tc>
      </w:tr>
      <w:tr w:rsidR="00C6020C" w:rsidRPr="00DD6E6B" w14:paraId="74C137B9" w14:textId="77777777" w:rsidTr="006849F8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0C699D6F" w14:textId="6486D4AA" w:rsidR="00C6020C" w:rsidRPr="00DD6E6B" w:rsidRDefault="006E7275" w:rsidP="006849F8">
            <w:pPr>
              <w:pStyle w:val="Marginlie"/>
              <w:rPr>
                <w:spacing w:val="0"/>
                <w:lang w:val="en-GB"/>
              </w:rPr>
            </w:pPr>
            <w:r w:rsidRPr="00DD6E6B">
              <w:rPr>
                <w:spacing w:val="0"/>
                <w:lang w:val="en-GB"/>
              </w:rPr>
              <w:t xml:space="preserve">Catalogue prices of flats went down year-on-year.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4AC963AC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2B0187BD" w14:textId="5A4803AC" w:rsidR="00C6020C" w:rsidRPr="00DD6E6B" w:rsidRDefault="00B05BB6" w:rsidP="006849F8">
            <w:pPr>
              <w:rPr>
                <w:lang w:val="en-GB"/>
              </w:rPr>
            </w:pPr>
            <w:r w:rsidRPr="00DD6E6B">
              <w:rPr>
                <w:lang w:val="en-GB"/>
              </w:rPr>
              <w:t>Catalogue prices of flats peaked at the end of the last year and two quarter-on-quarter decreases occurred in both Q</w:t>
            </w:r>
            <w:r w:rsidR="00C6020C" w:rsidRPr="00DD6E6B">
              <w:rPr>
                <w:lang w:val="en-GB"/>
              </w:rPr>
              <w:t>1</w:t>
            </w:r>
            <w:r w:rsidRPr="00DD6E6B">
              <w:rPr>
                <w:lang w:val="en-GB"/>
              </w:rPr>
              <w:t xml:space="preserve"> and </w:t>
            </w:r>
            <w:r w:rsidR="00636DDD">
              <w:rPr>
                <w:lang w:val="en-GB"/>
              </w:rPr>
              <w:t>Q</w:t>
            </w:r>
            <w:r w:rsidR="00C6020C" w:rsidRPr="00DD6E6B">
              <w:rPr>
                <w:lang w:val="en-GB"/>
              </w:rPr>
              <w:t>2</w:t>
            </w:r>
            <w:r w:rsidRPr="00DD6E6B">
              <w:rPr>
                <w:lang w:val="en-GB"/>
              </w:rPr>
              <w:t xml:space="preserve"> </w:t>
            </w:r>
            <w:r w:rsidR="00636DDD">
              <w:rPr>
                <w:lang w:val="en-GB"/>
              </w:rPr>
              <w:t xml:space="preserve">of </w:t>
            </w:r>
            <w:r w:rsidR="00C6020C" w:rsidRPr="00DD6E6B">
              <w:rPr>
                <w:lang w:val="en-GB"/>
              </w:rPr>
              <w:t>2023</w:t>
            </w:r>
            <w:r w:rsidRPr="00DD6E6B">
              <w:rPr>
                <w:lang w:val="en-GB"/>
              </w:rPr>
              <w:t xml:space="preserve"> </w:t>
            </w:r>
            <w:r w:rsidR="004734C8">
              <w:rPr>
                <w:lang w:val="en-GB"/>
              </w:rPr>
              <w:t>(</w:t>
            </w:r>
            <w:r w:rsidR="004734C8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</w:t>
            </w:r>
            <w:r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9% a</w:t>
            </w:r>
            <w:r w:rsidRPr="00DD6E6B">
              <w:rPr>
                <w:lang w:val="en-GB"/>
              </w:rPr>
              <w:t>nd</w:t>
            </w:r>
            <w:r w:rsidR="004734C8">
              <w:rPr>
                <w:lang w:val="en-GB"/>
              </w:rPr>
              <w:t xml:space="preserve"> </w:t>
            </w:r>
            <w:r w:rsidR="004734C8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</w:t>
            </w:r>
            <w:r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7%). </w:t>
            </w:r>
            <w:r w:rsidR="00260887" w:rsidRPr="00DD6E6B">
              <w:rPr>
                <w:lang w:val="en-GB"/>
              </w:rPr>
              <w:t>The catalogue prices fell year-on-year in Q</w:t>
            </w:r>
            <w:r w:rsidR="00C6020C" w:rsidRPr="00DD6E6B">
              <w:rPr>
                <w:lang w:val="en-GB"/>
              </w:rPr>
              <w:t>2</w:t>
            </w:r>
            <w:r w:rsidR="00260887" w:rsidRPr="00DD6E6B">
              <w:rPr>
                <w:lang w:val="en-GB"/>
              </w:rPr>
              <w:t xml:space="preserve"> for the first time since Q</w:t>
            </w:r>
            <w:r w:rsidR="00C6020C" w:rsidRPr="00DD6E6B">
              <w:rPr>
                <w:lang w:val="en-GB"/>
              </w:rPr>
              <w:t>2</w:t>
            </w:r>
            <w:r w:rsidR="00260887" w:rsidRPr="00DD6E6B">
              <w:rPr>
                <w:lang w:val="en-GB"/>
              </w:rPr>
              <w:t xml:space="preserve"> </w:t>
            </w:r>
            <w:r w:rsidR="00C6020C" w:rsidRPr="00DD6E6B">
              <w:rPr>
                <w:lang w:val="en-GB"/>
              </w:rPr>
              <w:t>2013,</w:t>
            </w:r>
            <w:r w:rsidR="00260887" w:rsidRPr="00DD6E6B">
              <w:rPr>
                <w:lang w:val="en-GB"/>
              </w:rPr>
              <w:t xml:space="preserve"> specifically by </w:t>
            </w:r>
            <w:r w:rsidR="00C6020C" w:rsidRPr="00DD6E6B">
              <w:rPr>
                <w:lang w:val="en-GB"/>
              </w:rPr>
              <w:t>0</w:t>
            </w:r>
            <w:r w:rsidR="0026088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7%. </w:t>
            </w:r>
            <w:r w:rsidR="00CF3B83" w:rsidRPr="00DD6E6B">
              <w:rPr>
                <w:lang w:val="en-GB"/>
              </w:rPr>
              <w:t xml:space="preserve">The decrease </w:t>
            </w:r>
            <w:r w:rsidR="00260887" w:rsidRPr="00DD6E6B">
              <w:rPr>
                <w:lang w:val="en-GB"/>
              </w:rPr>
              <w:t xml:space="preserve">related mainly to flats in the CR outside of Prague year-on-year </w:t>
            </w:r>
            <w:r w:rsidR="004734C8">
              <w:rPr>
                <w:lang w:val="en-GB"/>
              </w:rPr>
              <w:t>(</w:t>
            </w:r>
            <w:r w:rsidR="004734C8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</w:t>
            </w:r>
            <w:r w:rsidR="0026088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8%), </w:t>
            </w:r>
            <w:r w:rsidR="00D25FDC" w:rsidRPr="00DD6E6B">
              <w:rPr>
                <w:lang w:val="en-GB"/>
              </w:rPr>
              <w:t xml:space="preserve">the catalogue prices in Prague were still by </w:t>
            </w:r>
            <w:r w:rsidR="00C6020C" w:rsidRPr="00DD6E6B">
              <w:rPr>
                <w:lang w:val="en-GB"/>
              </w:rPr>
              <w:t>0</w:t>
            </w:r>
            <w:r w:rsidR="00D25FD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3%</w:t>
            </w:r>
            <w:r w:rsidR="00D25FDC" w:rsidRPr="00DD6E6B">
              <w:rPr>
                <w:lang w:val="en-GB"/>
              </w:rPr>
              <w:t xml:space="preserve"> higher</w:t>
            </w:r>
            <w:r w:rsidR="00C6020C" w:rsidRPr="00DD6E6B">
              <w:rPr>
                <w:lang w:val="en-GB"/>
              </w:rPr>
              <w:t xml:space="preserve">. </w:t>
            </w:r>
            <w:r w:rsidR="00D25FDC" w:rsidRPr="00DD6E6B">
              <w:rPr>
                <w:lang w:val="en-GB"/>
              </w:rPr>
              <w:t xml:space="preserve">However, quarter-on-quarter the catalogue prices were falling both in Prague </w:t>
            </w:r>
            <w:r w:rsidR="004734C8">
              <w:rPr>
                <w:lang w:val="en-GB"/>
              </w:rPr>
              <w:t>(</w:t>
            </w:r>
            <w:r w:rsidR="004734C8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</w:t>
            </w:r>
            <w:r w:rsidR="00D25FD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8%) </w:t>
            </w:r>
            <w:r w:rsidR="00D25FDC" w:rsidRPr="00DD6E6B">
              <w:rPr>
                <w:lang w:val="en-GB"/>
              </w:rPr>
              <w:t xml:space="preserve">and outside of Prague </w:t>
            </w:r>
            <w:r w:rsidR="004734C8">
              <w:rPr>
                <w:lang w:val="en-GB"/>
              </w:rPr>
              <w:t>(</w:t>
            </w:r>
            <w:r w:rsidR="004734C8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</w:t>
            </w:r>
            <w:r w:rsidR="00D25FD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6%). </w:t>
            </w:r>
            <w:r w:rsidR="00526BE8" w:rsidRPr="00DD6E6B">
              <w:rPr>
                <w:lang w:val="en-GB"/>
              </w:rPr>
              <w:t xml:space="preserve">The dynamics of realised prices of older flats slows down even faster than the catalogue prices, </w:t>
            </w:r>
            <w:r w:rsidR="006576BB" w:rsidRPr="00DD6E6B">
              <w:rPr>
                <w:lang w:val="en-GB"/>
              </w:rPr>
              <w:t xml:space="preserve">which practically proves the cooling on the real estate market. Realised prices </w:t>
            </w:r>
            <w:r w:rsidR="006576BB" w:rsidRPr="00DD6E6B">
              <w:rPr>
                <w:lang w:val="en-GB"/>
              </w:rPr>
              <w:lastRenderedPageBreak/>
              <w:t xml:space="preserve">of older flats fell quarter-on-quarter for the third time in a row </w:t>
            </w:r>
            <w:r w:rsidR="004734C8">
              <w:rPr>
                <w:lang w:val="en-GB"/>
              </w:rPr>
              <w:t>(</w:t>
            </w:r>
            <w:r w:rsidR="004734C8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2</w:t>
            </w:r>
            <w:r w:rsidR="006576BB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6%)</w:t>
            </w:r>
            <w:r w:rsidR="006576BB" w:rsidRPr="00DD6E6B">
              <w:rPr>
                <w:lang w:val="en-GB"/>
              </w:rPr>
              <w:t xml:space="preserve"> in the CR in Q2</w:t>
            </w:r>
            <w:r w:rsidR="00C6020C" w:rsidRPr="00DD6E6B">
              <w:rPr>
                <w:lang w:val="en-GB"/>
              </w:rPr>
              <w:t xml:space="preserve">. </w:t>
            </w:r>
            <w:r w:rsidR="006B0402" w:rsidRPr="00DD6E6B">
              <w:rPr>
                <w:lang w:val="en-GB"/>
              </w:rPr>
              <w:t>They were by 4.</w:t>
            </w:r>
            <w:r w:rsidR="00C6020C" w:rsidRPr="00DD6E6B">
              <w:rPr>
                <w:lang w:val="en-GB"/>
              </w:rPr>
              <w:t>1%</w:t>
            </w:r>
            <w:r w:rsidR="006B0402" w:rsidRPr="00DD6E6B">
              <w:rPr>
                <w:lang w:val="en-GB"/>
              </w:rPr>
              <w:t xml:space="preserve"> lower compared to the same period of the last year</w:t>
            </w:r>
            <w:r w:rsidR="00C6020C" w:rsidRPr="00DD6E6B">
              <w:rPr>
                <w:lang w:val="en-GB"/>
              </w:rPr>
              <w:t xml:space="preserve">, </w:t>
            </w:r>
            <w:r w:rsidR="006B0402" w:rsidRPr="00DD6E6B">
              <w:rPr>
                <w:lang w:val="en-GB"/>
              </w:rPr>
              <w:t>for the first time since Q</w:t>
            </w:r>
            <w:r w:rsidR="00C6020C" w:rsidRPr="00DD6E6B">
              <w:rPr>
                <w:lang w:val="en-GB"/>
              </w:rPr>
              <w:t>4</w:t>
            </w:r>
            <w:r w:rsidR="006B0402" w:rsidRPr="00DD6E6B">
              <w:rPr>
                <w:lang w:val="en-GB"/>
              </w:rPr>
              <w:t xml:space="preserve"> </w:t>
            </w:r>
            <w:r w:rsidR="00C6020C" w:rsidRPr="00DD6E6B">
              <w:rPr>
                <w:lang w:val="en-GB"/>
              </w:rPr>
              <w:t xml:space="preserve">2013. </w:t>
            </w:r>
            <w:r w:rsidR="00526BE8" w:rsidRPr="00DD6E6B">
              <w:rPr>
                <w:lang w:val="en-GB"/>
              </w:rPr>
              <w:t xml:space="preserve">At the same time the realised prices of older flats in Prague fell by </w:t>
            </w:r>
            <w:r w:rsidR="00C6020C" w:rsidRPr="00DD6E6B">
              <w:rPr>
                <w:lang w:val="en-GB"/>
              </w:rPr>
              <w:t>3</w:t>
            </w:r>
            <w:r w:rsidR="00526BE8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6%</w:t>
            </w:r>
            <w:r w:rsidR="00526BE8" w:rsidRPr="00DD6E6B">
              <w:rPr>
                <w:lang w:val="en-GB"/>
              </w:rPr>
              <w:t xml:space="preserve"> year-on-year and by </w:t>
            </w:r>
            <w:r w:rsidR="00C6020C" w:rsidRPr="00DD6E6B">
              <w:rPr>
                <w:lang w:val="en-GB"/>
              </w:rPr>
              <w:t>4</w:t>
            </w:r>
            <w:r w:rsidR="00526BE8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2%</w:t>
            </w:r>
            <w:r w:rsidR="00526BE8" w:rsidRPr="00DD6E6B">
              <w:rPr>
                <w:lang w:val="en-GB"/>
              </w:rPr>
              <w:t xml:space="preserve"> outside of Prague</w:t>
            </w:r>
            <w:r w:rsidR="00C6020C" w:rsidRPr="00DD6E6B">
              <w:rPr>
                <w:lang w:val="en-GB"/>
              </w:rPr>
              <w:t xml:space="preserve">. </w:t>
            </w:r>
            <w:r w:rsidR="00526BE8" w:rsidRPr="00DD6E6B">
              <w:rPr>
                <w:lang w:val="en-GB"/>
              </w:rPr>
              <w:t xml:space="preserve">The realised prices of new flats in Prague </w:t>
            </w:r>
            <w:r w:rsidR="00F53757" w:rsidRPr="00DD6E6B">
              <w:rPr>
                <w:lang w:val="en-GB"/>
              </w:rPr>
              <w:t xml:space="preserve">also deeply dived </w:t>
            </w:r>
            <w:r w:rsidR="00526BE8" w:rsidRPr="00DD6E6B">
              <w:rPr>
                <w:lang w:val="en-GB"/>
              </w:rPr>
              <w:t xml:space="preserve">for </w:t>
            </w:r>
            <w:r w:rsidR="00F53757" w:rsidRPr="00DD6E6B">
              <w:rPr>
                <w:lang w:val="en-GB"/>
              </w:rPr>
              <w:t>the second time in a row</w:t>
            </w:r>
            <w:r w:rsidR="00526BE8" w:rsidRPr="00DD6E6B">
              <w:rPr>
                <w:lang w:val="en-GB"/>
              </w:rPr>
              <w:t xml:space="preserve"> year-on-year</w:t>
            </w:r>
            <w:r w:rsidR="004734C8">
              <w:rPr>
                <w:lang w:val="en-GB"/>
              </w:rPr>
              <w:t xml:space="preserve"> (</w:t>
            </w:r>
            <w:r w:rsidR="004734C8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6</w:t>
            </w:r>
            <w:r w:rsidR="00F5375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9%). Reali</w:t>
            </w:r>
            <w:r w:rsidR="00526BE8" w:rsidRPr="00DD6E6B">
              <w:rPr>
                <w:lang w:val="en-GB"/>
              </w:rPr>
              <w:t xml:space="preserve">sed prices of new flats fell in Prague quarter-on-quarter for the fourth time in a row </w:t>
            </w:r>
            <w:r w:rsidR="004734C8">
              <w:rPr>
                <w:lang w:val="en-GB"/>
              </w:rPr>
              <w:t>(</w:t>
            </w:r>
            <w:r w:rsidR="004734C8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0</w:t>
            </w:r>
            <w:r w:rsidR="00526BE8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5%). </w:t>
            </w:r>
          </w:p>
        </w:tc>
      </w:tr>
      <w:tr w:rsidR="00C6020C" w:rsidRPr="00DD6E6B" w14:paraId="61900E32" w14:textId="77777777" w:rsidTr="006849F8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33839AC9" w14:textId="7FD86C8A" w:rsidR="00C6020C" w:rsidRPr="00DD6E6B" w:rsidRDefault="008E750C" w:rsidP="006849F8">
            <w:pPr>
              <w:pStyle w:val="Marginlie"/>
              <w:rPr>
                <w:spacing w:val="0"/>
                <w:lang w:val="en-GB"/>
              </w:rPr>
            </w:pPr>
            <w:r w:rsidRPr="00DD6E6B">
              <w:rPr>
                <w:spacing w:val="0"/>
                <w:lang w:val="en-GB"/>
              </w:rPr>
              <w:lastRenderedPageBreak/>
              <w:t xml:space="preserve">Growth of prices of industrial producers markedly slowed down.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5AD5DE1F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59B72194" w14:textId="4C05E345" w:rsidR="00C6020C" w:rsidRPr="00DD6E6B" w:rsidRDefault="00526BE8" w:rsidP="006849F8">
            <w:pPr>
              <w:rPr>
                <w:lang w:val="en-GB"/>
              </w:rPr>
            </w:pPr>
            <w:r w:rsidRPr="00DD6E6B">
              <w:rPr>
                <w:lang w:val="en-GB"/>
              </w:rPr>
              <w:t xml:space="preserve">Industrial producer prices </w:t>
            </w:r>
            <w:r w:rsidR="002344DE" w:rsidRPr="00DD6E6B">
              <w:rPr>
                <w:lang w:val="en-GB"/>
              </w:rPr>
              <w:t xml:space="preserve">went up by </w:t>
            </w:r>
            <w:r w:rsidR="00C6020C" w:rsidRPr="00DD6E6B">
              <w:rPr>
                <w:lang w:val="en-GB"/>
              </w:rPr>
              <w:t>3</w:t>
            </w:r>
            <w:r w:rsidR="002344DE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9%</w:t>
            </w:r>
            <w:r w:rsidR="002344DE" w:rsidRPr="00DD6E6B">
              <w:rPr>
                <w:lang w:val="en-GB"/>
              </w:rPr>
              <w:t xml:space="preserve"> year-on-year in Q2 2023</w:t>
            </w:r>
            <w:r w:rsidR="00C6020C" w:rsidRPr="00DD6E6B">
              <w:rPr>
                <w:lang w:val="en-GB"/>
              </w:rPr>
              <w:t xml:space="preserve">. </w:t>
            </w:r>
            <w:r w:rsidR="002344DE" w:rsidRPr="00DD6E6B">
              <w:rPr>
                <w:lang w:val="en-GB"/>
              </w:rPr>
              <w:t>The increase thus considerably slowed down in comparison to Q1. The prices of industrial producers lowered by 2.</w:t>
            </w:r>
            <w:r w:rsidR="00C6020C" w:rsidRPr="00DD6E6B">
              <w:rPr>
                <w:lang w:val="en-GB"/>
              </w:rPr>
              <w:t>6%</w:t>
            </w:r>
            <w:r w:rsidR="002344DE" w:rsidRPr="00DD6E6B">
              <w:rPr>
                <w:lang w:val="en-GB"/>
              </w:rPr>
              <w:t xml:space="preserve"> quarter-on-quarter</w:t>
            </w:r>
            <w:r w:rsidR="00C6020C" w:rsidRPr="00DD6E6B">
              <w:rPr>
                <w:lang w:val="en-GB"/>
              </w:rPr>
              <w:t xml:space="preserve">. </w:t>
            </w:r>
            <w:r w:rsidR="00CC2342" w:rsidRPr="00DD6E6B">
              <w:rPr>
                <w:lang w:val="en-GB"/>
              </w:rPr>
              <w:t xml:space="preserve">Mostly the development of prices </w:t>
            </w:r>
            <w:r w:rsidR="00636DDD">
              <w:rPr>
                <w:lang w:val="en-GB"/>
              </w:rPr>
              <w:t>m</w:t>
            </w:r>
            <w:r w:rsidR="00CC2342" w:rsidRPr="00DD6E6B">
              <w:rPr>
                <w:lang w:val="en-GB"/>
              </w:rPr>
              <w:t>anufactur</w:t>
            </w:r>
            <w:r w:rsidR="00636DDD">
              <w:rPr>
                <w:lang w:val="en-GB"/>
              </w:rPr>
              <w:t>ed products</w:t>
            </w:r>
            <w:r w:rsidR="00CC2342" w:rsidRPr="00DD6E6B">
              <w:rPr>
                <w:lang w:val="en-GB"/>
              </w:rPr>
              <w:t xml:space="preserve">, which were by </w:t>
            </w:r>
            <w:r w:rsidR="00C6020C" w:rsidRPr="00DD6E6B">
              <w:rPr>
                <w:lang w:val="en-GB"/>
              </w:rPr>
              <w:t>0</w:t>
            </w:r>
            <w:r w:rsidR="00CC2342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9%</w:t>
            </w:r>
            <w:r w:rsidR="00CC2342" w:rsidRPr="00DD6E6B">
              <w:rPr>
                <w:lang w:val="en-GB"/>
              </w:rPr>
              <w:t xml:space="preserve"> lower year-on-year</w:t>
            </w:r>
            <w:r w:rsidR="00C6020C" w:rsidRPr="00DD6E6B">
              <w:rPr>
                <w:lang w:val="en-GB"/>
              </w:rPr>
              <w:t xml:space="preserve"> (</w:t>
            </w:r>
            <w:r w:rsidR="00CC2342" w:rsidRPr="00DD6E6B">
              <w:rPr>
                <w:lang w:val="en-GB"/>
              </w:rPr>
              <w:t>the first decrease since Q</w:t>
            </w:r>
            <w:r w:rsidR="00C6020C" w:rsidRPr="00DD6E6B">
              <w:rPr>
                <w:lang w:val="en-GB"/>
              </w:rPr>
              <w:t>4</w:t>
            </w:r>
            <w:r w:rsidR="00CC2342" w:rsidRPr="00DD6E6B">
              <w:rPr>
                <w:lang w:val="en-GB"/>
              </w:rPr>
              <w:t xml:space="preserve"> </w:t>
            </w:r>
            <w:r w:rsidR="00C6020C" w:rsidRPr="00DD6E6B">
              <w:rPr>
                <w:lang w:val="en-GB"/>
              </w:rPr>
              <w:t>2020)</w:t>
            </w:r>
            <w:r w:rsidR="00CC2342" w:rsidRPr="00DD6E6B">
              <w:rPr>
                <w:lang w:val="en-GB"/>
              </w:rPr>
              <w:t xml:space="preserve"> stood behind the slowdown of the year-on-year growth</w:t>
            </w:r>
            <w:r w:rsidR="00C6020C" w:rsidRPr="00DD6E6B">
              <w:rPr>
                <w:lang w:val="en-GB"/>
              </w:rPr>
              <w:t xml:space="preserve">. </w:t>
            </w:r>
            <w:r w:rsidR="00CC2342" w:rsidRPr="00DD6E6B">
              <w:rPr>
                <w:lang w:val="en-GB"/>
              </w:rPr>
              <w:t xml:space="preserve">The high comparative basis of the last year had an impact. </w:t>
            </w:r>
            <w:r w:rsidR="000D7DC0" w:rsidRPr="00DD6E6B">
              <w:rPr>
                <w:lang w:val="en-GB"/>
              </w:rPr>
              <w:t>Mainly prices of various materials or associated products were falling year-on-year</w:t>
            </w:r>
            <w:r w:rsidR="00C6020C" w:rsidRPr="00DD6E6B">
              <w:rPr>
                <w:lang w:val="en-GB"/>
              </w:rPr>
              <w:t xml:space="preserve">, </w:t>
            </w:r>
            <w:r w:rsidR="000D7DC0" w:rsidRPr="00DD6E6B">
              <w:rPr>
                <w:lang w:val="en-GB"/>
              </w:rPr>
              <w:t xml:space="preserve">but the dynamics was decelerating for the majority of types of products. </w:t>
            </w:r>
            <w:r w:rsidR="00A245CC" w:rsidRPr="00DD6E6B">
              <w:rPr>
                <w:lang w:val="en-GB"/>
              </w:rPr>
              <w:t>The year-on-year slump of prices of coke and refined oil products</w:t>
            </w:r>
            <w:r w:rsidR="00C6020C" w:rsidRPr="00DD6E6B">
              <w:rPr>
                <w:rStyle w:val="Znakapoznpodarou"/>
                <w:lang w:val="en-GB"/>
              </w:rPr>
              <w:footnoteReference w:id="5"/>
            </w:r>
            <w:r w:rsidR="00A245CC" w:rsidRPr="00DD6E6B">
              <w:rPr>
                <w:lang w:val="en-GB"/>
              </w:rPr>
              <w:t xml:space="preserve"> had a significant effect on the prices of industrial producers</w:t>
            </w:r>
            <w:r w:rsidR="00C6020C" w:rsidRPr="00DD6E6B">
              <w:rPr>
                <w:lang w:val="en-GB"/>
              </w:rPr>
              <w:t>.</w:t>
            </w:r>
            <w:r w:rsidR="00A245CC" w:rsidRPr="00DD6E6B">
              <w:rPr>
                <w:lang w:val="en-GB"/>
              </w:rPr>
              <w:t xml:space="preserve"> Prices of chemical substances and products </w:t>
            </w:r>
            <w:r w:rsidR="00B96949">
              <w:rPr>
                <w:lang w:val="en-GB"/>
              </w:rPr>
              <w:t>(</w:t>
            </w:r>
            <w:r w:rsidR="00062C40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13</w:t>
            </w:r>
            <w:r w:rsidR="00A245C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5%), </w:t>
            </w:r>
            <w:r w:rsidR="00A245CC" w:rsidRPr="00DD6E6B">
              <w:rPr>
                <w:lang w:val="en-GB"/>
              </w:rPr>
              <w:t xml:space="preserve">which are bound with the development of prices of oil, wood and wood products </w:t>
            </w:r>
            <w:r w:rsidR="00B96949">
              <w:rPr>
                <w:lang w:val="en-GB"/>
              </w:rPr>
              <w:t>(</w:t>
            </w:r>
            <w:r w:rsidR="00B96949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13</w:t>
            </w:r>
            <w:r w:rsidR="00A245C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3%),</w:t>
            </w:r>
            <w:r w:rsidR="00A245CC" w:rsidRPr="00DD6E6B">
              <w:rPr>
                <w:lang w:val="en-GB"/>
              </w:rPr>
              <w:t xml:space="preserve"> basic metals </w:t>
            </w:r>
            <w:r w:rsidR="00B96949">
              <w:rPr>
                <w:lang w:val="en-GB"/>
              </w:rPr>
              <w:t>(</w:t>
            </w:r>
            <w:r w:rsidR="00B96949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11</w:t>
            </w:r>
            <w:r w:rsidR="00A245C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5%),</w:t>
            </w:r>
            <w:r w:rsidR="00A245CC" w:rsidRPr="00DD6E6B">
              <w:rPr>
                <w:lang w:val="en-GB"/>
              </w:rPr>
              <w:t xml:space="preserve"> metalworking products </w:t>
            </w:r>
            <w:r w:rsidR="00B96949">
              <w:rPr>
                <w:lang w:val="en-GB"/>
              </w:rPr>
              <w:t>(</w:t>
            </w:r>
            <w:r w:rsidR="00B96949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</w:t>
            </w:r>
            <w:r w:rsidR="00A245C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7%)</w:t>
            </w:r>
            <w:r w:rsidR="00A245CC" w:rsidRPr="00DD6E6B">
              <w:rPr>
                <w:lang w:val="en-GB"/>
              </w:rPr>
              <w:t xml:space="preserve"> or paper and paper products </w:t>
            </w:r>
            <w:r w:rsidR="00B96949">
              <w:rPr>
                <w:lang w:val="en-GB"/>
              </w:rPr>
              <w:t>(</w:t>
            </w:r>
            <w:r w:rsidR="00B96949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0</w:t>
            </w:r>
            <w:r w:rsidR="00A245C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8%)</w:t>
            </w:r>
            <w:r w:rsidR="00A245CC" w:rsidRPr="00DD6E6B">
              <w:rPr>
                <w:lang w:val="en-GB"/>
              </w:rPr>
              <w:t xml:space="preserve"> were lower</w:t>
            </w:r>
            <w:r w:rsidR="00C6020C" w:rsidRPr="00DD6E6B">
              <w:rPr>
                <w:lang w:val="en-GB"/>
              </w:rPr>
              <w:t>.</w:t>
            </w:r>
            <w:r w:rsidR="00A245CC" w:rsidRPr="00DD6E6B">
              <w:rPr>
                <w:lang w:val="en-GB"/>
              </w:rPr>
              <w:t xml:space="preserve"> The year-on-year growth of prices of food products </w:t>
            </w:r>
            <w:r w:rsidR="00C6020C" w:rsidRPr="00DD6E6B">
              <w:rPr>
                <w:lang w:val="en-GB"/>
              </w:rPr>
              <w:t>(11</w:t>
            </w:r>
            <w:r w:rsidR="00A245C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4%)</w:t>
            </w:r>
            <w:r w:rsidR="00A245CC" w:rsidRPr="00DD6E6B">
              <w:rPr>
                <w:lang w:val="en-GB"/>
              </w:rPr>
              <w:t xml:space="preserve"> markedly weakened</w:t>
            </w:r>
            <w:r w:rsidR="00C6020C" w:rsidRPr="00DD6E6B">
              <w:rPr>
                <w:lang w:val="en-GB"/>
              </w:rPr>
              <w:t>,</w:t>
            </w:r>
            <w:r w:rsidR="00A245CC" w:rsidRPr="00DD6E6B">
              <w:rPr>
                <w:lang w:val="en-GB"/>
              </w:rPr>
              <w:t xml:space="preserve"> but on the contrary the dynamics of prices of beverages </w:t>
            </w:r>
            <w:r w:rsidR="00C6020C" w:rsidRPr="00DD6E6B">
              <w:rPr>
                <w:lang w:val="en-GB"/>
              </w:rPr>
              <w:t>(14</w:t>
            </w:r>
            <w:r w:rsidR="00A245C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1%)</w:t>
            </w:r>
            <w:r w:rsidR="00A245CC" w:rsidRPr="00DD6E6B">
              <w:rPr>
                <w:lang w:val="en-GB"/>
              </w:rPr>
              <w:t xml:space="preserve"> slightly strengthened</w:t>
            </w:r>
            <w:r w:rsidR="00C6020C" w:rsidRPr="00DD6E6B">
              <w:rPr>
                <w:lang w:val="en-GB"/>
              </w:rPr>
              <w:t>.</w:t>
            </w:r>
            <w:r w:rsidR="00A245CC" w:rsidRPr="00DD6E6B">
              <w:rPr>
                <w:lang w:val="en-GB"/>
              </w:rPr>
              <w:t xml:space="preserve"> Growth of prices of machinery and equipment </w:t>
            </w:r>
            <w:r w:rsidR="00C6020C" w:rsidRPr="00DD6E6B">
              <w:rPr>
                <w:lang w:val="en-GB"/>
              </w:rPr>
              <w:t>(8</w:t>
            </w:r>
            <w:r w:rsidR="00A245C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1%)</w:t>
            </w:r>
            <w:r w:rsidR="00A245CC" w:rsidRPr="00DD6E6B">
              <w:rPr>
                <w:lang w:val="en-GB"/>
              </w:rPr>
              <w:t xml:space="preserve"> remained relatively strong similarly to the prices of their repairs and installation </w:t>
            </w:r>
            <w:r w:rsidR="00C6020C" w:rsidRPr="00DD6E6B">
              <w:rPr>
                <w:lang w:val="en-GB"/>
              </w:rPr>
              <w:t>(9</w:t>
            </w:r>
            <w:r w:rsidR="00A245C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4%). </w:t>
            </w:r>
            <w:r w:rsidR="00A245CC" w:rsidRPr="00DD6E6B">
              <w:rPr>
                <w:lang w:val="en-GB"/>
              </w:rPr>
              <w:t xml:space="preserve">Prices of motor vehicles </w:t>
            </w:r>
            <w:r w:rsidR="00C6020C" w:rsidRPr="00DD6E6B">
              <w:rPr>
                <w:lang w:val="en-GB"/>
              </w:rPr>
              <w:t>(3</w:t>
            </w:r>
            <w:r w:rsidR="00A245C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3%) </w:t>
            </w:r>
            <w:r w:rsidR="00A245CC" w:rsidRPr="00DD6E6B">
              <w:rPr>
                <w:lang w:val="en-GB"/>
              </w:rPr>
              <w:t xml:space="preserve">as well as other transport equipment </w:t>
            </w:r>
            <w:r w:rsidR="00C6020C" w:rsidRPr="00DD6E6B">
              <w:rPr>
                <w:lang w:val="en-GB"/>
              </w:rPr>
              <w:t>(7</w:t>
            </w:r>
            <w:r w:rsidR="00A245C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7%),</w:t>
            </w:r>
            <w:r w:rsidR="00A245CC" w:rsidRPr="00DD6E6B">
              <w:rPr>
                <w:lang w:val="en-GB"/>
              </w:rPr>
              <w:t xml:space="preserve"> basic pharmaceutical products </w:t>
            </w:r>
            <w:r w:rsidR="00C6020C" w:rsidRPr="00DD6E6B">
              <w:rPr>
                <w:lang w:val="en-GB"/>
              </w:rPr>
              <w:t>(4</w:t>
            </w:r>
            <w:r w:rsidR="00A245C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3%),</w:t>
            </w:r>
            <w:r w:rsidR="00A245CC" w:rsidRPr="00DD6E6B">
              <w:rPr>
                <w:lang w:val="en-GB"/>
              </w:rPr>
              <w:t xml:space="preserve"> computers, electronic and optical appliances </w:t>
            </w:r>
            <w:r w:rsidR="00C6020C" w:rsidRPr="00DD6E6B">
              <w:rPr>
                <w:lang w:val="en-GB"/>
              </w:rPr>
              <w:t>(3</w:t>
            </w:r>
            <w:r w:rsidR="00A245C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4%),</w:t>
            </w:r>
            <w:r w:rsidR="00A245CC" w:rsidRPr="00DD6E6B">
              <w:rPr>
                <w:lang w:val="en-GB"/>
              </w:rPr>
              <w:t xml:space="preserve"> electrical equipment </w:t>
            </w:r>
            <w:r w:rsidR="00C6020C" w:rsidRPr="00DD6E6B">
              <w:rPr>
                <w:lang w:val="en-GB"/>
              </w:rPr>
              <w:t>(1</w:t>
            </w:r>
            <w:r w:rsidR="00A245C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9%)</w:t>
            </w:r>
            <w:r w:rsidR="00A245CC" w:rsidRPr="00DD6E6B">
              <w:rPr>
                <w:lang w:val="en-GB"/>
              </w:rPr>
              <w:t xml:space="preserve"> or rubber and plastic products were higher</w:t>
            </w:r>
            <w:r w:rsidR="00C6020C" w:rsidRPr="00DD6E6B">
              <w:rPr>
                <w:lang w:val="en-GB"/>
              </w:rPr>
              <w:t>.</w:t>
            </w:r>
            <w:r w:rsidR="00A245CC" w:rsidRPr="00DD6E6B">
              <w:rPr>
                <w:lang w:val="en-GB"/>
              </w:rPr>
              <w:t xml:space="preserve"> Prices fell for the third time in a row quarter-on-quarter in manufacturing,</w:t>
            </w:r>
            <w:r w:rsidR="008E750C" w:rsidRPr="00DD6E6B">
              <w:rPr>
                <w:lang w:val="en-GB"/>
              </w:rPr>
              <w:t xml:space="preserve"> </w:t>
            </w:r>
            <w:r w:rsidR="00A245CC" w:rsidRPr="00DD6E6B">
              <w:rPr>
                <w:lang w:val="en-GB"/>
              </w:rPr>
              <w:t xml:space="preserve">specifically by </w:t>
            </w:r>
            <w:r w:rsidR="00C6020C" w:rsidRPr="00DD6E6B">
              <w:rPr>
                <w:lang w:val="en-GB"/>
              </w:rPr>
              <w:t>1</w:t>
            </w:r>
            <w:r w:rsidR="00A245C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6%.</w:t>
            </w:r>
          </w:p>
        </w:tc>
      </w:tr>
      <w:tr w:rsidR="00C6020C" w:rsidRPr="00DD6E6B" w14:paraId="7210FD57" w14:textId="77777777" w:rsidTr="006849F8">
        <w:trPr>
          <w:trHeight w:val="170"/>
        </w:trPr>
        <w:tc>
          <w:tcPr>
            <w:tcW w:w="1804" w:type="dxa"/>
            <w:vMerge w:val="restart"/>
            <w:shd w:val="clear" w:color="auto" w:fill="auto"/>
            <w:tcMar>
              <w:left w:w="0" w:type="dxa"/>
            </w:tcMar>
          </w:tcPr>
          <w:p w14:paraId="6E7D6F6D" w14:textId="77777777" w:rsidR="00C6020C" w:rsidRPr="00DD6E6B" w:rsidRDefault="00C6020C" w:rsidP="006849F8">
            <w:pPr>
              <w:pStyle w:val="Marginlie"/>
              <w:rPr>
                <w:spacing w:val="0"/>
                <w:lang w:val="en-GB"/>
              </w:rPr>
            </w:pPr>
          </w:p>
        </w:tc>
        <w:tc>
          <w:tcPr>
            <w:tcW w:w="224" w:type="dxa"/>
            <w:vMerge w:val="restart"/>
            <w:shd w:val="clear" w:color="auto" w:fill="auto"/>
            <w:tcMar>
              <w:left w:w="0" w:type="dxa"/>
            </w:tcMar>
          </w:tcPr>
          <w:p w14:paraId="5D288B94" w14:textId="77777777" w:rsidR="00C6020C" w:rsidRPr="00DD6E6B" w:rsidRDefault="00C6020C" w:rsidP="006849F8">
            <w:pPr>
              <w:pStyle w:val="Textpoznpodarou1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777F84A7" w14:textId="755D2897" w:rsidR="00C6020C" w:rsidRPr="00DD6E6B" w:rsidRDefault="00BA0986" w:rsidP="006849F8">
            <w:pPr>
              <w:spacing w:after="0"/>
              <w:rPr>
                <w:b/>
                <w:szCs w:val="20"/>
                <w:lang w:val="en-GB"/>
              </w:rPr>
            </w:pPr>
            <w:r w:rsidRPr="00DD6E6B">
              <w:rPr>
                <w:b/>
                <w:sz w:val="18"/>
                <w:szCs w:val="18"/>
                <w:lang w:val="en-GB"/>
              </w:rPr>
              <w:t xml:space="preserve">Chart </w:t>
            </w:r>
            <w:r w:rsidR="00FA2C07" w:rsidRPr="00DD6E6B">
              <w:rPr>
                <w:b/>
                <w:sz w:val="18"/>
                <w:szCs w:val="18"/>
                <w:lang w:val="en-GB"/>
              </w:rPr>
              <w:t>12</w:t>
            </w:r>
            <w:r w:rsidR="00C6020C" w:rsidRPr="00DD6E6B">
              <w:rPr>
                <w:b/>
                <w:sz w:val="18"/>
                <w:szCs w:val="18"/>
                <w:lang w:val="en-GB"/>
              </w:rPr>
              <w:t xml:space="preserve"> </w:t>
            </w:r>
            <w:r w:rsidR="00840013" w:rsidRPr="00DD6E6B">
              <w:rPr>
                <w:b/>
                <w:szCs w:val="20"/>
                <w:lang w:val="en-GB" w:eastAsia="en-US"/>
              </w:rPr>
              <w:t xml:space="preserve">Prices of main groups of industrial producers </w:t>
            </w:r>
            <w:r w:rsidR="00840013" w:rsidRPr="00DD6E6B">
              <w:rPr>
                <w:bCs/>
                <w:szCs w:val="20"/>
                <w:lang w:val="en-GB" w:eastAsia="en-US"/>
              </w:rPr>
              <w:t>(year-on-year change, in %, based on CPA classification)</w:t>
            </w:r>
            <w:r w:rsidR="00840013" w:rsidRPr="00DD6E6B">
              <w:rPr>
                <w:b/>
                <w:szCs w:val="20"/>
                <w:lang w:val="en-GB" w:eastAsia="en-US"/>
              </w:rPr>
              <w:t xml:space="preserve"> </w:t>
            </w:r>
          </w:p>
        </w:tc>
      </w:tr>
      <w:tr w:rsidR="00C6020C" w:rsidRPr="00DD6E6B" w14:paraId="118304D4" w14:textId="77777777" w:rsidTr="00201CB1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4" w:type="dxa"/>
            <w:vMerge/>
          </w:tcPr>
          <w:p w14:paraId="10D3EA6B" w14:textId="77777777" w:rsidR="00C6020C" w:rsidRPr="00DD6E6B" w:rsidRDefault="00C6020C" w:rsidP="006849F8">
            <w:pPr>
              <w:pStyle w:val="Marginlie"/>
              <w:rPr>
                <w:spacing w:val="0"/>
                <w:lang w:val="en-GB"/>
              </w:rPr>
            </w:pPr>
          </w:p>
        </w:tc>
        <w:tc>
          <w:tcPr>
            <w:tcW w:w="224" w:type="dxa"/>
            <w:vMerge/>
          </w:tcPr>
          <w:p w14:paraId="2CD4CF6F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</w:tcPr>
          <w:p w14:paraId="7B269084" w14:textId="532EF9A9" w:rsidR="00C6020C" w:rsidRPr="00DD6E6B" w:rsidRDefault="00201CB1" w:rsidP="006849F8">
            <w:pPr>
              <w:spacing w:after="0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C2CBC75" wp14:editId="6B46BC34">
                  <wp:extent cx="4722350" cy="3384000"/>
                  <wp:effectExtent l="0" t="0" r="2540" b="6985"/>
                  <wp:docPr id="1252456884" name="Graf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6326AA-2E19-A591-4C15-9F538FA2AF5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C6020C" w:rsidRPr="00DD6E6B" w14:paraId="5946625B" w14:textId="77777777" w:rsidTr="006849F8">
        <w:trPr>
          <w:trHeight w:val="170"/>
        </w:trPr>
        <w:tc>
          <w:tcPr>
            <w:tcW w:w="1804" w:type="dxa"/>
            <w:vMerge/>
            <w:tcMar>
              <w:left w:w="0" w:type="dxa"/>
            </w:tcMar>
          </w:tcPr>
          <w:p w14:paraId="6A5CE9A4" w14:textId="77777777" w:rsidR="00C6020C" w:rsidRPr="00DD6E6B" w:rsidRDefault="00C6020C" w:rsidP="006849F8">
            <w:pPr>
              <w:pStyle w:val="Marginlie"/>
              <w:rPr>
                <w:spacing w:val="0"/>
                <w:lang w:val="en-GB"/>
              </w:rPr>
            </w:pPr>
          </w:p>
        </w:tc>
        <w:tc>
          <w:tcPr>
            <w:tcW w:w="224" w:type="dxa"/>
            <w:vMerge/>
            <w:tcMar>
              <w:left w:w="0" w:type="dxa"/>
            </w:tcMar>
          </w:tcPr>
          <w:p w14:paraId="097C345D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7CF189F4" w14:textId="1FB1886B" w:rsidR="0024175E" w:rsidRPr="00DD6E6B" w:rsidRDefault="00BA0986" w:rsidP="00201CB1">
            <w:pPr>
              <w:rPr>
                <w:b/>
                <w:bCs/>
                <w:lang w:val="en-GB"/>
              </w:rPr>
            </w:pPr>
            <w:r w:rsidRPr="00DD6E6B">
              <w:rPr>
                <w:sz w:val="14"/>
                <w:szCs w:val="14"/>
                <w:lang w:val="en-GB"/>
              </w:rPr>
              <w:t>Source</w:t>
            </w:r>
            <w:r w:rsidR="00C6020C" w:rsidRPr="00DD6E6B">
              <w:rPr>
                <w:sz w:val="14"/>
                <w:szCs w:val="14"/>
                <w:lang w:val="en-GB"/>
              </w:rPr>
              <w:t xml:space="preserve">: </w:t>
            </w:r>
            <w:r w:rsidRPr="00DD6E6B">
              <w:rPr>
                <w:sz w:val="14"/>
                <w:szCs w:val="14"/>
                <w:lang w:val="en-GB"/>
              </w:rPr>
              <w:t>CZSO</w:t>
            </w:r>
          </w:p>
        </w:tc>
      </w:tr>
      <w:tr w:rsidR="00C6020C" w:rsidRPr="00DD6E6B" w14:paraId="0FD52AD0" w14:textId="77777777" w:rsidTr="006849F8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7C381BB1" w14:textId="5ACFF608" w:rsidR="00C6020C" w:rsidRPr="00DD6E6B" w:rsidRDefault="00BA0986" w:rsidP="006849F8">
            <w:pPr>
              <w:pStyle w:val="Marginlie"/>
              <w:rPr>
                <w:spacing w:val="0"/>
                <w:lang w:val="en-GB"/>
              </w:rPr>
            </w:pPr>
            <w:r w:rsidRPr="00DD6E6B">
              <w:rPr>
                <w:spacing w:val="0"/>
                <w:lang w:val="en-GB"/>
              </w:rPr>
              <w:lastRenderedPageBreak/>
              <w:t xml:space="preserve">Prices of mining and quarrying were raised the strongest.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0F8B3EF4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6BFACE9C" w14:textId="14F13933" w:rsidR="00C6020C" w:rsidRPr="00DD6E6B" w:rsidRDefault="008539B9" w:rsidP="006849F8">
            <w:pPr>
              <w:rPr>
                <w:lang w:val="en-GB"/>
              </w:rPr>
            </w:pPr>
            <w:r w:rsidRPr="00DD6E6B">
              <w:rPr>
                <w:lang w:val="en-GB"/>
              </w:rPr>
              <w:t>Year-on-year growth of prices of</w:t>
            </w:r>
            <w:r w:rsidR="002546EC" w:rsidRPr="00DD6E6B">
              <w:rPr>
                <w:lang w:val="en-GB"/>
              </w:rPr>
              <w:t xml:space="preserve"> electricity, gas, </w:t>
            </w:r>
            <w:r w:rsidRPr="00DD6E6B">
              <w:rPr>
                <w:lang w:val="en-GB"/>
              </w:rPr>
              <w:t>steam and air condi</w:t>
            </w:r>
            <w:r w:rsidR="002546EC" w:rsidRPr="00DD6E6B">
              <w:rPr>
                <w:lang w:val="en-GB"/>
              </w:rPr>
              <w:t xml:space="preserve">tioning </w:t>
            </w:r>
            <w:r w:rsidRPr="00DD6E6B">
              <w:rPr>
                <w:lang w:val="en-GB"/>
              </w:rPr>
              <w:t>not</w:t>
            </w:r>
            <w:r w:rsidR="002546EC" w:rsidRPr="00DD6E6B">
              <w:rPr>
                <w:lang w:val="en-GB"/>
              </w:rPr>
              <w:t>a</w:t>
            </w:r>
            <w:r w:rsidRPr="00DD6E6B">
              <w:rPr>
                <w:lang w:val="en-GB"/>
              </w:rPr>
              <w:t xml:space="preserve">bly weakened to </w:t>
            </w:r>
            <w:r w:rsidR="00C6020C" w:rsidRPr="00DD6E6B">
              <w:rPr>
                <w:lang w:val="en-GB"/>
              </w:rPr>
              <w:t>18</w:t>
            </w:r>
            <w:r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4% a</w:t>
            </w:r>
            <w:r w:rsidR="002546EC" w:rsidRPr="00DD6E6B">
              <w:rPr>
                <w:lang w:val="en-GB"/>
              </w:rPr>
              <w:t xml:space="preserve">nd the prices decreased by 6.3% in this section quarter-on-quarter. On the contrary, </w:t>
            </w:r>
            <w:r w:rsidR="00B05BB6" w:rsidRPr="00DD6E6B">
              <w:rPr>
                <w:lang w:val="en-GB"/>
              </w:rPr>
              <w:t xml:space="preserve">for the prices of mining and quarrying </w:t>
            </w:r>
            <w:r w:rsidR="00BB46C6" w:rsidRPr="00DD6E6B">
              <w:rPr>
                <w:lang w:val="en-GB"/>
              </w:rPr>
              <w:t>the year-on-year increase hovered at substantial</w:t>
            </w:r>
            <w:r w:rsidR="00B05BB6" w:rsidRPr="00DD6E6B">
              <w:rPr>
                <w:lang w:val="en-GB"/>
              </w:rPr>
              <w:t xml:space="preserve"> </w:t>
            </w:r>
            <w:r w:rsidR="00C6020C" w:rsidRPr="00DD6E6B">
              <w:rPr>
                <w:lang w:val="en-GB"/>
              </w:rPr>
              <w:t>47</w:t>
            </w:r>
            <w:r w:rsidR="00B05BB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6%, </w:t>
            </w:r>
            <w:r w:rsidR="00B05BB6" w:rsidRPr="00DD6E6B">
              <w:rPr>
                <w:lang w:val="en-GB"/>
              </w:rPr>
              <w:t xml:space="preserve">which was assisted by the development of black and brown coal and lignite mining </w:t>
            </w:r>
            <w:r w:rsidR="00C6020C" w:rsidRPr="00DD6E6B">
              <w:rPr>
                <w:lang w:val="en-GB"/>
              </w:rPr>
              <w:t>(71</w:t>
            </w:r>
            <w:r w:rsidR="00B05BB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4%) </w:t>
            </w:r>
            <w:r w:rsidR="00B05BB6" w:rsidRPr="00DD6E6B">
              <w:rPr>
                <w:lang w:val="en-GB"/>
              </w:rPr>
              <w:t xml:space="preserve">as well as other mining </w:t>
            </w:r>
            <w:r w:rsidR="00C6020C" w:rsidRPr="00DD6E6B">
              <w:rPr>
                <w:lang w:val="en-GB"/>
              </w:rPr>
              <w:t>(24</w:t>
            </w:r>
            <w:r w:rsidR="00B05BB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7%, </w:t>
            </w:r>
            <w:r w:rsidR="00B05BB6" w:rsidRPr="00DD6E6B">
              <w:rPr>
                <w:lang w:val="en-GB"/>
              </w:rPr>
              <w:t>mainly construction materials</w:t>
            </w:r>
            <w:r w:rsidR="00C6020C" w:rsidRPr="00DD6E6B">
              <w:rPr>
                <w:lang w:val="en-GB"/>
              </w:rPr>
              <w:t xml:space="preserve">). </w:t>
            </w:r>
            <w:r w:rsidR="002546EC" w:rsidRPr="00DD6E6B">
              <w:rPr>
                <w:lang w:val="en-GB"/>
              </w:rPr>
              <w:t xml:space="preserve">Only the growth of prices of oil and natural gas extraction weakened more notably </w:t>
            </w:r>
            <w:r w:rsidR="00C6020C" w:rsidRPr="00DD6E6B">
              <w:rPr>
                <w:lang w:val="en-GB"/>
              </w:rPr>
              <w:t>(38</w:t>
            </w:r>
            <w:r w:rsidR="002546E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6%). </w:t>
            </w:r>
            <w:r w:rsidR="00F32550" w:rsidRPr="00DD6E6B">
              <w:rPr>
                <w:lang w:val="en-GB"/>
              </w:rPr>
              <w:t xml:space="preserve">Quarter-on-quarter, the prices of mining and quarrying grew by </w:t>
            </w:r>
            <w:r w:rsidR="00C6020C" w:rsidRPr="00DD6E6B">
              <w:rPr>
                <w:lang w:val="en-GB"/>
              </w:rPr>
              <w:t>1</w:t>
            </w:r>
            <w:r w:rsidR="00F32550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7%. </w:t>
            </w:r>
            <w:r w:rsidR="00F32550" w:rsidRPr="00DD6E6B">
              <w:rPr>
                <w:lang w:val="en-GB"/>
              </w:rPr>
              <w:t xml:space="preserve">Prices of water supply and services associated with waste water management were by </w:t>
            </w:r>
            <w:r w:rsidR="00C6020C" w:rsidRPr="00DD6E6B">
              <w:rPr>
                <w:lang w:val="en-GB"/>
              </w:rPr>
              <w:t>16</w:t>
            </w:r>
            <w:r w:rsidR="00F32550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3%</w:t>
            </w:r>
            <w:r w:rsidR="00F32550" w:rsidRPr="00DD6E6B">
              <w:rPr>
                <w:lang w:val="en-GB"/>
              </w:rPr>
              <w:t xml:space="preserve"> higher year-on-year</w:t>
            </w:r>
            <w:r w:rsidR="00C6020C" w:rsidRPr="00DD6E6B">
              <w:rPr>
                <w:lang w:val="en-GB"/>
              </w:rPr>
              <w:t>.</w:t>
            </w:r>
          </w:p>
        </w:tc>
      </w:tr>
      <w:tr w:rsidR="00C6020C" w:rsidRPr="00DD6E6B" w14:paraId="7DF1294F" w14:textId="77777777" w:rsidTr="006849F8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7FD83604" w14:textId="580A0426" w:rsidR="00C6020C" w:rsidRPr="00DD6E6B" w:rsidRDefault="00F32550" w:rsidP="006849F8">
            <w:pPr>
              <w:pStyle w:val="Marginlie"/>
              <w:rPr>
                <w:spacing w:val="0"/>
                <w:lang w:val="en-GB"/>
              </w:rPr>
            </w:pPr>
            <w:r w:rsidRPr="00DD6E6B">
              <w:rPr>
                <w:spacing w:val="0"/>
                <w:lang w:val="en-GB"/>
              </w:rPr>
              <w:t xml:space="preserve">Year-on-year growth of prices of industrial producers </w:t>
            </w:r>
            <w:r w:rsidR="00BB46C6" w:rsidRPr="00DD6E6B">
              <w:rPr>
                <w:spacing w:val="0"/>
                <w:lang w:val="en-GB"/>
              </w:rPr>
              <w:t>further</w:t>
            </w:r>
            <w:r w:rsidRPr="00DD6E6B">
              <w:rPr>
                <w:spacing w:val="0"/>
                <w:lang w:val="en-GB"/>
              </w:rPr>
              <w:t xml:space="preserve"> slowed down in the EU.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249D2A18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3C64B143" w14:textId="7109D618" w:rsidR="00C6020C" w:rsidRPr="00DD6E6B" w:rsidRDefault="00D1276D" w:rsidP="006849F8">
            <w:pPr>
              <w:rPr>
                <w:lang w:val="en-GB"/>
              </w:rPr>
            </w:pPr>
            <w:r w:rsidRPr="00DD6E6B">
              <w:rPr>
                <w:lang w:val="en-GB"/>
              </w:rPr>
              <w:t>Prices of industrial producers in the EU</w:t>
            </w:r>
            <w:r w:rsidR="00C6020C" w:rsidRPr="00DD6E6B">
              <w:rPr>
                <w:rStyle w:val="Znakapoznpodarou"/>
                <w:lang w:val="en-GB"/>
              </w:rPr>
              <w:footnoteReference w:id="6"/>
            </w:r>
            <w:r w:rsidR="00C6020C" w:rsidRPr="00DD6E6B">
              <w:rPr>
                <w:lang w:val="en-GB"/>
              </w:rPr>
              <w:t xml:space="preserve"> </w:t>
            </w:r>
            <w:r w:rsidR="00A245CC" w:rsidRPr="00DD6E6B">
              <w:rPr>
                <w:lang w:val="en-GB"/>
              </w:rPr>
              <w:t xml:space="preserve">dropped by </w:t>
            </w:r>
            <w:r w:rsidR="00C6020C" w:rsidRPr="00DD6E6B">
              <w:rPr>
                <w:lang w:val="en-GB"/>
              </w:rPr>
              <w:t>0</w:t>
            </w:r>
            <w:r w:rsidR="00A245C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3%</w:t>
            </w:r>
            <w:r w:rsidR="00A245CC" w:rsidRPr="00DD6E6B">
              <w:rPr>
                <w:lang w:val="en-GB"/>
              </w:rPr>
              <w:t xml:space="preserve"> year-on-year in Q2</w:t>
            </w:r>
            <w:r w:rsidR="00C6020C" w:rsidRPr="00DD6E6B">
              <w:rPr>
                <w:lang w:val="en-GB"/>
              </w:rPr>
              <w:t xml:space="preserve">. </w:t>
            </w:r>
            <w:r w:rsidR="00EA4507" w:rsidRPr="00DD6E6B">
              <w:rPr>
                <w:lang w:val="en-GB"/>
              </w:rPr>
              <w:t xml:space="preserve">Prices of mining and quarrying </w:t>
            </w:r>
            <w:r w:rsidR="00B96949">
              <w:rPr>
                <w:lang w:val="en-GB"/>
              </w:rPr>
              <w:t>(</w:t>
            </w:r>
            <w:r w:rsidR="00B96949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11</w:t>
            </w:r>
            <w:r w:rsidR="00EA450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8%)</w:t>
            </w:r>
            <w:r w:rsidR="00EA4507" w:rsidRPr="00DD6E6B">
              <w:rPr>
                <w:lang w:val="en-GB"/>
              </w:rPr>
              <w:t xml:space="preserve"> as well as electricity, gas, steam and air conditioning </w:t>
            </w:r>
            <w:r w:rsidR="00B96949">
              <w:rPr>
                <w:lang w:val="en-GB"/>
              </w:rPr>
              <w:t>(</w:t>
            </w:r>
            <w:r w:rsidR="00B96949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7</w:t>
            </w:r>
            <w:r w:rsidR="00EA450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8%)</w:t>
            </w:r>
            <w:r w:rsidR="00EA4507" w:rsidRPr="00DD6E6B">
              <w:rPr>
                <w:lang w:val="en-GB"/>
              </w:rPr>
              <w:t xml:space="preserve"> were significantly lower year-on-year</w:t>
            </w:r>
            <w:r w:rsidR="00C6020C" w:rsidRPr="00DD6E6B">
              <w:rPr>
                <w:lang w:val="en-GB"/>
              </w:rPr>
              <w:t>.</w:t>
            </w:r>
            <w:r w:rsidR="00EA4507" w:rsidRPr="00DD6E6B">
              <w:rPr>
                <w:lang w:val="en-GB"/>
              </w:rPr>
              <w:t xml:space="preserve"> In contrast the prices in manufacturing in spite of ongoing slow down still slightly grew year-on-year </w:t>
            </w:r>
            <w:r w:rsidR="00C6020C" w:rsidRPr="00DD6E6B">
              <w:rPr>
                <w:lang w:val="en-GB"/>
              </w:rPr>
              <w:t>(0</w:t>
            </w:r>
            <w:r w:rsidR="00EA450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8%). </w:t>
            </w:r>
            <w:r w:rsidR="00EA4507" w:rsidRPr="00DD6E6B">
              <w:rPr>
                <w:lang w:val="en-GB"/>
              </w:rPr>
              <w:t>The prices of industrial producers grew the most in Q</w:t>
            </w:r>
            <w:r w:rsidR="00C6020C" w:rsidRPr="00DD6E6B">
              <w:rPr>
                <w:lang w:val="en-GB"/>
              </w:rPr>
              <w:t>2</w:t>
            </w:r>
            <w:r w:rsidR="00EA4507" w:rsidRPr="00DD6E6B">
              <w:rPr>
                <w:lang w:val="en-GB"/>
              </w:rPr>
              <w:t xml:space="preserve"> year-on-year in Hungary </w:t>
            </w:r>
            <w:r w:rsidR="00C6020C" w:rsidRPr="00DD6E6B">
              <w:rPr>
                <w:lang w:val="en-GB"/>
              </w:rPr>
              <w:t>(35</w:t>
            </w:r>
            <w:r w:rsidR="00EA450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7%),</w:t>
            </w:r>
            <w:r w:rsidR="00EA4507" w:rsidRPr="00DD6E6B">
              <w:rPr>
                <w:lang w:val="en-GB"/>
              </w:rPr>
              <w:t xml:space="preserve"> Slovakia </w:t>
            </w:r>
            <w:r w:rsidR="00C6020C" w:rsidRPr="00DD6E6B">
              <w:rPr>
                <w:lang w:val="en-GB"/>
              </w:rPr>
              <w:t>(19</w:t>
            </w:r>
            <w:r w:rsidR="00EA450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1%) a</w:t>
            </w:r>
            <w:r w:rsidR="00EA4507" w:rsidRPr="00DD6E6B">
              <w:rPr>
                <w:lang w:val="en-GB"/>
              </w:rPr>
              <w:t xml:space="preserve">nd in Latvia </w:t>
            </w:r>
            <w:r w:rsidR="00C6020C" w:rsidRPr="00DD6E6B">
              <w:rPr>
                <w:lang w:val="en-GB"/>
              </w:rPr>
              <w:t>(11</w:t>
            </w:r>
            <w:r w:rsidR="00EA450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5%). </w:t>
            </w:r>
            <w:r w:rsidR="00EA4507" w:rsidRPr="00DD6E6B">
              <w:rPr>
                <w:lang w:val="en-GB"/>
              </w:rPr>
              <w:t xml:space="preserve">On the contrary the strongest year-on-year plunge occurred in Ireland </w:t>
            </w:r>
            <w:r w:rsidR="00B96949">
              <w:rPr>
                <w:lang w:val="en-GB"/>
              </w:rPr>
              <w:t>(</w:t>
            </w:r>
            <w:r w:rsidR="00B96949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16</w:t>
            </w:r>
            <w:r w:rsidR="00EA450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5%),</w:t>
            </w:r>
            <w:r w:rsidR="00EA4507" w:rsidRPr="00DD6E6B">
              <w:rPr>
                <w:lang w:val="en-GB"/>
              </w:rPr>
              <w:t xml:space="preserve"> Greece </w:t>
            </w:r>
            <w:r w:rsidR="00B96949">
              <w:rPr>
                <w:lang w:val="en-GB"/>
              </w:rPr>
              <w:t>(</w:t>
            </w:r>
            <w:r w:rsidR="00B96949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10</w:t>
            </w:r>
            <w:r w:rsidR="00EA450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4%) a</w:t>
            </w:r>
            <w:r w:rsidR="00EA4507" w:rsidRPr="00DD6E6B">
              <w:rPr>
                <w:lang w:val="en-GB"/>
              </w:rPr>
              <w:t xml:space="preserve">nd Belgium </w:t>
            </w:r>
            <w:r w:rsidR="00B96949">
              <w:rPr>
                <w:lang w:val="en-GB"/>
              </w:rPr>
              <w:t>(</w:t>
            </w:r>
            <w:r w:rsidR="00B96949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9</w:t>
            </w:r>
            <w:r w:rsidR="00EA450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6%).</w:t>
            </w:r>
            <w:r w:rsidR="00EA4507" w:rsidRPr="00DD6E6B">
              <w:rPr>
                <w:lang w:val="en-GB"/>
              </w:rPr>
              <w:t xml:space="preserve"> Prices of industrial producers fell for the third time in a row quarter-on-quarter in the EU </w:t>
            </w:r>
            <w:r w:rsidR="00B96949">
              <w:rPr>
                <w:lang w:val="en-GB"/>
              </w:rPr>
              <w:t>(</w:t>
            </w:r>
            <w:r w:rsidR="00B96949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5</w:t>
            </w:r>
            <w:r w:rsidR="00EA450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5%).</w:t>
            </w:r>
            <w:r w:rsidR="00EA4507" w:rsidRPr="00DD6E6B">
              <w:rPr>
                <w:lang w:val="en-GB"/>
              </w:rPr>
              <w:t xml:space="preserve"> The prices of mining and quarrying </w:t>
            </w:r>
            <w:r w:rsidR="008D3611">
              <w:rPr>
                <w:lang w:val="en-GB"/>
              </w:rPr>
              <w:t>(</w:t>
            </w:r>
            <w:r w:rsidR="008D3611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20</w:t>
            </w:r>
            <w:r w:rsidR="0037520A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6%) </w:t>
            </w:r>
            <w:r w:rsidR="0037520A" w:rsidRPr="00DD6E6B">
              <w:rPr>
                <w:lang w:val="en-GB"/>
              </w:rPr>
              <w:t xml:space="preserve">as well as electricity, gas, steam and air conditioning </w:t>
            </w:r>
            <w:r w:rsidR="008D3611">
              <w:rPr>
                <w:lang w:val="en-GB"/>
              </w:rPr>
              <w:t>(</w:t>
            </w:r>
            <w:r w:rsidR="008D3611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17</w:t>
            </w:r>
            <w:r w:rsidR="0037520A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4%)</w:t>
            </w:r>
            <w:r w:rsidR="0037520A" w:rsidRPr="00DD6E6B">
              <w:rPr>
                <w:lang w:val="en-GB"/>
              </w:rPr>
              <w:t xml:space="preserve"> sharply plummeted and prices in manufacturing were also lower compared to the preceding quarter </w:t>
            </w:r>
            <w:r w:rsidR="008D3611">
              <w:rPr>
                <w:lang w:val="en-GB"/>
              </w:rPr>
              <w:t>(</w:t>
            </w:r>
            <w:r w:rsidR="008D3611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</w:t>
            </w:r>
            <w:r w:rsidR="0037520A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0%). </w:t>
            </w:r>
            <w:r w:rsidR="00615EBF" w:rsidRPr="00DD6E6B">
              <w:rPr>
                <w:lang w:val="en-GB"/>
              </w:rPr>
              <w:t>Prices of industrial producers were falling in all EU countries quarter-on-quarter with the exception of Slovenia</w:t>
            </w:r>
            <w:r w:rsidR="00C6020C" w:rsidRPr="00DD6E6B">
              <w:rPr>
                <w:lang w:val="en-GB"/>
              </w:rPr>
              <w:t xml:space="preserve"> (</w:t>
            </w:r>
            <w:r w:rsidR="00615EBF" w:rsidRPr="00DD6E6B">
              <w:rPr>
                <w:lang w:val="en-GB"/>
              </w:rPr>
              <w:t xml:space="preserve">growth of </w:t>
            </w:r>
            <w:r w:rsidR="00C6020C" w:rsidRPr="00DD6E6B">
              <w:rPr>
                <w:lang w:val="en-GB"/>
              </w:rPr>
              <w:t>0</w:t>
            </w:r>
            <w:r w:rsidR="00615EBF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5%). </w:t>
            </w:r>
            <w:r w:rsidR="00615EBF" w:rsidRPr="00DD6E6B">
              <w:rPr>
                <w:lang w:val="en-GB"/>
              </w:rPr>
              <w:t xml:space="preserve">Prices in Cyprus and Malta ranged in the band of stagnation </w:t>
            </w:r>
            <w:r w:rsidR="00C6020C" w:rsidRPr="00DD6E6B">
              <w:rPr>
                <w:lang w:val="en-GB"/>
              </w:rPr>
              <w:t>(</w:t>
            </w:r>
            <w:r w:rsidR="00615EBF" w:rsidRPr="00DD6E6B">
              <w:rPr>
                <w:lang w:val="en-GB"/>
              </w:rPr>
              <w:t xml:space="preserve">they fell similarly by </w:t>
            </w:r>
            <w:r w:rsidR="00C6020C" w:rsidRPr="00DD6E6B">
              <w:rPr>
                <w:lang w:val="en-GB"/>
              </w:rPr>
              <w:t>0</w:t>
            </w:r>
            <w:r w:rsidR="00615EBF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1%</w:t>
            </w:r>
            <w:r w:rsidR="00615EBF" w:rsidRPr="00DD6E6B">
              <w:rPr>
                <w:lang w:val="en-GB"/>
              </w:rPr>
              <w:t xml:space="preserve"> quarter-on-quarter</w:t>
            </w:r>
            <w:r w:rsidR="00C6020C" w:rsidRPr="00DD6E6B">
              <w:rPr>
                <w:lang w:val="en-GB"/>
              </w:rPr>
              <w:t xml:space="preserve">), </w:t>
            </w:r>
            <w:r w:rsidR="00A245CC" w:rsidRPr="00DD6E6B">
              <w:rPr>
                <w:lang w:val="en-GB"/>
              </w:rPr>
              <w:t>the decreases were more pronounced elsewhere</w:t>
            </w:r>
            <w:r w:rsidR="00C6020C" w:rsidRPr="00DD6E6B">
              <w:rPr>
                <w:lang w:val="en-GB"/>
              </w:rPr>
              <w:t xml:space="preserve">. </w:t>
            </w:r>
            <w:r w:rsidR="008833D6" w:rsidRPr="00DD6E6B">
              <w:rPr>
                <w:lang w:val="en-GB"/>
              </w:rPr>
              <w:t xml:space="preserve">Prices in Ireland </w:t>
            </w:r>
            <w:r w:rsidR="008D3611">
              <w:rPr>
                <w:lang w:val="en-GB"/>
              </w:rPr>
              <w:t>(</w:t>
            </w:r>
            <w:r w:rsidR="008D3611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12</w:t>
            </w:r>
            <w:r w:rsidR="008833D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9%), Belg</w:t>
            </w:r>
            <w:r w:rsidR="008833D6" w:rsidRPr="00DD6E6B">
              <w:rPr>
                <w:lang w:val="en-GB"/>
              </w:rPr>
              <w:t xml:space="preserve">ium </w:t>
            </w:r>
            <w:r w:rsidR="008D3611">
              <w:rPr>
                <w:lang w:val="en-GB"/>
              </w:rPr>
              <w:t>(</w:t>
            </w:r>
            <w:r w:rsidR="008D3611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12</w:t>
            </w:r>
            <w:r w:rsidR="008833D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3%) a</w:t>
            </w:r>
            <w:r w:rsidR="008833D6" w:rsidRPr="00DD6E6B">
              <w:rPr>
                <w:lang w:val="en-GB"/>
              </w:rPr>
              <w:t xml:space="preserve">nd Italy </w:t>
            </w:r>
            <w:r w:rsidR="008D3611">
              <w:rPr>
                <w:lang w:val="en-GB"/>
              </w:rPr>
              <w:t>(</w:t>
            </w:r>
            <w:r w:rsidR="008D3611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10</w:t>
            </w:r>
            <w:r w:rsidR="008833D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2%)</w:t>
            </w:r>
            <w:r w:rsidR="008833D6" w:rsidRPr="00DD6E6B">
              <w:rPr>
                <w:lang w:val="en-GB"/>
              </w:rPr>
              <w:t xml:space="preserve"> featured the strongest quarter-on-quarter slumps in Q2</w:t>
            </w:r>
            <w:r w:rsidR="00C6020C" w:rsidRPr="00DD6E6B">
              <w:rPr>
                <w:lang w:val="en-GB"/>
              </w:rPr>
              <w:t xml:space="preserve">. </w:t>
            </w:r>
          </w:p>
        </w:tc>
      </w:tr>
      <w:tr w:rsidR="00C6020C" w:rsidRPr="00DD6E6B" w14:paraId="40150B66" w14:textId="77777777" w:rsidTr="006849F8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27CAB0F7" w14:textId="6021DEC4" w:rsidR="00C6020C" w:rsidRPr="00DD6E6B" w:rsidRDefault="00795C85" w:rsidP="006849F8">
            <w:pPr>
              <w:pStyle w:val="Marginlie"/>
              <w:rPr>
                <w:spacing w:val="0"/>
                <w:lang w:val="en-GB"/>
              </w:rPr>
            </w:pPr>
            <w:r w:rsidRPr="00DD6E6B">
              <w:rPr>
                <w:spacing w:val="0"/>
                <w:lang w:val="en-GB"/>
              </w:rPr>
              <w:t xml:space="preserve">The growth of prices of construction works slowed down.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25F3B18C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10EF1C15" w14:textId="634C5E6D" w:rsidR="00C6020C" w:rsidRPr="00DD6E6B" w:rsidRDefault="00C6020C" w:rsidP="006849F8">
            <w:pPr>
              <w:rPr>
                <w:lang w:val="en-GB"/>
              </w:rPr>
            </w:pPr>
            <w:r w:rsidRPr="00DD6E6B">
              <w:rPr>
                <w:lang w:val="en-GB"/>
              </w:rPr>
              <w:t>Dynam</w:t>
            </w:r>
            <w:r w:rsidR="00D1276D" w:rsidRPr="00DD6E6B">
              <w:rPr>
                <w:lang w:val="en-GB"/>
              </w:rPr>
              <w:t xml:space="preserve">ics of prices of construction works was also </w:t>
            </w:r>
            <w:r w:rsidR="003B403E" w:rsidRPr="00DD6E6B">
              <w:rPr>
                <w:lang w:val="en-GB"/>
              </w:rPr>
              <w:t>weakening</w:t>
            </w:r>
            <w:r w:rsidR="00D1276D" w:rsidRPr="00DD6E6B">
              <w:rPr>
                <w:lang w:val="en-GB"/>
              </w:rPr>
              <w:t xml:space="preserve">, even though less intensively compared to other indices, since the labour presents a significant item in the costs of construction. </w:t>
            </w:r>
            <w:r w:rsidR="003B403E" w:rsidRPr="00DD6E6B">
              <w:rPr>
                <w:lang w:val="en-GB"/>
              </w:rPr>
              <w:t>Prices of construction works were based on estimates higher by 0.8% quarter-on-quarter in Q</w:t>
            </w:r>
            <w:r w:rsidRPr="00DD6E6B">
              <w:rPr>
                <w:lang w:val="en-GB"/>
              </w:rPr>
              <w:t>2</w:t>
            </w:r>
            <w:r w:rsidR="003B403E" w:rsidRPr="00DD6E6B">
              <w:rPr>
                <w:lang w:val="en-GB"/>
              </w:rPr>
              <w:t xml:space="preserve"> and grew by </w:t>
            </w:r>
            <w:r w:rsidRPr="00DD6E6B">
              <w:rPr>
                <w:lang w:val="en-GB"/>
              </w:rPr>
              <w:t>6</w:t>
            </w:r>
            <w:r w:rsidR="003B403E" w:rsidRPr="00DD6E6B">
              <w:rPr>
                <w:lang w:val="en-GB"/>
              </w:rPr>
              <w:t>.</w:t>
            </w:r>
            <w:r w:rsidRPr="00DD6E6B">
              <w:rPr>
                <w:lang w:val="en-GB"/>
              </w:rPr>
              <w:t>9%</w:t>
            </w:r>
            <w:r w:rsidR="003B403E" w:rsidRPr="00DD6E6B">
              <w:rPr>
                <w:lang w:val="en-GB"/>
              </w:rPr>
              <w:t xml:space="preserve"> year-on-year</w:t>
            </w:r>
            <w:r w:rsidRPr="00DD6E6B">
              <w:rPr>
                <w:lang w:val="en-GB"/>
              </w:rPr>
              <w:t xml:space="preserve">. </w:t>
            </w:r>
            <w:r w:rsidR="00812F19" w:rsidRPr="00DD6E6B">
              <w:rPr>
                <w:lang w:val="en-GB"/>
              </w:rPr>
              <w:t xml:space="preserve">As estimated, materials and products used in construction experienced a mild quarter-on-quarter decrease by </w:t>
            </w:r>
            <w:r w:rsidRPr="00DD6E6B">
              <w:rPr>
                <w:lang w:val="en-GB"/>
              </w:rPr>
              <w:t>0</w:t>
            </w:r>
            <w:r w:rsidR="00812F19" w:rsidRPr="00DD6E6B">
              <w:rPr>
                <w:lang w:val="en-GB"/>
              </w:rPr>
              <w:t>.</w:t>
            </w:r>
            <w:r w:rsidRPr="00DD6E6B">
              <w:rPr>
                <w:lang w:val="en-GB"/>
              </w:rPr>
              <w:t>1% a</w:t>
            </w:r>
            <w:r w:rsidR="00812F19" w:rsidRPr="00DD6E6B">
              <w:rPr>
                <w:lang w:val="en-GB"/>
              </w:rPr>
              <w:t xml:space="preserve">nd the year-on-year growth moderated to </w:t>
            </w:r>
            <w:r w:rsidRPr="00DD6E6B">
              <w:rPr>
                <w:lang w:val="en-GB"/>
              </w:rPr>
              <w:t>3</w:t>
            </w:r>
            <w:r w:rsidR="00812F19" w:rsidRPr="00DD6E6B">
              <w:rPr>
                <w:lang w:val="en-GB"/>
              </w:rPr>
              <w:t>.</w:t>
            </w:r>
            <w:r w:rsidRPr="00DD6E6B">
              <w:rPr>
                <w:lang w:val="en-GB"/>
              </w:rPr>
              <w:t>2%</w:t>
            </w:r>
            <w:r w:rsidR="00812F19" w:rsidRPr="00DD6E6B">
              <w:rPr>
                <w:lang w:val="en-GB"/>
              </w:rPr>
              <w:t xml:space="preserve"> here</w:t>
            </w:r>
            <w:r w:rsidRPr="00DD6E6B">
              <w:rPr>
                <w:lang w:val="en-GB"/>
              </w:rPr>
              <w:t>.</w:t>
            </w:r>
          </w:p>
        </w:tc>
      </w:tr>
      <w:tr w:rsidR="00C6020C" w:rsidRPr="00DD6E6B" w14:paraId="4C3218BD" w14:textId="77777777" w:rsidTr="006849F8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0263239F" w14:textId="3F4D8758" w:rsidR="00C6020C" w:rsidRPr="00DD6E6B" w:rsidRDefault="00D62FE9" w:rsidP="006849F8">
            <w:pPr>
              <w:pStyle w:val="Marginlie"/>
              <w:rPr>
                <w:spacing w:val="0"/>
                <w:lang w:val="en-GB"/>
              </w:rPr>
            </w:pPr>
            <w:r w:rsidRPr="00DD6E6B">
              <w:rPr>
                <w:spacing w:val="0"/>
                <w:lang w:val="en-GB"/>
              </w:rPr>
              <w:t xml:space="preserve">Year-on-year growth of prices of market services strengthened.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305A3CE4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10DEBE2A" w14:textId="7D897A68" w:rsidR="00C6020C" w:rsidRPr="00DD6E6B" w:rsidRDefault="00F53757" w:rsidP="006849F8">
            <w:pPr>
              <w:rPr>
                <w:lang w:val="en-GB"/>
              </w:rPr>
            </w:pPr>
            <w:r w:rsidRPr="00DD6E6B">
              <w:rPr>
                <w:lang w:val="en-GB"/>
              </w:rPr>
              <w:t>Prices of mar</w:t>
            </w:r>
            <w:r w:rsidR="00D62FE9" w:rsidRPr="00DD6E6B">
              <w:rPr>
                <w:lang w:val="en-GB"/>
              </w:rPr>
              <w:t>ket</w:t>
            </w:r>
            <w:r w:rsidRPr="00DD6E6B">
              <w:rPr>
                <w:lang w:val="en-GB"/>
              </w:rPr>
              <w:t xml:space="preserve"> services </w:t>
            </w:r>
            <w:r w:rsidR="00D62FE9" w:rsidRPr="00DD6E6B">
              <w:rPr>
                <w:lang w:val="en-GB"/>
              </w:rPr>
              <w:t xml:space="preserve">were raised by </w:t>
            </w:r>
            <w:r w:rsidR="00C6020C" w:rsidRPr="00DD6E6B">
              <w:rPr>
                <w:lang w:val="en-GB"/>
              </w:rPr>
              <w:t>6</w:t>
            </w:r>
            <w:r w:rsidR="00D62FE9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3%</w:t>
            </w:r>
            <w:r w:rsidR="00D62FE9" w:rsidRPr="00DD6E6B">
              <w:rPr>
                <w:lang w:val="en-GB"/>
              </w:rPr>
              <w:t xml:space="preserve"> year-on-year in Q2</w:t>
            </w:r>
            <w:r w:rsidR="00C6020C" w:rsidRPr="00DD6E6B">
              <w:rPr>
                <w:lang w:val="en-GB"/>
              </w:rPr>
              <w:t xml:space="preserve">. </w:t>
            </w:r>
            <w:r w:rsidR="00A423DE" w:rsidRPr="00DD6E6B">
              <w:rPr>
                <w:lang w:val="en-GB"/>
              </w:rPr>
              <w:t>The pace of growth thus</w:t>
            </w:r>
            <w:r w:rsidR="004A076F" w:rsidRPr="00DD6E6B">
              <w:rPr>
                <w:lang w:val="en-GB"/>
              </w:rPr>
              <w:t xml:space="preserve"> accelerated compared to the previous quarter. Prices of market services increased by </w:t>
            </w:r>
            <w:r w:rsidR="00C6020C" w:rsidRPr="00DD6E6B">
              <w:rPr>
                <w:lang w:val="en-GB"/>
              </w:rPr>
              <w:t>2</w:t>
            </w:r>
            <w:r w:rsidR="004A076F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8%</w:t>
            </w:r>
            <w:r w:rsidR="004A076F" w:rsidRPr="00DD6E6B">
              <w:rPr>
                <w:lang w:val="en-GB"/>
              </w:rPr>
              <w:t xml:space="preserve"> quarter-on-quarter</w:t>
            </w:r>
            <w:r w:rsidR="00C6020C" w:rsidRPr="00DD6E6B">
              <w:rPr>
                <w:lang w:val="en-GB"/>
              </w:rPr>
              <w:t>.</w:t>
            </w:r>
            <w:r w:rsidR="004A076F" w:rsidRPr="00DD6E6B">
              <w:rPr>
                <w:lang w:val="en-GB"/>
              </w:rPr>
              <w:t xml:space="preserve"> The development of services was influenced by strengthening wages, which represent a significant cost item here. </w:t>
            </w:r>
            <w:r w:rsidR="00100FBC" w:rsidRPr="00DD6E6B">
              <w:rPr>
                <w:lang w:val="en-GB"/>
              </w:rPr>
              <w:t xml:space="preserve">The development of prices of services in the area of programming and associated consultancy, which went up by </w:t>
            </w:r>
            <w:r w:rsidR="00C6020C" w:rsidRPr="00DD6E6B">
              <w:rPr>
                <w:lang w:val="en-GB"/>
              </w:rPr>
              <w:t>9</w:t>
            </w:r>
            <w:r w:rsidR="00100FB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5%</w:t>
            </w:r>
            <w:r w:rsidR="00100FBC" w:rsidRPr="00DD6E6B">
              <w:rPr>
                <w:lang w:val="en-GB"/>
              </w:rPr>
              <w:t xml:space="preserve"> contributed the most to the year-on-year growth</w:t>
            </w:r>
            <w:r w:rsidR="00C6020C" w:rsidRPr="00DD6E6B">
              <w:rPr>
                <w:lang w:val="en-GB"/>
              </w:rPr>
              <w:t xml:space="preserve">. </w:t>
            </w:r>
            <w:r w:rsidR="00343CD0" w:rsidRPr="00DD6E6B">
              <w:rPr>
                <w:lang w:val="en-GB"/>
              </w:rPr>
              <w:t xml:space="preserve">The effect of prices of land transport and transport via pipeline </w:t>
            </w:r>
            <w:r w:rsidR="00C6020C" w:rsidRPr="00DD6E6B">
              <w:rPr>
                <w:lang w:val="en-GB"/>
              </w:rPr>
              <w:t>(</w:t>
            </w:r>
            <w:r w:rsidR="00343CD0" w:rsidRPr="00DD6E6B">
              <w:rPr>
                <w:lang w:val="en-GB"/>
              </w:rPr>
              <w:t xml:space="preserve">year-on-year increase </w:t>
            </w:r>
            <w:r w:rsidR="00C6020C" w:rsidRPr="00DD6E6B">
              <w:rPr>
                <w:lang w:val="en-GB"/>
              </w:rPr>
              <w:t>5</w:t>
            </w:r>
            <w:r w:rsidR="00343CD0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3%), s</w:t>
            </w:r>
            <w:r w:rsidR="00343CD0" w:rsidRPr="00DD6E6B">
              <w:rPr>
                <w:lang w:val="en-GB"/>
              </w:rPr>
              <w:t xml:space="preserve">ervices in the area of real estate </w:t>
            </w:r>
            <w:r w:rsidR="00C6020C" w:rsidRPr="00DD6E6B">
              <w:rPr>
                <w:lang w:val="en-GB"/>
              </w:rPr>
              <w:t>(7</w:t>
            </w:r>
            <w:r w:rsidR="00343CD0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1%) a</w:t>
            </w:r>
            <w:r w:rsidR="00343CD0" w:rsidRPr="00DD6E6B">
              <w:rPr>
                <w:lang w:val="en-GB"/>
              </w:rPr>
              <w:t xml:space="preserve">nd services in the area of employment </w:t>
            </w:r>
            <w:r w:rsidR="00C6020C" w:rsidRPr="00DD6E6B">
              <w:rPr>
                <w:lang w:val="en-GB"/>
              </w:rPr>
              <w:t>(25</w:t>
            </w:r>
            <w:r w:rsidR="00343CD0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2%)</w:t>
            </w:r>
            <w:r w:rsidR="00100FBC" w:rsidRPr="00DD6E6B">
              <w:rPr>
                <w:lang w:val="en-GB"/>
              </w:rPr>
              <w:t xml:space="preserve"> was also strong</w:t>
            </w:r>
            <w:r w:rsidR="00C6020C" w:rsidRPr="00DD6E6B">
              <w:rPr>
                <w:lang w:val="en-GB"/>
              </w:rPr>
              <w:t xml:space="preserve">. </w:t>
            </w:r>
            <w:r w:rsidR="00156B1D" w:rsidRPr="00DD6E6B">
              <w:rPr>
                <w:lang w:val="en-GB"/>
              </w:rPr>
              <w:t xml:space="preserve">Strengthening of the year-on-year increase of the prices of advertising and market research </w:t>
            </w:r>
            <w:r w:rsidR="00C6020C" w:rsidRPr="00DD6E6B">
              <w:rPr>
                <w:lang w:val="en-GB"/>
              </w:rPr>
              <w:t>(6</w:t>
            </w:r>
            <w:r w:rsidR="00100FB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4%)</w:t>
            </w:r>
            <w:r w:rsidR="00100FBC" w:rsidRPr="00DD6E6B">
              <w:rPr>
                <w:lang w:val="en-GB"/>
              </w:rPr>
              <w:t xml:space="preserve"> also had </w:t>
            </w:r>
            <w:r w:rsidR="008A428D" w:rsidRPr="00DD6E6B">
              <w:rPr>
                <w:lang w:val="en-GB"/>
              </w:rPr>
              <w:t>a</w:t>
            </w:r>
            <w:r w:rsidR="00100FBC" w:rsidRPr="00DD6E6B">
              <w:rPr>
                <w:lang w:val="en-GB"/>
              </w:rPr>
              <w:t xml:space="preserve"> notable effect on the prices of market services and </w:t>
            </w:r>
            <w:r w:rsidR="003472DE" w:rsidRPr="00DD6E6B">
              <w:rPr>
                <w:lang w:val="en-GB"/>
              </w:rPr>
              <w:t xml:space="preserve">raised prices of services associated with </w:t>
            </w:r>
            <w:r w:rsidR="00BB1A13" w:rsidRPr="00DD6E6B">
              <w:rPr>
                <w:lang w:val="en-GB"/>
              </w:rPr>
              <w:t xml:space="preserve">services to buildings and landscape activities </w:t>
            </w:r>
            <w:r w:rsidR="00C6020C" w:rsidRPr="00DD6E6B">
              <w:rPr>
                <w:lang w:val="en-GB"/>
              </w:rPr>
              <w:t>(13</w:t>
            </w:r>
            <w:r w:rsidR="00BB1A13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7%), </w:t>
            </w:r>
            <w:r w:rsidR="00BB1A13" w:rsidRPr="00DD6E6B">
              <w:rPr>
                <w:lang w:val="en-GB"/>
              </w:rPr>
              <w:t xml:space="preserve">information services </w:t>
            </w:r>
            <w:r w:rsidR="00C6020C" w:rsidRPr="00DD6E6B">
              <w:rPr>
                <w:lang w:val="en-GB"/>
              </w:rPr>
              <w:t>(12</w:t>
            </w:r>
            <w:r w:rsidR="00BB1A13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8%), po</w:t>
            </w:r>
            <w:r w:rsidR="00BB1A13" w:rsidRPr="00DD6E6B">
              <w:rPr>
                <w:lang w:val="en-GB"/>
              </w:rPr>
              <w:t xml:space="preserve">stal and courier services </w:t>
            </w:r>
            <w:r w:rsidR="00C6020C" w:rsidRPr="00DD6E6B">
              <w:rPr>
                <w:lang w:val="en-GB"/>
              </w:rPr>
              <w:t>(8</w:t>
            </w:r>
            <w:r w:rsidR="00BB1A13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0%), s</w:t>
            </w:r>
            <w:r w:rsidR="00BB1A13" w:rsidRPr="00DD6E6B">
              <w:rPr>
                <w:lang w:val="en-GB"/>
              </w:rPr>
              <w:t xml:space="preserve">ervices in the area of lease and operative lease </w:t>
            </w:r>
            <w:r w:rsidR="00C6020C" w:rsidRPr="00DD6E6B">
              <w:rPr>
                <w:lang w:val="en-GB"/>
              </w:rPr>
              <w:t>(5</w:t>
            </w:r>
            <w:r w:rsidR="00BB1A13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6%), archite</w:t>
            </w:r>
            <w:r w:rsidR="00BB1A13" w:rsidRPr="00DD6E6B">
              <w:rPr>
                <w:lang w:val="en-GB"/>
              </w:rPr>
              <w:t xml:space="preserve">ctural and engineering services, </w:t>
            </w:r>
            <w:r w:rsidR="0031701C" w:rsidRPr="00DD6E6B">
              <w:rPr>
                <w:lang w:val="en-GB"/>
              </w:rPr>
              <w:t xml:space="preserve">technical testing and analysis </w:t>
            </w:r>
            <w:r w:rsidR="00C6020C" w:rsidRPr="00DD6E6B">
              <w:rPr>
                <w:lang w:val="en-GB"/>
              </w:rPr>
              <w:t>(4</w:t>
            </w:r>
            <w:r w:rsidR="0031701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1%), </w:t>
            </w:r>
            <w:r w:rsidR="0031701C" w:rsidRPr="00DD6E6B">
              <w:rPr>
                <w:lang w:val="en-GB"/>
              </w:rPr>
              <w:t xml:space="preserve">warehousing and support activities for transportation </w:t>
            </w:r>
            <w:r w:rsidR="00C6020C" w:rsidRPr="00DD6E6B">
              <w:rPr>
                <w:lang w:val="en-GB"/>
              </w:rPr>
              <w:t>(3</w:t>
            </w:r>
            <w:r w:rsidR="0031701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6%)</w:t>
            </w:r>
            <w:r w:rsidR="0031701C" w:rsidRPr="00DD6E6B">
              <w:rPr>
                <w:lang w:val="en-GB"/>
              </w:rPr>
              <w:t xml:space="preserve"> or insurance, reinsurance and pension funding </w:t>
            </w:r>
            <w:r w:rsidR="00C6020C" w:rsidRPr="00DD6E6B">
              <w:rPr>
                <w:lang w:val="en-GB"/>
              </w:rPr>
              <w:t>(2</w:t>
            </w:r>
            <w:r w:rsidR="0031701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9%)</w:t>
            </w:r>
            <w:r w:rsidR="00100FBC" w:rsidRPr="00DD6E6B">
              <w:rPr>
                <w:lang w:val="en-GB"/>
              </w:rPr>
              <w:t xml:space="preserve"> had an impact</w:t>
            </w:r>
            <w:r w:rsidR="00C6020C" w:rsidRPr="00DD6E6B">
              <w:rPr>
                <w:lang w:val="en-GB"/>
              </w:rPr>
              <w:t>.</w:t>
            </w:r>
          </w:p>
        </w:tc>
      </w:tr>
      <w:tr w:rsidR="00C6020C" w:rsidRPr="00DD6E6B" w14:paraId="74526FB3" w14:textId="77777777" w:rsidTr="006849F8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38EBEF71" w14:textId="18EE5873" w:rsidR="00C6020C" w:rsidRPr="00DD6E6B" w:rsidRDefault="00343CD0" w:rsidP="006849F8">
            <w:pPr>
              <w:pStyle w:val="Marginlie"/>
              <w:rPr>
                <w:spacing w:val="0"/>
                <w:lang w:val="en-GB"/>
              </w:rPr>
            </w:pPr>
            <w:r w:rsidRPr="00DD6E6B">
              <w:rPr>
                <w:spacing w:val="0"/>
                <w:lang w:val="en-GB"/>
              </w:rPr>
              <w:lastRenderedPageBreak/>
              <w:t>Prices of agricultural produc</w:t>
            </w:r>
            <w:r w:rsidR="00796F41">
              <w:rPr>
                <w:spacing w:val="0"/>
                <w:lang w:val="en-GB"/>
              </w:rPr>
              <w:t>ts</w:t>
            </w:r>
            <w:r w:rsidRPr="00DD6E6B">
              <w:rPr>
                <w:spacing w:val="0"/>
                <w:lang w:val="en-GB"/>
              </w:rPr>
              <w:t xml:space="preserve"> were falling. </w:t>
            </w:r>
            <w:r w:rsidR="00BB71D2" w:rsidRPr="00DD6E6B">
              <w:rPr>
                <w:spacing w:val="0"/>
                <w:lang w:val="en-GB"/>
              </w:rPr>
              <w:t xml:space="preserve">Mainly prices of the </w:t>
            </w:r>
            <w:r w:rsidR="00796F41">
              <w:rPr>
                <w:spacing w:val="0"/>
                <w:lang w:val="en-GB"/>
              </w:rPr>
              <w:t>crop</w:t>
            </w:r>
            <w:r w:rsidR="00BB71D2" w:rsidRPr="00DD6E6B">
              <w:rPr>
                <w:spacing w:val="0"/>
                <w:lang w:val="en-GB"/>
              </w:rPr>
              <w:t xml:space="preserve"> product</w:t>
            </w:r>
            <w:r w:rsidR="00796F41">
              <w:rPr>
                <w:spacing w:val="0"/>
                <w:lang w:val="en-GB"/>
              </w:rPr>
              <w:t>s</w:t>
            </w:r>
            <w:r w:rsidR="00BB71D2" w:rsidRPr="00DD6E6B">
              <w:rPr>
                <w:spacing w:val="0"/>
                <w:lang w:val="en-GB"/>
              </w:rPr>
              <w:t xml:space="preserve"> were falling.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4E4D814A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0E65D96A" w14:textId="3035D47F" w:rsidR="00C6020C" w:rsidRPr="00DD6E6B" w:rsidRDefault="00BA0986" w:rsidP="006849F8">
            <w:pPr>
              <w:rPr>
                <w:lang w:val="en-GB"/>
              </w:rPr>
            </w:pPr>
            <w:r w:rsidRPr="00DD6E6B">
              <w:rPr>
                <w:lang w:val="en-GB"/>
              </w:rPr>
              <w:t>Prices of agricultural produc</w:t>
            </w:r>
            <w:r w:rsidR="00CA4B39">
              <w:rPr>
                <w:lang w:val="en-GB"/>
              </w:rPr>
              <w:t xml:space="preserve">ts </w:t>
            </w:r>
            <w:r w:rsidRPr="00DD6E6B">
              <w:rPr>
                <w:lang w:val="en-GB"/>
              </w:rPr>
              <w:t>including fish</w:t>
            </w:r>
            <w:r w:rsidR="00CA4B39">
              <w:rPr>
                <w:lang w:val="en-GB"/>
              </w:rPr>
              <w:t>es</w:t>
            </w:r>
            <w:r w:rsidRPr="00DD6E6B">
              <w:rPr>
                <w:lang w:val="en-GB"/>
              </w:rPr>
              <w:t xml:space="preserve"> slumped by 8.1% year-on-year in Q</w:t>
            </w:r>
            <w:r w:rsidR="00C6020C" w:rsidRPr="00DD6E6B">
              <w:rPr>
                <w:lang w:val="en-GB"/>
              </w:rPr>
              <w:t xml:space="preserve">2. </w:t>
            </w:r>
            <w:r w:rsidR="00403BBF" w:rsidRPr="00DD6E6B">
              <w:rPr>
                <w:lang w:val="en-GB"/>
              </w:rPr>
              <w:t xml:space="preserve">It was the first year-on-year decrease since the end of year </w:t>
            </w:r>
            <w:r w:rsidR="00C6020C" w:rsidRPr="00DD6E6B">
              <w:rPr>
                <w:lang w:val="en-GB"/>
              </w:rPr>
              <w:t xml:space="preserve">2020. </w:t>
            </w:r>
            <w:r w:rsidR="00403BBF" w:rsidRPr="00DD6E6B">
              <w:rPr>
                <w:lang w:val="en-GB"/>
              </w:rPr>
              <w:t xml:space="preserve">Only prices of the </w:t>
            </w:r>
            <w:r w:rsidR="00CA4B39">
              <w:rPr>
                <w:lang w:val="en-GB"/>
              </w:rPr>
              <w:t xml:space="preserve">crop </w:t>
            </w:r>
            <w:r w:rsidR="00403BBF" w:rsidRPr="00DD6E6B">
              <w:rPr>
                <w:lang w:val="en-GB"/>
              </w:rPr>
              <w:t>product</w:t>
            </w:r>
            <w:r w:rsidR="00CA4B39">
              <w:rPr>
                <w:lang w:val="en-GB"/>
              </w:rPr>
              <w:t>s</w:t>
            </w:r>
            <w:r w:rsidR="00403BBF" w:rsidRPr="00DD6E6B">
              <w:rPr>
                <w:lang w:val="en-GB"/>
              </w:rPr>
              <w:t xml:space="preserve"> were falling year-on-year </w:t>
            </w:r>
            <w:r w:rsidR="00C6020C" w:rsidRPr="00DD6E6B">
              <w:rPr>
                <w:lang w:val="en-GB"/>
              </w:rPr>
              <w:t>(−20</w:t>
            </w:r>
            <w:r w:rsidR="00403BBF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8%)</w:t>
            </w:r>
            <w:r w:rsidR="00403BBF" w:rsidRPr="00DD6E6B">
              <w:rPr>
                <w:lang w:val="en-GB"/>
              </w:rPr>
              <w:t xml:space="preserve"> but the increase slowed down for the </w:t>
            </w:r>
            <w:r w:rsidR="00CA4B39">
              <w:rPr>
                <w:lang w:val="en-GB"/>
              </w:rPr>
              <w:t xml:space="preserve">animals and </w:t>
            </w:r>
            <w:r w:rsidR="00403BBF" w:rsidRPr="00DD6E6B">
              <w:rPr>
                <w:lang w:val="en-GB"/>
              </w:rPr>
              <w:t>animal product</w:t>
            </w:r>
            <w:r w:rsidR="00CA4B39">
              <w:rPr>
                <w:lang w:val="en-GB"/>
              </w:rPr>
              <w:t>s</w:t>
            </w:r>
            <w:r w:rsidR="00403BBF" w:rsidRPr="00DD6E6B">
              <w:rPr>
                <w:lang w:val="en-GB"/>
              </w:rPr>
              <w:t xml:space="preserve"> to </w:t>
            </w:r>
            <w:r w:rsidR="00C6020C" w:rsidRPr="00DD6E6B">
              <w:rPr>
                <w:lang w:val="en-GB"/>
              </w:rPr>
              <w:t>12</w:t>
            </w:r>
            <w:r w:rsidR="00403BBF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4%. </w:t>
            </w:r>
            <w:r w:rsidR="00403BBF" w:rsidRPr="00DD6E6B">
              <w:rPr>
                <w:lang w:val="en-GB"/>
              </w:rPr>
              <w:t>Quarter-on-quarter, the prices of agricultural produc</w:t>
            </w:r>
            <w:r w:rsidR="00CA4B39">
              <w:rPr>
                <w:lang w:val="en-GB"/>
              </w:rPr>
              <w:t>ts</w:t>
            </w:r>
            <w:r w:rsidR="00403BBF" w:rsidRPr="00DD6E6B">
              <w:rPr>
                <w:lang w:val="en-GB"/>
              </w:rPr>
              <w:t xml:space="preserve"> lowered by marked </w:t>
            </w:r>
            <w:r w:rsidR="00C6020C" w:rsidRPr="00DD6E6B">
              <w:rPr>
                <w:lang w:val="en-GB"/>
              </w:rPr>
              <w:t>9</w:t>
            </w:r>
            <w:r w:rsidR="00403BBF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1% a</w:t>
            </w:r>
            <w:r w:rsidR="00403BBF" w:rsidRPr="00DD6E6B">
              <w:rPr>
                <w:lang w:val="en-GB"/>
              </w:rPr>
              <w:t xml:space="preserve">nd prices of </w:t>
            </w:r>
            <w:r w:rsidR="00DB46D6" w:rsidRPr="00DD6E6B">
              <w:rPr>
                <w:lang w:val="en-GB"/>
              </w:rPr>
              <w:t xml:space="preserve">both </w:t>
            </w:r>
            <w:r w:rsidR="00403BBF" w:rsidRPr="00DD6E6B">
              <w:rPr>
                <w:lang w:val="en-GB"/>
              </w:rPr>
              <w:t xml:space="preserve">the </w:t>
            </w:r>
            <w:r w:rsidR="00CA4B39">
              <w:rPr>
                <w:lang w:val="en-GB"/>
              </w:rPr>
              <w:t>crop</w:t>
            </w:r>
            <w:r w:rsidR="00DB46D6" w:rsidRPr="00DD6E6B">
              <w:rPr>
                <w:lang w:val="en-GB"/>
              </w:rPr>
              <w:t xml:space="preserve"> </w:t>
            </w:r>
            <w:r w:rsidR="00C6020C" w:rsidRPr="00DD6E6B">
              <w:rPr>
                <w:lang w:val="en-GB"/>
              </w:rPr>
              <w:t>(−11</w:t>
            </w:r>
            <w:r w:rsidR="00DB46D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2%)</w:t>
            </w:r>
            <w:r w:rsidR="00DB46D6" w:rsidRPr="00DD6E6B">
              <w:rPr>
                <w:lang w:val="en-GB"/>
              </w:rPr>
              <w:t xml:space="preserve"> and animal </w:t>
            </w:r>
            <w:r w:rsidR="00C6020C" w:rsidRPr="00DD6E6B">
              <w:rPr>
                <w:lang w:val="en-GB"/>
              </w:rPr>
              <w:t>(−6</w:t>
            </w:r>
            <w:r w:rsidR="00DB46D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6%)</w:t>
            </w:r>
            <w:r w:rsidR="00DB46D6" w:rsidRPr="00DD6E6B">
              <w:rPr>
                <w:lang w:val="en-GB"/>
              </w:rPr>
              <w:t xml:space="preserve"> product</w:t>
            </w:r>
            <w:r w:rsidR="00CA4B39">
              <w:rPr>
                <w:lang w:val="en-GB"/>
              </w:rPr>
              <w:t>s</w:t>
            </w:r>
            <w:r w:rsidR="00DB46D6" w:rsidRPr="00DD6E6B">
              <w:rPr>
                <w:lang w:val="en-GB"/>
              </w:rPr>
              <w:t xml:space="preserve"> fell. The year-on-year decrease of prices of </w:t>
            </w:r>
            <w:r w:rsidR="00CA4B39">
              <w:rPr>
                <w:lang w:val="en-GB"/>
              </w:rPr>
              <w:t>crop</w:t>
            </w:r>
            <w:r w:rsidR="00DB46D6" w:rsidRPr="00DD6E6B">
              <w:rPr>
                <w:lang w:val="en-GB"/>
              </w:rPr>
              <w:t xml:space="preserve"> product</w:t>
            </w:r>
            <w:r w:rsidR="00CA4B39">
              <w:rPr>
                <w:lang w:val="en-GB"/>
              </w:rPr>
              <w:t>s</w:t>
            </w:r>
            <w:r w:rsidR="00DB46D6" w:rsidRPr="00DD6E6B">
              <w:rPr>
                <w:lang w:val="en-GB"/>
              </w:rPr>
              <w:t xml:space="preserve"> was mainly affected by the slump of prices of cereals </w:t>
            </w:r>
            <w:r w:rsidR="00C6020C" w:rsidRPr="00DD6E6B">
              <w:rPr>
                <w:lang w:val="en-GB"/>
              </w:rPr>
              <w:t>(−22</w:t>
            </w:r>
            <w:r w:rsidR="00DB46D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3%), </w:t>
            </w:r>
            <w:r w:rsidR="00DB46D6" w:rsidRPr="00DD6E6B">
              <w:rPr>
                <w:lang w:val="en-GB"/>
              </w:rPr>
              <w:t xml:space="preserve">in that the prices of wheat plunged by </w:t>
            </w:r>
            <w:r w:rsidR="00C6020C" w:rsidRPr="00DD6E6B">
              <w:rPr>
                <w:lang w:val="en-GB"/>
              </w:rPr>
              <w:t>28</w:t>
            </w:r>
            <w:r w:rsidR="00DB46D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0%, </w:t>
            </w:r>
            <w:r w:rsidR="00DB46D6" w:rsidRPr="00DD6E6B">
              <w:rPr>
                <w:lang w:val="en-GB"/>
              </w:rPr>
              <w:t xml:space="preserve">barley by </w:t>
            </w:r>
            <w:r w:rsidR="00C6020C" w:rsidRPr="00DD6E6B">
              <w:rPr>
                <w:lang w:val="en-GB"/>
              </w:rPr>
              <w:t>13</w:t>
            </w:r>
            <w:r w:rsidR="00DB46D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0% a</w:t>
            </w:r>
            <w:r w:rsidR="00DB46D6" w:rsidRPr="00DD6E6B">
              <w:rPr>
                <w:lang w:val="en-GB"/>
              </w:rPr>
              <w:t xml:space="preserve">nd corn by </w:t>
            </w:r>
            <w:r w:rsidR="00C6020C" w:rsidRPr="00DD6E6B">
              <w:rPr>
                <w:lang w:val="en-GB"/>
              </w:rPr>
              <w:t>9</w:t>
            </w:r>
            <w:r w:rsidR="00DB46D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1%, </w:t>
            </w:r>
            <w:r w:rsidR="00DB46D6" w:rsidRPr="00DD6E6B">
              <w:rPr>
                <w:lang w:val="en-GB"/>
              </w:rPr>
              <w:t xml:space="preserve">on the contrary the prices of oat grew by </w:t>
            </w:r>
            <w:r w:rsidR="00C6020C" w:rsidRPr="00DD6E6B">
              <w:rPr>
                <w:lang w:val="en-GB"/>
              </w:rPr>
              <w:t>4</w:t>
            </w:r>
            <w:r w:rsidR="00DB46D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1%.</w:t>
            </w:r>
            <w:r w:rsidR="00DB46D6" w:rsidRPr="00DD6E6B">
              <w:rPr>
                <w:lang w:val="en-GB"/>
              </w:rPr>
              <w:t xml:space="preserve"> Prices of industrial </w:t>
            </w:r>
            <w:r w:rsidR="00CA4B39">
              <w:rPr>
                <w:lang w:val="en-GB"/>
              </w:rPr>
              <w:t>crops</w:t>
            </w:r>
            <w:r w:rsidR="00DB46D6" w:rsidRPr="00DD6E6B">
              <w:rPr>
                <w:lang w:val="en-GB"/>
              </w:rPr>
              <w:t xml:space="preserve"> were by </w:t>
            </w:r>
            <w:r w:rsidR="00C6020C" w:rsidRPr="00DD6E6B">
              <w:rPr>
                <w:lang w:val="en-GB"/>
              </w:rPr>
              <w:t>34</w:t>
            </w:r>
            <w:r w:rsidR="00DB46D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0%</w:t>
            </w:r>
            <w:r w:rsidR="00DB46D6" w:rsidRPr="00DD6E6B">
              <w:rPr>
                <w:lang w:val="en-GB"/>
              </w:rPr>
              <w:t xml:space="preserve"> lower year-on-year</w:t>
            </w:r>
            <w:r w:rsidR="00C6020C" w:rsidRPr="00DD6E6B">
              <w:rPr>
                <w:lang w:val="en-GB"/>
              </w:rPr>
              <w:t>,</w:t>
            </w:r>
            <w:r w:rsidR="00DB46D6" w:rsidRPr="00DD6E6B">
              <w:rPr>
                <w:lang w:val="en-GB"/>
              </w:rPr>
              <w:t xml:space="preserve"> mainly owing to the oil </w:t>
            </w:r>
            <w:r w:rsidR="00CA4B39">
              <w:rPr>
                <w:lang w:val="en-GB"/>
              </w:rPr>
              <w:t>seeds</w:t>
            </w:r>
            <w:r w:rsidR="00DB46D6" w:rsidRPr="00DD6E6B">
              <w:rPr>
                <w:lang w:val="en-GB"/>
              </w:rPr>
              <w:t xml:space="preserve">, where the dive arrived at </w:t>
            </w:r>
            <w:r w:rsidR="00062C40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35</w:t>
            </w:r>
            <w:r w:rsidR="00DB46D6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1%. </w:t>
            </w:r>
            <w:r w:rsidR="00DB46D6" w:rsidRPr="00DD6E6B">
              <w:rPr>
                <w:lang w:val="en-GB"/>
              </w:rPr>
              <w:t xml:space="preserve">Prices of </w:t>
            </w:r>
            <w:r w:rsidR="00EE65DE" w:rsidRPr="00DD6E6B">
              <w:rPr>
                <w:lang w:val="en-GB"/>
              </w:rPr>
              <w:t>fo</w:t>
            </w:r>
            <w:r w:rsidR="00CA4B39">
              <w:rPr>
                <w:lang w:val="en-GB"/>
              </w:rPr>
              <w:t>rage plants</w:t>
            </w:r>
            <w:r w:rsidR="00EE65DE" w:rsidRPr="00DD6E6B">
              <w:rPr>
                <w:lang w:val="en-GB"/>
              </w:rPr>
              <w:t xml:space="preserve"> decreased by </w:t>
            </w:r>
            <w:r w:rsidR="00C6020C" w:rsidRPr="00DD6E6B">
              <w:rPr>
                <w:lang w:val="en-GB"/>
              </w:rPr>
              <w:t>1</w:t>
            </w:r>
            <w:r w:rsidR="00EE65DE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9%</w:t>
            </w:r>
            <w:r w:rsidR="00EE65DE" w:rsidRPr="00DD6E6B">
              <w:rPr>
                <w:lang w:val="en-GB"/>
              </w:rPr>
              <w:t xml:space="preserve"> year-on-year</w:t>
            </w:r>
            <w:r w:rsidR="00C6020C" w:rsidRPr="00DD6E6B">
              <w:rPr>
                <w:lang w:val="en-GB"/>
              </w:rPr>
              <w:t xml:space="preserve">. </w:t>
            </w:r>
            <w:r w:rsidR="00397C8B" w:rsidRPr="00DD6E6B">
              <w:rPr>
                <w:lang w:val="en-GB"/>
              </w:rPr>
              <w:t xml:space="preserve">On the contrary the year-on-year increase of prices of vegetables and </w:t>
            </w:r>
            <w:r w:rsidR="00CA4B39">
              <w:rPr>
                <w:lang w:val="en-GB"/>
              </w:rPr>
              <w:t>horticultural</w:t>
            </w:r>
            <w:r w:rsidR="00397C8B" w:rsidRPr="00DD6E6B">
              <w:rPr>
                <w:lang w:val="en-GB"/>
              </w:rPr>
              <w:t xml:space="preserve"> products strengthened to </w:t>
            </w:r>
            <w:r w:rsidR="00C6020C" w:rsidRPr="00DD6E6B">
              <w:rPr>
                <w:lang w:val="en-GB"/>
              </w:rPr>
              <w:t>23</w:t>
            </w:r>
            <w:r w:rsidR="00397C8B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9%. </w:t>
            </w:r>
            <w:r w:rsidR="00EE65DE" w:rsidRPr="00DD6E6B">
              <w:rPr>
                <w:lang w:val="en-GB"/>
              </w:rPr>
              <w:t xml:space="preserve">Prices of potatoes hiked up by </w:t>
            </w:r>
            <w:r w:rsidR="00C6020C" w:rsidRPr="00DD6E6B">
              <w:rPr>
                <w:lang w:val="en-GB"/>
              </w:rPr>
              <w:t>29</w:t>
            </w:r>
            <w:r w:rsidR="00EE65DE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0% a</w:t>
            </w:r>
            <w:r w:rsidR="00EE65DE" w:rsidRPr="00DD6E6B">
              <w:rPr>
                <w:lang w:val="en-GB"/>
              </w:rPr>
              <w:t xml:space="preserve">nd they decreased for fruit by </w:t>
            </w:r>
            <w:r w:rsidR="00C6020C" w:rsidRPr="00DD6E6B">
              <w:rPr>
                <w:lang w:val="en-GB"/>
              </w:rPr>
              <w:t>5</w:t>
            </w:r>
            <w:r w:rsidR="00EE65DE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9%. </w:t>
            </w:r>
            <w:r w:rsidR="00F8633B" w:rsidRPr="00DD6E6B">
              <w:rPr>
                <w:lang w:val="en-GB"/>
              </w:rPr>
              <w:t>The year-on-year increase of prices of animals weakened to 14.2% year-on-year in the animal production,</w:t>
            </w:r>
            <w:r w:rsidR="00C6020C" w:rsidRPr="00DD6E6B">
              <w:rPr>
                <w:lang w:val="en-GB"/>
              </w:rPr>
              <w:t xml:space="preserve"> </w:t>
            </w:r>
            <w:r w:rsidR="00F8633B" w:rsidRPr="00DD6E6B">
              <w:rPr>
                <w:lang w:val="en-GB"/>
              </w:rPr>
              <w:t xml:space="preserve">the growth of prices of pigs and piglets </w:t>
            </w:r>
            <w:r w:rsidR="00C6020C" w:rsidRPr="00DD6E6B">
              <w:rPr>
                <w:lang w:val="en-GB"/>
              </w:rPr>
              <w:t>(24</w:t>
            </w:r>
            <w:r w:rsidR="00F8633B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1%),</w:t>
            </w:r>
            <w:r w:rsidR="00F8633B" w:rsidRPr="00DD6E6B">
              <w:rPr>
                <w:lang w:val="en-GB"/>
              </w:rPr>
              <w:t xml:space="preserve"> poultry </w:t>
            </w:r>
            <w:r w:rsidR="00C6020C" w:rsidRPr="00DD6E6B">
              <w:rPr>
                <w:lang w:val="en-GB"/>
              </w:rPr>
              <w:t>(17</w:t>
            </w:r>
            <w:r w:rsidR="00F8633B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0%) </w:t>
            </w:r>
            <w:r w:rsidR="00F8633B" w:rsidRPr="00DD6E6B">
              <w:rPr>
                <w:lang w:val="en-GB"/>
              </w:rPr>
              <w:t xml:space="preserve">as well as cattle </w:t>
            </w:r>
            <w:r w:rsidR="00C6020C" w:rsidRPr="00DD6E6B">
              <w:rPr>
                <w:lang w:val="en-GB"/>
              </w:rPr>
              <w:t>(0</w:t>
            </w:r>
            <w:r w:rsidR="00F8633B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9%)</w:t>
            </w:r>
            <w:r w:rsidR="00F8633B" w:rsidRPr="00DD6E6B">
              <w:rPr>
                <w:lang w:val="en-GB"/>
              </w:rPr>
              <w:t xml:space="preserve"> was lower</w:t>
            </w:r>
            <w:r w:rsidR="00C6020C" w:rsidRPr="00DD6E6B">
              <w:rPr>
                <w:lang w:val="en-GB"/>
              </w:rPr>
              <w:t xml:space="preserve">. </w:t>
            </w:r>
            <w:r w:rsidR="00B0601B" w:rsidRPr="00DD6E6B">
              <w:rPr>
                <w:lang w:val="en-GB"/>
              </w:rPr>
              <w:t xml:space="preserve">The increase of prices of milk also decreased to </w:t>
            </w:r>
            <w:r w:rsidR="00C6020C" w:rsidRPr="00DD6E6B">
              <w:rPr>
                <w:lang w:val="en-GB"/>
              </w:rPr>
              <w:t>7</w:t>
            </w:r>
            <w:r w:rsidR="00B0601B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8% a</w:t>
            </w:r>
            <w:r w:rsidR="00B0601B" w:rsidRPr="00DD6E6B">
              <w:rPr>
                <w:lang w:val="en-GB"/>
              </w:rPr>
              <w:t xml:space="preserve">nd eggs to </w:t>
            </w:r>
            <w:r w:rsidR="00C6020C" w:rsidRPr="00DD6E6B">
              <w:rPr>
                <w:lang w:val="en-GB"/>
              </w:rPr>
              <w:t>42</w:t>
            </w:r>
            <w:r w:rsidR="00B0601B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1%.</w:t>
            </w:r>
          </w:p>
        </w:tc>
      </w:tr>
      <w:tr w:rsidR="00C6020C" w:rsidRPr="00DD6E6B" w14:paraId="4E047492" w14:textId="77777777" w:rsidTr="006849F8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19942F13" w14:textId="3236EB6A" w:rsidR="00C6020C" w:rsidRPr="00DD6E6B" w:rsidRDefault="00C6020C" w:rsidP="006849F8">
            <w:pPr>
              <w:pStyle w:val="Marginlie"/>
              <w:rPr>
                <w:spacing w:val="0"/>
                <w:lang w:val="en-GB"/>
              </w:rPr>
            </w:pP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64DEA7EB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4CDCCF2B" w14:textId="7757488A" w:rsidR="00C6020C" w:rsidRPr="00DD6E6B" w:rsidRDefault="00EE65DE" w:rsidP="00062C40">
            <w:pPr>
              <w:rPr>
                <w:lang w:val="en-GB"/>
              </w:rPr>
            </w:pPr>
            <w:r w:rsidRPr="00DD6E6B">
              <w:rPr>
                <w:lang w:val="en-GB"/>
              </w:rPr>
              <w:t>Year-on-year growth of the prices of foreign trade further slowed down in Q</w:t>
            </w:r>
            <w:r w:rsidR="00C6020C" w:rsidRPr="00DD6E6B">
              <w:rPr>
                <w:lang w:val="en-GB"/>
              </w:rPr>
              <w:t>2.</w:t>
            </w:r>
            <w:r w:rsidRPr="00DD6E6B">
              <w:rPr>
                <w:lang w:val="en-GB"/>
              </w:rPr>
              <w:t xml:space="preserve"> The koruna foreign exchange per euro as well as dollar strengthened year-on-year</w:t>
            </w:r>
            <w:r w:rsidR="00C6020C" w:rsidRPr="00DD6E6B">
              <w:rPr>
                <w:rStyle w:val="Znakapoznpodarou"/>
                <w:lang w:val="en-GB"/>
              </w:rPr>
              <w:footnoteReference w:id="7"/>
            </w:r>
            <w:r w:rsidR="00C6020C" w:rsidRPr="00DD6E6B">
              <w:rPr>
                <w:lang w:val="en-GB"/>
              </w:rPr>
              <w:t xml:space="preserve"> a</w:t>
            </w:r>
            <w:r w:rsidRPr="00DD6E6B">
              <w:rPr>
                <w:lang w:val="en-GB"/>
              </w:rPr>
              <w:t>nd thus had an anti-inflationary effect</w:t>
            </w:r>
            <w:r w:rsidR="00C6020C" w:rsidRPr="00DD6E6B">
              <w:rPr>
                <w:lang w:val="en-GB"/>
              </w:rPr>
              <w:t>,</w:t>
            </w:r>
            <w:r w:rsidRPr="00DD6E6B">
              <w:rPr>
                <w:lang w:val="en-GB"/>
              </w:rPr>
              <w:t xml:space="preserve"> however the high comparative bas</w:t>
            </w:r>
            <w:r w:rsidR="008B6EBD" w:rsidRPr="00DD6E6B">
              <w:rPr>
                <w:lang w:val="en-GB"/>
              </w:rPr>
              <w:t>i</w:t>
            </w:r>
            <w:r w:rsidRPr="00DD6E6B">
              <w:rPr>
                <w:lang w:val="en-GB"/>
              </w:rPr>
              <w:t>s of the last year, mainly the notable level of prices of materials played a main role. Prices of export of goods fell by 1.8% year-on-year in Q</w:t>
            </w:r>
            <w:r w:rsidR="00C6020C" w:rsidRPr="00DD6E6B">
              <w:rPr>
                <w:lang w:val="en-GB"/>
              </w:rPr>
              <w:t>2</w:t>
            </w:r>
            <w:r w:rsidRPr="00DD6E6B">
              <w:rPr>
                <w:lang w:val="en-GB"/>
              </w:rPr>
              <w:t xml:space="preserve"> and were by 2.2% lower quarter-on-quarter. </w:t>
            </w:r>
            <w:r w:rsidR="002D00F7" w:rsidRPr="00DD6E6B">
              <w:rPr>
                <w:lang w:val="en-GB"/>
              </w:rPr>
              <w:t>Prices of export of other materials</w:t>
            </w:r>
            <w:r w:rsidR="00C6020C" w:rsidRPr="00DD6E6B">
              <w:rPr>
                <w:rStyle w:val="Znakapoznpodarou"/>
                <w:lang w:val="en-GB"/>
              </w:rPr>
              <w:footnoteReference w:id="8"/>
            </w:r>
            <w:r w:rsidR="00062C40">
              <w:rPr>
                <w:lang w:val="en-GB"/>
              </w:rPr>
              <w:t xml:space="preserve"> (</w:t>
            </w:r>
            <w:r w:rsidR="00062C40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25</w:t>
            </w:r>
            <w:r w:rsidR="002D00F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5%) a</w:t>
            </w:r>
            <w:r w:rsidR="002D00F7" w:rsidRPr="00DD6E6B">
              <w:rPr>
                <w:lang w:val="en-GB"/>
              </w:rPr>
              <w:t xml:space="preserve">nd chemicals </w:t>
            </w:r>
            <w:r w:rsidR="00062C40">
              <w:rPr>
                <w:lang w:val="en-GB"/>
              </w:rPr>
              <w:t>(</w:t>
            </w:r>
            <w:r w:rsidR="00062C40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9</w:t>
            </w:r>
            <w:r w:rsidR="002D00F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4%) </w:t>
            </w:r>
            <w:r w:rsidR="002D00F7" w:rsidRPr="00DD6E6B">
              <w:rPr>
                <w:lang w:val="en-GB"/>
              </w:rPr>
              <w:t xml:space="preserve">plummeted the most year-on-year and prices of food and live animals </w:t>
            </w:r>
            <w:r w:rsidR="00062C40">
              <w:rPr>
                <w:lang w:val="en-GB"/>
              </w:rPr>
              <w:t>(</w:t>
            </w:r>
            <w:r w:rsidR="00062C40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4</w:t>
            </w:r>
            <w:r w:rsidR="002D00F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7%) a</w:t>
            </w:r>
            <w:r w:rsidR="002D00F7" w:rsidRPr="00DD6E6B">
              <w:rPr>
                <w:lang w:val="en-GB"/>
              </w:rPr>
              <w:t>nd semi-finished products</w:t>
            </w:r>
            <w:r w:rsidR="00C6020C" w:rsidRPr="00DD6E6B">
              <w:rPr>
                <w:rStyle w:val="Znakapoznpodarou"/>
                <w:lang w:val="en-GB"/>
              </w:rPr>
              <w:footnoteReference w:id="9"/>
            </w:r>
            <w:r w:rsidR="00062C40">
              <w:rPr>
                <w:lang w:val="en-GB"/>
              </w:rPr>
              <w:t xml:space="preserve"> (</w:t>
            </w:r>
            <w:r w:rsidR="00062C40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4</w:t>
            </w:r>
            <w:r w:rsidR="002D00F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3%)</w:t>
            </w:r>
            <w:r w:rsidR="002D00F7" w:rsidRPr="00DD6E6B">
              <w:rPr>
                <w:lang w:val="en-GB"/>
              </w:rPr>
              <w:t xml:space="preserve"> were also lower</w:t>
            </w:r>
            <w:r w:rsidR="00C6020C" w:rsidRPr="00DD6E6B">
              <w:rPr>
                <w:lang w:val="en-GB"/>
              </w:rPr>
              <w:t xml:space="preserve">. </w:t>
            </w:r>
            <w:r w:rsidR="007B5D71" w:rsidRPr="00DD6E6B">
              <w:rPr>
                <w:lang w:val="en-GB"/>
              </w:rPr>
              <w:t xml:space="preserve">On the contrary the prices of beverages and tobacco </w:t>
            </w:r>
            <w:r w:rsidR="00C6020C" w:rsidRPr="00DD6E6B">
              <w:rPr>
                <w:lang w:val="en-GB"/>
              </w:rPr>
              <w:t>(18</w:t>
            </w:r>
            <w:r w:rsidR="007B5D71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4%)</w:t>
            </w:r>
            <w:r w:rsidR="007B5D71" w:rsidRPr="00DD6E6B">
              <w:rPr>
                <w:lang w:val="en-GB"/>
              </w:rPr>
              <w:t xml:space="preserve"> considerably increased year-on-year</w:t>
            </w:r>
            <w:r w:rsidR="00C6020C" w:rsidRPr="00DD6E6B">
              <w:rPr>
                <w:lang w:val="en-GB"/>
              </w:rPr>
              <w:t xml:space="preserve">, </w:t>
            </w:r>
            <w:r w:rsidR="007B5D71" w:rsidRPr="00DD6E6B">
              <w:rPr>
                <w:lang w:val="en-GB"/>
              </w:rPr>
              <w:t xml:space="preserve">prices were higher for mineral fuels and lubricants </w:t>
            </w:r>
            <w:r w:rsidR="00C6020C" w:rsidRPr="00DD6E6B">
              <w:rPr>
                <w:lang w:val="en-GB"/>
              </w:rPr>
              <w:t>(2</w:t>
            </w:r>
            <w:r w:rsidR="007B5D71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3%),</w:t>
            </w:r>
            <w:r w:rsidR="007B5D71" w:rsidRPr="00DD6E6B">
              <w:rPr>
                <w:lang w:val="en-GB"/>
              </w:rPr>
              <w:t xml:space="preserve"> </w:t>
            </w:r>
            <w:r w:rsidR="00765887">
              <w:rPr>
                <w:lang w:val="en-GB"/>
              </w:rPr>
              <w:t>miscellaneous manufactured articles</w:t>
            </w:r>
            <w:r w:rsidR="007B5D71" w:rsidRPr="00DD6E6B">
              <w:rPr>
                <w:lang w:val="en-GB"/>
              </w:rPr>
              <w:t xml:space="preserve"> </w:t>
            </w:r>
            <w:r w:rsidR="00C6020C" w:rsidRPr="00DD6E6B">
              <w:rPr>
                <w:lang w:val="en-GB"/>
              </w:rPr>
              <w:t>(1</w:t>
            </w:r>
            <w:r w:rsidR="007B5D71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1%) a</w:t>
            </w:r>
            <w:r w:rsidR="007B5D71" w:rsidRPr="00DD6E6B">
              <w:rPr>
                <w:lang w:val="en-GB"/>
              </w:rPr>
              <w:t xml:space="preserve">nd machinery and transport equipment </w:t>
            </w:r>
            <w:r w:rsidR="00C6020C" w:rsidRPr="00DD6E6B">
              <w:rPr>
                <w:lang w:val="en-GB"/>
              </w:rPr>
              <w:t>(1</w:t>
            </w:r>
            <w:r w:rsidR="007B5D71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0%).</w:t>
            </w:r>
          </w:p>
        </w:tc>
      </w:tr>
      <w:tr w:rsidR="00C6020C" w:rsidRPr="00DD6E6B" w14:paraId="4FB1FA53" w14:textId="77777777" w:rsidTr="006849F8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1BF8D79D" w14:textId="77777777" w:rsidR="00C6020C" w:rsidRPr="00DD6E6B" w:rsidRDefault="00C6020C" w:rsidP="006849F8">
            <w:pPr>
              <w:pStyle w:val="Marginlie"/>
              <w:rPr>
                <w:spacing w:val="0"/>
                <w:lang w:val="en-GB"/>
              </w:rPr>
            </w:pP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34745BF5" w14:textId="77777777" w:rsidR="00C6020C" w:rsidRPr="00DD6E6B" w:rsidRDefault="00C6020C" w:rsidP="006849F8">
            <w:pPr>
              <w:pStyle w:val="Textpoznpodarou1"/>
              <w:jc w:val="both"/>
              <w:rPr>
                <w:lang w:val="en-GB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6EF88923" w14:textId="7073D8F7" w:rsidR="00C6020C" w:rsidRPr="00DD6E6B" w:rsidRDefault="0066701F" w:rsidP="006849F8">
            <w:pPr>
              <w:rPr>
                <w:lang w:val="en-GB"/>
              </w:rPr>
            </w:pPr>
            <w:r w:rsidRPr="00DD6E6B">
              <w:rPr>
                <w:lang w:val="en-GB"/>
              </w:rPr>
              <w:t xml:space="preserve">In case of prices of export the year-on-year </w:t>
            </w:r>
            <w:r w:rsidR="00062C40">
              <w:rPr>
                <w:lang w:val="en-GB"/>
              </w:rPr>
              <w:t>(</w:t>
            </w:r>
            <w:r w:rsidR="00062C40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7</w:t>
            </w:r>
            <w:r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6%)</w:t>
            </w:r>
            <w:r w:rsidRPr="00DD6E6B">
              <w:rPr>
                <w:lang w:val="en-GB"/>
              </w:rPr>
              <w:t xml:space="preserve"> as well as quarter-on-quarter </w:t>
            </w:r>
            <w:r w:rsidR="00C6020C" w:rsidRPr="00DD6E6B">
              <w:rPr>
                <w:lang w:val="en-GB"/>
              </w:rPr>
              <w:t>(−4</w:t>
            </w:r>
            <w:r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5%) </w:t>
            </w:r>
            <w:r w:rsidRPr="00DD6E6B">
              <w:rPr>
                <w:lang w:val="en-GB"/>
              </w:rPr>
              <w:t>slump also eventuated</w:t>
            </w:r>
            <w:r w:rsidR="00C6020C" w:rsidRPr="00DD6E6B">
              <w:rPr>
                <w:lang w:val="en-GB"/>
              </w:rPr>
              <w:t xml:space="preserve">. </w:t>
            </w:r>
            <w:r w:rsidRPr="00DD6E6B">
              <w:rPr>
                <w:lang w:val="en-GB"/>
              </w:rPr>
              <w:t xml:space="preserve">Mainly prices of import of mineral fuels and lubricants </w:t>
            </w:r>
            <w:r w:rsidR="00062C40">
              <w:rPr>
                <w:lang w:val="en-GB"/>
              </w:rPr>
              <w:t>(</w:t>
            </w:r>
            <w:r w:rsidR="00062C40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32</w:t>
            </w:r>
            <w:r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0%) a</w:t>
            </w:r>
            <w:r w:rsidRPr="00DD6E6B">
              <w:rPr>
                <w:lang w:val="en-GB"/>
              </w:rPr>
              <w:t xml:space="preserve">nd other materials </w:t>
            </w:r>
            <w:r w:rsidR="00062C40">
              <w:rPr>
                <w:lang w:val="en-GB"/>
              </w:rPr>
              <w:t>(</w:t>
            </w:r>
            <w:r w:rsidR="00062C40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15</w:t>
            </w:r>
            <w:r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8%)</w:t>
            </w:r>
            <w:r w:rsidRPr="00DD6E6B">
              <w:rPr>
                <w:lang w:val="en-GB"/>
              </w:rPr>
              <w:t xml:space="preserve"> were falling year-on-year</w:t>
            </w:r>
            <w:r w:rsidR="00C6020C" w:rsidRPr="00DD6E6B">
              <w:rPr>
                <w:lang w:val="en-GB"/>
              </w:rPr>
              <w:t xml:space="preserve">. </w:t>
            </w:r>
            <w:r w:rsidR="00062C40">
              <w:rPr>
                <w:lang w:val="en-GB"/>
              </w:rPr>
              <w:t>Prices of chemicals (</w:t>
            </w:r>
            <w:r w:rsidR="00062C40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10</w:t>
            </w:r>
            <w:r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9%), </w:t>
            </w:r>
            <w:r w:rsidRPr="00DD6E6B">
              <w:rPr>
                <w:lang w:val="en-GB"/>
              </w:rPr>
              <w:t xml:space="preserve">semi-finished products </w:t>
            </w:r>
            <w:r w:rsidR="00C6020C" w:rsidRPr="00DD6E6B">
              <w:rPr>
                <w:lang w:val="en-GB"/>
              </w:rPr>
              <w:t>(−7</w:t>
            </w:r>
            <w:r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9%) </w:t>
            </w:r>
            <w:r w:rsidRPr="00DD6E6B">
              <w:rPr>
                <w:lang w:val="en-GB"/>
              </w:rPr>
              <w:t xml:space="preserve">and machinery and transport equipment </w:t>
            </w:r>
            <w:r w:rsidR="00062C40">
              <w:rPr>
                <w:lang w:val="en-GB"/>
              </w:rPr>
              <w:t>(</w:t>
            </w:r>
            <w:r w:rsidR="00062C40">
              <w:rPr>
                <w:color w:val="000000"/>
                <w:shd w:val="clear" w:color="auto" w:fill="FFFFFF"/>
              </w:rPr>
              <w:t>–</w:t>
            </w:r>
            <w:r w:rsidR="00C6020C" w:rsidRPr="00DD6E6B">
              <w:rPr>
                <w:lang w:val="en-GB"/>
              </w:rPr>
              <w:t>1</w:t>
            </w:r>
            <w:r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6%)</w:t>
            </w:r>
            <w:r w:rsidRPr="00DD6E6B">
              <w:rPr>
                <w:lang w:val="en-GB"/>
              </w:rPr>
              <w:t xml:space="preserve"> were lower</w:t>
            </w:r>
            <w:r w:rsidR="00C6020C" w:rsidRPr="00DD6E6B">
              <w:rPr>
                <w:lang w:val="en-GB"/>
              </w:rPr>
              <w:t xml:space="preserve">. </w:t>
            </w:r>
            <w:r w:rsidRPr="00DD6E6B">
              <w:rPr>
                <w:lang w:val="en-GB"/>
              </w:rPr>
              <w:t xml:space="preserve">In contrast the prices of </w:t>
            </w:r>
            <w:r w:rsidR="00374E8C" w:rsidRPr="00DD6E6B">
              <w:rPr>
                <w:lang w:val="en-GB"/>
              </w:rPr>
              <w:t xml:space="preserve">import of beverages and tobacco </w:t>
            </w:r>
            <w:r w:rsidR="00C6020C" w:rsidRPr="00DD6E6B">
              <w:rPr>
                <w:lang w:val="en-GB"/>
              </w:rPr>
              <w:t>(22</w:t>
            </w:r>
            <w:r w:rsidR="00374E8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2%),</w:t>
            </w:r>
            <w:r w:rsidR="00374E8C" w:rsidRPr="00DD6E6B">
              <w:rPr>
                <w:lang w:val="en-GB"/>
              </w:rPr>
              <w:t xml:space="preserve"> food and live products </w:t>
            </w:r>
            <w:r w:rsidR="00C6020C" w:rsidRPr="00DD6E6B">
              <w:rPr>
                <w:lang w:val="en-GB"/>
              </w:rPr>
              <w:t>(6</w:t>
            </w:r>
            <w:r w:rsidR="00374E8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4%) a</w:t>
            </w:r>
            <w:r w:rsidR="00374E8C" w:rsidRPr="00DD6E6B">
              <w:rPr>
                <w:lang w:val="en-GB"/>
              </w:rPr>
              <w:t xml:space="preserve">nd </w:t>
            </w:r>
            <w:r w:rsidR="00765887">
              <w:rPr>
                <w:lang w:val="en-GB"/>
              </w:rPr>
              <w:t>miscellaneous manufactured articles</w:t>
            </w:r>
            <w:r w:rsidR="00374E8C" w:rsidRPr="00DD6E6B">
              <w:rPr>
                <w:lang w:val="en-GB"/>
              </w:rPr>
              <w:t xml:space="preserve"> </w:t>
            </w:r>
            <w:r w:rsidR="00C6020C" w:rsidRPr="00DD6E6B">
              <w:rPr>
                <w:lang w:val="en-GB"/>
              </w:rPr>
              <w:t>(5</w:t>
            </w:r>
            <w:r w:rsidR="00374E8C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9%)</w:t>
            </w:r>
            <w:r w:rsidRPr="00DD6E6B">
              <w:rPr>
                <w:lang w:val="en-GB"/>
              </w:rPr>
              <w:t xml:space="preserve"> </w:t>
            </w:r>
            <w:r w:rsidR="008D1F3D" w:rsidRPr="00DD6E6B">
              <w:rPr>
                <w:lang w:val="en-GB"/>
              </w:rPr>
              <w:t>strongly grew</w:t>
            </w:r>
            <w:r w:rsidRPr="00DD6E6B">
              <w:rPr>
                <w:lang w:val="en-GB"/>
              </w:rPr>
              <w:t xml:space="preserve"> year-on-year</w:t>
            </w:r>
            <w:r w:rsidR="00C6020C" w:rsidRPr="00DD6E6B">
              <w:rPr>
                <w:lang w:val="en-GB"/>
              </w:rPr>
              <w:t xml:space="preserve">. </w:t>
            </w:r>
            <w:r w:rsidR="002D00F7" w:rsidRPr="00DD6E6B">
              <w:rPr>
                <w:lang w:val="en-GB"/>
              </w:rPr>
              <w:t xml:space="preserve">Year-on-year terms of trade climbed up to record </w:t>
            </w:r>
            <w:r w:rsidR="00C6020C" w:rsidRPr="00DD6E6B">
              <w:rPr>
                <w:lang w:val="en-GB"/>
              </w:rPr>
              <w:t>106</w:t>
            </w:r>
            <w:r w:rsidR="002D00F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3%</w:t>
            </w:r>
            <w:r w:rsidR="002D00F7" w:rsidRPr="00DD6E6B">
              <w:rPr>
                <w:lang w:val="en-GB"/>
              </w:rPr>
              <w:t xml:space="preserve"> in Q2</w:t>
            </w:r>
            <w:r w:rsidR="00C6020C" w:rsidRPr="00DD6E6B">
              <w:rPr>
                <w:lang w:val="en-GB"/>
              </w:rPr>
              <w:t xml:space="preserve">. </w:t>
            </w:r>
            <w:r w:rsidR="008D1F3D" w:rsidRPr="00DD6E6B">
              <w:rPr>
                <w:lang w:val="en-GB"/>
              </w:rPr>
              <w:t xml:space="preserve">The terms of trade reached the highest value in trade with mineral fuels and lubricants </w:t>
            </w:r>
            <w:r w:rsidR="00C6020C" w:rsidRPr="00DD6E6B">
              <w:rPr>
                <w:lang w:val="en-GB"/>
              </w:rPr>
              <w:t>(150</w:t>
            </w:r>
            <w:r w:rsidR="008D1F3D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4%) a</w:t>
            </w:r>
            <w:r w:rsidR="008D1F3D" w:rsidRPr="00DD6E6B">
              <w:rPr>
                <w:lang w:val="en-GB"/>
              </w:rPr>
              <w:t xml:space="preserve">nd further the terms of trade were positive in trade with semi-finished products </w:t>
            </w:r>
            <w:r w:rsidR="00C6020C" w:rsidRPr="00DD6E6B">
              <w:rPr>
                <w:lang w:val="en-GB"/>
              </w:rPr>
              <w:t>(103</w:t>
            </w:r>
            <w:r w:rsidR="008D1F3D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9%),</w:t>
            </w:r>
            <w:r w:rsidR="008D1F3D" w:rsidRPr="00DD6E6B">
              <w:rPr>
                <w:lang w:val="en-GB"/>
              </w:rPr>
              <w:t xml:space="preserve"> machinery and transport equipment </w:t>
            </w:r>
            <w:r w:rsidR="00C6020C" w:rsidRPr="00DD6E6B">
              <w:rPr>
                <w:lang w:val="en-GB"/>
              </w:rPr>
              <w:t>(102</w:t>
            </w:r>
            <w:r w:rsidR="008D1F3D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6%) a</w:t>
            </w:r>
            <w:r w:rsidR="008D1F3D" w:rsidRPr="00DD6E6B">
              <w:rPr>
                <w:lang w:val="en-GB"/>
              </w:rPr>
              <w:t xml:space="preserve">nd chemicals </w:t>
            </w:r>
            <w:r w:rsidR="00C6020C" w:rsidRPr="00DD6E6B">
              <w:rPr>
                <w:lang w:val="en-GB"/>
              </w:rPr>
              <w:t>(101</w:t>
            </w:r>
            <w:r w:rsidR="008D1F3D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7%). </w:t>
            </w:r>
            <w:r w:rsidR="002D00F7" w:rsidRPr="00DD6E6B">
              <w:rPr>
                <w:lang w:val="en-GB"/>
              </w:rPr>
              <w:t xml:space="preserve">Terms of trade fell to significant negative figures on the contrary in case of other materials </w:t>
            </w:r>
            <w:r w:rsidR="00C6020C" w:rsidRPr="00DD6E6B">
              <w:rPr>
                <w:lang w:val="en-GB"/>
              </w:rPr>
              <w:t>(88</w:t>
            </w:r>
            <w:r w:rsidR="002D00F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5%), </w:t>
            </w:r>
            <w:r w:rsidR="002D00F7" w:rsidRPr="00DD6E6B">
              <w:rPr>
                <w:lang w:val="en-GB"/>
              </w:rPr>
              <w:t xml:space="preserve">food and live animals </w:t>
            </w:r>
            <w:r w:rsidR="00C6020C" w:rsidRPr="00DD6E6B">
              <w:rPr>
                <w:lang w:val="en-GB"/>
              </w:rPr>
              <w:t>(89</w:t>
            </w:r>
            <w:r w:rsidR="002D00F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6%),</w:t>
            </w:r>
            <w:r w:rsidR="002D00F7" w:rsidRPr="00DD6E6B">
              <w:rPr>
                <w:lang w:val="en-GB"/>
              </w:rPr>
              <w:t xml:space="preserve"> </w:t>
            </w:r>
            <w:r w:rsidR="00765887">
              <w:rPr>
                <w:lang w:val="en-GB"/>
              </w:rPr>
              <w:t>miscellaneous manufactured articles</w:t>
            </w:r>
            <w:r w:rsidR="002D00F7" w:rsidRPr="00DD6E6B">
              <w:rPr>
                <w:lang w:val="en-GB"/>
              </w:rPr>
              <w:t xml:space="preserve"> </w:t>
            </w:r>
            <w:r w:rsidR="00C6020C" w:rsidRPr="00DD6E6B">
              <w:rPr>
                <w:lang w:val="en-GB"/>
              </w:rPr>
              <w:t>(95</w:t>
            </w:r>
            <w:r w:rsidR="002D00F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>5%) a</w:t>
            </w:r>
            <w:r w:rsidR="002D00F7" w:rsidRPr="00DD6E6B">
              <w:rPr>
                <w:lang w:val="en-GB"/>
              </w:rPr>
              <w:t xml:space="preserve">nd beverages and tobacco </w:t>
            </w:r>
            <w:r w:rsidR="00C6020C" w:rsidRPr="00DD6E6B">
              <w:rPr>
                <w:lang w:val="en-GB"/>
              </w:rPr>
              <w:t>(96</w:t>
            </w:r>
            <w:r w:rsidR="002D00F7" w:rsidRPr="00DD6E6B">
              <w:rPr>
                <w:lang w:val="en-GB"/>
              </w:rPr>
              <w:t>.</w:t>
            </w:r>
            <w:r w:rsidR="00C6020C" w:rsidRPr="00DD6E6B">
              <w:rPr>
                <w:lang w:val="en-GB"/>
              </w:rPr>
              <w:t xml:space="preserve">9%).    </w:t>
            </w:r>
          </w:p>
        </w:tc>
      </w:tr>
    </w:tbl>
    <w:p w14:paraId="0B044C66" w14:textId="0F57CC60" w:rsidR="00C6020C" w:rsidRPr="00DD6E6B" w:rsidRDefault="00C6020C" w:rsidP="00C71D6F">
      <w:pPr>
        <w:spacing w:after="0" w:line="240" w:lineRule="auto"/>
        <w:jc w:val="left"/>
        <w:rPr>
          <w:rFonts w:eastAsia="MS Gothic"/>
          <w:b/>
          <w:bCs/>
          <w:color w:val="71818C"/>
          <w:sz w:val="32"/>
          <w:szCs w:val="28"/>
          <w:lang w:val="en-GB"/>
        </w:rPr>
      </w:pPr>
      <w:bookmarkStart w:id="3" w:name="_GoBack"/>
      <w:bookmarkEnd w:id="0"/>
      <w:bookmarkEnd w:id="1"/>
      <w:bookmarkEnd w:id="3"/>
    </w:p>
    <w:sectPr w:rsidR="00C6020C" w:rsidRPr="00DD6E6B" w:rsidSect="00C71D6F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134" w:right="1134" w:bottom="1418" w:left="1134" w:header="680" w:footer="737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53B9C" w14:textId="77777777" w:rsidR="00D911AF" w:rsidRDefault="00D911AF" w:rsidP="00E71A58">
      <w:r>
        <w:separator/>
      </w:r>
    </w:p>
  </w:endnote>
  <w:endnote w:type="continuationSeparator" w:id="0">
    <w:p w14:paraId="088B2616" w14:textId="77777777" w:rsidR="00D911AF" w:rsidRDefault="00D911A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59C11A8D" w:rsidR="008C5AA7" w:rsidRPr="00932443" w:rsidRDefault="008C5AA7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C71D6F">
      <w:rPr>
        <w:szCs w:val="16"/>
      </w:rPr>
      <w:t>30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 w:rsidRPr="002903D4">
      <w:rPr>
        <w:szCs w:val="16"/>
        <w:lang w:val="en-GB"/>
      </w:rPr>
      <w:t>First half of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7198438D" w:rsidR="008C5AA7" w:rsidRPr="00932443" w:rsidRDefault="008C5AA7" w:rsidP="00FA6CB6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70016" behindDoc="0" locked="0" layoutInCell="1" allowOverlap="1" wp14:anchorId="27A71EB9" wp14:editId="341C5876">
          <wp:simplePos x="0" y="0"/>
          <wp:positionH relativeFrom="margin">
            <wp:posOffset>22860</wp:posOffset>
          </wp:positionH>
          <wp:positionV relativeFrom="paragraph">
            <wp:posOffset>-58420</wp:posOffset>
          </wp:positionV>
          <wp:extent cx="676910" cy="201930"/>
          <wp:effectExtent l="0" t="0" r="8890" b="7620"/>
          <wp:wrapNone/>
          <wp:docPr id="12" name="Picture 12" descr="CSU RGB EN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EN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B6">
      <w:rPr>
        <w:szCs w:val="16"/>
      </w:rPr>
      <w:tab/>
    </w:r>
    <w:r>
      <w:rPr>
        <w:szCs w:val="16"/>
      </w:rPr>
      <w:t>First half of 2023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C71D6F">
      <w:rPr>
        <w:rStyle w:val="ZpatChar"/>
        <w:szCs w:val="16"/>
      </w:rPr>
      <w:t>31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047F7" w14:textId="77777777" w:rsidR="00D911AF" w:rsidRDefault="00D911AF" w:rsidP="00A21B4D">
      <w:pPr>
        <w:spacing w:after="0"/>
      </w:pPr>
      <w:r>
        <w:separator/>
      </w:r>
    </w:p>
  </w:footnote>
  <w:footnote w:type="continuationSeparator" w:id="0">
    <w:p w14:paraId="14F8F4A7" w14:textId="77777777" w:rsidR="00D911AF" w:rsidRDefault="00D911AF" w:rsidP="00E71A58">
      <w:r>
        <w:continuationSeparator/>
      </w:r>
    </w:p>
  </w:footnote>
  <w:footnote w:id="1">
    <w:p w14:paraId="471BB2AB" w14:textId="2144B48C" w:rsidR="008C5AA7" w:rsidRPr="00452985" w:rsidRDefault="008C5AA7" w:rsidP="00C152DE">
      <w:pPr>
        <w:pStyle w:val="Textpoznpodarou"/>
        <w:jc w:val="both"/>
        <w:rPr>
          <w:sz w:val="16"/>
          <w:szCs w:val="16"/>
          <w:lang w:val="en-GB"/>
        </w:rPr>
      </w:pPr>
      <w:r w:rsidRPr="008D5381">
        <w:rPr>
          <w:rStyle w:val="Znakapoznpodarou"/>
          <w:sz w:val="16"/>
          <w:szCs w:val="16"/>
        </w:rPr>
        <w:footnoteRef/>
      </w:r>
      <w:r w:rsidRPr="008D5381">
        <w:rPr>
          <w:sz w:val="16"/>
          <w:szCs w:val="16"/>
        </w:rPr>
        <w:t xml:space="preserve"> </w:t>
      </w:r>
      <w:r w:rsidRPr="00C152DE">
        <w:rPr>
          <w:sz w:val="16"/>
          <w:szCs w:val="16"/>
          <w:lang w:val="en-GB"/>
        </w:rPr>
        <w:t>Consumer prices increased by 7.2% between June 2023 and December 2022. In that the majority of the shift can be attributed to January, when</w:t>
      </w:r>
      <w:r>
        <w:rPr>
          <w:sz w:val="16"/>
          <w:szCs w:val="16"/>
          <w:lang w:val="en-GB"/>
        </w:rPr>
        <w:t xml:space="preserve"> the price lists are usually changed and the increase also covered the abolition of the energy tariff this year</w:t>
      </w:r>
      <w:r w:rsidRPr="00C152DE">
        <w:rPr>
          <w:sz w:val="16"/>
          <w:szCs w:val="16"/>
          <w:lang w:val="en-GB"/>
        </w:rPr>
        <w:t xml:space="preserve"> – </w:t>
      </w:r>
      <w:r>
        <w:rPr>
          <w:sz w:val="16"/>
          <w:szCs w:val="16"/>
          <w:lang w:val="en-GB"/>
        </w:rPr>
        <w:t xml:space="preserve">the increase of prices was only </w:t>
      </w:r>
      <w:r w:rsidRPr="00C152DE">
        <w:rPr>
          <w:sz w:val="16"/>
          <w:szCs w:val="16"/>
          <w:lang w:val="en-GB"/>
        </w:rPr>
        <w:t>1</w:t>
      </w:r>
      <w:r>
        <w:rPr>
          <w:sz w:val="16"/>
          <w:szCs w:val="16"/>
          <w:lang w:val="en-GB"/>
        </w:rPr>
        <w:t>.</w:t>
      </w:r>
      <w:r w:rsidRPr="00C152DE">
        <w:rPr>
          <w:sz w:val="16"/>
          <w:szCs w:val="16"/>
          <w:lang w:val="en-GB"/>
        </w:rPr>
        <w:t>2%</w:t>
      </w:r>
      <w:r>
        <w:rPr>
          <w:sz w:val="16"/>
          <w:szCs w:val="16"/>
          <w:lang w:val="en-GB"/>
        </w:rPr>
        <w:t xml:space="preserve"> between this year</w:t>
      </w:r>
      <w:r>
        <w:rPr>
          <w:sz w:val="16"/>
          <w:szCs w:val="16"/>
          <w:lang w:val="en-US"/>
        </w:rPr>
        <w:t>’s June and January</w:t>
      </w:r>
      <w:r w:rsidRPr="00C152DE">
        <w:rPr>
          <w:sz w:val="16"/>
          <w:szCs w:val="16"/>
          <w:lang w:val="en-GB"/>
        </w:rPr>
        <w:t xml:space="preserve">. </w:t>
      </w:r>
      <w:r>
        <w:rPr>
          <w:sz w:val="16"/>
          <w:szCs w:val="16"/>
          <w:lang w:val="en-GB"/>
        </w:rPr>
        <w:t xml:space="preserve">The increase totalled nevertheless 13.2% between June </w:t>
      </w:r>
      <w:r w:rsidRPr="00C152DE">
        <w:rPr>
          <w:sz w:val="16"/>
          <w:szCs w:val="16"/>
          <w:lang w:val="en-GB"/>
        </w:rPr>
        <w:t>2022 a</w:t>
      </w:r>
      <w:r>
        <w:rPr>
          <w:sz w:val="16"/>
          <w:szCs w:val="16"/>
          <w:lang w:val="en-GB"/>
        </w:rPr>
        <w:t>nd December 2</w:t>
      </w:r>
      <w:r w:rsidRPr="00C152DE">
        <w:rPr>
          <w:sz w:val="16"/>
          <w:szCs w:val="16"/>
          <w:lang w:val="en-GB"/>
        </w:rPr>
        <w:t>021</w:t>
      </w:r>
      <w:r>
        <w:rPr>
          <w:sz w:val="16"/>
          <w:szCs w:val="16"/>
          <w:lang w:val="en-GB"/>
        </w:rPr>
        <w:t xml:space="preserve"> </w:t>
      </w:r>
      <w:r w:rsidRPr="00C152DE">
        <w:rPr>
          <w:sz w:val="16"/>
          <w:szCs w:val="16"/>
          <w:lang w:val="en-GB"/>
        </w:rPr>
        <w:t>a</w:t>
      </w:r>
      <w:r>
        <w:rPr>
          <w:sz w:val="16"/>
          <w:szCs w:val="16"/>
          <w:lang w:val="en-GB"/>
        </w:rPr>
        <w:t>nd in that prices increased by 8.3% between June and January</w:t>
      </w:r>
      <w:r w:rsidRPr="00C152DE">
        <w:rPr>
          <w:sz w:val="16"/>
          <w:szCs w:val="16"/>
          <w:lang w:val="en-GB"/>
        </w:rPr>
        <w:t>.</w:t>
      </w:r>
      <w:r w:rsidRPr="00452985">
        <w:rPr>
          <w:sz w:val="16"/>
          <w:szCs w:val="16"/>
          <w:lang w:val="en-GB"/>
        </w:rPr>
        <w:t xml:space="preserve">  </w:t>
      </w:r>
    </w:p>
  </w:footnote>
  <w:footnote w:id="2">
    <w:p w14:paraId="0CA22C48" w14:textId="5FB3A469" w:rsidR="008C5AA7" w:rsidRPr="00114669" w:rsidRDefault="008C5AA7" w:rsidP="00C152DE">
      <w:pPr>
        <w:pStyle w:val="Textpoznpodarou"/>
        <w:jc w:val="both"/>
        <w:rPr>
          <w:sz w:val="16"/>
          <w:szCs w:val="16"/>
        </w:rPr>
      </w:pPr>
      <w:r w:rsidRPr="00452985">
        <w:rPr>
          <w:rStyle w:val="Znakapoznpodarou"/>
          <w:sz w:val="16"/>
          <w:szCs w:val="16"/>
          <w:lang w:val="en-GB"/>
        </w:rPr>
        <w:footnoteRef/>
      </w:r>
      <w:r w:rsidRPr="00452985">
        <w:rPr>
          <w:sz w:val="16"/>
          <w:szCs w:val="16"/>
          <w:lang w:val="en-GB"/>
        </w:rPr>
        <w:t xml:space="preserve"> </w:t>
      </w:r>
      <w:r w:rsidRPr="00A14F4D">
        <w:rPr>
          <w:sz w:val="16"/>
          <w:szCs w:val="16"/>
          <w:lang w:val="en-GB"/>
        </w:rPr>
        <w:t xml:space="preserve">Imputed rent expresses the cost of owner living. Apart from prices of housing themselves, it also contains the cost of construction and renovation and further fees. More at: </w:t>
      </w:r>
      <w:hyperlink r:id="rId1" w:history="1">
        <w:r>
          <w:rPr>
            <w:rStyle w:val="Hypertextovodkaz"/>
            <w:sz w:val="16"/>
            <w:szCs w:val="16"/>
          </w:rPr>
          <w:t>https://www.czso.cz/csu/czso/methodological-note-to-consumer-price-index-imputed-rentals</w:t>
        </w:r>
      </w:hyperlink>
      <w:r>
        <w:rPr>
          <w:rStyle w:val="Hypertextovodkaz"/>
          <w:sz w:val="16"/>
          <w:szCs w:val="16"/>
          <w:u w:val="none"/>
        </w:rPr>
        <w:t>.</w:t>
      </w:r>
    </w:p>
  </w:footnote>
  <w:footnote w:id="3">
    <w:p w14:paraId="44898EB0" w14:textId="3DECEA7D" w:rsidR="008C5AA7" w:rsidRPr="00247B13" w:rsidRDefault="008C5AA7" w:rsidP="00C6020C">
      <w:pPr>
        <w:pStyle w:val="Textpoznpodarou"/>
        <w:rPr>
          <w:sz w:val="16"/>
          <w:szCs w:val="16"/>
          <w:lang w:val="en-GB"/>
        </w:rPr>
      </w:pPr>
      <w:r w:rsidRPr="00247B13">
        <w:rPr>
          <w:rStyle w:val="Znakapoznpodarou"/>
          <w:sz w:val="16"/>
          <w:szCs w:val="16"/>
          <w:lang w:val="en-GB"/>
        </w:rPr>
        <w:footnoteRef/>
      </w:r>
      <w:r w:rsidRPr="00247B13">
        <w:rPr>
          <w:sz w:val="16"/>
          <w:szCs w:val="16"/>
          <w:lang w:val="en-GB"/>
        </w:rPr>
        <w:t xml:space="preserve"> Comprises services of personal care and personal need</w:t>
      </w:r>
      <w:r>
        <w:rPr>
          <w:sz w:val="16"/>
          <w:szCs w:val="16"/>
          <w:lang w:val="en-GB"/>
        </w:rPr>
        <w:t>s</w:t>
      </w:r>
      <w:r w:rsidRPr="00247B13">
        <w:rPr>
          <w:sz w:val="16"/>
          <w:szCs w:val="16"/>
          <w:lang w:val="en-GB"/>
        </w:rPr>
        <w:t xml:space="preserve"> and accessories, social care, insurance and further financial services etc. </w:t>
      </w:r>
    </w:p>
  </w:footnote>
  <w:footnote w:id="4">
    <w:p w14:paraId="6C33C92E" w14:textId="26DA1958" w:rsidR="008C5AA7" w:rsidRPr="00C055FA" w:rsidRDefault="008C5AA7" w:rsidP="00BA0986">
      <w:pPr>
        <w:pStyle w:val="Textpoznpodarou"/>
        <w:jc w:val="both"/>
        <w:rPr>
          <w:sz w:val="16"/>
          <w:szCs w:val="16"/>
        </w:rPr>
      </w:pPr>
      <w:r w:rsidRPr="00C055FA">
        <w:rPr>
          <w:rStyle w:val="Znakapoznpodarou"/>
          <w:sz w:val="16"/>
          <w:szCs w:val="16"/>
        </w:rPr>
        <w:footnoteRef/>
      </w:r>
      <w:r w:rsidRPr="00C055FA"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t xml:space="preserve">Contrary to the consumer price index, which is compiled by the CZSO for the Czech economy, </w:t>
      </w:r>
      <w:r w:rsidRPr="00B10B82">
        <w:rPr>
          <w:sz w:val="16"/>
          <w:szCs w:val="16"/>
          <w:lang w:val="en-GB"/>
        </w:rPr>
        <w:t>HICP</w:t>
      </w:r>
      <w:r>
        <w:rPr>
          <w:sz w:val="16"/>
          <w:szCs w:val="16"/>
          <w:lang w:val="en-GB"/>
        </w:rPr>
        <w:t xml:space="preserve"> does not consist of imputed rent, which is the main reason for the difference between the HICP and Consumer price index. </w:t>
      </w:r>
    </w:p>
  </w:footnote>
  <w:footnote w:id="5">
    <w:p w14:paraId="19B9E259" w14:textId="6076EDC0" w:rsidR="008C5AA7" w:rsidRPr="005F66A4" w:rsidRDefault="008C5AA7" w:rsidP="00BA0986">
      <w:pPr>
        <w:pStyle w:val="Textpoznpodarou"/>
        <w:jc w:val="both"/>
        <w:rPr>
          <w:sz w:val="16"/>
          <w:szCs w:val="16"/>
        </w:rPr>
      </w:pPr>
      <w:r w:rsidRPr="005F66A4">
        <w:rPr>
          <w:rStyle w:val="Znakapoznpodarou"/>
          <w:sz w:val="16"/>
          <w:szCs w:val="16"/>
        </w:rPr>
        <w:footnoteRef/>
      </w:r>
      <w:r w:rsidRPr="005F66A4">
        <w:rPr>
          <w:sz w:val="16"/>
          <w:szCs w:val="16"/>
        </w:rPr>
        <w:t xml:space="preserve"> </w:t>
      </w:r>
      <w:r w:rsidRPr="00E35D83">
        <w:rPr>
          <w:sz w:val="16"/>
          <w:szCs w:val="16"/>
          <w:lang w:val="en-GB"/>
        </w:rPr>
        <w:t>Exact values of the indicator are not provided due to the protection of individual data.</w:t>
      </w:r>
      <w:r>
        <w:rPr>
          <w:sz w:val="16"/>
          <w:szCs w:val="16"/>
          <w:lang w:val="en-GB"/>
        </w:rPr>
        <w:t xml:space="preserve"> </w:t>
      </w:r>
    </w:p>
  </w:footnote>
  <w:footnote w:id="6">
    <w:p w14:paraId="0B2D34E5" w14:textId="7A7CF1BB" w:rsidR="008C5AA7" w:rsidRPr="000C5F73" w:rsidRDefault="008C5AA7" w:rsidP="00C6020C">
      <w:pPr>
        <w:pStyle w:val="Textpoznpodarou"/>
        <w:rPr>
          <w:sz w:val="16"/>
          <w:szCs w:val="16"/>
        </w:rPr>
      </w:pPr>
      <w:r w:rsidRPr="000C5F73">
        <w:rPr>
          <w:rStyle w:val="Znakapoznpodarou"/>
          <w:sz w:val="16"/>
          <w:szCs w:val="16"/>
        </w:rPr>
        <w:footnoteRef/>
      </w:r>
      <w:r w:rsidRPr="000C5F73">
        <w:rPr>
          <w:sz w:val="16"/>
          <w:szCs w:val="16"/>
        </w:rPr>
        <w:t xml:space="preserve"> </w:t>
      </w:r>
      <w:r w:rsidRPr="00DE6E29">
        <w:rPr>
          <w:sz w:val="16"/>
          <w:szCs w:val="16"/>
          <w:lang w:val="en-GB"/>
        </w:rPr>
        <w:t xml:space="preserve">Without prices of water distribution and </w:t>
      </w:r>
      <w:r>
        <w:rPr>
          <w:sz w:val="16"/>
          <w:szCs w:val="16"/>
          <w:lang w:val="en-GB"/>
        </w:rPr>
        <w:t>s</w:t>
      </w:r>
      <w:r w:rsidRPr="00DE6E29">
        <w:rPr>
          <w:sz w:val="16"/>
          <w:szCs w:val="16"/>
          <w:lang w:val="en-GB"/>
        </w:rPr>
        <w:t xml:space="preserve">ervices associated with wastewaters. </w:t>
      </w:r>
    </w:p>
  </w:footnote>
  <w:footnote w:id="7">
    <w:p w14:paraId="6052F062" w14:textId="74BE8319" w:rsidR="008C5AA7" w:rsidRPr="00C11C5A" w:rsidRDefault="008C5AA7" w:rsidP="00403BBF">
      <w:pPr>
        <w:pStyle w:val="Textpoznpodarou"/>
        <w:jc w:val="both"/>
        <w:rPr>
          <w:sz w:val="16"/>
          <w:szCs w:val="16"/>
        </w:rPr>
      </w:pPr>
      <w:r w:rsidRPr="00C11C5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t>Based on the CNB data, th</w:t>
      </w:r>
      <w:r w:rsidRPr="00A25E62">
        <w:rPr>
          <w:sz w:val="16"/>
          <w:szCs w:val="16"/>
          <w:lang w:val="en-GB"/>
        </w:rPr>
        <w:t xml:space="preserve">e average koruna foreign </w:t>
      </w:r>
      <w:r>
        <w:rPr>
          <w:sz w:val="16"/>
          <w:szCs w:val="16"/>
          <w:lang w:val="en-GB"/>
        </w:rPr>
        <w:t>e</w:t>
      </w:r>
      <w:r w:rsidRPr="00A25E62">
        <w:rPr>
          <w:sz w:val="16"/>
          <w:szCs w:val="16"/>
          <w:lang w:val="en-GB"/>
        </w:rPr>
        <w:t xml:space="preserve">xchange per euro reached </w:t>
      </w:r>
      <w:r>
        <w:rPr>
          <w:sz w:val="16"/>
          <w:szCs w:val="16"/>
          <w:lang w:val="en-GB"/>
        </w:rPr>
        <w:t xml:space="preserve">23.588 CZK/EUR in Q2 2023. It was 24.644 CZK/EUR in the year 2022. Koruna foreign exchange per dollar markedly strengthened year-on-year. </w:t>
      </w:r>
      <w:r w:rsidRPr="00A25E62">
        <w:rPr>
          <w:sz w:val="16"/>
          <w:szCs w:val="16"/>
          <w:lang w:val="en-GB"/>
        </w:rPr>
        <w:t>The average was 2</w:t>
      </w:r>
      <w:r>
        <w:rPr>
          <w:sz w:val="16"/>
          <w:szCs w:val="16"/>
          <w:lang w:val="en-GB"/>
        </w:rPr>
        <w:t>3</w:t>
      </w:r>
      <w:r w:rsidRPr="00A25E62">
        <w:rPr>
          <w:sz w:val="16"/>
          <w:szCs w:val="16"/>
          <w:lang w:val="en-GB"/>
        </w:rPr>
        <w:t>.</w:t>
      </w:r>
      <w:r>
        <w:rPr>
          <w:sz w:val="16"/>
          <w:szCs w:val="16"/>
          <w:lang w:val="en-GB"/>
        </w:rPr>
        <w:t>156</w:t>
      </w:r>
      <w:r w:rsidRPr="00A25E62">
        <w:rPr>
          <w:sz w:val="16"/>
          <w:szCs w:val="16"/>
          <w:lang w:val="en-GB"/>
        </w:rPr>
        <w:t> CZK/USD</w:t>
      </w:r>
      <w:r>
        <w:rPr>
          <w:sz w:val="16"/>
          <w:szCs w:val="16"/>
          <w:lang w:val="en-GB"/>
        </w:rPr>
        <w:t xml:space="preserve"> in Q2 2022 and 21.673 CZK/USD this year.</w:t>
      </w:r>
    </w:p>
  </w:footnote>
  <w:footnote w:id="8">
    <w:p w14:paraId="68DCCC78" w14:textId="43B3CEA1" w:rsidR="008C5AA7" w:rsidRPr="00940B11" w:rsidRDefault="008C5AA7" w:rsidP="00C6020C">
      <w:pPr>
        <w:pStyle w:val="Textpoznpodarou"/>
        <w:rPr>
          <w:sz w:val="16"/>
          <w:szCs w:val="16"/>
        </w:rPr>
      </w:pPr>
      <w:r w:rsidRPr="00940B11">
        <w:rPr>
          <w:rStyle w:val="Znakapoznpodarou"/>
          <w:sz w:val="16"/>
          <w:szCs w:val="16"/>
        </w:rPr>
        <w:footnoteRef/>
      </w:r>
      <w:r w:rsidRPr="00940B11">
        <w:rPr>
          <w:sz w:val="16"/>
          <w:szCs w:val="16"/>
        </w:rPr>
        <w:t xml:space="preserve"> SITC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>2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 xml:space="preserve">– </w:t>
      </w:r>
      <w:r w:rsidRPr="00A25E62">
        <w:rPr>
          <w:sz w:val="16"/>
          <w:szCs w:val="16"/>
          <w:lang w:val="en-GB"/>
        </w:rPr>
        <w:t>crude materials inedible, except fuels</w:t>
      </w:r>
      <w:r>
        <w:rPr>
          <w:sz w:val="16"/>
          <w:szCs w:val="16"/>
          <w:lang w:val="en-GB"/>
        </w:rPr>
        <w:t xml:space="preserve">. </w:t>
      </w:r>
    </w:p>
  </w:footnote>
  <w:footnote w:id="9">
    <w:p w14:paraId="799D14DF" w14:textId="12BBD92A" w:rsidR="008C5AA7" w:rsidRPr="00940B11" w:rsidRDefault="008C5AA7" w:rsidP="00C6020C">
      <w:pPr>
        <w:pStyle w:val="Textpoznpodarou"/>
        <w:rPr>
          <w:sz w:val="16"/>
          <w:szCs w:val="16"/>
        </w:rPr>
      </w:pPr>
      <w:r w:rsidRPr="00940B11">
        <w:rPr>
          <w:rStyle w:val="Znakapoznpodarou"/>
          <w:sz w:val="16"/>
          <w:szCs w:val="16"/>
        </w:rPr>
        <w:footnoteRef/>
      </w:r>
      <w:r w:rsidRPr="00940B11">
        <w:rPr>
          <w:sz w:val="16"/>
          <w:szCs w:val="16"/>
        </w:rPr>
        <w:t xml:space="preserve"> SITC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>6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 xml:space="preserve">– </w:t>
      </w:r>
      <w:r w:rsidRPr="00A25E62">
        <w:rPr>
          <w:sz w:val="16"/>
          <w:szCs w:val="16"/>
          <w:lang w:val="en-GB"/>
        </w:rPr>
        <w:t>m</w:t>
      </w:r>
      <w:r w:rsidRPr="00217809">
        <w:rPr>
          <w:sz w:val="16"/>
          <w:szCs w:val="16"/>
          <w:lang w:val="en-GB"/>
        </w:rPr>
        <w:t>anufactured goods classified chiefly by material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81AB3" w14:textId="4DEBDFFB" w:rsidR="008C5AA7" w:rsidRPr="00314B30" w:rsidRDefault="008C5AA7" w:rsidP="00937AE2">
    <w:pPr>
      <w:pStyle w:val="Zhlav"/>
      <w:rPr>
        <w:lang w:val="en-GB"/>
      </w:rPr>
    </w:pPr>
    <w:r w:rsidRPr="00314B30">
      <w:rPr>
        <w:lang w:val="en-GB"/>
      </w:rPr>
      <w:t>The Czech Economy Development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5385DC29" w:rsidR="008C5AA7" w:rsidRPr="00E37097" w:rsidRDefault="008C5AA7" w:rsidP="00937AE2">
    <w:pPr>
      <w:pStyle w:val="Zhlav"/>
      <w:rPr>
        <w:lang w:val="en-GB"/>
      </w:rPr>
    </w:pPr>
    <w:r w:rsidRPr="00E37097">
      <w:rPr>
        <w:lang w:val="en-GB"/>
      </w:rPr>
      <w:t>The Czech Economy Development</w:t>
    </w:r>
  </w:p>
  <w:p w14:paraId="57266714" w14:textId="77777777" w:rsidR="008C5AA7" w:rsidRPr="006F5416" w:rsidRDefault="008C5AA7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5764B"/>
    <w:multiLevelType w:val="hybridMultilevel"/>
    <w:tmpl w:val="84788BC8"/>
    <w:lvl w:ilvl="0" w:tplc="1B9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3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678F7"/>
    <w:multiLevelType w:val="hybridMultilevel"/>
    <w:tmpl w:val="A4DE7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567A6"/>
    <w:multiLevelType w:val="hybridMultilevel"/>
    <w:tmpl w:val="50E0F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8"/>
  </w:num>
  <w:num w:numId="14">
    <w:abstractNumId w:val="14"/>
  </w:num>
  <w:num w:numId="15">
    <w:abstractNumId w:val="20"/>
  </w:num>
  <w:num w:numId="16">
    <w:abstractNumId w:val="16"/>
  </w:num>
  <w:num w:numId="17">
    <w:abstractNumId w:val="29"/>
  </w:num>
  <w:num w:numId="18">
    <w:abstractNumId w:val="21"/>
  </w:num>
  <w:num w:numId="19">
    <w:abstractNumId w:val="31"/>
  </w:num>
  <w:num w:numId="20">
    <w:abstractNumId w:val="32"/>
  </w:num>
  <w:num w:numId="21">
    <w:abstractNumId w:val="27"/>
  </w:num>
  <w:num w:numId="22">
    <w:abstractNumId w:val="19"/>
  </w:num>
  <w:num w:numId="23">
    <w:abstractNumId w:val="17"/>
  </w:num>
  <w:num w:numId="24">
    <w:abstractNumId w:val="18"/>
  </w:num>
  <w:num w:numId="25">
    <w:abstractNumId w:val="13"/>
  </w:num>
  <w:num w:numId="26">
    <w:abstractNumId w:val="23"/>
  </w:num>
  <w:num w:numId="27">
    <w:abstractNumId w:val="22"/>
  </w:num>
  <w:num w:numId="28">
    <w:abstractNumId w:val="10"/>
  </w:num>
  <w:num w:numId="29">
    <w:abstractNumId w:val="32"/>
  </w:num>
  <w:num w:numId="30">
    <w:abstractNumId w:val="24"/>
  </w:num>
  <w:num w:numId="31">
    <w:abstractNumId w:val="12"/>
  </w:num>
  <w:num w:numId="32">
    <w:abstractNumId w:val="33"/>
  </w:num>
  <w:num w:numId="33">
    <w:abstractNumId w:val="32"/>
  </w:num>
  <w:num w:numId="34">
    <w:abstractNumId w:val="11"/>
  </w:num>
  <w:num w:numId="35">
    <w:abstractNumId w:val="3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02B"/>
    <w:rsid w:val="000005AF"/>
    <w:rsid w:val="00000994"/>
    <w:rsid w:val="00000B55"/>
    <w:rsid w:val="0000172F"/>
    <w:rsid w:val="000017E7"/>
    <w:rsid w:val="0000209D"/>
    <w:rsid w:val="00002275"/>
    <w:rsid w:val="00002538"/>
    <w:rsid w:val="00002566"/>
    <w:rsid w:val="00002C8F"/>
    <w:rsid w:val="0000370A"/>
    <w:rsid w:val="00003849"/>
    <w:rsid w:val="00003F5C"/>
    <w:rsid w:val="000045C4"/>
    <w:rsid w:val="0000468A"/>
    <w:rsid w:val="00004D5A"/>
    <w:rsid w:val="00004F7F"/>
    <w:rsid w:val="00005219"/>
    <w:rsid w:val="000056D5"/>
    <w:rsid w:val="000056DD"/>
    <w:rsid w:val="0000594E"/>
    <w:rsid w:val="00005D9E"/>
    <w:rsid w:val="0000614B"/>
    <w:rsid w:val="000063D5"/>
    <w:rsid w:val="00006625"/>
    <w:rsid w:val="00006899"/>
    <w:rsid w:val="00006ABD"/>
    <w:rsid w:val="00006B67"/>
    <w:rsid w:val="00006C0B"/>
    <w:rsid w:val="000073A0"/>
    <w:rsid w:val="0000767A"/>
    <w:rsid w:val="0000771A"/>
    <w:rsid w:val="00007ABE"/>
    <w:rsid w:val="00010107"/>
    <w:rsid w:val="00010256"/>
    <w:rsid w:val="000102D9"/>
    <w:rsid w:val="00010702"/>
    <w:rsid w:val="000107F8"/>
    <w:rsid w:val="0001083F"/>
    <w:rsid w:val="00010A2C"/>
    <w:rsid w:val="0001128E"/>
    <w:rsid w:val="00011539"/>
    <w:rsid w:val="00011912"/>
    <w:rsid w:val="000124E7"/>
    <w:rsid w:val="0001261C"/>
    <w:rsid w:val="000129B7"/>
    <w:rsid w:val="0001387D"/>
    <w:rsid w:val="00013C4C"/>
    <w:rsid w:val="0001466D"/>
    <w:rsid w:val="00014731"/>
    <w:rsid w:val="00014898"/>
    <w:rsid w:val="00014B9D"/>
    <w:rsid w:val="00014ED0"/>
    <w:rsid w:val="00015DEB"/>
    <w:rsid w:val="00016420"/>
    <w:rsid w:val="00016423"/>
    <w:rsid w:val="00016BDB"/>
    <w:rsid w:val="00017407"/>
    <w:rsid w:val="0001799A"/>
    <w:rsid w:val="00017B01"/>
    <w:rsid w:val="000200BE"/>
    <w:rsid w:val="000205D1"/>
    <w:rsid w:val="00020782"/>
    <w:rsid w:val="000207D3"/>
    <w:rsid w:val="00020950"/>
    <w:rsid w:val="00020F22"/>
    <w:rsid w:val="0002195D"/>
    <w:rsid w:val="00021F9B"/>
    <w:rsid w:val="000228AE"/>
    <w:rsid w:val="000233D1"/>
    <w:rsid w:val="000234D6"/>
    <w:rsid w:val="00023985"/>
    <w:rsid w:val="00023D29"/>
    <w:rsid w:val="00024348"/>
    <w:rsid w:val="000245D6"/>
    <w:rsid w:val="00024D0A"/>
    <w:rsid w:val="00025664"/>
    <w:rsid w:val="00025A00"/>
    <w:rsid w:val="000260D2"/>
    <w:rsid w:val="00026109"/>
    <w:rsid w:val="0002622B"/>
    <w:rsid w:val="00026389"/>
    <w:rsid w:val="0002669F"/>
    <w:rsid w:val="00026F76"/>
    <w:rsid w:val="000279E5"/>
    <w:rsid w:val="00027C33"/>
    <w:rsid w:val="000305E0"/>
    <w:rsid w:val="00030A12"/>
    <w:rsid w:val="000317F0"/>
    <w:rsid w:val="00031AE0"/>
    <w:rsid w:val="00031BB2"/>
    <w:rsid w:val="000322EF"/>
    <w:rsid w:val="000328F0"/>
    <w:rsid w:val="00033605"/>
    <w:rsid w:val="00033BFC"/>
    <w:rsid w:val="00033FCD"/>
    <w:rsid w:val="000348AF"/>
    <w:rsid w:val="00034B70"/>
    <w:rsid w:val="00034DF7"/>
    <w:rsid w:val="00034E68"/>
    <w:rsid w:val="000350C8"/>
    <w:rsid w:val="00035B6F"/>
    <w:rsid w:val="00035C7C"/>
    <w:rsid w:val="00036098"/>
    <w:rsid w:val="00036195"/>
    <w:rsid w:val="00036817"/>
    <w:rsid w:val="000374B2"/>
    <w:rsid w:val="000376C0"/>
    <w:rsid w:val="000403A7"/>
    <w:rsid w:val="00040632"/>
    <w:rsid w:val="00040E53"/>
    <w:rsid w:val="0004131B"/>
    <w:rsid w:val="00041AFC"/>
    <w:rsid w:val="00041CEC"/>
    <w:rsid w:val="00041D02"/>
    <w:rsid w:val="00042596"/>
    <w:rsid w:val="00042A4A"/>
    <w:rsid w:val="00044183"/>
    <w:rsid w:val="0004428D"/>
    <w:rsid w:val="0004431D"/>
    <w:rsid w:val="00044AAC"/>
    <w:rsid w:val="00045447"/>
    <w:rsid w:val="0004694F"/>
    <w:rsid w:val="0004695D"/>
    <w:rsid w:val="00046F2F"/>
    <w:rsid w:val="00047AD4"/>
    <w:rsid w:val="00047BAF"/>
    <w:rsid w:val="00047C70"/>
    <w:rsid w:val="00047D54"/>
    <w:rsid w:val="00047ED0"/>
    <w:rsid w:val="00050541"/>
    <w:rsid w:val="0005054A"/>
    <w:rsid w:val="00050A87"/>
    <w:rsid w:val="00050AFA"/>
    <w:rsid w:val="00051506"/>
    <w:rsid w:val="000522E4"/>
    <w:rsid w:val="00053713"/>
    <w:rsid w:val="0005434E"/>
    <w:rsid w:val="00055CB6"/>
    <w:rsid w:val="000572DD"/>
    <w:rsid w:val="00057B1E"/>
    <w:rsid w:val="00057D0F"/>
    <w:rsid w:val="00060195"/>
    <w:rsid w:val="0006033F"/>
    <w:rsid w:val="00060425"/>
    <w:rsid w:val="00060821"/>
    <w:rsid w:val="00060F88"/>
    <w:rsid w:val="000610E1"/>
    <w:rsid w:val="0006145F"/>
    <w:rsid w:val="000616AD"/>
    <w:rsid w:val="0006210C"/>
    <w:rsid w:val="000622A6"/>
    <w:rsid w:val="000627BD"/>
    <w:rsid w:val="00062A8F"/>
    <w:rsid w:val="00062C40"/>
    <w:rsid w:val="00062D70"/>
    <w:rsid w:val="00062E83"/>
    <w:rsid w:val="00062EC5"/>
    <w:rsid w:val="00062F22"/>
    <w:rsid w:val="0006375F"/>
    <w:rsid w:val="00063975"/>
    <w:rsid w:val="00063CEA"/>
    <w:rsid w:val="0006444D"/>
    <w:rsid w:val="000645FC"/>
    <w:rsid w:val="00064886"/>
    <w:rsid w:val="00065296"/>
    <w:rsid w:val="0006533F"/>
    <w:rsid w:val="00065348"/>
    <w:rsid w:val="00065406"/>
    <w:rsid w:val="0006551C"/>
    <w:rsid w:val="00065539"/>
    <w:rsid w:val="0006558D"/>
    <w:rsid w:val="00065907"/>
    <w:rsid w:val="00065910"/>
    <w:rsid w:val="00065A75"/>
    <w:rsid w:val="00065BAA"/>
    <w:rsid w:val="000663F0"/>
    <w:rsid w:val="00066558"/>
    <w:rsid w:val="000666B4"/>
    <w:rsid w:val="000671DB"/>
    <w:rsid w:val="00067833"/>
    <w:rsid w:val="00067982"/>
    <w:rsid w:val="00070A87"/>
    <w:rsid w:val="00070F6B"/>
    <w:rsid w:val="000711D6"/>
    <w:rsid w:val="000712B3"/>
    <w:rsid w:val="000715E5"/>
    <w:rsid w:val="00071A7C"/>
    <w:rsid w:val="00071E38"/>
    <w:rsid w:val="00071F50"/>
    <w:rsid w:val="00071FDC"/>
    <w:rsid w:val="000722A6"/>
    <w:rsid w:val="000725A8"/>
    <w:rsid w:val="00072829"/>
    <w:rsid w:val="00072FF5"/>
    <w:rsid w:val="00073065"/>
    <w:rsid w:val="00073A5A"/>
    <w:rsid w:val="00074588"/>
    <w:rsid w:val="0007471C"/>
    <w:rsid w:val="0007474E"/>
    <w:rsid w:val="00074988"/>
    <w:rsid w:val="0007512B"/>
    <w:rsid w:val="000751FF"/>
    <w:rsid w:val="00075551"/>
    <w:rsid w:val="00075DB8"/>
    <w:rsid w:val="000761CA"/>
    <w:rsid w:val="000763FD"/>
    <w:rsid w:val="000767F5"/>
    <w:rsid w:val="00076D90"/>
    <w:rsid w:val="000779E7"/>
    <w:rsid w:val="00077FF0"/>
    <w:rsid w:val="00081206"/>
    <w:rsid w:val="0008185C"/>
    <w:rsid w:val="00081A55"/>
    <w:rsid w:val="0008263E"/>
    <w:rsid w:val="00082C19"/>
    <w:rsid w:val="00082F89"/>
    <w:rsid w:val="00083457"/>
    <w:rsid w:val="000834ED"/>
    <w:rsid w:val="000837CD"/>
    <w:rsid w:val="00083B7F"/>
    <w:rsid w:val="0008454D"/>
    <w:rsid w:val="00084BFF"/>
    <w:rsid w:val="000851B8"/>
    <w:rsid w:val="00085395"/>
    <w:rsid w:val="0008629F"/>
    <w:rsid w:val="00086896"/>
    <w:rsid w:val="00086AC1"/>
    <w:rsid w:val="00086D19"/>
    <w:rsid w:val="00087634"/>
    <w:rsid w:val="00087EB4"/>
    <w:rsid w:val="00087F2B"/>
    <w:rsid w:val="00090694"/>
    <w:rsid w:val="00090EE2"/>
    <w:rsid w:val="00090FC6"/>
    <w:rsid w:val="0009122C"/>
    <w:rsid w:val="000913B1"/>
    <w:rsid w:val="00091F2E"/>
    <w:rsid w:val="0009210B"/>
    <w:rsid w:val="0009290F"/>
    <w:rsid w:val="00093241"/>
    <w:rsid w:val="00093868"/>
    <w:rsid w:val="00094A84"/>
    <w:rsid w:val="00095025"/>
    <w:rsid w:val="00095135"/>
    <w:rsid w:val="00095152"/>
    <w:rsid w:val="00095360"/>
    <w:rsid w:val="0009581D"/>
    <w:rsid w:val="00095CE0"/>
    <w:rsid w:val="000961E8"/>
    <w:rsid w:val="0009626E"/>
    <w:rsid w:val="0009644D"/>
    <w:rsid w:val="00096B52"/>
    <w:rsid w:val="0009709E"/>
    <w:rsid w:val="00097191"/>
    <w:rsid w:val="000974D1"/>
    <w:rsid w:val="00097784"/>
    <w:rsid w:val="0009799E"/>
    <w:rsid w:val="000A01E8"/>
    <w:rsid w:val="000A07CB"/>
    <w:rsid w:val="000A0BC0"/>
    <w:rsid w:val="000A1183"/>
    <w:rsid w:val="000A12ED"/>
    <w:rsid w:val="000A1B1A"/>
    <w:rsid w:val="000A1D49"/>
    <w:rsid w:val="000A212B"/>
    <w:rsid w:val="000A242D"/>
    <w:rsid w:val="000A256D"/>
    <w:rsid w:val="000A2643"/>
    <w:rsid w:val="000A2E5F"/>
    <w:rsid w:val="000A34B6"/>
    <w:rsid w:val="000A385C"/>
    <w:rsid w:val="000A3A2C"/>
    <w:rsid w:val="000A3D9E"/>
    <w:rsid w:val="000A44A7"/>
    <w:rsid w:val="000A4A54"/>
    <w:rsid w:val="000A4E47"/>
    <w:rsid w:val="000A4ED9"/>
    <w:rsid w:val="000A5DB7"/>
    <w:rsid w:val="000A6546"/>
    <w:rsid w:val="000A6753"/>
    <w:rsid w:val="000A6764"/>
    <w:rsid w:val="000A6D94"/>
    <w:rsid w:val="000A6DB7"/>
    <w:rsid w:val="000A70CD"/>
    <w:rsid w:val="000A72BC"/>
    <w:rsid w:val="000A7377"/>
    <w:rsid w:val="000A74A4"/>
    <w:rsid w:val="000A775A"/>
    <w:rsid w:val="000A7D63"/>
    <w:rsid w:val="000A7FF4"/>
    <w:rsid w:val="000B03CC"/>
    <w:rsid w:val="000B311B"/>
    <w:rsid w:val="000B382D"/>
    <w:rsid w:val="000B410B"/>
    <w:rsid w:val="000B4212"/>
    <w:rsid w:val="000B5E32"/>
    <w:rsid w:val="000B617A"/>
    <w:rsid w:val="000B61FF"/>
    <w:rsid w:val="000B67B7"/>
    <w:rsid w:val="000B6A0A"/>
    <w:rsid w:val="000B7BBB"/>
    <w:rsid w:val="000B7F46"/>
    <w:rsid w:val="000C0127"/>
    <w:rsid w:val="000C08B1"/>
    <w:rsid w:val="000C0CA6"/>
    <w:rsid w:val="000C0EA8"/>
    <w:rsid w:val="000C0FFC"/>
    <w:rsid w:val="000C13A2"/>
    <w:rsid w:val="000C18ED"/>
    <w:rsid w:val="000C1948"/>
    <w:rsid w:val="000C1D27"/>
    <w:rsid w:val="000C1D64"/>
    <w:rsid w:val="000C21E7"/>
    <w:rsid w:val="000C23EC"/>
    <w:rsid w:val="000C26A2"/>
    <w:rsid w:val="000C290E"/>
    <w:rsid w:val="000C30C3"/>
    <w:rsid w:val="000C3408"/>
    <w:rsid w:val="000C35AB"/>
    <w:rsid w:val="000C3988"/>
    <w:rsid w:val="000C3F7B"/>
    <w:rsid w:val="000C4769"/>
    <w:rsid w:val="000C4D56"/>
    <w:rsid w:val="000C5DFA"/>
    <w:rsid w:val="000C6AFD"/>
    <w:rsid w:val="000C6C90"/>
    <w:rsid w:val="000C7030"/>
    <w:rsid w:val="000C72B7"/>
    <w:rsid w:val="000C7757"/>
    <w:rsid w:val="000C7A79"/>
    <w:rsid w:val="000C7A83"/>
    <w:rsid w:val="000D0300"/>
    <w:rsid w:val="000D0A26"/>
    <w:rsid w:val="000D13CB"/>
    <w:rsid w:val="000D2196"/>
    <w:rsid w:val="000D2854"/>
    <w:rsid w:val="000D2C2E"/>
    <w:rsid w:val="000D2F4C"/>
    <w:rsid w:val="000D3058"/>
    <w:rsid w:val="000D310A"/>
    <w:rsid w:val="000D3EF4"/>
    <w:rsid w:val="000D4341"/>
    <w:rsid w:val="000D4761"/>
    <w:rsid w:val="000D4DC0"/>
    <w:rsid w:val="000D55BA"/>
    <w:rsid w:val="000D5637"/>
    <w:rsid w:val="000D5A03"/>
    <w:rsid w:val="000D5ED3"/>
    <w:rsid w:val="000D6028"/>
    <w:rsid w:val="000D6F4E"/>
    <w:rsid w:val="000D6FDA"/>
    <w:rsid w:val="000D73BB"/>
    <w:rsid w:val="000D7AC7"/>
    <w:rsid w:val="000D7DC0"/>
    <w:rsid w:val="000E04FD"/>
    <w:rsid w:val="000E0E96"/>
    <w:rsid w:val="000E12B0"/>
    <w:rsid w:val="000E1B49"/>
    <w:rsid w:val="000E1DDC"/>
    <w:rsid w:val="000E298B"/>
    <w:rsid w:val="000E2C7D"/>
    <w:rsid w:val="000E3E56"/>
    <w:rsid w:val="000E440D"/>
    <w:rsid w:val="000E4AC5"/>
    <w:rsid w:val="000E542C"/>
    <w:rsid w:val="000E57A8"/>
    <w:rsid w:val="000E6253"/>
    <w:rsid w:val="000E6AC4"/>
    <w:rsid w:val="000E6E4D"/>
    <w:rsid w:val="000E6EBE"/>
    <w:rsid w:val="000E6FBD"/>
    <w:rsid w:val="000E6FCB"/>
    <w:rsid w:val="000E7F98"/>
    <w:rsid w:val="000F090B"/>
    <w:rsid w:val="000F0D9A"/>
    <w:rsid w:val="000F0E60"/>
    <w:rsid w:val="000F1174"/>
    <w:rsid w:val="000F15F7"/>
    <w:rsid w:val="000F1654"/>
    <w:rsid w:val="000F1AA2"/>
    <w:rsid w:val="000F240E"/>
    <w:rsid w:val="000F378E"/>
    <w:rsid w:val="000F3B04"/>
    <w:rsid w:val="000F3CB6"/>
    <w:rsid w:val="000F3F3B"/>
    <w:rsid w:val="000F4721"/>
    <w:rsid w:val="000F47E8"/>
    <w:rsid w:val="000F5A6A"/>
    <w:rsid w:val="000F656A"/>
    <w:rsid w:val="000F6A76"/>
    <w:rsid w:val="000F6B09"/>
    <w:rsid w:val="000F70E4"/>
    <w:rsid w:val="000F76EA"/>
    <w:rsid w:val="0010034B"/>
    <w:rsid w:val="00100A8B"/>
    <w:rsid w:val="00100F5C"/>
    <w:rsid w:val="00100FBC"/>
    <w:rsid w:val="00101B15"/>
    <w:rsid w:val="00101CDA"/>
    <w:rsid w:val="0010200A"/>
    <w:rsid w:val="00102037"/>
    <w:rsid w:val="001022D3"/>
    <w:rsid w:val="00102815"/>
    <w:rsid w:val="00103DCB"/>
    <w:rsid w:val="00103DE1"/>
    <w:rsid w:val="00104C4C"/>
    <w:rsid w:val="00105015"/>
    <w:rsid w:val="001055D2"/>
    <w:rsid w:val="00105643"/>
    <w:rsid w:val="001057C2"/>
    <w:rsid w:val="00106BCC"/>
    <w:rsid w:val="00107124"/>
    <w:rsid w:val="00107DE1"/>
    <w:rsid w:val="0011038E"/>
    <w:rsid w:val="0011053F"/>
    <w:rsid w:val="00110A76"/>
    <w:rsid w:val="00111573"/>
    <w:rsid w:val="00111BBB"/>
    <w:rsid w:val="00111F64"/>
    <w:rsid w:val="00112370"/>
    <w:rsid w:val="0011239B"/>
    <w:rsid w:val="001125EF"/>
    <w:rsid w:val="00112CAB"/>
    <w:rsid w:val="00114349"/>
    <w:rsid w:val="0011440C"/>
    <w:rsid w:val="00114C33"/>
    <w:rsid w:val="00114D5B"/>
    <w:rsid w:val="00115553"/>
    <w:rsid w:val="00115CD6"/>
    <w:rsid w:val="00116ABE"/>
    <w:rsid w:val="00116D3F"/>
    <w:rsid w:val="00117474"/>
    <w:rsid w:val="00117623"/>
    <w:rsid w:val="00117FEA"/>
    <w:rsid w:val="001200CF"/>
    <w:rsid w:val="001208E3"/>
    <w:rsid w:val="00121609"/>
    <w:rsid w:val="0012192F"/>
    <w:rsid w:val="001221BD"/>
    <w:rsid w:val="0012267A"/>
    <w:rsid w:val="00122994"/>
    <w:rsid w:val="00123204"/>
    <w:rsid w:val="00124104"/>
    <w:rsid w:val="00124253"/>
    <w:rsid w:val="001242E7"/>
    <w:rsid w:val="00124B46"/>
    <w:rsid w:val="001255C8"/>
    <w:rsid w:val="001257BE"/>
    <w:rsid w:val="001257E0"/>
    <w:rsid w:val="00125D69"/>
    <w:rsid w:val="001263D2"/>
    <w:rsid w:val="00127256"/>
    <w:rsid w:val="001273CF"/>
    <w:rsid w:val="0012799C"/>
    <w:rsid w:val="00127BC2"/>
    <w:rsid w:val="00127E15"/>
    <w:rsid w:val="001308F1"/>
    <w:rsid w:val="00130ADC"/>
    <w:rsid w:val="00130D9F"/>
    <w:rsid w:val="001326DA"/>
    <w:rsid w:val="00132C4D"/>
    <w:rsid w:val="00133D0B"/>
    <w:rsid w:val="00133FC1"/>
    <w:rsid w:val="00134659"/>
    <w:rsid w:val="00134EF8"/>
    <w:rsid w:val="00135111"/>
    <w:rsid w:val="00135376"/>
    <w:rsid w:val="00135F90"/>
    <w:rsid w:val="0013645A"/>
    <w:rsid w:val="00136A6F"/>
    <w:rsid w:val="00136C1A"/>
    <w:rsid w:val="0013726F"/>
    <w:rsid w:val="00137812"/>
    <w:rsid w:val="001405FA"/>
    <w:rsid w:val="00140D1A"/>
    <w:rsid w:val="00140F93"/>
    <w:rsid w:val="00141184"/>
    <w:rsid w:val="00141315"/>
    <w:rsid w:val="0014152B"/>
    <w:rsid w:val="00141AA0"/>
    <w:rsid w:val="00141E9E"/>
    <w:rsid w:val="00142062"/>
    <w:rsid w:val="00142217"/>
    <w:rsid w:val="001425C3"/>
    <w:rsid w:val="0014262D"/>
    <w:rsid w:val="00142B29"/>
    <w:rsid w:val="00142E2D"/>
    <w:rsid w:val="00144108"/>
    <w:rsid w:val="00144588"/>
    <w:rsid w:val="001447DD"/>
    <w:rsid w:val="001448D8"/>
    <w:rsid w:val="0014517B"/>
    <w:rsid w:val="00145358"/>
    <w:rsid w:val="001458AC"/>
    <w:rsid w:val="001459BC"/>
    <w:rsid w:val="001467FC"/>
    <w:rsid w:val="0014779E"/>
    <w:rsid w:val="00147B13"/>
    <w:rsid w:val="00150ECA"/>
    <w:rsid w:val="0015108F"/>
    <w:rsid w:val="001515F8"/>
    <w:rsid w:val="00151707"/>
    <w:rsid w:val="0015212E"/>
    <w:rsid w:val="00152C86"/>
    <w:rsid w:val="00152F4F"/>
    <w:rsid w:val="00153264"/>
    <w:rsid w:val="0015329F"/>
    <w:rsid w:val="00154325"/>
    <w:rsid w:val="001544A1"/>
    <w:rsid w:val="001553B8"/>
    <w:rsid w:val="00155488"/>
    <w:rsid w:val="001554C2"/>
    <w:rsid w:val="00155882"/>
    <w:rsid w:val="00156B1D"/>
    <w:rsid w:val="00156D04"/>
    <w:rsid w:val="0015715B"/>
    <w:rsid w:val="001571C0"/>
    <w:rsid w:val="00157291"/>
    <w:rsid w:val="001574FE"/>
    <w:rsid w:val="0015753D"/>
    <w:rsid w:val="00157984"/>
    <w:rsid w:val="00157CC9"/>
    <w:rsid w:val="001602D3"/>
    <w:rsid w:val="00160C21"/>
    <w:rsid w:val="001612F4"/>
    <w:rsid w:val="00161553"/>
    <w:rsid w:val="0016187F"/>
    <w:rsid w:val="0016216F"/>
    <w:rsid w:val="0016256B"/>
    <w:rsid w:val="00162DAF"/>
    <w:rsid w:val="00162F81"/>
    <w:rsid w:val="0016311B"/>
    <w:rsid w:val="00163228"/>
    <w:rsid w:val="00163567"/>
    <w:rsid w:val="00163793"/>
    <w:rsid w:val="00163868"/>
    <w:rsid w:val="00163ACE"/>
    <w:rsid w:val="0016440C"/>
    <w:rsid w:val="001648A3"/>
    <w:rsid w:val="00164CA1"/>
    <w:rsid w:val="00164FC1"/>
    <w:rsid w:val="00165313"/>
    <w:rsid w:val="001659C3"/>
    <w:rsid w:val="001665AB"/>
    <w:rsid w:val="00167485"/>
    <w:rsid w:val="001679F5"/>
    <w:rsid w:val="00167B92"/>
    <w:rsid w:val="00167CB9"/>
    <w:rsid w:val="00167DD8"/>
    <w:rsid w:val="00170145"/>
    <w:rsid w:val="001705AD"/>
    <w:rsid w:val="001705ED"/>
    <w:rsid w:val="001706D6"/>
    <w:rsid w:val="0017141F"/>
    <w:rsid w:val="001714F2"/>
    <w:rsid w:val="001718E1"/>
    <w:rsid w:val="00171BA9"/>
    <w:rsid w:val="00171FEA"/>
    <w:rsid w:val="001729A5"/>
    <w:rsid w:val="00173622"/>
    <w:rsid w:val="00173B07"/>
    <w:rsid w:val="0017456C"/>
    <w:rsid w:val="00174AF8"/>
    <w:rsid w:val="001758F3"/>
    <w:rsid w:val="00175B9F"/>
    <w:rsid w:val="00175BF1"/>
    <w:rsid w:val="001762F4"/>
    <w:rsid w:val="001763F9"/>
    <w:rsid w:val="001777BA"/>
    <w:rsid w:val="001801F7"/>
    <w:rsid w:val="00181029"/>
    <w:rsid w:val="001819CB"/>
    <w:rsid w:val="00181BBC"/>
    <w:rsid w:val="0018253B"/>
    <w:rsid w:val="0018273F"/>
    <w:rsid w:val="0018305A"/>
    <w:rsid w:val="0018385F"/>
    <w:rsid w:val="00183BCF"/>
    <w:rsid w:val="00184017"/>
    <w:rsid w:val="001847BB"/>
    <w:rsid w:val="00184B08"/>
    <w:rsid w:val="00185010"/>
    <w:rsid w:val="001854F2"/>
    <w:rsid w:val="00185C22"/>
    <w:rsid w:val="00185C56"/>
    <w:rsid w:val="001869FD"/>
    <w:rsid w:val="00186BA9"/>
    <w:rsid w:val="00187D50"/>
    <w:rsid w:val="001909EA"/>
    <w:rsid w:val="00190B4D"/>
    <w:rsid w:val="001912A0"/>
    <w:rsid w:val="0019159C"/>
    <w:rsid w:val="001915BE"/>
    <w:rsid w:val="0019196C"/>
    <w:rsid w:val="001926A9"/>
    <w:rsid w:val="00192F05"/>
    <w:rsid w:val="00194729"/>
    <w:rsid w:val="00194850"/>
    <w:rsid w:val="00195234"/>
    <w:rsid w:val="0019524B"/>
    <w:rsid w:val="00195EA6"/>
    <w:rsid w:val="00196016"/>
    <w:rsid w:val="00196117"/>
    <w:rsid w:val="001969F0"/>
    <w:rsid w:val="00197A70"/>
    <w:rsid w:val="00197C0F"/>
    <w:rsid w:val="00197D0E"/>
    <w:rsid w:val="001A0487"/>
    <w:rsid w:val="001A0675"/>
    <w:rsid w:val="001A0773"/>
    <w:rsid w:val="001A0A0C"/>
    <w:rsid w:val="001A0A37"/>
    <w:rsid w:val="001A0EAD"/>
    <w:rsid w:val="001A15DD"/>
    <w:rsid w:val="001A164B"/>
    <w:rsid w:val="001A1F68"/>
    <w:rsid w:val="001A21FA"/>
    <w:rsid w:val="001A252C"/>
    <w:rsid w:val="001A3329"/>
    <w:rsid w:val="001A3529"/>
    <w:rsid w:val="001A40EA"/>
    <w:rsid w:val="001A432A"/>
    <w:rsid w:val="001A4D7C"/>
    <w:rsid w:val="001A4EF0"/>
    <w:rsid w:val="001A552F"/>
    <w:rsid w:val="001A5977"/>
    <w:rsid w:val="001A70B1"/>
    <w:rsid w:val="001A71F1"/>
    <w:rsid w:val="001A7672"/>
    <w:rsid w:val="001B045D"/>
    <w:rsid w:val="001B0738"/>
    <w:rsid w:val="001B10F1"/>
    <w:rsid w:val="001B1216"/>
    <w:rsid w:val="001B1235"/>
    <w:rsid w:val="001B158D"/>
    <w:rsid w:val="001B1A66"/>
    <w:rsid w:val="001B1BBB"/>
    <w:rsid w:val="001B2CA9"/>
    <w:rsid w:val="001B2EB2"/>
    <w:rsid w:val="001B2F90"/>
    <w:rsid w:val="001B3110"/>
    <w:rsid w:val="001B3E38"/>
    <w:rsid w:val="001B40F5"/>
    <w:rsid w:val="001B4729"/>
    <w:rsid w:val="001B4A56"/>
    <w:rsid w:val="001B4F0E"/>
    <w:rsid w:val="001B5064"/>
    <w:rsid w:val="001B5F40"/>
    <w:rsid w:val="001B6310"/>
    <w:rsid w:val="001B6C09"/>
    <w:rsid w:val="001B6E12"/>
    <w:rsid w:val="001B718E"/>
    <w:rsid w:val="001B77D2"/>
    <w:rsid w:val="001B78B1"/>
    <w:rsid w:val="001C05CD"/>
    <w:rsid w:val="001C082B"/>
    <w:rsid w:val="001C0C6D"/>
    <w:rsid w:val="001C0F17"/>
    <w:rsid w:val="001C11A6"/>
    <w:rsid w:val="001C1978"/>
    <w:rsid w:val="001C1B24"/>
    <w:rsid w:val="001C1B66"/>
    <w:rsid w:val="001C1BB5"/>
    <w:rsid w:val="001C1C1D"/>
    <w:rsid w:val="001C25F9"/>
    <w:rsid w:val="001C2732"/>
    <w:rsid w:val="001C31A2"/>
    <w:rsid w:val="001C351D"/>
    <w:rsid w:val="001C3794"/>
    <w:rsid w:val="001C3855"/>
    <w:rsid w:val="001C39D0"/>
    <w:rsid w:val="001C4562"/>
    <w:rsid w:val="001C4B8F"/>
    <w:rsid w:val="001C4BB8"/>
    <w:rsid w:val="001C4D8C"/>
    <w:rsid w:val="001C4FD0"/>
    <w:rsid w:val="001C544D"/>
    <w:rsid w:val="001C59ED"/>
    <w:rsid w:val="001C5E46"/>
    <w:rsid w:val="001C5FF5"/>
    <w:rsid w:val="001C65D6"/>
    <w:rsid w:val="001C6B3B"/>
    <w:rsid w:val="001C79A5"/>
    <w:rsid w:val="001C7A26"/>
    <w:rsid w:val="001C7E3F"/>
    <w:rsid w:val="001D0EF1"/>
    <w:rsid w:val="001D127A"/>
    <w:rsid w:val="001D19DE"/>
    <w:rsid w:val="001D1A44"/>
    <w:rsid w:val="001D22C2"/>
    <w:rsid w:val="001D2C99"/>
    <w:rsid w:val="001D3B75"/>
    <w:rsid w:val="001D4044"/>
    <w:rsid w:val="001D452E"/>
    <w:rsid w:val="001D45D0"/>
    <w:rsid w:val="001D4D0E"/>
    <w:rsid w:val="001D5065"/>
    <w:rsid w:val="001D54C1"/>
    <w:rsid w:val="001D556E"/>
    <w:rsid w:val="001D5D52"/>
    <w:rsid w:val="001D5D75"/>
    <w:rsid w:val="001D5DF2"/>
    <w:rsid w:val="001D6175"/>
    <w:rsid w:val="001D681E"/>
    <w:rsid w:val="001D68B2"/>
    <w:rsid w:val="001D6B3F"/>
    <w:rsid w:val="001D6B62"/>
    <w:rsid w:val="001D7B5E"/>
    <w:rsid w:val="001D7EFD"/>
    <w:rsid w:val="001D7F60"/>
    <w:rsid w:val="001E0794"/>
    <w:rsid w:val="001E0804"/>
    <w:rsid w:val="001E085B"/>
    <w:rsid w:val="001E099C"/>
    <w:rsid w:val="001E149B"/>
    <w:rsid w:val="001E15CB"/>
    <w:rsid w:val="001E1979"/>
    <w:rsid w:val="001E1CD5"/>
    <w:rsid w:val="001E1E57"/>
    <w:rsid w:val="001E2053"/>
    <w:rsid w:val="001E3306"/>
    <w:rsid w:val="001E3AC7"/>
    <w:rsid w:val="001E43D7"/>
    <w:rsid w:val="001E504C"/>
    <w:rsid w:val="001E56AC"/>
    <w:rsid w:val="001E5A17"/>
    <w:rsid w:val="001E663C"/>
    <w:rsid w:val="001E7410"/>
    <w:rsid w:val="001E74C5"/>
    <w:rsid w:val="001F0A78"/>
    <w:rsid w:val="001F0B27"/>
    <w:rsid w:val="001F1236"/>
    <w:rsid w:val="001F1282"/>
    <w:rsid w:val="001F2604"/>
    <w:rsid w:val="001F2637"/>
    <w:rsid w:val="001F26DE"/>
    <w:rsid w:val="001F2F90"/>
    <w:rsid w:val="001F363B"/>
    <w:rsid w:val="001F450F"/>
    <w:rsid w:val="001F4597"/>
    <w:rsid w:val="001F4689"/>
    <w:rsid w:val="001F4826"/>
    <w:rsid w:val="001F4933"/>
    <w:rsid w:val="001F4CF2"/>
    <w:rsid w:val="001F4DD2"/>
    <w:rsid w:val="001F59C8"/>
    <w:rsid w:val="001F5BE8"/>
    <w:rsid w:val="001F6360"/>
    <w:rsid w:val="001F6483"/>
    <w:rsid w:val="001F6CD3"/>
    <w:rsid w:val="001F75DA"/>
    <w:rsid w:val="001F7931"/>
    <w:rsid w:val="001F7CE0"/>
    <w:rsid w:val="001F7F06"/>
    <w:rsid w:val="00200085"/>
    <w:rsid w:val="0020044C"/>
    <w:rsid w:val="00200D71"/>
    <w:rsid w:val="00200F46"/>
    <w:rsid w:val="00201633"/>
    <w:rsid w:val="00201CB1"/>
    <w:rsid w:val="00201F53"/>
    <w:rsid w:val="00203332"/>
    <w:rsid w:val="002036E6"/>
    <w:rsid w:val="00203C5D"/>
    <w:rsid w:val="00203CD5"/>
    <w:rsid w:val="00203D8F"/>
    <w:rsid w:val="00203DA4"/>
    <w:rsid w:val="0020461C"/>
    <w:rsid w:val="00204A45"/>
    <w:rsid w:val="00204EA6"/>
    <w:rsid w:val="00204EF3"/>
    <w:rsid w:val="00205052"/>
    <w:rsid w:val="00205186"/>
    <w:rsid w:val="00206516"/>
    <w:rsid w:val="00206747"/>
    <w:rsid w:val="002070CF"/>
    <w:rsid w:val="002071D5"/>
    <w:rsid w:val="002073FD"/>
    <w:rsid w:val="00207AE4"/>
    <w:rsid w:val="00207B00"/>
    <w:rsid w:val="00210806"/>
    <w:rsid w:val="002108D5"/>
    <w:rsid w:val="00210A64"/>
    <w:rsid w:val="00210DCD"/>
    <w:rsid w:val="002111E5"/>
    <w:rsid w:val="00211207"/>
    <w:rsid w:val="0021149E"/>
    <w:rsid w:val="002118B9"/>
    <w:rsid w:val="002120F9"/>
    <w:rsid w:val="00212C92"/>
    <w:rsid w:val="00213691"/>
    <w:rsid w:val="00213FCD"/>
    <w:rsid w:val="002142C0"/>
    <w:rsid w:val="002152FC"/>
    <w:rsid w:val="00215B9B"/>
    <w:rsid w:val="00217418"/>
    <w:rsid w:val="00217BED"/>
    <w:rsid w:val="00217C5B"/>
    <w:rsid w:val="00217D9E"/>
    <w:rsid w:val="00220A43"/>
    <w:rsid w:val="00221139"/>
    <w:rsid w:val="0022139E"/>
    <w:rsid w:val="0022144F"/>
    <w:rsid w:val="00222729"/>
    <w:rsid w:val="0022287B"/>
    <w:rsid w:val="002228DB"/>
    <w:rsid w:val="00223185"/>
    <w:rsid w:val="00223264"/>
    <w:rsid w:val="002233D6"/>
    <w:rsid w:val="002234E7"/>
    <w:rsid w:val="002243AE"/>
    <w:rsid w:val="0022441D"/>
    <w:rsid w:val="00224574"/>
    <w:rsid w:val="00224A24"/>
    <w:rsid w:val="00224E3F"/>
    <w:rsid w:val="00225000"/>
    <w:rsid w:val="0022521D"/>
    <w:rsid w:val="002252E0"/>
    <w:rsid w:val="002255F6"/>
    <w:rsid w:val="00226032"/>
    <w:rsid w:val="002266CC"/>
    <w:rsid w:val="0022699D"/>
    <w:rsid w:val="002270A7"/>
    <w:rsid w:val="0022738D"/>
    <w:rsid w:val="00227605"/>
    <w:rsid w:val="00227850"/>
    <w:rsid w:val="0022794E"/>
    <w:rsid w:val="00227A53"/>
    <w:rsid w:val="00227C6C"/>
    <w:rsid w:val="00227E2E"/>
    <w:rsid w:val="00227F53"/>
    <w:rsid w:val="00230090"/>
    <w:rsid w:val="0023031A"/>
    <w:rsid w:val="00230619"/>
    <w:rsid w:val="00230C6E"/>
    <w:rsid w:val="00230E21"/>
    <w:rsid w:val="00230EF0"/>
    <w:rsid w:val="00231066"/>
    <w:rsid w:val="00231409"/>
    <w:rsid w:val="002316A8"/>
    <w:rsid w:val="00231859"/>
    <w:rsid w:val="002318C6"/>
    <w:rsid w:val="00231FE4"/>
    <w:rsid w:val="002320C9"/>
    <w:rsid w:val="0023288F"/>
    <w:rsid w:val="00233207"/>
    <w:rsid w:val="0023359B"/>
    <w:rsid w:val="00233603"/>
    <w:rsid w:val="002340EF"/>
    <w:rsid w:val="002344DE"/>
    <w:rsid w:val="00234B82"/>
    <w:rsid w:val="00236443"/>
    <w:rsid w:val="0023663C"/>
    <w:rsid w:val="00236700"/>
    <w:rsid w:val="00237C8B"/>
    <w:rsid w:val="00240391"/>
    <w:rsid w:val="00240AF3"/>
    <w:rsid w:val="00240FFF"/>
    <w:rsid w:val="0024175E"/>
    <w:rsid w:val="002418D5"/>
    <w:rsid w:val="00241A9F"/>
    <w:rsid w:val="00241B06"/>
    <w:rsid w:val="002422D6"/>
    <w:rsid w:val="00242A8F"/>
    <w:rsid w:val="00242F0D"/>
    <w:rsid w:val="00243085"/>
    <w:rsid w:val="0024343A"/>
    <w:rsid w:val="002436BA"/>
    <w:rsid w:val="0024376C"/>
    <w:rsid w:val="002438DC"/>
    <w:rsid w:val="00244652"/>
    <w:rsid w:val="00244A15"/>
    <w:rsid w:val="0024527A"/>
    <w:rsid w:val="002452D9"/>
    <w:rsid w:val="002460DA"/>
    <w:rsid w:val="00246D16"/>
    <w:rsid w:val="00247258"/>
    <w:rsid w:val="00247319"/>
    <w:rsid w:val="0024799E"/>
    <w:rsid w:val="00247B13"/>
    <w:rsid w:val="00247E60"/>
    <w:rsid w:val="002512B7"/>
    <w:rsid w:val="00251496"/>
    <w:rsid w:val="00251B08"/>
    <w:rsid w:val="00251C53"/>
    <w:rsid w:val="00252AB9"/>
    <w:rsid w:val="00252CBF"/>
    <w:rsid w:val="002532B1"/>
    <w:rsid w:val="00253C0F"/>
    <w:rsid w:val="00253F48"/>
    <w:rsid w:val="002546EC"/>
    <w:rsid w:val="00254865"/>
    <w:rsid w:val="00254E62"/>
    <w:rsid w:val="00254FC3"/>
    <w:rsid w:val="0025522B"/>
    <w:rsid w:val="002558C1"/>
    <w:rsid w:val="00256207"/>
    <w:rsid w:val="0025637A"/>
    <w:rsid w:val="002575F3"/>
    <w:rsid w:val="002601B4"/>
    <w:rsid w:val="002603E1"/>
    <w:rsid w:val="002605FE"/>
    <w:rsid w:val="0026072D"/>
    <w:rsid w:val="00260887"/>
    <w:rsid w:val="0026120E"/>
    <w:rsid w:val="002617EE"/>
    <w:rsid w:val="0026237D"/>
    <w:rsid w:val="00262582"/>
    <w:rsid w:val="00262588"/>
    <w:rsid w:val="0026291D"/>
    <w:rsid w:val="00262CF3"/>
    <w:rsid w:val="002632B0"/>
    <w:rsid w:val="00263CC7"/>
    <w:rsid w:val="00264309"/>
    <w:rsid w:val="00264713"/>
    <w:rsid w:val="00264992"/>
    <w:rsid w:val="00264B4F"/>
    <w:rsid w:val="00264B85"/>
    <w:rsid w:val="0026564B"/>
    <w:rsid w:val="002658BF"/>
    <w:rsid w:val="00265ABC"/>
    <w:rsid w:val="00265C83"/>
    <w:rsid w:val="00265E85"/>
    <w:rsid w:val="00267B49"/>
    <w:rsid w:val="00267C51"/>
    <w:rsid w:val="002700D9"/>
    <w:rsid w:val="0027025F"/>
    <w:rsid w:val="002704BD"/>
    <w:rsid w:val="002709CC"/>
    <w:rsid w:val="00270D25"/>
    <w:rsid w:val="00271022"/>
    <w:rsid w:val="002710ED"/>
    <w:rsid w:val="00271465"/>
    <w:rsid w:val="002716C7"/>
    <w:rsid w:val="00271A07"/>
    <w:rsid w:val="00271C6A"/>
    <w:rsid w:val="00271E47"/>
    <w:rsid w:val="00271F98"/>
    <w:rsid w:val="002721F5"/>
    <w:rsid w:val="002726A8"/>
    <w:rsid w:val="00272DF4"/>
    <w:rsid w:val="0027306A"/>
    <w:rsid w:val="00273D2B"/>
    <w:rsid w:val="00273FB3"/>
    <w:rsid w:val="00274240"/>
    <w:rsid w:val="002742A7"/>
    <w:rsid w:val="002744DB"/>
    <w:rsid w:val="0027485F"/>
    <w:rsid w:val="00274EA7"/>
    <w:rsid w:val="00275062"/>
    <w:rsid w:val="00275758"/>
    <w:rsid w:val="0027583D"/>
    <w:rsid w:val="002759C7"/>
    <w:rsid w:val="00275DEF"/>
    <w:rsid w:val="00275E43"/>
    <w:rsid w:val="002763A2"/>
    <w:rsid w:val="00276498"/>
    <w:rsid w:val="00276928"/>
    <w:rsid w:val="00276B33"/>
    <w:rsid w:val="00276E20"/>
    <w:rsid w:val="00276F97"/>
    <w:rsid w:val="00277669"/>
    <w:rsid w:val="002803A5"/>
    <w:rsid w:val="00280ACB"/>
    <w:rsid w:val="002812E3"/>
    <w:rsid w:val="00281576"/>
    <w:rsid w:val="00282AD4"/>
    <w:rsid w:val="0028341F"/>
    <w:rsid w:val="00283770"/>
    <w:rsid w:val="002837AE"/>
    <w:rsid w:val="00283C13"/>
    <w:rsid w:val="00283F7B"/>
    <w:rsid w:val="0028431A"/>
    <w:rsid w:val="002853FA"/>
    <w:rsid w:val="00285412"/>
    <w:rsid w:val="00286220"/>
    <w:rsid w:val="00286AAC"/>
    <w:rsid w:val="00286DC2"/>
    <w:rsid w:val="002870F0"/>
    <w:rsid w:val="00287DD1"/>
    <w:rsid w:val="002903D4"/>
    <w:rsid w:val="00290531"/>
    <w:rsid w:val="0029110B"/>
    <w:rsid w:val="00291640"/>
    <w:rsid w:val="00291882"/>
    <w:rsid w:val="00291B77"/>
    <w:rsid w:val="002922DC"/>
    <w:rsid w:val="0029237E"/>
    <w:rsid w:val="0029268D"/>
    <w:rsid w:val="00292997"/>
    <w:rsid w:val="002934D6"/>
    <w:rsid w:val="00293B8C"/>
    <w:rsid w:val="00293D24"/>
    <w:rsid w:val="002944A6"/>
    <w:rsid w:val="0029461A"/>
    <w:rsid w:val="0029509B"/>
    <w:rsid w:val="00295430"/>
    <w:rsid w:val="0029574D"/>
    <w:rsid w:val="0029588F"/>
    <w:rsid w:val="00295E96"/>
    <w:rsid w:val="002971C4"/>
    <w:rsid w:val="00297256"/>
    <w:rsid w:val="00297A5C"/>
    <w:rsid w:val="00297D51"/>
    <w:rsid w:val="002A0122"/>
    <w:rsid w:val="002A016B"/>
    <w:rsid w:val="002A103E"/>
    <w:rsid w:val="002A16D4"/>
    <w:rsid w:val="002A1E4F"/>
    <w:rsid w:val="002A1E96"/>
    <w:rsid w:val="002A230C"/>
    <w:rsid w:val="002A2376"/>
    <w:rsid w:val="002A25B5"/>
    <w:rsid w:val="002A2AF7"/>
    <w:rsid w:val="002A30ED"/>
    <w:rsid w:val="002A3209"/>
    <w:rsid w:val="002A34B5"/>
    <w:rsid w:val="002A377D"/>
    <w:rsid w:val="002A3898"/>
    <w:rsid w:val="002A38F3"/>
    <w:rsid w:val="002A3EA2"/>
    <w:rsid w:val="002A3FAB"/>
    <w:rsid w:val="002A3FBA"/>
    <w:rsid w:val="002A51AC"/>
    <w:rsid w:val="002A532A"/>
    <w:rsid w:val="002A5342"/>
    <w:rsid w:val="002A5846"/>
    <w:rsid w:val="002A5D97"/>
    <w:rsid w:val="002A603E"/>
    <w:rsid w:val="002A63B9"/>
    <w:rsid w:val="002A7089"/>
    <w:rsid w:val="002A7709"/>
    <w:rsid w:val="002A79B3"/>
    <w:rsid w:val="002A7B5E"/>
    <w:rsid w:val="002B0692"/>
    <w:rsid w:val="002B1182"/>
    <w:rsid w:val="002B118D"/>
    <w:rsid w:val="002B1619"/>
    <w:rsid w:val="002B1A42"/>
    <w:rsid w:val="002B1C3B"/>
    <w:rsid w:val="002B1D9D"/>
    <w:rsid w:val="002B20D1"/>
    <w:rsid w:val="002B2379"/>
    <w:rsid w:val="002B3401"/>
    <w:rsid w:val="002B3EF4"/>
    <w:rsid w:val="002B4845"/>
    <w:rsid w:val="002B4C6C"/>
    <w:rsid w:val="002B4EE6"/>
    <w:rsid w:val="002B5567"/>
    <w:rsid w:val="002B5812"/>
    <w:rsid w:val="002B5833"/>
    <w:rsid w:val="002B72AA"/>
    <w:rsid w:val="002B75C0"/>
    <w:rsid w:val="002C0572"/>
    <w:rsid w:val="002C1110"/>
    <w:rsid w:val="002C15ED"/>
    <w:rsid w:val="002C1BC2"/>
    <w:rsid w:val="002C1F09"/>
    <w:rsid w:val="002C22A4"/>
    <w:rsid w:val="002C260B"/>
    <w:rsid w:val="002C27A6"/>
    <w:rsid w:val="002C31E4"/>
    <w:rsid w:val="002C398D"/>
    <w:rsid w:val="002C3A03"/>
    <w:rsid w:val="002C40D2"/>
    <w:rsid w:val="002C43BD"/>
    <w:rsid w:val="002C5245"/>
    <w:rsid w:val="002C564A"/>
    <w:rsid w:val="002C59D8"/>
    <w:rsid w:val="002C5FEB"/>
    <w:rsid w:val="002C6494"/>
    <w:rsid w:val="002C7573"/>
    <w:rsid w:val="002C7B33"/>
    <w:rsid w:val="002D00F7"/>
    <w:rsid w:val="002D0599"/>
    <w:rsid w:val="002D05CB"/>
    <w:rsid w:val="002D0C51"/>
    <w:rsid w:val="002D0E59"/>
    <w:rsid w:val="002D1ED6"/>
    <w:rsid w:val="002D20A4"/>
    <w:rsid w:val="002D24AC"/>
    <w:rsid w:val="002D2C4F"/>
    <w:rsid w:val="002D3800"/>
    <w:rsid w:val="002D3EBB"/>
    <w:rsid w:val="002D455C"/>
    <w:rsid w:val="002D48A1"/>
    <w:rsid w:val="002D55FA"/>
    <w:rsid w:val="002D6066"/>
    <w:rsid w:val="002D67B7"/>
    <w:rsid w:val="002D6A4C"/>
    <w:rsid w:val="002D743D"/>
    <w:rsid w:val="002E02A1"/>
    <w:rsid w:val="002E196A"/>
    <w:rsid w:val="002E1E2B"/>
    <w:rsid w:val="002E1F8A"/>
    <w:rsid w:val="002E20C7"/>
    <w:rsid w:val="002E20CD"/>
    <w:rsid w:val="002E222E"/>
    <w:rsid w:val="002E28D8"/>
    <w:rsid w:val="002E3036"/>
    <w:rsid w:val="002E3638"/>
    <w:rsid w:val="002E37D1"/>
    <w:rsid w:val="002E3BEE"/>
    <w:rsid w:val="002E3C41"/>
    <w:rsid w:val="002E4482"/>
    <w:rsid w:val="002E4DCE"/>
    <w:rsid w:val="002E4E4C"/>
    <w:rsid w:val="002E4EA7"/>
    <w:rsid w:val="002E564B"/>
    <w:rsid w:val="002E5846"/>
    <w:rsid w:val="002E5884"/>
    <w:rsid w:val="002E631B"/>
    <w:rsid w:val="002E792B"/>
    <w:rsid w:val="002E7AEB"/>
    <w:rsid w:val="002E7B79"/>
    <w:rsid w:val="002F06E2"/>
    <w:rsid w:val="002F1B09"/>
    <w:rsid w:val="002F1D56"/>
    <w:rsid w:val="002F1DCB"/>
    <w:rsid w:val="002F1DE4"/>
    <w:rsid w:val="002F333D"/>
    <w:rsid w:val="002F351A"/>
    <w:rsid w:val="002F357F"/>
    <w:rsid w:val="002F3A2C"/>
    <w:rsid w:val="002F428F"/>
    <w:rsid w:val="002F44EF"/>
    <w:rsid w:val="002F4631"/>
    <w:rsid w:val="002F46D6"/>
    <w:rsid w:val="002F498A"/>
    <w:rsid w:val="002F4AD8"/>
    <w:rsid w:val="002F5285"/>
    <w:rsid w:val="002F52CE"/>
    <w:rsid w:val="002F5820"/>
    <w:rsid w:val="002F64BB"/>
    <w:rsid w:val="002F7D9B"/>
    <w:rsid w:val="00300901"/>
    <w:rsid w:val="003009B1"/>
    <w:rsid w:val="00300C31"/>
    <w:rsid w:val="00300D42"/>
    <w:rsid w:val="00300E7D"/>
    <w:rsid w:val="00300FA9"/>
    <w:rsid w:val="00301127"/>
    <w:rsid w:val="00301294"/>
    <w:rsid w:val="003017EC"/>
    <w:rsid w:val="003018D9"/>
    <w:rsid w:val="00302165"/>
    <w:rsid w:val="00302706"/>
    <w:rsid w:val="003036CE"/>
    <w:rsid w:val="00303BB4"/>
    <w:rsid w:val="00303DE8"/>
    <w:rsid w:val="00304771"/>
    <w:rsid w:val="00304F9C"/>
    <w:rsid w:val="003052D4"/>
    <w:rsid w:val="00305863"/>
    <w:rsid w:val="003060D6"/>
    <w:rsid w:val="003060E9"/>
    <w:rsid w:val="00306C5B"/>
    <w:rsid w:val="00307529"/>
    <w:rsid w:val="003077F5"/>
    <w:rsid w:val="00307DB3"/>
    <w:rsid w:val="00307ED2"/>
    <w:rsid w:val="0031010B"/>
    <w:rsid w:val="0031076D"/>
    <w:rsid w:val="003107F8"/>
    <w:rsid w:val="0031169A"/>
    <w:rsid w:val="00311AA6"/>
    <w:rsid w:val="00311C4D"/>
    <w:rsid w:val="003121AB"/>
    <w:rsid w:val="00312A85"/>
    <w:rsid w:val="003136D6"/>
    <w:rsid w:val="00314B30"/>
    <w:rsid w:val="00315067"/>
    <w:rsid w:val="00315169"/>
    <w:rsid w:val="003153C8"/>
    <w:rsid w:val="00315524"/>
    <w:rsid w:val="00315561"/>
    <w:rsid w:val="00316442"/>
    <w:rsid w:val="00316B3D"/>
    <w:rsid w:val="0031701C"/>
    <w:rsid w:val="00320454"/>
    <w:rsid w:val="0032058C"/>
    <w:rsid w:val="0032069E"/>
    <w:rsid w:val="003208D0"/>
    <w:rsid w:val="003209D6"/>
    <w:rsid w:val="00320ACF"/>
    <w:rsid w:val="00320D58"/>
    <w:rsid w:val="003217B9"/>
    <w:rsid w:val="00321924"/>
    <w:rsid w:val="00321AF1"/>
    <w:rsid w:val="00321EB6"/>
    <w:rsid w:val="003220A5"/>
    <w:rsid w:val="003238E0"/>
    <w:rsid w:val="00323A1C"/>
    <w:rsid w:val="00323A2F"/>
    <w:rsid w:val="00323A8E"/>
    <w:rsid w:val="003247E1"/>
    <w:rsid w:val="00324B59"/>
    <w:rsid w:val="0032509D"/>
    <w:rsid w:val="00325967"/>
    <w:rsid w:val="00325E46"/>
    <w:rsid w:val="003260B5"/>
    <w:rsid w:val="0032656E"/>
    <w:rsid w:val="0032788F"/>
    <w:rsid w:val="00330067"/>
    <w:rsid w:val="00330A2C"/>
    <w:rsid w:val="00332190"/>
    <w:rsid w:val="00332761"/>
    <w:rsid w:val="00332A98"/>
    <w:rsid w:val="00332B6A"/>
    <w:rsid w:val="003334BD"/>
    <w:rsid w:val="00333973"/>
    <w:rsid w:val="00333CD0"/>
    <w:rsid w:val="00333F27"/>
    <w:rsid w:val="0033427A"/>
    <w:rsid w:val="0033448D"/>
    <w:rsid w:val="00334AD2"/>
    <w:rsid w:val="00334CB6"/>
    <w:rsid w:val="00335B33"/>
    <w:rsid w:val="0033709C"/>
    <w:rsid w:val="003370C5"/>
    <w:rsid w:val="003373C6"/>
    <w:rsid w:val="0033753A"/>
    <w:rsid w:val="003375E0"/>
    <w:rsid w:val="00337A31"/>
    <w:rsid w:val="00337A36"/>
    <w:rsid w:val="00337B16"/>
    <w:rsid w:val="00337E38"/>
    <w:rsid w:val="00340122"/>
    <w:rsid w:val="003409CA"/>
    <w:rsid w:val="00340BF3"/>
    <w:rsid w:val="00340D3D"/>
    <w:rsid w:val="0034193A"/>
    <w:rsid w:val="00341C6C"/>
    <w:rsid w:val="00341D26"/>
    <w:rsid w:val="00341E9A"/>
    <w:rsid w:val="00341F05"/>
    <w:rsid w:val="00342CDF"/>
    <w:rsid w:val="00342CE7"/>
    <w:rsid w:val="0034335E"/>
    <w:rsid w:val="00343CD0"/>
    <w:rsid w:val="0034464E"/>
    <w:rsid w:val="00344668"/>
    <w:rsid w:val="00344940"/>
    <w:rsid w:val="0034506D"/>
    <w:rsid w:val="0034514C"/>
    <w:rsid w:val="00345489"/>
    <w:rsid w:val="00346234"/>
    <w:rsid w:val="003462D9"/>
    <w:rsid w:val="00346475"/>
    <w:rsid w:val="0034723F"/>
    <w:rsid w:val="00347247"/>
    <w:rsid w:val="003472DE"/>
    <w:rsid w:val="003472E0"/>
    <w:rsid w:val="003474B6"/>
    <w:rsid w:val="00347DD4"/>
    <w:rsid w:val="003512A5"/>
    <w:rsid w:val="00352B43"/>
    <w:rsid w:val="00352C28"/>
    <w:rsid w:val="00353485"/>
    <w:rsid w:val="00353ACC"/>
    <w:rsid w:val="003541BB"/>
    <w:rsid w:val="00354502"/>
    <w:rsid w:val="003546F0"/>
    <w:rsid w:val="00354F89"/>
    <w:rsid w:val="0035506D"/>
    <w:rsid w:val="00357940"/>
    <w:rsid w:val="003579A1"/>
    <w:rsid w:val="0036077F"/>
    <w:rsid w:val="00360A35"/>
    <w:rsid w:val="00360C86"/>
    <w:rsid w:val="00360DEC"/>
    <w:rsid w:val="00360F7A"/>
    <w:rsid w:val="00360FBC"/>
    <w:rsid w:val="00361537"/>
    <w:rsid w:val="00361B2D"/>
    <w:rsid w:val="00361E1B"/>
    <w:rsid w:val="00361FB7"/>
    <w:rsid w:val="0036242A"/>
    <w:rsid w:val="00362C23"/>
    <w:rsid w:val="00362DCA"/>
    <w:rsid w:val="00362E90"/>
    <w:rsid w:val="00363152"/>
    <w:rsid w:val="00364324"/>
    <w:rsid w:val="00364967"/>
    <w:rsid w:val="00364C69"/>
    <w:rsid w:val="00364FA0"/>
    <w:rsid w:val="003650A2"/>
    <w:rsid w:val="003651C5"/>
    <w:rsid w:val="003657F3"/>
    <w:rsid w:val="00365844"/>
    <w:rsid w:val="00365F61"/>
    <w:rsid w:val="0036624C"/>
    <w:rsid w:val="003666B1"/>
    <w:rsid w:val="00367F84"/>
    <w:rsid w:val="0037057F"/>
    <w:rsid w:val="003712BC"/>
    <w:rsid w:val="00371C3E"/>
    <w:rsid w:val="00372164"/>
    <w:rsid w:val="003724CE"/>
    <w:rsid w:val="003738BD"/>
    <w:rsid w:val="00374263"/>
    <w:rsid w:val="003746F0"/>
    <w:rsid w:val="00374A20"/>
    <w:rsid w:val="00374B96"/>
    <w:rsid w:val="00374E21"/>
    <w:rsid w:val="00374E8C"/>
    <w:rsid w:val="0037520A"/>
    <w:rsid w:val="0037537A"/>
    <w:rsid w:val="0037670D"/>
    <w:rsid w:val="00377B2E"/>
    <w:rsid w:val="00380C9B"/>
    <w:rsid w:val="003810F0"/>
    <w:rsid w:val="003815D4"/>
    <w:rsid w:val="003818DC"/>
    <w:rsid w:val="0038214B"/>
    <w:rsid w:val="00382513"/>
    <w:rsid w:val="003827B3"/>
    <w:rsid w:val="00383388"/>
    <w:rsid w:val="0038346A"/>
    <w:rsid w:val="003834F8"/>
    <w:rsid w:val="0038370D"/>
    <w:rsid w:val="003838D0"/>
    <w:rsid w:val="003840C2"/>
    <w:rsid w:val="00384327"/>
    <w:rsid w:val="00384A89"/>
    <w:rsid w:val="00384F9F"/>
    <w:rsid w:val="00385086"/>
    <w:rsid w:val="00385344"/>
    <w:rsid w:val="003856A6"/>
    <w:rsid w:val="00385C7B"/>
    <w:rsid w:val="00385D98"/>
    <w:rsid w:val="00386076"/>
    <w:rsid w:val="00386CDE"/>
    <w:rsid w:val="00390306"/>
    <w:rsid w:val="003908A6"/>
    <w:rsid w:val="0039099B"/>
    <w:rsid w:val="00390A99"/>
    <w:rsid w:val="0039109D"/>
    <w:rsid w:val="00391989"/>
    <w:rsid w:val="00391A6C"/>
    <w:rsid w:val="00391DE6"/>
    <w:rsid w:val="003927F6"/>
    <w:rsid w:val="00392AB8"/>
    <w:rsid w:val="00392C79"/>
    <w:rsid w:val="0039398D"/>
    <w:rsid w:val="00393B3F"/>
    <w:rsid w:val="0039402D"/>
    <w:rsid w:val="00396739"/>
    <w:rsid w:val="003978B1"/>
    <w:rsid w:val="00397C50"/>
    <w:rsid w:val="00397C8B"/>
    <w:rsid w:val="003A0023"/>
    <w:rsid w:val="003A04F6"/>
    <w:rsid w:val="003A07ED"/>
    <w:rsid w:val="003A0837"/>
    <w:rsid w:val="003A17E1"/>
    <w:rsid w:val="003A1FE1"/>
    <w:rsid w:val="003A20E8"/>
    <w:rsid w:val="003A2B4D"/>
    <w:rsid w:val="003A2D12"/>
    <w:rsid w:val="003A2EBA"/>
    <w:rsid w:val="003A30C0"/>
    <w:rsid w:val="003A32DB"/>
    <w:rsid w:val="003A4153"/>
    <w:rsid w:val="003A45E3"/>
    <w:rsid w:val="003A46B8"/>
    <w:rsid w:val="003A478C"/>
    <w:rsid w:val="003A4A38"/>
    <w:rsid w:val="003A4B47"/>
    <w:rsid w:val="003A4E88"/>
    <w:rsid w:val="003A5295"/>
    <w:rsid w:val="003A537D"/>
    <w:rsid w:val="003A5525"/>
    <w:rsid w:val="003A5889"/>
    <w:rsid w:val="003A5C8C"/>
    <w:rsid w:val="003A620D"/>
    <w:rsid w:val="003A6B38"/>
    <w:rsid w:val="003A6B83"/>
    <w:rsid w:val="003A6C97"/>
    <w:rsid w:val="003A722F"/>
    <w:rsid w:val="003A7373"/>
    <w:rsid w:val="003A7D09"/>
    <w:rsid w:val="003A7E41"/>
    <w:rsid w:val="003B0067"/>
    <w:rsid w:val="003B019E"/>
    <w:rsid w:val="003B039F"/>
    <w:rsid w:val="003B0DF4"/>
    <w:rsid w:val="003B1F9D"/>
    <w:rsid w:val="003B2A8D"/>
    <w:rsid w:val="003B2AD1"/>
    <w:rsid w:val="003B2D2E"/>
    <w:rsid w:val="003B376A"/>
    <w:rsid w:val="003B403E"/>
    <w:rsid w:val="003B461F"/>
    <w:rsid w:val="003B483F"/>
    <w:rsid w:val="003B4998"/>
    <w:rsid w:val="003B5A32"/>
    <w:rsid w:val="003B5A37"/>
    <w:rsid w:val="003B5B59"/>
    <w:rsid w:val="003B68B7"/>
    <w:rsid w:val="003B6BAF"/>
    <w:rsid w:val="003B709D"/>
    <w:rsid w:val="003B7B50"/>
    <w:rsid w:val="003C0526"/>
    <w:rsid w:val="003C06D9"/>
    <w:rsid w:val="003C0B07"/>
    <w:rsid w:val="003C1B43"/>
    <w:rsid w:val="003C2363"/>
    <w:rsid w:val="003C2CE7"/>
    <w:rsid w:val="003C2DB8"/>
    <w:rsid w:val="003C3490"/>
    <w:rsid w:val="003C3608"/>
    <w:rsid w:val="003C3A87"/>
    <w:rsid w:val="003C3AE8"/>
    <w:rsid w:val="003C3D2C"/>
    <w:rsid w:val="003C4058"/>
    <w:rsid w:val="003C4E13"/>
    <w:rsid w:val="003C5015"/>
    <w:rsid w:val="003C53DC"/>
    <w:rsid w:val="003C58A5"/>
    <w:rsid w:val="003C6221"/>
    <w:rsid w:val="003C63D7"/>
    <w:rsid w:val="003C658F"/>
    <w:rsid w:val="003C68CC"/>
    <w:rsid w:val="003C6E3A"/>
    <w:rsid w:val="003C7E62"/>
    <w:rsid w:val="003D12B9"/>
    <w:rsid w:val="003D1B0D"/>
    <w:rsid w:val="003D1E2E"/>
    <w:rsid w:val="003D1E7A"/>
    <w:rsid w:val="003D240E"/>
    <w:rsid w:val="003D242B"/>
    <w:rsid w:val="003D2492"/>
    <w:rsid w:val="003D26DF"/>
    <w:rsid w:val="003D29AA"/>
    <w:rsid w:val="003D2A99"/>
    <w:rsid w:val="003D3525"/>
    <w:rsid w:val="003D38BE"/>
    <w:rsid w:val="003D40FC"/>
    <w:rsid w:val="003D4927"/>
    <w:rsid w:val="003D4C3C"/>
    <w:rsid w:val="003D5175"/>
    <w:rsid w:val="003D59D5"/>
    <w:rsid w:val="003D5EBF"/>
    <w:rsid w:val="003D6920"/>
    <w:rsid w:val="003D7396"/>
    <w:rsid w:val="003E0249"/>
    <w:rsid w:val="003E08A4"/>
    <w:rsid w:val="003E105C"/>
    <w:rsid w:val="003E1EF8"/>
    <w:rsid w:val="003E2754"/>
    <w:rsid w:val="003E294B"/>
    <w:rsid w:val="003E2DFB"/>
    <w:rsid w:val="003E41C6"/>
    <w:rsid w:val="003E4466"/>
    <w:rsid w:val="003E4C91"/>
    <w:rsid w:val="003E52D8"/>
    <w:rsid w:val="003E62F1"/>
    <w:rsid w:val="003E64C8"/>
    <w:rsid w:val="003E6DE2"/>
    <w:rsid w:val="003E6ED5"/>
    <w:rsid w:val="003E6F84"/>
    <w:rsid w:val="003E72FF"/>
    <w:rsid w:val="003E7B8A"/>
    <w:rsid w:val="003F0148"/>
    <w:rsid w:val="003F0F37"/>
    <w:rsid w:val="003F139A"/>
    <w:rsid w:val="003F18BB"/>
    <w:rsid w:val="003F1F13"/>
    <w:rsid w:val="003F275B"/>
    <w:rsid w:val="003F2DE7"/>
    <w:rsid w:val="003F313C"/>
    <w:rsid w:val="003F31D2"/>
    <w:rsid w:val="003F33B1"/>
    <w:rsid w:val="003F33B9"/>
    <w:rsid w:val="003F37FC"/>
    <w:rsid w:val="003F3E76"/>
    <w:rsid w:val="003F4318"/>
    <w:rsid w:val="003F4B2C"/>
    <w:rsid w:val="003F551C"/>
    <w:rsid w:val="003F5E2D"/>
    <w:rsid w:val="003F626D"/>
    <w:rsid w:val="003F6380"/>
    <w:rsid w:val="003F72ED"/>
    <w:rsid w:val="003F7793"/>
    <w:rsid w:val="003F7D23"/>
    <w:rsid w:val="00400050"/>
    <w:rsid w:val="004002C8"/>
    <w:rsid w:val="00400468"/>
    <w:rsid w:val="00400885"/>
    <w:rsid w:val="0040099D"/>
    <w:rsid w:val="00401441"/>
    <w:rsid w:val="004016CB"/>
    <w:rsid w:val="00401B23"/>
    <w:rsid w:val="00402ADB"/>
    <w:rsid w:val="00402E33"/>
    <w:rsid w:val="0040368D"/>
    <w:rsid w:val="00403BBF"/>
    <w:rsid w:val="00403D1D"/>
    <w:rsid w:val="00403F57"/>
    <w:rsid w:val="00404244"/>
    <w:rsid w:val="004042F6"/>
    <w:rsid w:val="004046BD"/>
    <w:rsid w:val="00404BAB"/>
    <w:rsid w:val="00405318"/>
    <w:rsid w:val="004059D2"/>
    <w:rsid w:val="00405DCB"/>
    <w:rsid w:val="004060C9"/>
    <w:rsid w:val="004066D0"/>
    <w:rsid w:val="00406C2E"/>
    <w:rsid w:val="00406CDA"/>
    <w:rsid w:val="00406EB0"/>
    <w:rsid w:val="00407101"/>
    <w:rsid w:val="00407711"/>
    <w:rsid w:val="00407C13"/>
    <w:rsid w:val="004103F6"/>
    <w:rsid w:val="00410638"/>
    <w:rsid w:val="00410D14"/>
    <w:rsid w:val="00410EDB"/>
    <w:rsid w:val="004115CE"/>
    <w:rsid w:val="00412511"/>
    <w:rsid w:val="004125C2"/>
    <w:rsid w:val="00412885"/>
    <w:rsid w:val="00412DFA"/>
    <w:rsid w:val="00413465"/>
    <w:rsid w:val="004140A6"/>
    <w:rsid w:val="004149AC"/>
    <w:rsid w:val="0041501E"/>
    <w:rsid w:val="00415452"/>
    <w:rsid w:val="004159C3"/>
    <w:rsid w:val="00415A57"/>
    <w:rsid w:val="00416BAF"/>
    <w:rsid w:val="00416DAC"/>
    <w:rsid w:val="00417106"/>
    <w:rsid w:val="00417997"/>
    <w:rsid w:val="00417B6C"/>
    <w:rsid w:val="00420880"/>
    <w:rsid w:val="00421179"/>
    <w:rsid w:val="004225D2"/>
    <w:rsid w:val="004225D7"/>
    <w:rsid w:val="00423623"/>
    <w:rsid w:val="004241B3"/>
    <w:rsid w:val="0042470E"/>
    <w:rsid w:val="00424E0F"/>
    <w:rsid w:val="00424E7C"/>
    <w:rsid w:val="00425352"/>
    <w:rsid w:val="00425E71"/>
    <w:rsid w:val="00426C99"/>
    <w:rsid w:val="004272BE"/>
    <w:rsid w:val="00430C96"/>
    <w:rsid w:val="0043174F"/>
    <w:rsid w:val="00431BFF"/>
    <w:rsid w:val="00431C82"/>
    <w:rsid w:val="00432199"/>
    <w:rsid w:val="00432A58"/>
    <w:rsid w:val="004331C3"/>
    <w:rsid w:val="004333DF"/>
    <w:rsid w:val="0043369F"/>
    <w:rsid w:val="004337D8"/>
    <w:rsid w:val="00433C17"/>
    <w:rsid w:val="00434171"/>
    <w:rsid w:val="00434617"/>
    <w:rsid w:val="00434DE9"/>
    <w:rsid w:val="00435051"/>
    <w:rsid w:val="00435C69"/>
    <w:rsid w:val="00435EBF"/>
    <w:rsid w:val="004360FB"/>
    <w:rsid w:val="00437CED"/>
    <w:rsid w:val="004401D0"/>
    <w:rsid w:val="004407BF"/>
    <w:rsid w:val="00440900"/>
    <w:rsid w:val="00440AC0"/>
    <w:rsid w:val="00440D2A"/>
    <w:rsid w:val="0044121D"/>
    <w:rsid w:val="00441BF6"/>
    <w:rsid w:val="00441D2B"/>
    <w:rsid w:val="00441F8B"/>
    <w:rsid w:val="00442085"/>
    <w:rsid w:val="00442136"/>
    <w:rsid w:val="0044279E"/>
    <w:rsid w:val="00442882"/>
    <w:rsid w:val="00443519"/>
    <w:rsid w:val="00443C06"/>
    <w:rsid w:val="004441A0"/>
    <w:rsid w:val="00444A2C"/>
    <w:rsid w:val="0044519E"/>
    <w:rsid w:val="00445861"/>
    <w:rsid w:val="00445A8E"/>
    <w:rsid w:val="00446D44"/>
    <w:rsid w:val="00447099"/>
    <w:rsid w:val="0045078A"/>
    <w:rsid w:val="0045086D"/>
    <w:rsid w:val="004509CE"/>
    <w:rsid w:val="00450DAB"/>
    <w:rsid w:val="0045125B"/>
    <w:rsid w:val="004519E2"/>
    <w:rsid w:val="00451E25"/>
    <w:rsid w:val="00451EF1"/>
    <w:rsid w:val="00452985"/>
    <w:rsid w:val="00452E60"/>
    <w:rsid w:val="00452FE9"/>
    <w:rsid w:val="0045321B"/>
    <w:rsid w:val="00453DDF"/>
    <w:rsid w:val="00455833"/>
    <w:rsid w:val="00456065"/>
    <w:rsid w:val="00456FB5"/>
    <w:rsid w:val="00456FE5"/>
    <w:rsid w:val="00457490"/>
    <w:rsid w:val="0045778B"/>
    <w:rsid w:val="0045786C"/>
    <w:rsid w:val="004578E9"/>
    <w:rsid w:val="00457953"/>
    <w:rsid w:val="00457F3C"/>
    <w:rsid w:val="004604D8"/>
    <w:rsid w:val="00460656"/>
    <w:rsid w:val="00460700"/>
    <w:rsid w:val="00460FB3"/>
    <w:rsid w:val="00461ED4"/>
    <w:rsid w:val="00462187"/>
    <w:rsid w:val="00463D3C"/>
    <w:rsid w:val="00464851"/>
    <w:rsid w:val="00464BF5"/>
    <w:rsid w:val="00466595"/>
    <w:rsid w:val="00466A50"/>
    <w:rsid w:val="00466B3E"/>
    <w:rsid w:val="00467174"/>
    <w:rsid w:val="0046746A"/>
    <w:rsid w:val="00467B14"/>
    <w:rsid w:val="00467F8C"/>
    <w:rsid w:val="00467FDC"/>
    <w:rsid w:val="00467FF8"/>
    <w:rsid w:val="00470235"/>
    <w:rsid w:val="004707FE"/>
    <w:rsid w:val="00470ACF"/>
    <w:rsid w:val="00470BB7"/>
    <w:rsid w:val="00470EDC"/>
    <w:rsid w:val="00472418"/>
    <w:rsid w:val="0047276D"/>
    <w:rsid w:val="00472AF6"/>
    <w:rsid w:val="004731E6"/>
    <w:rsid w:val="00473482"/>
    <w:rsid w:val="004734C8"/>
    <w:rsid w:val="00473BF0"/>
    <w:rsid w:val="00474646"/>
    <w:rsid w:val="00474A04"/>
    <w:rsid w:val="00474D39"/>
    <w:rsid w:val="00476240"/>
    <w:rsid w:val="00476439"/>
    <w:rsid w:val="00476450"/>
    <w:rsid w:val="004769BF"/>
    <w:rsid w:val="004769E1"/>
    <w:rsid w:val="00476AEE"/>
    <w:rsid w:val="0047735C"/>
    <w:rsid w:val="00477469"/>
    <w:rsid w:val="004775F8"/>
    <w:rsid w:val="004776BC"/>
    <w:rsid w:val="00477820"/>
    <w:rsid w:val="00477B96"/>
    <w:rsid w:val="00480061"/>
    <w:rsid w:val="00480802"/>
    <w:rsid w:val="004808EA"/>
    <w:rsid w:val="00480BAE"/>
    <w:rsid w:val="00480D7F"/>
    <w:rsid w:val="0048103A"/>
    <w:rsid w:val="0048139F"/>
    <w:rsid w:val="004819D1"/>
    <w:rsid w:val="00481E40"/>
    <w:rsid w:val="00481F13"/>
    <w:rsid w:val="00482047"/>
    <w:rsid w:val="00482405"/>
    <w:rsid w:val="004826A7"/>
    <w:rsid w:val="004828DA"/>
    <w:rsid w:val="0048368C"/>
    <w:rsid w:val="0048372F"/>
    <w:rsid w:val="0048399F"/>
    <w:rsid w:val="00483A0C"/>
    <w:rsid w:val="00483C6A"/>
    <w:rsid w:val="004841CC"/>
    <w:rsid w:val="00484612"/>
    <w:rsid w:val="00484ECE"/>
    <w:rsid w:val="00485366"/>
    <w:rsid w:val="004854F5"/>
    <w:rsid w:val="00485DB6"/>
    <w:rsid w:val="00485E82"/>
    <w:rsid w:val="00486132"/>
    <w:rsid w:val="00486171"/>
    <w:rsid w:val="0048686D"/>
    <w:rsid w:val="00486A4D"/>
    <w:rsid w:val="004873A9"/>
    <w:rsid w:val="00487BA1"/>
    <w:rsid w:val="004915CB"/>
    <w:rsid w:val="00491A2B"/>
    <w:rsid w:val="004924DC"/>
    <w:rsid w:val="00492879"/>
    <w:rsid w:val="00493000"/>
    <w:rsid w:val="004934E3"/>
    <w:rsid w:val="00493E85"/>
    <w:rsid w:val="00494821"/>
    <w:rsid w:val="00495145"/>
    <w:rsid w:val="0049531F"/>
    <w:rsid w:val="004979A5"/>
    <w:rsid w:val="004A0144"/>
    <w:rsid w:val="004A036E"/>
    <w:rsid w:val="004A0389"/>
    <w:rsid w:val="004A046D"/>
    <w:rsid w:val="004A0498"/>
    <w:rsid w:val="004A0620"/>
    <w:rsid w:val="004A06B0"/>
    <w:rsid w:val="004A076F"/>
    <w:rsid w:val="004A07FB"/>
    <w:rsid w:val="004A0D0E"/>
    <w:rsid w:val="004A14E4"/>
    <w:rsid w:val="004A1C12"/>
    <w:rsid w:val="004A1DD6"/>
    <w:rsid w:val="004A204E"/>
    <w:rsid w:val="004A26A5"/>
    <w:rsid w:val="004A27F0"/>
    <w:rsid w:val="004A2BFC"/>
    <w:rsid w:val="004A3212"/>
    <w:rsid w:val="004A37CD"/>
    <w:rsid w:val="004A3BE4"/>
    <w:rsid w:val="004A3E64"/>
    <w:rsid w:val="004A40D9"/>
    <w:rsid w:val="004A49A5"/>
    <w:rsid w:val="004A4C97"/>
    <w:rsid w:val="004A4EB7"/>
    <w:rsid w:val="004A4F8A"/>
    <w:rsid w:val="004A513A"/>
    <w:rsid w:val="004A52AB"/>
    <w:rsid w:val="004A5373"/>
    <w:rsid w:val="004A5494"/>
    <w:rsid w:val="004A5CBF"/>
    <w:rsid w:val="004A5D4E"/>
    <w:rsid w:val="004A61C5"/>
    <w:rsid w:val="004A62A0"/>
    <w:rsid w:val="004A77DF"/>
    <w:rsid w:val="004A7DC0"/>
    <w:rsid w:val="004A7E9A"/>
    <w:rsid w:val="004A7F11"/>
    <w:rsid w:val="004B017D"/>
    <w:rsid w:val="004B059C"/>
    <w:rsid w:val="004B1417"/>
    <w:rsid w:val="004B1627"/>
    <w:rsid w:val="004B1AB1"/>
    <w:rsid w:val="004B1F08"/>
    <w:rsid w:val="004B2B05"/>
    <w:rsid w:val="004B2C28"/>
    <w:rsid w:val="004B305C"/>
    <w:rsid w:val="004B3094"/>
    <w:rsid w:val="004B31B8"/>
    <w:rsid w:val="004B339A"/>
    <w:rsid w:val="004B3DC0"/>
    <w:rsid w:val="004B4958"/>
    <w:rsid w:val="004B4C83"/>
    <w:rsid w:val="004B53BB"/>
    <w:rsid w:val="004B55B7"/>
    <w:rsid w:val="004B564C"/>
    <w:rsid w:val="004B591D"/>
    <w:rsid w:val="004B5BFA"/>
    <w:rsid w:val="004B619E"/>
    <w:rsid w:val="004B6468"/>
    <w:rsid w:val="004B67FA"/>
    <w:rsid w:val="004B6C4C"/>
    <w:rsid w:val="004B6EF8"/>
    <w:rsid w:val="004B7125"/>
    <w:rsid w:val="004B71D4"/>
    <w:rsid w:val="004B74CA"/>
    <w:rsid w:val="004B756A"/>
    <w:rsid w:val="004B7FB1"/>
    <w:rsid w:val="004C0233"/>
    <w:rsid w:val="004C0272"/>
    <w:rsid w:val="004C0970"/>
    <w:rsid w:val="004C0A27"/>
    <w:rsid w:val="004C0B3F"/>
    <w:rsid w:val="004C0CA8"/>
    <w:rsid w:val="004C0F87"/>
    <w:rsid w:val="004C13E4"/>
    <w:rsid w:val="004C25F9"/>
    <w:rsid w:val="004C2794"/>
    <w:rsid w:val="004C2BB6"/>
    <w:rsid w:val="004C2C2D"/>
    <w:rsid w:val="004C3027"/>
    <w:rsid w:val="004C384C"/>
    <w:rsid w:val="004C3867"/>
    <w:rsid w:val="004C3CE4"/>
    <w:rsid w:val="004C3DB0"/>
    <w:rsid w:val="004C4221"/>
    <w:rsid w:val="004C439A"/>
    <w:rsid w:val="004C4720"/>
    <w:rsid w:val="004C4950"/>
    <w:rsid w:val="004C4CD0"/>
    <w:rsid w:val="004C5060"/>
    <w:rsid w:val="004C5165"/>
    <w:rsid w:val="004C589C"/>
    <w:rsid w:val="004C5AE8"/>
    <w:rsid w:val="004C6CC7"/>
    <w:rsid w:val="004C6E0E"/>
    <w:rsid w:val="004C70DC"/>
    <w:rsid w:val="004C74CC"/>
    <w:rsid w:val="004D0211"/>
    <w:rsid w:val="004D0794"/>
    <w:rsid w:val="004D148A"/>
    <w:rsid w:val="004D2D31"/>
    <w:rsid w:val="004D2E03"/>
    <w:rsid w:val="004D3296"/>
    <w:rsid w:val="004D360E"/>
    <w:rsid w:val="004D4056"/>
    <w:rsid w:val="004D483B"/>
    <w:rsid w:val="004D4CB0"/>
    <w:rsid w:val="004D4F03"/>
    <w:rsid w:val="004D5447"/>
    <w:rsid w:val="004D5B0F"/>
    <w:rsid w:val="004D6916"/>
    <w:rsid w:val="004D7385"/>
    <w:rsid w:val="004D7626"/>
    <w:rsid w:val="004D78CD"/>
    <w:rsid w:val="004E07F5"/>
    <w:rsid w:val="004E085C"/>
    <w:rsid w:val="004E12DF"/>
    <w:rsid w:val="004E1368"/>
    <w:rsid w:val="004E13D2"/>
    <w:rsid w:val="004E186A"/>
    <w:rsid w:val="004E18B0"/>
    <w:rsid w:val="004E1A40"/>
    <w:rsid w:val="004E1DB2"/>
    <w:rsid w:val="004E200A"/>
    <w:rsid w:val="004E23FC"/>
    <w:rsid w:val="004E2409"/>
    <w:rsid w:val="004E261D"/>
    <w:rsid w:val="004E3012"/>
    <w:rsid w:val="004E36C5"/>
    <w:rsid w:val="004E3901"/>
    <w:rsid w:val="004E3927"/>
    <w:rsid w:val="004E3B7F"/>
    <w:rsid w:val="004E3BC4"/>
    <w:rsid w:val="004E4882"/>
    <w:rsid w:val="004E50BF"/>
    <w:rsid w:val="004E57BF"/>
    <w:rsid w:val="004E5F41"/>
    <w:rsid w:val="004E6011"/>
    <w:rsid w:val="004E6DE6"/>
    <w:rsid w:val="004E765E"/>
    <w:rsid w:val="004E7815"/>
    <w:rsid w:val="004E79D0"/>
    <w:rsid w:val="004E7C93"/>
    <w:rsid w:val="004F06F5"/>
    <w:rsid w:val="004F0866"/>
    <w:rsid w:val="004F12A4"/>
    <w:rsid w:val="004F1557"/>
    <w:rsid w:val="004F17E7"/>
    <w:rsid w:val="004F253F"/>
    <w:rsid w:val="004F2693"/>
    <w:rsid w:val="004F33A0"/>
    <w:rsid w:val="004F3873"/>
    <w:rsid w:val="004F38A6"/>
    <w:rsid w:val="004F3BD2"/>
    <w:rsid w:val="004F3D8D"/>
    <w:rsid w:val="004F46ED"/>
    <w:rsid w:val="004F49A3"/>
    <w:rsid w:val="004F4C99"/>
    <w:rsid w:val="004F5358"/>
    <w:rsid w:val="004F5FB4"/>
    <w:rsid w:val="004F601B"/>
    <w:rsid w:val="004F6484"/>
    <w:rsid w:val="004F6539"/>
    <w:rsid w:val="004F664A"/>
    <w:rsid w:val="004F72C6"/>
    <w:rsid w:val="004F7A3B"/>
    <w:rsid w:val="004F7B9B"/>
    <w:rsid w:val="00500B90"/>
    <w:rsid w:val="0050155B"/>
    <w:rsid w:val="005036DC"/>
    <w:rsid w:val="00503D54"/>
    <w:rsid w:val="00504215"/>
    <w:rsid w:val="00504513"/>
    <w:rsid w:val="005048E2"/>
    <w:rsid w:val="00504987"/>
    <w:rsid w:val="00504EA4"/>
    <w:rsid w:val="0050586D"/>
    <w:rsid w:val="00505FC8"/>
    <w:rsid w:val="00506603"/>
    <w:rsid w:val="0050668E"/>
    <w:rsid w:val="0050689D"/>
    <w:rsid w:val="005077F5"/>
    <w:rsid w:val="00507E9B"/>
    <w:rsid w:val="005108C0"/>
    <w:rsid w:val="0051094F"/>
    <w:rsid w:val="00511217"/>
    <w:rsid w:val="00511873"/>
    <w:rsid w:val="00511BAF"/>
    <w:rsid w:val="00511EBB"/>
    <w:rsid w:val="00512461"/>
    <w:rsid w:val="00512585"/>
    <w:rsid w:val="005125B8"/>
    <w:rsid w:val="00512A2F"/>
    <w:rsid w:val="005138E7"/>
    <w:rsid w:val="00513B7E"/>
    <w:rsid w:val="00513E9D"/>
    <w:rsid w:val="0051475D"/>
    <w:rsid w:val="00514B11"/>
    <w:rsid w:val="00514BAE"/>
    <w:rsid w:val="00514D48"/>
    <w:rsid w:val="00514DED"/>
    <w:rsid w:val="00515485"/>
    <w:rsid w:val="00515AA7"/>
    <w:rsid w:val="00515BE9"/>
    <w:rsid w:val="00515C74"/>
    <w:rsid w:val="00515CEB"/>
    <w:rsid w:val="0051630F"/>
    <w:rsid w:val="00516FB5"/>
    <w:rsid w:val="00517113"/>
    <w:rsid w:val="005177ED"/>
    <w:rsid w:val="00517C20"/>
    <w:rsid w:val="0052007E"/>
    <w:rsid w:val="0052032E"/>
    <w:rsid w:val="00521CAD"/>
    <w:rsid w:val="0052200D"/>
    <w:rsid w:val="00522425"/>
    <w:rsid w:val="00522A1B"/>
    <w:rsid w:val="00522E01"/>
    <w:rsid w:val="0052337A"/>
    <w:rsid w:val="005235FD"/>
    <w:rsid w:val="00523CBE"/>
    <w:rsid w:val="00524385"/>
    <w:rsid w:val="005246BE"/>
    <w:rsid w:val="00524C43"/>
    <w:rsid w:val="0052504E"/>
    <w:rsid w:val="00525137"/>
    <w:rsid w:val="005251DD"/>
    <w:rsid w:val="00525843"/>
    <w:rsid w:val="00525A38"/>
    <w:rsid w:val="0052635B"/>
    <w:rsid w:val="0052659F"/>
    <w:rsid w:val="00526711"/>
    <w:rsid w:val="00526BE8"/>
    <w:rsid w:val="005271FB"/>
    <w:rsid w:val="0052762C"/>
    <w:rsid w:val="0052792D"/>
    <w:rsid w:val="0053012B"/>
    <w:rsid w:val="005301A6"/>
    <w:rsid w:val="00530A68"/>
    <w:rsid w:val="00530AD4"/>
    <w:rsid w:val="00530CB5"/>
    <w:rsid w:val="0053129F"/>
    <w:rsid w:val="00531C5A"/>
    <w:rsid w:val="005320D6"/>
    <w:rsid w:val="00532C8A"/>
    <w:rsid w:val="00532CE7"/>
    <w:rsid w:val="00532D8B"/>
    <w:rsid w:val="0053324C"/>
    <w:rsid w:val="00533A8D"/>
    <w:rsid w:val="00534A28"/>
    <w:rsid w:val="00535018"/>
    <w:rsid w:val="00535782"/>
    <w:rsid w:val="0053595E"/>
    <w:rsid w:val="00535DF6"/>
    <w:rsid w:val="00535EFB"/>
    <w:rsid w:val="005364EE"/>
    <w:rsid w:val="00536864"/>
    <w:rsid w:val="00537571"/>
    <w:rsid w:val="0053786B"/>
    <w:rsid w:val="00540056"/>
    <w:rsid w:val="005403FA"/>
    <w:rsid w:val="005410E2"/>
    <w:rsid w:val="00541145"/>
    <w:rsid w:val="005413E9"/>
    <w:rsid w:val="00541508"/>
    <w:rsid w:val="0054156A"/>
    <w:rsid w:val="00541AE3"/>
    <w:rsid w:val="00542011"/>
    <w:rsid w:val="00542795"/>
    <w:rsid w:val="00543000"/>
    <w:rsid w:val="00543498"/>
    <w:rsid w:val="00544011"/>
    <w:rsid w:val="00544376"/>
    <w:rsid w:val="00544BE5"/>
    <w:rsid w:val="005453A3"/>
    <w:rsid w:val="00545529"/>
    <w:rsid w:val="005455F6"/>
    <w:rsid w:val="0054582F"/>
    <w:rsid w:val="005459C3"/>
    <w:rsid w:val="00545A09"/>
    <w:rsid w:val="0054603A"/>
    <w:rsid w:val="0054632B"/>
    <w:rsid w:val="005463CF"/>
    <w:rsid w:val="00546982"/>
    <w:rsid w:val="00546FC7"/>
    <w:rsid w:val="00547D48"/>
    <w:rsid w:val="005500F9"/>
    <w:rsid w:val="00550102"/>
    <w:rsid w:val="00550160"/>
    <w:rsid w:val="00550249"/>
    <w:rsid w:val="00550540"/>
    <w:rsid w:val="00551910"/>
    <w:rsid w:val="005519E2"/>
    <w:rsid w:val="00551E16"/>
    <w:rsid w:val="005523A8"/>
    <w:rsid w:val="005525F5"/>
    <w:rsid w:val="00552F2C"/>
    <w:rsid w:val="00553A25"/>
    <w:rsid w:val="00553F4E"/>
    <w:rsid w:val="005547EB"/>
    <w:rsid w:val="00554863"/>
    <w:rsid w:val="005554C7"/>
    <w:rsid w:val="005555E0"/>
    <w:rsid w:val="0055599F"/>
    <w:rsid w:val="00556D68"/>
    <w:rsid w:val="0055707B"/>
    <w:rsid w:val="005570D6"/>
    <w:rsid w:val="0055784A"/>
    <w:rsid w:val="00557E0E"/>
    <w:rsid w:val="00557E45"/>
    <w:rsid w:val="0056056B"/>
    <w:rsid w:val="005605F3"/>
    <w:rsid w:val="00560C41"/>
    <w:rsid w:val="00560C68"/>
    <w:rsid w:val="00560CAC"/>
    <w:rsid w:val="00561639"/>
    <w:rsid w:val="00561F44"/>
    <w:rsid w:val="00562B4D"/>
    <w:rsid w:val="00562DB1"/>
    <w:rsid w:val="005636FF"/>
    <w:rsid w:val="00563EB8"/>
    <w:rsid w:val="005647BF"/>
    <w:rsid w:val="00564AF1"/>
    <w:rsid w:val="00564C19"/>
    <w:rsid w:val="005651B3"/>
    <w:rsid w:val="005655DB"/>
    <w:rsid w:val="00565E88"/>
    <w:rsid w:val="005669F6"/>
    <w:rsid w:val="00567339"/>
    <w:rsid w:val="005678EE"/>
    <w:rsid w:val="00567910"/>
    <w:rsid w:val="00570270"/>
    <w:rsid w:val="00570464"/>
    <w:rsid w:val="00570601"/>
    <w:rsid w:val="00570A34"/>
    <w:rsid w:val="00570BC3"/>
    <w:rsid w:val="0057113A"/>
    <w:rsid w:val="00571766"/>
    <w:rsid w:val="0057182A"/>
    <w:rsid w:val="00571E59"/>
    <w:rsid w:val="00572079"/>
    <w:rsid w:val="005726E2"/>
    <w:rsid w:val="005726EE"/>
    <w:rsid w:val="00572900"/>
    <w:rsid w:val="00573602"/>
    <w:rsid w:val="00573612"/>
    <w:rsid w:val="0057364B"/>
    <w:rsid w:val="00574773"/>
    <w:rsid w:val="005761E8"/>
    <w:rsid w:val="005761EC"/>
    <w:rsid w:val="005766AD"/>
    <w:rsid w:val="00576E34"/>
    <w:rsid w:val="0057727A"/>
    <w:rsid w:val="00577C07"/>
    <w:rsid w:val="00577DB1"/>
    <w:rsid w:val="00577FEB"/>
    <w:rsid w:val="0058035D"/>
    <w:rsid w:val="00580AD3"/>
    <w:rsid w:val="00580DE7"/>
    <w:rsid w:val="005810E1"/>
    <w:rsid w:val="00581680"/>
    <w:rsid w:val="005820CB"/>
    <w:rsid w:val="005820CD"/>
    <w:rsid w:val="0058276F"/>
    <w:rsid w:val="00583BDD"/>
    <w:rsid w:val="00583E52"/>
    <w:rsid w:val="00583FFD"/>
    <w:rsid w:val="00584241"/>
    <w:rsid w:val="00584252"/>
    <w:rsid w:val="005848DD"/>
    <w:rsid w:val="0058519A"/>
    <w:rsid w:val="005856BD"/>
    <w:rsid w:val="00585983"/>
    <w:rsid w:val="00585A37"/>
    <w:rsid w:val="00585BD9"/>
    <w:rsid w:val="0058658B"/>
    <w:rsid w:val="00586BCA"/>
    <w:rsid w:val="00586D16"/>
    <w:rsid w:val="00586E11"/>
    <w:rsid w:val="00587038"/>
    <w:rsid w:val="00590390"/>
    <w:rsid w:val="00590608"/>
    <w:rsid w:val="00590B28"/>
    <w:rsid w:val="005911BE"/>
    <w:rsid w:val="00591273"/>
    <w:rsid w:val="00591E9E"/>
    <w:rsid w:val="005927A4"/>
    <w:rsid w:val="005929EB"/>
    <w:rsid w:val="00592DB2"/>
    <w:rsid w:val="00593152"/>
    <w:rsid w:val="00593389"/>
    <w:rsid w:val="00593A52"/>
    <w:rsid w:val="00593FE6"/>
    <w:rsid w:val="005956A3"/>
    <w:rsid w:val="00595958"/>
    <w:rsid w:val="00595CAB"/>
    <w:rsid w:val="0059622E"/>
    <w:rsid w:val="0059696C"/>
    <w:rsid w:val="00596EAC"/>
    <w:rsid w:val="00597671"/>
    <w:rsid w:val="00597BBF"/>
    <w:rsid w:val="00597BF9"/>
    <w:rsid w:val="00597E2F"/>
    <w:rsid w:val="005A040C"/>
    <w:rsid w:val="005A0463"/>
    <w:rsid w:val="005A05DF"/>
    <w:rsid w:val="005A0948"/>
    <w:rsid w:val="005A0A03"/>
    <w:rsid w:val="005A0BB7"/>
    <w:rsid w:val="005A10F2"/>
    <w:rsid w:val="005A16C0"/>
    <w:rsid w:val="005A1B32"/>
    <w:rsid w:val="005A2156"/>
    <w:rsid w:val="005A21E0"/>
    <w:rsid w:val="005A2401"/>
    <w:rsid w:val="005A28FF"/>
    <w:rsid w:val="005A2C09"/>
    <w:rsid w:val="005A2C72"/>
    <w:rsid w:val="005A3778"/>
    <w:rsid w:val="005A37A5"/>
    <w:rsid w:val="005A37B0"/>
    <w:rsid w:val="005A3DF8"/>
    <w:rsid w:val="005A4787"/>
    <w:rsid w:val="005A5549"/>
    <w:rsid w:val="005A566A"/>
    <w:rsid w:val="005A56E0"/>
    <w:rsid w:val="005A586B"/>
    <w:rsid w:val="005A66B8"/>
    <w:rsid w:val="005A6FEE"/>
    <w:rsid w:val="005A70CA"/>
    <w:rsid w:val="005A7375"/>
    <w:rsid w:val="005A7990"/>
    <w:rsid w:val="005A7ABD"/>
    <w:rsid w:val="005A7CF8"/>
    <w:rsid w:val="005B07B3"/>
    <w:rsid w:val="005B0EDA"/>
    <w:rsid w:val="005B121D"/>
    <w:rsid w:val="005B16DB"/>
    <w:rsid w:val="005B1705"/>
    <w:rsid w:val="005B1B45"/>
    <w:rsid w:val="005B26B0"/>
    <w:rsid w:val="005B39CA"/>
    <w:rsid w:val="005B41C9"/>
    <w:rsid w:val="005B44E6"/>
    <w:rsid w:val="005B4853"/>
    <w:rsid w:val="005B4ECD"/>
    <w:rsid w:val="005B5629"/>
    <w:rsid w:val="005B591B"/>
    <w:rsid w:val="005B6768"/>
    <w:rsid w:val="005B6CA1"/>
    <w:rsid w:val="005B770C"/>
    <w:rsid w:val="005B7910"/>
    <w:rsid w:val="005C06ED"/>
    <w:rsid w:val="005C0CE1"/>
    <w:rsid w:val="005C11B8"/>
    <w:rsid w:val="005C15CC"/>
    <w:rsid w:val="005C216C"/>
    <w:rsid w:val="005C2609"/>
    <w:rsid w:val="005C2B30"/>
    <w:rsid w:val="005C3A0C"/>
    <w:rsid w:val="005C3B1F"/>
    <w:rsid w:val="005C412B"/>
    <w:rsid w:val="005C43EC"/>
    <w:rsid w:val="005C45DD"/>
    <w:rsid w:val="005C460B"/>
    <w:rsid w:val="005C4704"/>
    <w:rsid w:val="005C4CB1"/>
    <w:rsid w:val="005C4EE8"/>
    <w:rsid w:val="005C4F6D"/>
    <w:rsid w:val="005C68DA"/>
    <w:rsid w:val="005C6AE9"/>
    <w:rsid w:val="005C70AB"/>
    <w:rsid w:val="005D015C"/>
    <w:rsid w:val="005D0706"/>
    <w:rsid w:val="005D0B1D"/>
    <w:rsid w:val="005D14DD"/>
    <w:rsid w:val="005D1679"/>
    <w:rsid w:val="005D3F06"/>
    <w:rsid w:val="005D4608"/>
    <w:rsid w:val="005D47A1"/>
    <w:rsid w:val="005D47BF"/>
    <w:rsid w:val="005D4B73"/>
    <w:rsid w:val="005D533D"/>
    <w:rsid w:val="005D5544"/>
    <w:rsid w:val="005D5645"/>
    <w:rsid w:val="005D5802"/>
    <w:rsid w:val="005D5AA9"/>
    <w:rsid w:val="005D5B60"/>
    <w:rsid w:val="005D66E6"/>
    <w:rsid w:val="005D7119"/>
    <w:rsid w:val="005D76C8"/>
    <w:rsid w:val="005D7890"/>
    <w:rsid w:val="005D7AAF"/>
    <w:rsid w:val="005E026B"/>
    <w:rsid w:val="005E0C09"/>
    <w:rsid w:val="005E19C1"/>
    <w:rsid w:val="005E200E"/>
    <w:rsid w:val="005E2194"/>
    <w:rsid w:val="005E24F0"/>
    <w:rsid w:val="005E2E02"/>
    <w:rsid w:val="005E3113"/>
    <w:rsid w:val="005E343F"/>
    <w:rsid w:val="005E36FE"/>
    <w:rsid w:val="005E3F66"/>
    <w:rsid w:val="005E440B"/>
    <w:rsid w:val="005E490F"/>
    <w:rsid w:val="005E4BC9"/>
    <w:rsid w:val="005E4C45"/>
    <w:rsid w:val="005E5314"/>
    <w:rsid w:val="005E5DE7"/>
    <w:rsid w:val="005E61A1"/>
    <w:rsid w:val="005E6F6A"/>
    <w:rsid w:val="005E73E3"/>
    <w:rsid w:val="005E764D"/>
    <w:rsid w:val="005E7724"/>
    <w:rsid w:val="005E7C78"/>
    <w:rsid w:val="005E7FCA"/>
    <w:rsid w:val="005F008C"/>
    <w:rsid w:val="005F04A7"/>
    <w:rsid w:val="005F114F"/>
    <w:rsid w:val="005F121E"/>
    <w:rsid w:val="005F18C5"/>
    <w:rsid w:val="005F216C"/>
    <w:rsid w:val="005F247B"/>
    <w:rsid w:val="005F2A08"/>
    <w:rsid w:val="005F2D46"/>
    <w:rsid w:val="005F36CC"/>
    <w:rsid w:val="005F3825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A77"/>
    <w:rsid w:val="005F6D7F"/>
    <w:rsid w:val="005F6DFE"/>
    <w:rsid w:val="005F7174"/>
    <w:rsid w:val="005F740B"/>
    <w:rsid w:val="005F7834"/>
    <w:rsid w:val="005F7AD7"/>
    <w:rsid w:val="00600DDA"/>
    <w:rsid w:val="0060120D"/>
    <w:rsid w:val="0060176B"/>
    <w:rsid w:val="006017C1"/>
    <w:rsid w:val="006017FD"/>
    <w:rsid w:val="00601ADE"/>
    <w:rsid w:val="00601EEF"/>
    <w:rsid w:val="0060255A"/>
    <w:rsid w:val="00602583"/>
    <w:rsid w:val="006026D4"/>
    <w:rsid w:val="00602998"/>
    <w:rsid w:val="00602D2B"/>
    <w:rsid w:val="00602EB3"/>
    <w:rsid w:val="006033A4"/>
    <w:rsid w:val="00603C3F"/>
    <w:rsid w:val="00603CF2"/>
    <w:rsid w:val="00603E9E"/>
    <w:rsid w:val="00604307"/>
    <w:rsid w:val="0060487F"/>
    <w:rsid w:val="0060498C"/>
    <w:rsid w:val="00604EAD"/>
    <w:rsid w:val="0060513F"/>
    <w:rsid w:val="0060587A"/>
    <w:rsid w:val="00605AEB"/>
    <w:rsid w:val="00606269"/>
    <w:rsid w:val="006065E2"/>
    <w:rsid w:val="0060694B"/>
    <w:rsid w:val="006070F7"/>
    <w:rsid w:val="00607E1D"/>
    <w:rsid w:val="00610131"/>
    <w:rsid w:val="006104FB"/>
    <w:rsid w:val="006116FF"/>
    <w:rsid w:val="0061176D"/>
    <w:rsid w:val="0061200F"/>
    <w:rsid w:val="00612756"/>
    <w:rsid w:val="00612A2F"/>
    <w:rsid w:val="00612AAE"/>
    <w:rsid w:val="00612ADD"/>
    <w:rsid w:val="00612B07"/>
    <w:rsid w:val="00612C5E"/>
    <w:rsid w:val="00612FD9"/>
    <w:rsid w:val="006131CA"/>
    <w:rsid w:val="006133DA"/>
    <w:rsid w:val="006139E0"/>
    <w:rsid w:val="00613D41"/>
    <w:rsid w:val="006147AA"/>
    <w:rsid w:val="00614D35"/>
    <w:rsid w:val="00614D60"/>
    <w:rsid w:val="006156B4"/>
    <w:rsid w:val="00615DAF"/>
    <w:rsid w:val="00615EBF"/>
    <w:rsid w:val="006160AC"/>
    <w:rsid w:val="00616254"/>
    <w:rsid w:val="00616424"/>
    <w:rsid w:val="0061672A"/>
    <w:rsid w:val="00616E05"/>
    <w:rsid w:val="00617985"/>
    <w:rsid w:val="006201BC"/>
    <w:rsid w:val="006204E0"/>
    <w:rsid w:val="00620641"/>
    <w:rsid w:val="006208EE"/>
    <w:rsid w:val="006209F8"/>
    <w:rsid w:val="00620B77"/>
    <w:rsid w:val="00620CEF"/>
    <w:rsid w:val="00621190"/>
    <w:rsid w:val="0062131B"/>
    <w:rsid w:val="00621533"/>
    <w:rsid w:val="00621E26"/>
    <w:rsid w:val="00621EDD"/>
    <w:rsid w:val="006224EA"/>
    <w:rsid w:val="0062263A"/>
    <w:rsid w:val="0062276B"/>
    <w:rsid w:val="006227DF"/>
    <w:rsid w:val="006234A0"/>
    <w:rsid w:val="006236C8"/>
    <w:rsid w:val="00624093"/>
    <w:rsid w:val="0062415E"/>
    <w:rsid w:val="00624A61"/>
    <w:rsid w:val="006252C0"/>
    <w:rsid w:val="00625A84"/>
    <w:rsid w:val="00626079"/>
    <w:rsid w:val="006268C3"/>
    <w:rsid w:val="006272C4"/>
    <w:rsid w:val="006275B5"/>
    <w:rsid w:val="00627725"/>
    <w:rsid w:val="00631698"/>
    <w:rsid w:val="0063177C"/>
    <w:rsid w:val="00631E44"/>
    <w:rsid w:val="00632280"/>
    <w:rsid w:val="0063385B"/>
    <w:rsid w:val="00634898"/>
    <w:rsid w:val="00634C57"/>
    <w:rsid w:val="00634CE7"/>
    <w:rsid w:val="006350D5"/>
    <w:rsid w:val="006350FD"/>
    <w:rsid w:val="00635EBE"/>
    <w:rsid w:val="0063642C"/>
    <w:rsid w:val="006367CA"/>
    <w:rsid w:val="006369D5"/>
    <w:rsid w:val="00636DDD"/>
    <w:rsid w:val="00636EA3"/>
    <w:rsid w:val="006376B3"/>
    <w:rsid w:val="00637858"/>
    <w:rsid w:val="00637B24"/>
    <w:rsid w:val="00637E46"/>
    <w:rsid w:val="006404A7"/>
    <w:rsid w:val="00640A38"/>
    <w:rsid w:val="00640E6B"/>
    <w:rsid w:val="006413FC"/>
    <w:rsid w:val="00641787"/>
    <w:rsid w:val="0064179B"/>
    <w:rsid w:val="00642338"/>
    <w:rsid w:val="006423CE"/>
    <w:rsid w:val="0064247B"/>
    <w:rsid w:val="00642489"/>
    <w:rsid w:val="00643D34"/>
    <w:rsid w:val="00643DFB"/>
    <w:rsid w:val="00644055"/>
    <w:rsid w:val="00644137"/>
    <w:rsid w:val="006442DB"/>
    <w:rsid w:val="006445A3"/>
    <w:rsid w:val="0064478C"/>
    <w:rsid w:val="00644867"/>
    <w:rsid w:val="0064492A"/>
    <w:rsid w:val="00644938"/>
    <w:rsid w:val="006450A3"/>
    <w:rsid w:val="00645160"/>
    <w:rsid w:val="006451E4"/>
    <w:rsid w:val="006453B2"/>
    <w:rsid w:val="0064574B"/>
    <w:rsid w:val="00645B33"/>
    <w:rsid w:val="00647D36"/>
    <w:rsid w:val="00647EDC"/>
    <w:rsid w:val="006502AB"/>
    <w:rsid w:val="0065070F"/>
    <w:rsid w:val="0065153D"/>
    <w:rsid w:val="006516CB"/>
    <w:rsid w:val="00652444"/>
    <w:rsid w:val="00652E30"/>
    <w:rsid w:val="00653BD0"/>
    <w:rsid w:val="00653D96"/>
    <w:rsid w:val="00654110"/>
    <w:rsid w:val="006544E5"/>
    <w:rsid w:val="00654605"/>
    <w:rsid w:val="00656B48"/>
    <w:rsid w:val="00656C5D"/>
    <w:rsid w:val="00656CFB"/>
    <w:rsid w:val="00656D25"/>
    <w:rsid w:val="00657077"/>
    <w:rsid w:val="00657099"/>
    <w:rsid w:val="006576BB"/>
    <w:rsid w:val="00657E87"/>
    <w:rsid w:val="006607D7"/>
    <w:rsid w:val="00660AA1"/>
    <w:rsid w:val="00660D2D"/>
    <w:rsid w:val="00660D4A"/>
    <w:rsid w:val="0066110B"/>
    <w:rsid w:val="00661C41"/>
    <w:rsid w:val="00661EC9"/>
    <w:rsid w:val="00662469"/>
    <w:rsid w:val="0066294E"/>
    <w:rsid w:val="006633C7"/>
    <w:rsid w:val="006636BD"/>
    <w:rsid w:val="0066411C"/>
    <w:rsid w:val="00664205"/>
    <w:rsid w:val="00664647"/>
    <w:rsid w:val="00664803"/>
    <w:rsid w:val="0066502F"/>
    <w:rsid w:val="006653CC"/>
    <w:rsid w:val="00665501"/>
    <w:rsid w:val="00665982"/>
    <w:rsid w:val="00665BA4"/>
    <w:rsid w:val="006660CE"/>
    <w:rsid w:val="006661C5"/>
    <w:rsid w:val="00666BF3"/>
    <w:rsid w:val="0066701F"/>
    <w:rsid w:val="006674A5"/>
    <w:rsid w:val="00667856"/>
    <w:rsid w:val="00667888"/>
    <w:rsid w:val="00667AF2"/>
    <w:rsid w:val="00667C83"/>
    <w:rsid w:val="006702E9"/>
    <w:rsid w:val="00670489"/>
    <w:rsid w:val="006710C9"/>
    <w:rsid w:val="006712D8"/>
    <w:rsid w:val="00671C2B"/>
    <w:rsid w:val="00671D85"/>
    <w:rsid w:val="00671FFC"/>
    <w:rsid w:val="006721E0"/>
    <w:rsid w:val="00672586"/>
    <w:rsid w:val="006727BC"/>
    <w:rsid w:val="00673231"/>
    <w:rsid w:val="006741CD"/>
    <w:rsid w:val="006745DF"/>
    <w:rsid w:val="00674BAC"/>
    <w:rsid w:val="00674D89"/>
    <w:rsid w:val="00674FE8"/>
    <w:rsid w:val="0067514E"/>
    <w:rsid w:val="006756C1"/>
    <w:rsid w:val="00675CB1"/>
    <w:rsid w:val="00675E37"/>
    <w:rsid w:val="0067635D"/>
    <w:rsid w:val="00676556"/>
    <w:rsid w:val="00676736"/>
    <w:rsid w:val="006769A4"/>
    <w:rsid w:val="006769C6"/>
    <w:rsid w:val="00676A86"/>
    <w:rsid w:val="00676D76"/>
    <w:rsid w:val="00676F9F"/>
    <w:rsid w:val="0067701A"/>
    <w:rsid w:val="00677385"/>
    <w:rsid w:val="00677519"/>
    <w:rsid w:val="00677591"/>
    <w:rsid w:val="00677594"/>
    <w:rsid w:val="00677FA3"/>
    <w:rsid w:val="00677FC7"/>
    <w:rsid w:val="0068032F"/>
    <w:rsid w:val="006807C7"/>
    <w:rsid w:val="006809DE"/>
    <w:rsid w:val="00680D37"/>
    <w:rsid w:val="0068174E"/>
    <w:rsid w:val="00681DCE"/>
    <w:rsid w:val="00682110"/>
    <w:rsid w:val="0068260E"/>
    <w:rsid w:val="0068316D"/>
    <w:rsid w:val="00683FEC"/>
    <w:rsid w:val="006846B3"/>
    <w:rsid w:val="006849F8"/>
    <w:rsid w:val="00684B9B"/>
    <w:rsid w:val="00684D59"/>
    <w:rsid w:val="00684E25"/>
    <w:rsid w:val="006856A4"/>
    <w:rsid w:val="006858A4"/>
    <w:rsid w:val="00685C08"/>
    <w:rsid w:val="00685C8C"/>
    <w:rsid w:val="006862C6"/>
    <w:rsid w:val="00686718"/>
    <w:rsid w:val="00686BFA"/>
    <w:rsid w:val="00686DED"/>
    <w:rsid w:val="006873FF"/>
    <w:rsid w:val="006875A0"/>
    <w:rsid w:val="006878C6"/>
    <w:rsid w:val="00687D27"/>
    <w:rsid w:val="006906C6"/>
    <w:rsid w:val="00690EAD"/>
    <w:rsid w:val="00691943"/>
    <w:rsid w:val="00691DDB"/>
    <w:rsid w:val="00692D4C"/>
    <w:rsid w:val="00693319"/>
    <w:rsid w:val="00693550"/>
    <w:rsid w:val="006935DA"/>
    <w:rsid w:val="00693F2E"/>
    <w:rsid w:val="00694622"/>
    <w:rsid w:val="00694F90"/>
    <w:rsid w:val="00695065"/>
    <w:rsid w:val="00695BEF"/>
    <w:rsid w:val="00696251"/>
    <w:rsid w:val="006966C7"/>
    <w:rsid w:val="006968C1"/>
    <w:rsid w:val="006977F6"/>
    <w:rsid w:val="00697827"/>
    <w:rsid w:val="00697A13"/>
    <w:rsid w:val="00697A4F"/>
    <w:rsid w:val="006A065C"/>
    <w:rsid w:val="006A0DD4"/>
    <w:rsid w:val="006A109C"/>
    <w:rsid w:val="006A231B"/>
    <w:rsid w:val="006A2942"/>
    <w:rsid w:val="006A3CAF"/>
    <w:rsid w:val="006A3DDC"/>
    <w:rsid w:val="006A4E91"/>
    <w:rsid w:val="006A5072"/>
    <w:rsid w:val="006A5F4B"/>
    <w:rsid w:val="006A60DC"/>
    <w:rsid w:val="006A6114"/>
    <w:rsid w:val="006A6151"/>
    <w:rsid w:val="006A6565"/>
    <w:rsid w:val="006A6BEA"/>
    <w:rsid w:val="006A7665"/>
    <w:rsid w:val="006A7691"/>
    <w:rsid w:val="006A7EE2"/>
    <w:rsid w:val="006B0402"/>
    <w:rsid w:val="006B0514"/>
    <w:rsid w:val="006B0F92"/>
    <w:rsid w:val="006B133E"/>
    <w:rsid w:val="006B1AAE"/>
    <w:rsid w:val="006B21A0"/>
    <w:rsid w:val="006B2785"/>
    <w:rsid w:val="006B27C7"/>
    <w:rsid w:val="006B2BC2"/>
    <w:rsid w:val="006B31E5"/>
    <w:rsid w:val="006B344A"/>
    <w:rsid w:val="006B5324"/>
    <w:rsid w:val="006B55A2"/>
    <w:rsid w:val="006B58C9"/>
    <w:rsid w:val="006B60ED"/>
    <w:rsid w:val="006B65B4"/>
    <w:rsid w:val="006B6CC5"/>
    <w:rsid w:val="006B6DFA"/>
    <w:rsid w:val="006B74AC"/>
    <w:rsid w:val="006B78D8"/>
    <w:rsid w:val="006B79AD"/>
    <w:rsid w:val="006B79EA"/>
    <w:rsid w:val="006B7B00"/>
    <w:rsid w:val="006B7EB2"/>
    <w:rsid w:val="006C013D"/>
    <w:rsid w:val="006C03E1"/>
    <w:rsid w:val="006C0C5D"/>
    <w:rsid w:val="006C113F"/>
    <w:rsid w:val="006C123E"/>
    <w:rsid w:val="006C15A1"/>
    <w:rsid w:val="006C1752"/>
    <w:rsid w:val="006C17CA"/>
    <w:rsid w:val="006C1984"/>
    <w:rsid w:val="006C19E6"/>
    <w:rsid w:val="006C1DDC"/>
    <w:rsid w:val="006C28CA"/>
    <w:rsid w:val="006C2BBF"/>
    <w:rsid w:val="006C2DBE"/>
    <w:rsid w:val="006C2FBD"/>
    <w:rsid w:val="006C30B9"/>
    <w:rsid w:val="006C3336"/>
    <w:rsid w:val="006C3495"/>
    <w:rsid w:val="006C3A4A"/>
    <w:rsid w:val="006C40C6"/>
    <w:rsid w:val="006C4355"/>
    <w:rsid w:val="006C4587"/>
    <w:rsid w:val="006C469D"/>
    <w:rsid w:val="006C46B5"/>
    <w:rsid w:val="006C4818"/>
    <w:rsid w:val="006C484F"/>
    <w:rsid w:val="006C52EC"/>
    <w:rsid w:val="006C5506"/>
    <w:rsid w:val="006C56D4"/>
    <w:rsid w:val="006C6272"/>
    <w:rsid w:val="006C6681"/>
    <w:rsid w:val="006C683C"/>
    <w:rsid w:val="006C6847"/>
    <w:rsid w:val="006C6924"/>
    <w:rsid w:val="006C6C1E"/>
    <w:rsid w:val="006C7076"/>
    <w:rsid w:val="006C7981"/>
    <w:rsid w:val="006C7AEC"/>
    <w:rsid w:val="006C7CA6"/>
    <w:rsid w:val="006C7E90"/>
    <w:rsid w:val="006D045E"/>
    <w:rsid w:val="006D0DE1"/>
    <w:rsid w:val="006D15D3"/>
    <w:rsid w:val="006D18B3"/>
    <w:rsid w:val="006D192C"/>
    <w:rsid w:val="006D1E89"/>
    <w:rsid w:val="006D26CE"/>
    <w:rsid w:val="006D2850"/>
    <w:rsid w:val="006D317E"/>
    <w:rsid w:val="006D388D"/>
    <w:rsid w:val="006D3E8A"/>
    <w:rsid w:val="006D4040"/>
    <w:rsid w:val="006D47D9"/>
    <w:rsid w:val="006D57A6"/>
    <w:rsid w:val="006D61F6"/>
    <w:rsid w:val="006D63B1"/>
    <w:rsid w:val="006D665F"/>
    <w:rsid w:val="006D6B1A"/>
    <w:rsid w:val="006E1081"/>
    <w:rsid w:val="006E1332"/>
    <w:rsid w:val="006E19CB"/>
    <w:rsid w:val="006E20A5"/>
    <w:rsid w:val="006E234C"/>
    <w:rsid w:val="006E279A"/>
    <w:rsid w:val="006E2A7F"/>
    <w:rsid w:val="006E313B"/>
    <w:rsid w:val="006E34B2"/>
    <w:rsid w:val="006E3A45"/>
    <w:rsid w:val="006E4078"/>
    <w:rsid w:val="006E483A"/>
    <w:rsid w:val="006E51C4"/>
    <w:rsid w:val="006E53AD"/>
    <w:rsid w:val="006E58CB"/>
    <w:rsid w:val="006E6182"/>
    <w:rsid w:val="006E6A93"/>
    <w:rsid w:val="006E6BD5"/>
    <w:rsid w:val="006E70BA"/>
    <w:rsid w:val="006E7227"/>
    <w:rsid w:val="006E7275"/>
    <w:rsid w:val="006E761A"/>
    <w:rsid w:val="006E7794"/>
    <w:rsid w:val="006E7C3B"/>
    <w:rsid w:val="006E7DB5"/>
    <w:rsid w:val="006E7F07"/>
    <w:rsid w:val="006F0646"/>
    <w:rsid w:val="006F0741"/>
    <w:rsid w:val="006F08B6"/>
    <w:rsid w:val="006F0D61"/>
    <w:rsid w:val="006F0F78"/>
    <w:rsid w:val="006F1C27"/>
    <w:rsid w:val="006F2A65"/>
    <w:rsid w:val="006F2EA1"/>
    <w:rsid w:val="006F3DD6"/>
    <w:rsid w:val="006F40DF"/>
    <w:rsid w:val="006F42BB"/>
    <w:rsid w:val="006F438E"/>
    <w:rsid w:val="006F440B"/>
    <w:rsid w:val="006F4638"/>
    <w:rsid w:val="006F48A3"/>
    <w:rsid w:val="006F4DA4"/>
    <w:rsid w:val="006F5416"/>
    <w:rsid w:val="006F564E"/>
    <w:rsid w:val="006F5929"/>
    <w:rsid w:val="006F624B"/>
    <w:rsid w:val="006F64EC"/>
    <w:rsid w:val="006F674E"/>
    <w:rsid w:val="006F6D87"/>
    <w:rsid w:val="006F6FF2"/>
    <w:rsid w:val="006F79FB"/>
    <w:rsid w:val="0070016C"/>
    <w:rsid w:val="007008A9"/>
    <w:rsid w:val="00700E8A"/>
    <w:rsid w:val="007018A4"/>
    <w:rsid w:val="007032D4"/>
    <w:rsid w:val="0070398A"/>
    <w:rsid w:val="00704D20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75A"/>
    <w:rsid w:val="00712C20"/>
    <w:rsid w:val="00712CD7"/>
    <w:rsid w:val="00713549"/>
    <w:rsid w:val="007140BE"/>
    <w:rsid w:val="007147AB"/>
    <w:rsid w:val="00715502"/>
    <w:rsid w:val="00715D01"/>
    <w:rsid w:val="00715E4D"/>
    <w:rsid w:val="00715F12"/>
    <w:rsid w:val="0071677A"/>
    <w:rsid w:val="00716974"/>
    <w:rsid w:val="00716F48"/>
    <w:rsid w:val="007170FB"/>
    <w:rsid w:val="00717114"/>
    <w:rsid w:val="00717127"/>
    <w:rsid w:val="0071779F"/>
    <w:rsid w:val="00717A77"/>
    <w:rsid w:val="007201A6"/>
    <w:rsid w:val="00720310"/>
    <w:rsid w:val="0072080A"/>
    <w:rsid w:val="00720D7A"/>
    <w:rsid w:val="007211F5"/>
    <w:rsid w:val="007213C3"/>
    <w:rsid w:val="00721601"/>
    <w:rsid w:val="00722777"/>
    <w:rsid w:val="00723435"/>
    <w:rsid w:val="00723436"/>
    <w:rsid w:val="007240E2"/>
    <w:rsid w:val="0072420F"/>
    <w:rsid w:val="0072454C"/>
    <w:rsid w:val="0072583E"/>
    <w:rsid w:val="00725BB5"/>
    <w:rsid w:val="00725E58"/>
    <w:rsid w:val="00726AB2"/>
    <w:rsid w:val="007278B8"/>
    <w:rsid w:val="00727C02"/>
    <w:rsid w:val="0073008E"/>
    <w:rsid w:val="00730A8B"/>
    <w:rsid w:val="00730AE8"/>
    <w:rsid w:val="00730F1B"/>
    <w:rsid w:val="0073131F"/>
    <w:rsid w:val="0073136D"/>
    <w:rsid w:val="0073186D"/>
    <w:rsid w:val="00731921"/>
    <w:rsid w:val="007320DE"/>
    <w:rsid w:val="00732344"/>
    <w:rsid w:val="0073261D"/>
    <w:rsid w:val="0073263E"/>
    <w:rsid w:val="0073333D"/>
    <w:rsid w:val="007343C9"/>
    <w:rsid w:val="007343D9"/>
    <w:rsid w:val="00734A46"/>
    <w:rsid w:val="00734F71"/>
    <w:rsid w:val="00735448"/>
    <w:rsid w:val="00736143"/>
    <w:rsid w:val="00736F07"/>
    <w:rsid w:val="007377BD"/>
    <w:rsid w:val="00737A53"/>
    <w:rsid w:val="00737DEC"/>
    <w:rsid w:val="0074004D"/>
    <w:rsid w:val="0074121F"/>
    <w:rsid w:val="007413E4"/>
    <w:rsid w:val="00741493"/>
    <w:rsid w:val="00741F2A"/>
    <w:rsid w:val="007434E5"/>
    <w:rsid w:val="00743884"/>
    <w:rsid w:val="007445B4"/>
    <w:rsid w:val="007448A7"/>
    <w:rsid w:val="0074499B"/>
    <w:rsid w:val="007449D6"/>
    <w:rsid w:val="0074501E"/>
    <w:rsid w:val="007450BF"/>
    <w:rsid w:val="0074598E"/>
    <w:rsid w:val="0074599A"/>
    <w:rsid w:val="007463DA"/>
    <w:rsid w:val="00746EE5"/>
    <w:rsid w:val="00746F45"/>
    <w:rsid w:val="007471A1"/>
    <w:rsid w:val="007477BD"/>
    <w:rsid w:val="007477DA"/>
    <w:rsid w:val="007479D0"/>
    <w:rsid w:val="00747EE9"/>
    <w:rsid w:val="007507E8"/>
    <w:rsid w:val="00750B95"/>
    <w:rsid w:val="00751676"/>
    <w:rsid w:val="007520B6"/>
    <w:rsid w:val="00752180"/>
    <w:rsid w:val="00752323"/>
    <w:rsid w:val="0075325D"/>
    <w:rsid w:val="00753270"/>
    <w:rsid w:val="007532B7"/>
    <w:rsid w:val="00753CAB"/>
    <w:rsid w:val="007548B1"/>
    <w:rsid w:val="00754A70"/>
    <w:rsid w:val="00754BC9"/>
    <w:rsid w:val="00755202"/>
    <w:rsid w:val="0075554A"/>
    <w:rsid w:val="00755D3A"/>
    <w:rsid w:val="00756F00"/>
    <w:rsid w:val="00757241"/>
    <w:rsid w:val="0075751D"/>
    <w:rsid w:val="0075763E"/>
    <w:rsid w:val="007578D3"/>
    <w:rsid w:val="00757CC1"/>
    <w:rsid w:val="007602CF"/>
    <w:rsid w:val="00760391"/>
    <w:rsid w:val="007609C6"/>
    <w:rsid w:val="007615F3"/>
    <w:rsid w:val="0076175D"/>
    <w:rsid w:val="00761CB5"/>
    <w:rsid w:val="00762978"/>
    <w:rsid w:val="007629D5"/>
    <w:rsid w:val="00763534"/>
    <w:rsid w:val="007635F8"/>
    <w:rsid w:val="00763A88"/>
    <w:rsid w:val="00763B36"/>
    <w:rsid w:val="00763B85"/>
    <w:rsid w:val="00763C57"/>
    <w:rsid w:val="00763D45"/>
    <w:rsid w:val="00764423"/>
    <w:rsid w:val="007644A2"/>
    <w:rsid w:val="00764974"/>
    <w:rsid w:val="00764D18"/>
    <w:rsid w:val="00764E6D"/>
    <w:rsid w:val="007651DB"/>
    <w:rsid w:val="0076521E"/>
    <w:rsid w:val="00765222"/>
    <w:rsid w:val="0076579C"/>
    <w:rsid w:val="00765887"/>
    <w:rsid w:val="00765928"/>
    <w:rsid w:val="00765964"/>
    <w:rsid w:val="00765BCC"/>
    <w:rsid w:val="0076600D"/>
    <w:rsid w:val="007661E9"/>
    <w:rsid w:val="00766460"/>
    <w:rsid w:val="0076692D"/>
    <w:rsid w:val="00766A34"/>
    <w:rsid w:val="00767062"/>
    <w:rsid w:val="00767601"/>
    <w:rsid w:val="00767629"/>
    <w:rsid w:val="00767777"/>
    <w:rsid w:val="0076789E"/>
    <w:rsid w:val="00767933"/>
    <w:rsid w:val="00770AB9"/>
    <w:rsid w:val="00770CFC"/>
    <w:rsid w:val="0077130E"/>
    <w:rsid w:val="007713A6"/>
    <w:rsid w:val="007715EE"/>
    <w:rsid w:val="007718D7"/>
    <w:rsid w:val="00771972"/>
    <w:rsid w:val="00771AC5"/>
    <w:rsid w:val="00772279"/>
    <w:rsid w:val="00772DAB"/>
    <w:rsid w:val="00772FF9"/>
    <w:rsid w:val="0077348B"/>
    <w:rsid w:val="00773E63"/>
    <w:rsid w:val="007743DB"/>
    <w:rsid w:val="00774430"/>
    <w:rsid w:val="00774D2C"/>
    <w:rsid w:val="00775327"/>
    <w:rsid w:val="00775E00"/>
    <w:rsid w:val="0077605B"/>
    <w:rsid w:val="00776169"/>
    <w:rsid w:val="007763D0"/>
    <w:rsid w:val="00776527"/>
    <w:rsid w:val="00776858"/>
    <w:rsid w:val="00776ED7"/>
    <w:rsid w:val="00777040"/>
    <w:rsid w:val="00777815"/>
    <w:rsid w:val="00777CE6"/>
    <w:rsid w:val="00777D57"/>
    <w:rsid w:val="0078042D"/>
    <w:rsid w:val="00780BF0"/>
    <w:rsid w:val="00780EF1"/>
    <w:rsid w:val="00780FDA"/>
    <w:rsid w:val="00781A91"/>
    <w:rsid w:val="00781AD3"/>
    <w:rsid w:val="00781F36"/>
    <w:rsid w:val="00783576"/>
    <w:rsid w:val="00784980"/>
    <w:rsid w:val="0078539D"/>
    <w:rsid w:val="007853FD"/>
    <w:rsid w:val="00785778"/>
    <w:rsid w:val="0078653D"/>
    <w:rsid w:val="00786C87"/>
    <w:rsid w:val="0078755E"/>
    <w:rsid w:val="007877C9"/>
    <w:rsid w:val="007903EA"/>
    <w:rsid w:val="00790408"/>
    <w:rsid w:val="00790764"/>
    <w:rsid w:val="00790781"/>
    <w:rsid w:val="0079085F"/>
    <w:rsid w:val="00790B2B"/>
    <w:rsid w:val="00790E96"/>
    <w:rsid w:val="00791005"/>
    <w:rsid w:val="00791D9E"/>
    <w:rsid w:val="007923FF"/>
    <w:rsid w:val="00792596"/>
    <w:rsid w:val="00793684"/>
    <w:rsid w:val="00793776"/>
    <w:rsid w:val="00793C8D"/>
    <w:rsid w:val="00793D78"/>
    <w:rsid w:val="0079420B"/>
    <w:rsid w:val="0079453C"/>
    <w:rsid w:val="00794677"/>
    <w:rsid w:val="0079495C"/>
    <w:rsid w:val="00794FFF"/>
    <w:rsid w:val="0079505F"/>
    <w:rsid w:val="00795759"/>
    <w:rsid w:val="00795C85"/>
    <w:rsid w:val="00796993"/>
    <w:rsid w:val="00796F41"/>
    <w:rsid w:val="00797767"/>
    <w:rsid w:val="007A0358"/>
    <w:rsid w:val="007A0AB6"/>
    <w:rsid w:val="007A0B5E"/>
    <w:rsid w:val="007A170B"/>
    <w:rsid w:val="007A1D5E"/>
    <w:rsid w:val="007A20EB"/>
    <w:rsid w:val="007A22D4"/>
    <w:rsid w:val="007A282C"/>
    <w:rsid w:val="007A293C"/>
    <w:rsid w:val="007A2A3A"/>
    <w:rsid w:val="007A3108"/>
    <w:rsid w:val="007A33E2"/>
    <w:rsid w:val="007A3AEA"/>
    <w:rsid w:val="007A3C7D"/>
    <w:rsid w:val="007A3CAF"/>
    <w:rsid w:val="007A3DF9"/>
    <w:rsid w:val="007A4664"/>
    <w:rsid w:val="007A4782"/>
    <w:rsid w:val="007A516D"/>
    <w:rsid w:val="007A5E65"/>
    <w:rsid w:val="007A65E1"/>
    <w:rsid w:val="007A6A6E"/>
    <w:rsid w:val="007A6AAA"/>
    <w:rsid w:val="007A7033"/>
    <w:rsid w:val="007A74C1"/>
    <w:rsid w:val="007A775D"/>
    <w:rsid w:val="007B04B0"/>
    <w:rsid w:val="007B0834"/>
    <w:rsid w:val="007B0D2A"/>
    <w:rsid w:val="007B0E83"/>
    <w:rsid w:val="007B112A"/>
    <w:rsid w:val="007B11FA"/>
    <w:rsid w:val="007B1396"/>
    <w:rsid w:val="007B168D"/>
    <w:rsid w:val="007B16D6"/>
    <w:rsid w:val="007B1D1B"/>
    <w:rsid w:val="007B2011"/>
    <w:rsid w:val="007B2CFE"/>
    <w:rsid w:val="007B309B"/>
    <w:rsid w:val="007B3D5E"/>
    <w:rsid w:val="007B3DCB"/>
    <w:rsid w:val="007B4C01"/>
    <w:rsid w:val="007B4EA5"/>
    <w:rsid w:val="007B530A"/>
    <w:rsid w:val="007B54AE"/>
    <w:rsid w:val="007B5725"/>
    <w:rsid w:val="007B5B4F"/>
    <w:rsid w:val="007B5C1F"/>
    <w:rsid w:val="007B5D71"/>
    <w:rsid w:val="007B6689"/>
    <w:rsid w:val="007B6747"/>
    <w:rsid w:val="007B6F72"/>
    <w:rsid w:val="007B72A4"/>
    <w:rsid w:val="007B72F7"/>
    <w:rsid w:val="007B74AA"/>
    <w:rsid w:val="007C091B"/>
    <w:rsid w:val="007C10BD"/>
    <w:rsid w:val="007C162D"/>
    <w:rsid w:val="007C1A03"/>
    <w:rsid w:val="007C1B8B"/>
    <w:rsid w:val="007C1F0C"/>
    <w:rsid w:val="007C1FFB"/>
    <w:rsid w:val="007C2D94"/>
    <w:rsid w:val="007C382F"/>
    <w:rsid w:val="007C3BF7"/>
    <w:rsid w:val="007C4281"/>
    <w:rsid w:val="007C43A7"/>
    <w:rsid w:val="007C4A6B"/>
    <w:rsid w:val="007C4B3E"/>
    <w:rsid w:val="007C5055"/>
    <w:rsid w:val="007C5F92"/>
    <w:rsid w:val="007C6002"/>
    <w:rsid w:val="007C6227"/>
    <w:rsid w:val="007C64F7"/>
    <w:rsid w:val="007C6A5C"/>
    <w:rsid w:val="007C6BBD"/>
    <w:rsid w:val="007C6D89"/>
    <w:rsid w:val="007C6F5E"/>
    <w:rsid w:val="007D0382"/>
    <w:rsid w:val="007D0F6B"/>
    <w:rsid w:val="007D1467"/>
    <w:rsid w:val="007D14FE"/>
    <w:rsid w:val="007D1627"/>
    <w:rsid w:val="007D1A1F"/>
    <w:rsid w:val="007D1A29"/>
    <w:rsid w:val="007D213B"/>
    <w:rsid w:val="007D2783"/>
    <w:rsid w:val="007D2E18"/>
    <w:rsid w:val="007D3EF3"/>
    <w:rsid w:val="007D40DF"/>
    <w:rsid w:val="007D42E5"/>
    <w:rsid w:val="007D4458"/>
    <w:rsid w:val="007D58BD"/>
    <w:rsid w:val="007D61BF"/>
    <w:rsid w:val="007D6851"/>
    <w:rsid w:val="007D6861"/>
    <w:rsid w:val="007D6AF9"/>
    <w:rsid w:val="007D7763"/>
    <w:rsid w:val="007E0535"/>
    <w:rsid w:val="007E07F2"/>
    <w:rsid w:val="007E0D4A"/>
    <w:rsid w:val="007E0F2A"/>
    <w:rsid w:val="007E1443"/>
    <w:rsid w:val="007E15E3"/>
    <w:rsid w:val="007E1788"/>
    <w:rsid w:val="007E1EE3"/>
    <w:rsid w:val="007E29B4"/>
    <w:rsid w:val="007E2F12"/>
    <w:rsid w:val="007E3627"/>
    <w:rsid w:val="007E435A"/>
    <w:rsid w:val="007E445C"/>
    <w:rsid w:val="007E49F7"/>
    <w:rsid w:val="007E4AF6"/>
    <w:rsid w:val="007E4C70"/>
    <w:rsid w:val="007E4FF4"/>
    <w:rsid w:val="007E5149"/>
    <w:rsid w:val="007E5815"/>
    <w:rsid w:val="007E5B5F"/>
    <w:rsid w:val="007E5FFD"/>
    <w:rsid w:val="007E69C6"/>
    <w:rsid w:val="007E6F9A"/>
    <w:rsid w:val="007E713A"/>
    <w:rsid w:val="007E78B6"/>
    <w:rsid w:val="007E7978"/>
    <w:rsid w:val="007E7E61"/>
    <w:rsid w:val="007F0845"/>
    <w:rsid w:val="007F0873"/>
    <w:rsid w:val="007F0DFD"/>
    <w:rsid w:val="007F0E1D"/>
    <w:rsid w:val="007F1D62"/>
    <w:rsid w:val="007F20F3"/>
    <w:rsid w:val="007F2353"/>
    <w:rsid w:val="007F2390"/>
    <w:rsid w:val="007F2456"/>
    <w:rsid w:val="007F2CAC"/>
    <w:rsid w:val="007F3AB3"/>
    <w:rsid w:val="007F3CB6"/>
    <w:rsid w:val="007F452F"/>
    <w:rsid w:val="007F4740"/>
    <w:rsid w:val="007F5691"/>
    <w:rsid w:val="007F595A"/>
    <w:rsid w:val="007F5C38"/>
    <w:rsid w:val="007F708D"/>
    <w:rsid w:val="007F7E3F"/>
    <w:rsid w:val="007F7E65"/>
    <w:rsid w:val="008006B3"/>
    <w:rsid w:val="00800B63"/>
    <w:rsid w:val="0080158A"/>
    <w:rsid w:val="008015FF"/>
    <w:rsid w:val="00801AD3"/>
    <w:rsid w:val="00801D2D"/>
    <w:rsid w:val="00801E13"/>
    <w:rsid w:val="00803008"/>
    <w:rsid w:val="00803069"/>
    <w:rsid w:val="0080346B"/>
    <w:rsid w:val="008037A0"/>
    <w:rsid w:val="00803B5C"/>
    <w:rsid w:val="00803BDB"/>
    <w:rsid w:val="00804155"/>
    <w:rsid w:val="00804C9F"/>
    <w:rsid w:val="0080524F"/>
    <w:rsid w:val="0080559E"/>
    <w:rsid w:val="00805920"/>
    <w:rsid w:val="00805928"/>
    <w:rsid w:val="00805AF3"/>
    <w:rsid w:val="008065B0"/>
    <w:rsid w:val="00806C9C"/>
    <w:rsid w:val="008071B1"/>
    <w:rsid w:val="0080734C"/>
    <w:rsid w:val="00807C82"/>
    <w:rsid w:val="008100EB"/>
    <w:rsid w:val="008107EE"/>
    <w:rsid w:val="008117CC"/>
    <w:rsid w:val="00811FF8"/>
    <w:rsid w:val="008120E1"/>
    <w:rsid w:val="00812E3E"/>
    <w:rsid w:val="00812F19"/>
    <w:rsid w:val="0081398C"/>
    <w:rsid w:val="00813D58"/>
    <w:rsid w:val="00813DCA"/>
    <w:rsid w:val="008140E8"/>
    <w:rsid w:val="00815A7D"/>
    <w:rsid w:val="008161A6"/>
    <w:rsid w:val="0081621D"/>
    <w:rsid w:val="008165B8"/>
    <w:rsid w:val="00816905"/>
    <w:rsid w:val="00816D98"/>
    <w:rsid w:val="00816E42"/>
    <w:rsid w:val="00816FCB"/>
    <w:rsid w:val="00817040"/>
    <w:rsid w:val="00817106"/>
    <w:rsid w:val="008172FC"/>
    <w:rsid w:val="00817A17"/>
    <w:rsid w:val="00817EC1"/>
    <w:rsid w:val="0082112D"/>
    <w:rsid w:val="0082113D"/>
    <w:rsid w:val="0082143A"/>
    <w:rsid w:val="00821624"/>
    <w:rsid w:val="00821A86"/>
    <w:rsid w:val="00821FF6"/>
    <w:rsid w:val="008222A7"/>
    <w:rsid w:val="00822574"/>
    <w:rsid w:val="00822738"/>
    <w:rsid w:val="00822980"/>
    <w:rsid w:val="00822F08"/>
    <w:rsid w:val="008246D7"/>
    <w:rsid w:val="008249A7"/>
    <w:rsid w:val="00824BA6"/>
    <w:rsid w:val="00825007"/>
    <w:rsid w:val="00825120"/>
    <w:rsid w:val="00825C4D"/>
    <w:rsid w:val="00826A08"/>
    <w:rsid w:val="00826AC0"/>
    <w:rsid w:val="00826D45"/>
    <w:rsid w:val="00827186"/>
    <w:rsid w:val="00827C8E"/>
    <w:rsid w:val="00830569"/>
    <w:rsid w:val="00830834"/>
    <w:rsid w:val="00830AEA"/>
    <w:rsid w:val="00830E86"/>
    <w:rsid w:val="0083143E"/>
    <w:rsid w:val="008315B8"/>
    <w:rsid w:val="008315D5"/>
    <w:rsid w:val="00831809"/>
    <w:rsid w:val="008318E5"/>
    <w:rsid w:val="00831CDE"/>
    <w:rsid w:val="00831F2B"/>
    <w:rsid w:val="008320C2"/>
    <w:rsid w:val="008320CF"/>
    <w:rsid w:val="008324A3"/>
    <w:rsid w:val="00832600"/>
    <w:rsid w:val="00832F77"/>
    <w:rsid w:val="0083324F"/>
    <w:rsid w:val="008332D0"/>
    <w:rsid w:val="008333AF"/>
    <w:rsid w:val="0083349E"/>
    <w:rsid w:val="00833FD6"/>
    <w:rsid w:val="00834131"/>
    <w:rsid w:val="00834304"/>
    <w:rsid w:val="008343CE"/>
    <w:rsid w:val="0083471A"/>
    <w:rsid w:val="00834E25"/>
    <w:rsid w:val="00834FAA"/>
    <w:rsid w:val="008351FE"/>
    <w:rsid w:val="00835495"/>
    <w:rsid w:val="008354FB"/>
    <w:rsid w:val="00835EC8"/>
    <w:rsid w:val="00835FF1"/>
    <w:rsid w:val="00836065"/>
    <w:rsid w:val="00836086"/>
    <w:rsid w:val="00836243"/>
    <w:rsid w:val="0083630F"/>
    <w:rsid w:val="00836A06"/>
    <w:rsid w:val="008374BC"/>
    <w:rsid w:val="00837652"/>
    <w:rsid w:val="008379D6"/>
    <w:rsid w:val="00837E48"/>
    <w:rsid w:val="00840013"/>
    <w:rsid w:val="00840293"/>
    <w:rsid w:val="008402AD"/>
    <w:rsid w:val="008408D4"/>
    <w:rsid w:val="00840F9E"/>
    <w:rsid w:val="008417B5"/>
    <w:rsid w:val="00841901"/>
    <w:rsid w:val="00841C64"/>
    <w:rsid w:val="0084327A"/>
    <w:rsid w:val="00844D5B"/>
    <w:rsid w:val="0084535F"/>
    <w:rsid w:val="008458BD"/>
    <w:rsid w:val="00846121"/>
    <w:rsid w:val="008461C2"/>
    <w:rsid w:val="008462F1"/>
    <w:rsid w:val="008466C6"/>
    <w:rsid w:val="00846B51"/>
    <w:rsid w:val="0084708F"/>
    <w:rsid w:val="008477C8"/>
    <w:rsid w:val="008478A6"/>
    <w:rsid w:val="008502F6"/>
    <w:rsid w:val="0085036C"/>
    <w:rsid w:val="008504EE"/>
    <w:rsid w:val="00850B02"/>
    <w:rsid w:val="00850E83"/>
    <w:rsid w:val="0085114D"/>
    <w:rsid w:val="00851163"/>
    <w:rsid w:val="008520A8"/>
    <w:rsid w:val="00852217"/>
    <w:rsid w:val="00852B5E"/>
    <w:rsid w:val="00852BA8"/>
    <w:rsid w:val="00853282"/>
    <w:rsid w:val="0085334C"/>
    <w:rsid w:val="00853717"/>
    <w:rsid w:val="008539B9"/>
    <w:rsid w:val="00854291"/>
    <w:rsid w:val="008544E8"/>
    <w:rsid w:val="00854F32"/>
    <w:rsid w:val="00855408"/>
    <w:rsid w:val="00855D03"/>
    <w:rsid w:val="00856D65"/>
    <w:rsid w:val="00856FA4"/>
    <w:rsid w:val="00857701"/>
    <w:rsid w:val="00857995"/>
    <w:rsid w:val="00860967"/>
    <w:rsid w:val="00860D79"/>
    <w:rsid w:val="00861B41"/>
    <w:rsid w:val="00861B9F"/>
    <w:rsid w:val="00861BE3"/>
    <w:rsid w:val="00861DA8"/>
    <w:rsid w:val="00861EB6"/>
    <w:rsid w:val="008624BC"/>
    <w:rsid w:val="008625D3"/>
    <w:rsid w:val="00862C0A"/>
    <w:rsid w:val="00862D2B"/>
    <w:rsid w:val="00863270"/>
    <w:rsid w:val="00863434"/>
    <w:rsid w:val="0086344F"/>
    <w:rsid w:val="00863F9E"/>
    <w:rsid w:val="008641AC"/>
    <w:rsid w:val="00864EFE"/>
    <w:rsid w:val="00865794"/>
    <w:rsid w:val="00865E4C"/>
    <w:rsid w:val="00865ED4"/>
    <w:rsid w:val="00866074"/>
    <w:rsid w:val="00867546"/>
    <w:rsid w:val="0086796D"/>
    <w:rsid w:val="00867DAB"/>
    <w:rsid w:val="00867EE9"/>
    <w:rsid w:val="0087000B"/>
    <w:rsid w:val="008701E4"/>
    <w:rsid w:val="00870329"/>
    <w:rsid w:val="008704E9"/>
    <w:rsid w:val="00870509"/>
    <w:rsid w:val="008705FB"/>
    <w:rsid w:val="00870BBE"/>
    <w:rsid w:val="00870ECD"/>
    <w:rsid w:val="00871F67"/>
    <w:rsid w:val="00872E59"/>
    <w:rsid w:val="00872F4B"/>
    <w:rsid w:val="0087347C"/>
    <w:rsid w:val="008734E7"/>
    <w:rsid w:val="0087368D"/>
    <w:rsid w:val="00873F9E"/>
    <w:rsid w:val="008740CC"/>
    <w:rsid w:val="0087442A"/>
    <w:rsid w:val="00874578"/>
    <w:rsid w:val="00874C72"/>
    <w:rsid w:val="00874FE8"/>
    <w:rsid w:val="00875A32"/>
    <w:rsid w:val="00875AA2"/>
    <w:rsid w:val="00875CC1"/>
    <w:rsid w:val="00876086"/>
    <w:rsid w:val="0087650D"/>
    <w:rsid w:val="00876651"/>
    <w:rsid w:val="00876E83"/>
    <w:rsid w:val="00877216"/>
    <w:rsid w:val="0087722C"/>
    <w:rsid w:val="008772BC"/>
    <w:rsid w:val="00877DEF"/>
    <w:rsid w:val="00880001"/>
    <w:rsid w:val="00880523"/>
    <w:rsid w:val="008808F6"/>
    <w:rsid w:val="00880A0E"/>
    <w:rsid w:val="008817FE"/>
    <w:rsid w:val="00881CD7"/>
    <w:rsid w:val="00882911"/>
    <w:rsid w:val="00882EEB"/>
    <w:rsid w:val="00882F6E"/>
    <w:rsid w:val="008831BD"/>
    <w:rsid w:val="00883202"/>
    <w:rsid w:val="008833D6"/>
    <w:rsid w:val="00883FF0"/>
    <w:rsid w:val="00884E02"/>
    <w:rsid w:val="0088502B"/>
    <w:rsid w:val="0088588B"/>
    <w:rsid w:val="00885D40"/>
    <w:rsid w:val="0088679E"/>
    <w:rsid w:val="00886B1E"/>
    <w:rsid w:val="008873D4"/>
    <w:rsid w:val="008902A5"/>
    <w:rsid w:val="00890CB1"/>
    <w:rsid w:val="008915C7"/>
    <w:rsid w:val="00891EDF"/>
    <w:rsid w:val="00892872"/>
    <w:rsid w:val="0089296D"/>
    <w:rsid w:val="00893E85"/>
    <w:rsid w:val="00893EBE"/>
    <w:rsid w:val="00894031"/>
    <w:rsid w:val="00894C5D"/>
    <w:rsid w:val="00894F4F"/>
    <w:rsid w:val="00895508"/>
    <w:rsid w:val="00895797"/>
    <w:rsid w:val="00895CB0"/>
    <w:rsid w:val="008967E9"/>
    <w:rsid w:val="00896A5C"/>
    <w:rsid w:val="00896ECF"/>
    <w:rsid w:val="00897155"/>
    <w:rsid w:val="008972D2"/>
    <w:rsid w:val="0089754C"/>
    <w:rsid w:val="00897CFA"/>
    <w:rsid w:val="008A0367"/>
    <w:rsid w:val="008A0659"/>
    <w:rsid w:val="008A0A58"/>
    <w:rsid w:val="008A0ADD"/>
    <w:rsid w:val="008A0D27"/>
    <w:rsid w:val="008A1543"/>
    <w:rsid w:val="008A1C59"/>
    <w:rsid w:val="008A1FFE"/>
    <w:rsid w:val="008A2254"/>
    <w:rsid w:val="008A37E2"/>
    <w:rsid w:val="008A388E"/>
    <w:rsid w:val="008A394E"/>
    <w:rsid w:val="008A3CBA"/>
    <w:rsid w:val="008A428D"/>
    <w:rsid w:val="008A4B59"/>
    <w:rsid w:val="008A63E1"/>
    <w:rsid w:val="008A66B7"/>
    <w:rsid w:val="008A68BB"/>
    <w:rsid w:val="008A6AA5"/>
    <w:rsid w:val="008A7127"/>
    <w:rsid w:val="008A737C"/>
    <w:rsid w:val="008A77C8"/>
    <w:rsid w:val="008B0781"/>
    <w:rsid w:val="008B0CBA"/>
    <w:rsid w:val="008B17C8"/>
    <w:rsid w:val="008B1850"/>
    <w:rsid w:val="008B2639"/>
    <w:rsid w:val="008B3454"/>
    <w:rsid w:val="008B3537"/>
    <w:rsid w:val="008B35C1"/>
    <w:rsid w:val="008B3690"/>
    <w:rsid w:val="008B3A80"/>
    <w:rsid w:val="008B3AEC"/>
    <w:rsid w:val="008B3C07"/>
    <w:rsid w:val="008B3C6E"/>
    <w:rsid w:val="008B3E7A"/>
    <w:rsid w:val="008B3F7B"/>
    <w:rsid w:val="008B43CA"/>
    <w:rsid w:val="008B4B38"/>
    <w:rsid w:val="008B5324"/>
    <w:rsid w:val="008B5C99"/>
    <w:rsid w:val="008B6106"/>
    <w:rsid w:val="008B6241"/>
    <w:rsid w:val="008B64BF"/>
    <w:rsid w:val="008B6605"/>
    <w:rsid w:val="008B66C9"/>
    <w:rsid w:val="008B6EBD"/>
    <w:rsid w:val="008B71F2"/>
    <w:rsid w:val="008B7C02"/>
    <w:rsid w:val="008B7D2B"/>
    <w:rsid w:val="008B7EF9"/>
    <w:rsid w:val="008C0049"/>
    <w:rsid w:val="008C025A"/>
    <w:rsid w:val="008C0314"/>
    <w:rsid w:val="008C0E88"/>
    <w:rsid w:val="008C0EBE"/>
    <w:rsid w:val="008C1717"/>
    <w:rsid w:val="008C17F0"/>
    <w:rsid w:val="008C2B57"/>
    <w:rsid w:val="008C32AE"/>
    <w:rsid w:val="008C3A32"/>
    <w:rsid w:val="008C3B05"/>
    <w:rsid w:val="008C3FCC"/>
    <w:rsid w:val="008C43B6"/>
    <w:rsid w:val="008C4B4D"/>
    <w:rsid w:val="008C4B50"/>
    <w:rsid w:val="008C5A37"/>
    <w:rsid w:val="008C5AA7"/>
    <w:rsid w:val="008C5BD3"/>
    <w:rsid w:val="008C5DD4"/>
    <w:rsid w:val="008C652D"/>
    <w:rsid w:val="008C7569"/>
    <w:rsid w:val="008C79C3"/>
    <w:rsid w:val="008D006F"/>
    <w:rsid w:val="008D033D"/>
    <w:rsid w:val="008D0344"/>
    <w:rsid w:val="008D06A2"/>
    <w:rsid w:val="008D0DBD"/>
    <w:rsid w:val="008D0F76"/>
    <w:rsid w:val="008D117E"/>
    <w:rsid w:val="008D127E"/>
    <w:rsid w:val="008D1956"/>
    <w:rsid w:val="008D1CA8"/>
    <w:rsid w:val="008D1E0A"/>
    <w:rsid w:val="008D1E6A"/>
    <w:rsid w:val="008D1EE4"/>
    <w:rsid w:val="008D1F3D"/>
    <w:rsid w:val="008D2407"/>
    <w:rsid w:val="008D2A16"/>
    <w:rsid w:val="008D2AEC"/>
    <w:rsid w:val="008D3295"/>
    <w:rsid w:val="008D3384"/>
    <w:rsid w:val="008D33F5"/>
    <w:rsid w:val="008D35E4"/>
    <w:rsid w:val="008D3611"/>
    <w:rsid w:val="008D3ACD"/>
    <w:rsid w:val="008D4172"/>
    <w:rsid w:val="008D52AA"/>
    <w:rsid w:val="008D5D64"/>
    <w:rsid w:val="008D6C3A"/>
    <w:rsid w:val="008D6FA1"/>
    <w:rsid w:val="008D70E2"/>
    <w:rsid w:val="008D7F47"/>
    <w:rsid w:val="008E0001"/>
    <w:rsid w:val="008E039E"/>
    <w:rsid w:val="008E07C9"/>
    <w:rsid w:val="008E0C45"/>
    <w:rsid w:val="008E192B"/>
    <w:rsid w:val="008E2842"/>
    <w:rsid w:val="008E292B"/>
    <w:rsid w:val="008E2C57"/>
    <w:rsid w:val="008E2C6F"/>
    <w:rsid w:val="008E31FF"/>
    <w:rsid w:val="008E3287"/>
    <w:rsid w:val="008E38E4"/>
    <w:rsid w:val="008E3DFA"/>
    <w:rsid w:val="008E419B"/>
    <w:rsid w:val="008E488D"/>
    <w:rsid w:val="008E51EB"/>
    <w:rsid w:val="008E5746"/>
    <w:rsid w:val="008E5E8E"/>
    <w:rsid w:val="008E64D7"/>
    <w:rsid w:val="008E68DF"/>
    <w:rsid w:val="008E6DCB"/>
    <w:rsid w:val="008E6E5D"/>
    <w:rsid w:val="008E6F06"/>
    <w:rsid w:val="008E7000"/>
    <w:rsid w:val="008E723E"/>
    <w:rsid w:val="008E750C"/>
    <w:rsid w:val="008E7A3F"/>
    <w:rsid w:val="008E7B8E"/>
    <w:rsid w:val="008E7FC9"/>
    <w:rsid w:val="008F0107"/>
    <w:rsid w:val="008F017C"/>
    <w:rsid w:val="008F029B"/>
    <w:rsid w:val="008F0589"/>
    <w:rsid w:val="008F0F23"/>
    <w:rsid w:val="008F130B"/>
    <w:rsid w:val="008F2A5D"/>
    <w:rsid w:val="008F2BC7"/>
    <w:rsid w:val="008F2E48"/>
    <w:rsid w:val="008F2E83"/>
    <w:rsid w:val="008F3636"/>
    <w:rsid w:val="008F37C2"/>
    <w:rsid w:val="008F3B3F"/>
    <w:rsid w:val="008F3FC9"/>
    <w:rsid w:val="008F509F"/>
    <w:rsid w:val="008F525A"/>
    <w:rsid w:val="008F5383"/>
    <w:rsid w:val="008F576A"/>
    <w:rsid w:val="008F585B"/>
    <w:rsid w:val="008F6577"/>
    <w:rsid w:val="008F6614"/>
    <w:rsid w:val="008F6F78"/>
    <w:rsid w:val="008F7FB0"/>
    <w:rsid w:val="009003A8"/>
    <w:rsid w:val="009004AD"/>
    <w:rsid w:val="009005E4"/>
    <w:rsid w:val="00900977"/>
    <w:rsid w:val="00901790"/>
    <w:rsid w:val="00901DE6"/>
    <w:rsid w:val="009021DA"/>
    <w:rsid w:val="00902500"/>
    <w:rsid w:val="00902EFF"/>
    <w:rsid w:val="009032D3"/>
    <w:rsid w:val="00903A8E"/>
    <w:rsid w:val="00903EAD"/>
    <w:rsid w:val="0090432C"/>
    <w:rsid w:val="009043B1"/>
    <w:rsid w:val="0090458B"/>
    <w:rsid w:val="00904F96"/>
    <w:rsid w:val="009052A3"/>
    <w:rsid w:val="00905314"/>
    <w:rsid w:val="00905395"/>
    <w:rsid w:val="009056D7"/>
    <w:rsid w:val="00905B8D"/>
    <w:rsid w:val="00906401"/>
    <w:rsid w:val="009065CB"/>
    <w:rsid w:val="009067EA"/>
    <w:rsid w:val="009068A8"/>
    <w:rsid w:val="00906B79"/>
    <w:rsid w:val="00907606"/>
    <w:rsid w:val="0090786F"/>
    <w:rsid w:val="0091001E"/>
    <w:rsid w:val="0091059E"/>
    <w:rsid w:val="00910C18"/>
    <w:rsid w:val="009110F7"/>
    <w:rsid w:val="009112E3"/>
    <w:rsid w:val="0091155E"/>
    <w:rsid w:val="00912242"/>
    <w:rsid w:val="009122D0"/>
    <w:rsid w:val="0091240B"/>
    <w:rsid w:val="00912437"/>
    <w:rsid w:val="00912A92"/>
    <w:rsid w:val="00913237"/>
    <w:rsid w:val="009133E7"/>
    <w:rsid w:val="00913B36"/>
    <w:rsid w:val="009141AA"/>
    <w:rsid w:val="0091476D"/>
    <w:rsid w:val="00915D07"/>
    <w:rsid w:val="009162AE"/>
    <w:rsid w:val="00917154"/>
    <w:rsid w:val="00917251"/>
    <w:rsid w:val="0091728D"/>
    <w:rsid w:val="00917D0D"/>
    <w:rsid w:val="00917DDF"/>
    <w:rsid w:val="00917FBC"/>
    <w:rsid w:val="009200DE"/>
    <w:rsid w:val="009201F3"/>
    <w:rsid w:val="0092036B"/>
    <w:rsid w:val="009203CC"/>
    <w:rsid w:val="00920EC4"/>
    <w:rsid w:val="0092180B"/>
    <w:rsid w:val="00921F14"/>
    <w:rsid w:val="00922775"/>
    <w:rsid w:val="0092292F"/>
    <w:rsid w:val="00922D28"/>
    <w:rsid w:val="009233E7"/>
    <w:rsid w:val="009237C4"/>
    <w:rsid w:val="00923862"/>
    <w:rsid w:val="00923CB0"/>
    <w:rsid w:val="00923D8C"/>
    <w:rsid w:val="00924871"/>
    <w:rsid w:val="00924AC8"/>
    <w:rsid w:val="00925429"/>
    <w:rsid w:val="0092543F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38"/>
    <w:rsid w:val="0093139F"/>
    <w:rsid w:val="00931BBB"/>
    <w:rsid w:val="00932239"/>
    <w:rsid w:val="00932443"/>
    <w:rsid w:val="00932B32"/>
    <w:rsid w:val="0093305E"/>
    <w:rsid w:val="00933F4A"/>
    <w:rsid w:val="009341F1"/>
    <w:rsid w:val="0093451E"/>
    <w:rsid w:val="00934FF2"/>
    <w:rsid w:val="009355E2"/>
    <w:rsid w:val="009358D7"/>
    <w:rsid w:val="00935BD4"/>
    <w:rsid w:val="00935DFE"/>
    <w:rsid w:val="00935E9D"/>
    <w:rsid w:val="00935F70"/>
    <w:rsid w:val="009360FA"/>
    <w:rsid w:val="0093648B"/>
    <w:rsid w:val="00937017"/>
    <w:rsid w:val="0093734C"/>
    <w:rsid w:val="009373B2"/>
    <w:rsid w:val="009377DF"/>
    <w:rsid w:val="00937AE2"/>
    <w:rsid w:val="009402A1"/>
    <w:rsid w:val="0094061F"/>
    <w:rsid w:val="00940F0F"/>
    <w:rsid w:val="00941912"/>
    <w:rsid w:val="00941A54"/>
    <w:rsid w:val="00942514"/>
    <w:rsid w:val="00942851"/>
    <w:rsid w:val="00943004"/>
    <w:rsid w:val="00943BA9"/>
    <w:rsid w:val="00943CDC"/>
    <w:rsid w:val="0094416B"/>
    <w:rsid w:val="0094427A"/>
    <w:rsid w:val="009449C6"/>
    <w:rsid w:val="00944C7C"/>
    <w:rsid w:val="00945245"/>
    <w:rsid w:val="009453E8"/>
    <w:rsid w:val="00945433"/>
    <w:rsid w:val="00945523"/>
    <w:rsid w:val="009463E1"/>
    <w:rsid w:val="0094683A"/>
    <w:rsid w:val="00946C43"/>
    <w:rsid w:val="009479A6"/>
    <w:rsid w:val="009500F7"/>
    <w:rsid w:val="0095042D"/>
    <w:rsid w:val="00950921"/>
    <w:rsid w:val="00951AF8"/>
    <w:rsid w:val="00951D68"/>
    <w:rsid w:val="00951E5B"/>
    <w:rsid w:val="00952050"/>
    <w:rsid w:val="00952315"/>
    <w:rsid w:val="009523D9"/>
    <w:rsid w:val="00952B7B"/>
    <w:rsid w:val="0095357B"/>
    <w:rsid w:val="00953660"/>
    <w:rsid w:val="009538B3"/>
    <w:rsid w:val="00953E13"/>
    <w:rsid w:val="00954F39"/>
    <w:rsid w:val="009555FD"/>
    <w:rsid w:val="00955BAD"/>
    <w:rsid w:val="00955BD4"/>
    <w:rsid w:val="00955F12"/>
    <w:rsid w:val="009561A5"/>
    <w:rsid w:val="0095664B"/>
    <w:rsid w:val="00956737"/>
    <w:rsid w:val="00956894"/>
    <w:rsid w:val="009568DC"/>
    <w:rsid w:val="00956B8B"/>
    <w:rsid w:val="00957140"/>
    <w:rsid w:val="00957445"/>
    <w:rsid w:val="0095759C"/>
    <w:rsid w:val="009604C7"/>
    <w:rsid w:val="009606FA"/>
    <w:rsid w:val="00961563"/>
    <w:rsid w:val="00961880"/>
    <w:rsid w:val="009618EE"/>
    <w:rsid w:val="00961A4C"/>
    <w:rsid w:val="00961DDD"/>
    <w:rsid w:val="00961E67"/>
    <w:rsid w:val="009624D2"/>
    <w:rsid w:val="009628D9"/>
    <w:rsid w:val="0096300D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504"/>
    <w:rsid w:val="00965797"/>
    <w:rsid w:val="00965A10"/>
    <w:rsid w:val="00965AD0"/>
    <w:rsid w:val="009670A3"/>
    <w:rsid w:val="009674BE"/>
    <w:rsid w:val="00967A4F"/>
    <w:rsid w:val="00967ED4"/>
    <w:rsid w:val="00970B25"/>
    <w:rsid w:val="00970E2C"/>
    <w:rsid w:val="00970EC8"/>
    <w:rsid w:val="00970FB5"/>
    <w:rsid w:val="00971405"/>
    <w:rsid w:val="00971710"/>
    <w:rsid w:val="009717D0"/>
    <w:rsid w:val="00971B87"/>
    <w:rsid w:val="00971C77"/>
    <w:rsid w:val="00971D14"/>
    <w:rsid w:val="00971D19"/>
    <w:rsid w:val="0097203A"/>
    <w:rsid w:val="00972FCD"/>
    <w:rsid w:val="00973324"/>
    <w:rsid w:val="009736DF"/>
    <w:rsid w:val="009741AE"/>
    <w:rsid w:val="009741FC"/>
    <w:rsid w:val="00974782"/>
    <w:rsid w:val="00974923"/>
    <w:rsid w:val="00975140"/>
    <w:rsid w:val="00975909"/>
    <w:rsid w:val="0097633D"/>
    <w:rsid w:val="00977C33"/>
    <w:rsid w:val="00977C3D"/>
    <w:rsid w:val="009808A9"/>
    <w:rsid w:val="00980B56"/>
    <w:rsid w:val="00980D3D"/>
    <w:rsid w:val="0098103E"/>
    <w:rsid w:val="0098157D"/>
    <w:rsid w:val="00982E92"/>
    <w:rsid w:val="00983101"/>
    <w:rsid w:val="00983E41"/>
    <w:rsid w:val="009844B1"/>
    <w:rsid w:val="009845E1"/>
    <w:rsid w:val="00984CE5"/>
    <w:rsid w:val="00984D1B"/>
    <w:rsid w:val="00985CAB"/>
    <w:rsid w:val="00986246"/>
    <w:rsid w:val="009867E7"/>
    <w:rsid w:val="00986858"/>
    <w:rsid w:val="009876AB"/>
    <w:rsid w:val="00987A30"/>
    <w:rsid w:val="00987F3F"/>
    <w:rsid w:val="00990312"/>
    <w:rsid w:val="009908AF"/>
    <w:rsid w:val="0099182E"/>
    <w:rsid w:val="00991D45"/>
    <w:rsid w:val="00991FDF"/>
    <w:rsid w:val="009928A6"/>
    <w:rsid w:val="00992B49"/>
    <w:rsid w:val="00992BB3"/>
    <w:rsid w:val="00992CF3"/>
    <w:rsid w:val="00993194"/>
    <w:rsid w:val="009931C3"/>
    <w:rsid w:val="0099321E"/>
    <w:rsid w:val="0099370F"/>
    <w:rsid w:val="00993875"/>
    <w:rsid w:val="00993BE7"/>
    <w:rsid w:val="00993ECA"/>
    <w:rsid w:val="00994171"/>
    <w:rsid w:val="00994868"/>
    <w:rsid w:val="00994976"/>
    <w:rsid w:val="00994D28"/>
    <w:rsid w:val="00994F2C"/>
    <w:rsid w:val="00995472"/>
    <w:rsid w:val="009954EC"/>
    <w:rsid w:val="00995720"/>
    <w:rsid w:val="009957CC"/>
    <w:rsid w:val="00995960"/>
    <w:rsid w:val="00995C90"/>
    <w:rsid w:val="00996017"/>
    <w:rsid w:val="00996614"/>
    <w:rsid w:val="009968D6"/>
    <w:rsid w:val="009974E0"/>
    <w:rsid w:val="00997953"/>
    <w:rsid w:val="00997D55"/>
    <w:rsid w:val="009A04D4"/>
    <w:rsid w:val="009A09E1"/>
    <w:rsid w:val="009A0BFF"/>
    <w:rsid w:val="009A10A0"/>
    <w:rsid w:val="009A12B7"/>
    <w:rsid w:val="009A1CAB"/>
    <w:rsid w:val="009A2359"/>
    <w:rsid w:val="009A24F1"/>
    <w:rsid w:val="009A27E0"/>
    <w:rsid w:val="009A3047"/>
    <w:rsid w:val="009A30B2"/>
    <w:rsid w:val="009A4D57"/>
    <w:rsid w:val="009A51A5"/>
    <w:rsid w:val="009A5309"/>
    <w:rsid w:val="009A5759"/>
    <w:rsid w:val="009A5A36"/>
    <w:rsid w:val="009A5C68"/>
    <w:rsid w:val="009A60D1"/>
    <w:rsid w:val="009A6225"/>
    <w:rsid w:val="009A64F5"/>
    <w:rsid w:val="009A6828"/>
    <w:rsid w:val="009A74DC"/>
    <w:rsid w:val="009A7A5B"/>
    <w:rsid w:val="009B00D2"/>
    <w:rsid w:val="009B05B3"/>
    <w:rsid w:val="009B07C8"/>
    <w:rsid w:val="009B0CAF"/>
    <w:rsid w:val="009B1324"/>
    <w:rsid w:val="009B1861"/>
    <w:rsid w:val="009B1EC3"/>
    <w:rsid w:val="009B2558"/>
    <w:rsid w:val="009B27ED"/>
    <w:rsid w:val="009B284F"/>
    <w:rsid w:val="009B35C8"/>
    <w:rsid w:val="009B3659"/>
    <w:rsid w:val="009B3764"/>
    <w:rsid w:val="009B3840"/>
    <w:rsid w:val="009B3D4A"/>
    <w:rsid w:val="009B47F6"/>
    <w:rsid w:val="009B485A"/>
    <w:rsid w:val="009B52AC"/>
    <w:rsid w:val="009B553D"/>
    <w:rsid w:val="009B5629"/>
    <w:rsid w:val="009B5861"/>
    <w:rsid w:val="009B59EA"/>
    <w:rsid w:val="009B5B6E"/>
    <w:rsid w:val="009B66CE"/>
    <w:rsid w:val="009B6939"/>
    <w:rsid w:val="009B6A56"/>
    <w:rsid w:val="009B6F8F"/>
    <w:rsid w:val="009B6FD3"/>
    <w:rsid w:val="009B72BE"/>
    <w:rsid w:val="009B78A4"/>
    <w:rsid w:val="009B7DB2"/>
    <w:rsid w:val="009C03DB"/>
    <w:rsid w:val="009C0585"/>
    <w:rsid w:val="009C15AF"/>
    <w:rsid w:val="009C1750"/>
    <w:rsid w:val="009C205B"/>
    <w:rsid w:val="009C2C39"/>
    <w:rsid w:val="009C2E29"/>
    <w:rsid w:val="009C3376"/>
    <w:rsid w:val="009C3684"/>
    <w:rsid w:val="009C3E8F"/>
    <w:rsid w:val="009C4B3A"/>
    <w:rsid w:val="009C554B"/>
    <w:rsid w:val="009C5E83"/>
    <w:rsid w:val="009C7126"/>
    <w:rsid w:val="009C719E"/>
    <w:rsid w:val="009C744C"/>
    <w:rsid w:val="009C7457"/>
    <w:rsid w:val="009C7799"/>
    <w:rsid w:val="009D0225"/>
    <w:rsid w:val="009D07A9"/>
    <w:rsid w:val="009D0AE2"/>
    <w:rsid w:val="009D0D9F"/>
    <w:rsid w:val="009D0EBB"/>
    <w:rsid w:val="009D0F6F"/>
    <w:rsid w:val="009D1169"/>
    <w:rsid w:val="009D1647"/>
    <w:rsid w:val="009D164D"/>
    <w:rsid w:val="009D2C46"/>
    <w:rsid w:val="009D3ACD"/>
    <w:rsid w:val="009D3EC7"/>
    <w:rsid w:val="009D40A7"/>
    <w:rsid w:val="009D4254"/>
    <w:rsid w:val="009D4F21"/>
    <w:rsid w:val="009D5012"/>
    <w:rsid w:val="009D587D"/>
    <w:rsid w:val="009D59E6"/>
    <w:rsid w:val="009D5CAD"/>
    <w:rsid w:val="009D6581"/>
    <w:rsid w:val="009D6EA6"/>
    <w:rsid w:val="009D72F8"/>
    <w:rsid w:val="009D7731"/>
    <w:rsid w:val="009D779F"/>
    <w:rsid w:val="009D78C3"/>
    <w:rsid w:val="009D7CC3"/>
    <w:rsid w:val="009E027B"/>
    <w:rsid w:val="009E1120"/>
    <w:rsid w:val="009E1393"/>
    <w:rsid w:val="009E1796"/>
    <w:rsid w:val="009E1922"/>
    <w:rsid w:val="009E1A3D"/>
    <w:rsid w:val="009E245A"/>
    <w:rsid w:val="009E274E"/>
    <w:rsid w:val="009E34C4"/>
    <w:rsid w:val="009E3657"/>
    <w:rsid w:val="009E4715"/>
    <w:rsid w:val="009E49FD"/>
    <w:rsid w:val="009E4A58"/>
    <w:rsid w:val="009E5273"/>
    <w:rsid w:val="009E52C3"/>
    <w:rsid w:val="009E57A8"/>
    <w:rsid w:val="009E5B85"/>
    <w:rsid w:val="009E5DDB"/>
    <w:rsid w:val="009E7501"/>
    <w:rsid w:val="009E7667"/>
    <w:rsid w:val="009E7EA7"/>
    <w:rsid w:val="009F032E"/>
    <w:rsid w:val="009F13D3"/>
    <w:rsid w:val="009F1CA6"/>
    <w:rsid w:val="009F218B"/>
    <w:rsid w:val="009F2921"/>
    <w:rsid w:val="009F3217"/>
    <w:rsid w:val="009F3D5C"/>
    <w:rsid w:val="009F42CF"/>
    <w:rsid w:val="009F4982"/>
    <w:rsid w:val="009F4CA7"/>
    <w:rsid w:val="009F4F6A"/>
    <w:rsid w:val="009F5554"/>
    <w:rsid w:val="009F55BA"/>
    <w:rsid w:val="009F5694"/>
    <w:rsid w:val="009F5C36"/>
    <w:rsid w:val="009F6097"/>
    <w:rsid w:val="009F6A42"/>
    <w:rsid w:val="009F7B14"/>
    <w:rsid w:val="009F7D36"/>
    <w:rsid w:val="009F7D61"/>
    <w:rsid w:val="00A0032F"/>
    <w:rsid w:val="00A00470"/>
    <w:rsid w:val="00A0069E"/>
    <w:rsid w:val="00A00E71"/>
    <w:rsid w:val="00A0187B"/>
    <w:rsid w:val="00A02969"/>
    <w:rsid w:val="00A02E8B"/>
    <w:rsid w:val="00A0306F"/>
    <w:rsid w:val="00A03511"/>
    <w:rsid w:val="00A03B10"/>
    <w:rsid w:val="00A03E2E"/>
    <w:rsid w:val="00A04616"/>
    <w:rsid w:val="00A04717"/>
    <w:rsid w:val="00A04D56"/>
    <w:rsid w:val="00A04F83"/>
    <w:rsid w:val="00A05577"/>
    <w:rsid w:val="00A05CF1"/>
    <w:rsid w:val="00A05D8F"/>
    <w:rsid w:val="00A05EB1"/>
    <w:rsid w:val="00A05EE4"/>
    <w:rsid w:val="00A06CA7"/>
    <w:rsid w:val="00A06D1D"/>
    <w:rsid w:val="00A06F99"/>
    <w:rsid w:val="00A07153"/>
    <w:rsid w:val="00A07316"/>
    <w:rsid w:val="00A073FD"/>
    <w:rsid w:val="00A07B79"/>
    <w:rsid w:val="00A1053B"/>
    <w:rsid w:val="00A10D66"/>
    <w:rsid w:val="00A113A4"/>
    <w:rsid w:val="00A12A8E"/>
    <w:rsid w:val="00A13367"/>
    <w:rsid w:val="00A133F9"/>
    <w:rsid w:val="00A14114"/>
    <w:rsid w:val="00A147AC"/>
    <w:rsid w:val="00A14F4D"/>
    <w:rsid w:val="00A16413"/>
    <w:rsid w:val="00A16545"/>
    <w:rsid w:val="00A16A1A"/>
    <w:rsid w:val="00A16A9F"/>
    <w:rsid w:val="00A16AED"/>
    <w:rsid w:val="00A16BD3"/>
    <w:rsid w:val="00A16C37"/>
    <w:rsid w:val="00A16E1D"/>
    <w:rsid w:val="00A16E4C"/>
    <w:rsid w:val="00A171D5"/>
    <w:rsid w:val="00A17A15"/>
    <w:rsid w:val="00A17A37"/>
    <w:rsid w:val="00A17D5B"/>
    <w:rsid w:val="00A2016A"/>
    <w:rsid w:val="00A201E1"/>
    <w:rsid w:val="00A2028B"/>
    <w:rsid w:val="00A20FE1"/>
    <w:rsid w:val="00A2102F"/>
    <w:rsid w:val="00A21B4D"/>
    <w:rsid w:val="00A22073"/>
    <w:rsid w:val="00A223E0"/>
    <w:rsid w:val="00A22959"/>
    <w:rsid w:val="00A23158"/>
    <w:rsid w:val="00A232D7"/>
    <w:rsid w:val="00A23847"/>
    <w:rsid w:val="00A23BB7"/>
    <w:rsid w:val="00A23E43"/>
    <w:rsid w:val="00A242C7"/>
    <w:rsid w:val="00A24425"/>
    <w:rsid w:val="00A245CC"/>
    <w:rsid w:val="00A24726"/>
    <w:rsid w:val="00A24BEF"/>
    <w:rsid w:val="00A24DEB"/>
    <w:rsid w:val="00A24ED9"/>
    <w:rsid w:val="00A251DB"/>
    <w:rsid w:val="00A25216"/>
    <w:rsid w:val="00A2597D"/>
    <w:rsid w:val="00A259CC"/>
    <w:rsid w:val="00A25A28"/>
    <w:rsid w:val="00A25AA3"/>
    <w:rsid w:val="00A25FC3"/>
    <w:rsid w:val="00A2601E"/>
    <w:rsid w:val="00A2628E"/>
    <w:rsid w:val="00A266BF"/>
    <w:rsid w:val="00A26777"/>
    <w:rsid w:val="00A269AB"/>
    <w:rsid w:val="00A2731E"/>
    <w:rsid w:val="00A27D06"/>
    <w:rsid w:val="00A309AC"/>
    <w:rsid w:val="00A30EA4"/>
    <w:rsid w:val="00A30F65"/>
    <w:rsid w:val="00A315CD"/>
    <w:rsid w:val="00A315D0"/>
    <w:rsid w:val="00A3279E"/>
    <w:rsid w:val="00A33DB1"/>
    <w:rsid w:val="00A33EEB"/>
    <w:rsid w:val="00A34132"/>
    <w:rsid w:val="00A341CD"/>
    <w:rsid w:val="00A34FCE"/>
    <w:rsid w:val="00A351C8"/>
    <w:rsid w:val="00A35900"/>
    <w:rsid w:val="00A35BC9"/>
    <w:rsid w:val="00A35F33"/>
    <w:rsid w:val="00A375ED"/>
    <w:rsid w:val="00A401A3"/>
    <w:rsid w:val="00A40EAC"/>
    <w:rsid w:val="00A418BC"/>
    <w:rsid w:val="00A419FF"/>
    <w:rsid w:val="00A41FCF"/>
    <w:rsid w:val="00A423DE"/>
    <w:rsid w:val="00A42936"/>
    <w:rsid w:val="00A4328D"/>
    <w:rsid w:val="00A4393F"/>
    <w:rsid w:val="00A43CF8"/>
    <w:rsid w:val="00A43DF2"/>
    <w:rsid w:val="00A44336"/>
    <w:rsid w:val="00A445A8"/>
    <w:rsid w:val="00A44964"/>
    <w:rsid w:val="00A44B0D"/>
    <w:rsid w:val="00A44D21"/>
    <w:rsid w:val="00A44E3F"/>
    <w:rsid w:val="00A45014"/>
    <w:rsid w:val="00A45087"/>
    <w:rsid w:val="00A45366"/>
    <w:rsid w:val="00A45487"/>
    <w:rsid w:val="00A45489"/>
    <w:rsid w:val="00A45858"/>
    <w:rsid w:val="00A45CED"/>
    <w:rsid w:val="00A465E9"/>
    <w:rsid w:val="00A468E7"/>
    <w:rsid w:val="00A46DA0"/>
    <w:rsid w:val="00A46DE0"/>
    <w:rsid w:val="00A47240"/>
    <w:rsid w:val="00A476A5"/>
    <w:rsid w:val="00A478BA"/>
    <w:rsid w:val="00A50D73"/>
    <w:rsid w:val="00A514CC"/>
    <w:rsid w:val="00A518BB"/>
    <w:rsid w:val="00A52A88"/>
    <w:rsid w:val="00A52CAD"/>
    <w:rsid w:val="00A53340"/>
    <w:rsid w:val="00A53560"/>
    <w:rsid w:val="00A53FC7"/>
    <w:rsid w:val="00A54AAF"/>
    <w:rsid w:val="00A55569"/>
    <w:rsid w:val="00A55ABC"/>
    <w:rsid w:val="00A55C36"/>
    <w:rsid w:val="00A5661B"/>
    <w:rsid w:val="00A566A0"/>
    <w:rsid w:val="00A56F74"/>
    <w:rsid w:val="00A57594"/>
    <w:rsid w:val="00A601AA"/>
    <w:rsid w:val="00A601E7"/>
    <w:rsid w:val="00A609BD"/>
    <w:rsid w:val="00A60AC1"/>
    <w:rsid w:val="00A60FF7"/>
    <w:rsid w:val="00A620A9"/>
    <w:rsid w:val="00A62162"/>
    <w:rsid w:val="00A62555"/>
    <w:rsid w:val="00A626FF"/>
    <w:rsid w:val="00A62CE1"/>
    <w:rsid w:val="00A63449"/>
    <w:rsid w:val="00A65469"/>
    <w:rsid w:val="00A65528"/>
    <w:rsid w:val="00A655D3"/>
    <w:rsid w:val="00A662D9"/>
    <w:rsid w:val="00A6630C"/>
    <w:rsid w:val="00A6741E"/>
    <w:rsid w:val="00A67605"/>
    <w:rsid w:val="00A676F1"/>
    <w:rsid w:val="00A67E29"/>
    <w:rsid w:val="00A7016A"/>
    <w:rsid w:val="00A7018D"/>
    <w:rsid w:val="00A709DE"/>
    <w:rsid w:val="00A7108C"/>
    <w:rsid w:val="00A71181"/>
    <w:rsid w:val="00A7191D"/>
    <w:rsid w:val="00A71E82"/>
    <w:rsid w:val="00A72154"/>
    <w:rsid w:val="00A722F9"/>
    <w:rsid w:val="00A72347"/>
    <w:rsid w:val="00A72D42"/>
    <w:rsid w:val="00A746C9"/>
    <w:rsid w:val="00A747D4"/>
    <w:rsid w:val="00A74C2A"/>
    <w:rsid w:val="00A75684"/>
    <w:rsid w:val="00A75E40"/>
    <w:rsid w:val="00A76353"/>
    <w:rsid w:val="00A76818"/>
    <w:rsid w:val="00A77D1D"/>
    <w:rsid w:val="00A77E6B"/>
    <w:rsid w:val="00A809AD"/>
    <w:rsid w:val="00A81374"/>
    <w:rsid w:val="00A81652"/>
    <w:rsid w:val="00A822F8"/>
    <w:rsid w:val="00A82ADA"/>
    <w:rsid w:val="00A82BF0"/>
    <w:rsid w:val="00A82C91"/>
    <w:rsid w:val="00A83150"/>
    <w:rsid w:val="00A83398"/>
    <w:rsid w:val="00A83D6E"/>
    <w:rsid w:val="00A83FD5"/>
    <w:rsid w:val="00A84C1D"/>
    <w:rsid w:val="00A84FB7"/>
    <w:rsid w:val="00A8521A"/>
    <w:rsid w:val="00A8552B"/>
    <w:rsid w:val="00A85537"/>
    <w:rsid w:val="00A857C0"/>
    <w:rsid w:val="00A85ACB"/>
    <w:rsid w:val="00A9036F"/>
    <w:rsid w:val="00A904C6"/>
    <w:rsid w:val="00A9092B"/>
    <w:rsid w:val="00A90F2C"/>
    <w:rsid w:val="00A90FED"/>
    <w:rsid w:val="00A9142F"/>
    <w:rsid w:val="00A91482"/>
    <w:rsid w:val="00A9189D"/>
    <w:rsid w:val="00A91E71"/>
    <w:rsid w:val="00A91EAD"/>
    <w:rsid w:val="00A925B1"/>
    <w:rsid w:val="00A92A3E"/>
    <w:rsid w:val="00A934F9"/>
    <w:rsid w:val="00A93735"/>
    <w:rsid w:val="00A9383D"/>
    <w:rsid w:val="00A939EE"/>
    <w:rsid w:val="00A940E3"/>
    <w:rsid w:val="00A94983"/>
    <w:rsid w:val="00A9532C"/>
    <w:rsid w:val="00A95F1A"/>
    <w:rsid w:val="00A96026"/>
    <w:rsid w:val="00A96116"/>
    <w:rsid w:val="00A96118"/>
    <w:rsid w:val="00A9614E"/>
    <w:rsid w:val="00A96422"/>
    <w:rsid w:val="00A96C0F"/>
    <w:rsid w:val="00A97075"/>
    <w:rsid w:val="00A97542"/>
    <w:rsid w:val="00AA0E80"/>
    <w:rsid w:val="00AA0F90"/>
    <w:rsid w:val="00AA16F4"/>
    <w:rsid w:val="00AA1756"/>
    <w:rsid w:val="00AA17CD"/>
    <w:rsid w:val="00AA1D4D"/>
    <w:rsid w:val="00AA1D85"/>
    <w:rsid w:val="00AA1F81"/>
    <w:rsid w:val="00AA212B"/>
    <w:rsid w:val="00AA212F"/>
    <w:rsid w:val="00AA26A9"/>
    <w:rsid w:val="00AA28CE"/>
    <w:rsid w:val="00AA2996"/>
    <w:rsid w:val="00AA2AF4"/>
    <w:rsid w:val="00AA4272"/>
    <w:rsid w:val="00AA4282"/>
    <w:rsid w:val="00AA4291"/>
    <w:rsid w:val="00AA43F2"/>
    <w:rsid w:val="00AA4790"/>
    <w:rsid w:val="00AA49E1"/>
    <w:rsid w:val="00AA52BF"/>
    <w:rsid w:val="00AA559A"/>
    <w:rsid w:val="00AA5DE4"/>
    <w:rsid w:val="00AA65D0"/>
    <w:rsid w:val="00AA6C31"/>
    <w:rsid w:val="00AA7752"/>
    <w:rsid w:val="00AA7CE8"/>
    <w:rsid w:val="00AB0243"/>
    <w:rsid w:val="00AB078A"/>
    <w:rsid w:val="00AB1457"/>
    <w:rsid w:val="00AB2531"/>
    <w:rsid w:val="00AB2AF1"/>
    <w:rsid w:val="00AB32CB"/>
    <w:rsid w:val="00AB3405"/>
    <w:rsid w:val="00AB3AD7"/>
    <w:rsid w:val="00AB3B8E"/>
    <w:rsid w:val="00AB3BA7"/>
    <w:rsid w:val="00AB3EC7"/>
    <w:rsid w:val="00AB44DA"/>
    <w:rsid w:val="00AB4BC1"/>
    <w:rsid w:val="00AB51D2"/>
    <w:rsid w:val="00AB5A64"/>
    <w:rsid w:val="00AB5CA1"/>
    <w:rsid w:val="00AB640C"/>
    <w:rsid w:val="00AB6456"/>
    <w:rsid w:val="00AB719D"/>
    <w:rsid w:val="00AB75C5"/>
    <w:rsid w:val="00AC044E"/>
    <w:rsid w:val="00AC0CE9"/>
    <w:rsid w:val="00AC1487"/>
    <w:rsid w:val="00AC2118"/>
    <w:rsid w:val="00AC2395"/>
    <w:rsid w:val="00AC2960"/>
    <w:rsid w:val="00AC2AC4"/>
    <w:rsid w:val="00AC37F9"/>
    <w:rsid w:val="00AC39AD"/>
    <w:rsid w:val="00AC3AE1"/>
    <w:rsid w:val="00AC40BF"/>
    <w:rsid w:val="00AC4284"/>
    <w:rsid w:val="00AC45BD"/>
    <w:rsid w:val="00AC50BB"/>
    <w:rsid w:val="00AC5256"/>
    <w:rsid w:val="00AC5333"/>
    <w:rsid w:val="00AC6FE4"/>
    <w:rsid w:val="00AC78F1"/>
    <w:rsid w:val="00AC7B96"/>
    <w:rsid w:val="00AD0B22"/>
    <w:rsid w:val="00AD0EE7"/>
    <w:rsid w:val="00AD168E"/>
    <w:rsid w:val="00AD2218"/>
    <w:rsid w:val="00AD2FCF"/>
    <w:rsid w:val="00AD2FF2"/>
    <w:rsid w:val="00AD306C"/>
    <w:rsid w:val="00AD3FE3"/>
    <w:rsid w:val="00AD432F"/>
    <w:rsid w:val="00AD43B0"/>
    <w:rsid w:val="00AD44CD"/>
    <w:rsid w:val="00AD47A7"/>
    <w:rsid w:val="00AD4C41"/>
    <w:rsid w:val="00AD5AD2"/>
    <w:rsid w:val="00AD5FF2"/>
    <w:rsid w:val="00AD6462"/>
    <w:rsid w:val="00AD66C5"/>
    <w:rsid w:val="00AD68C4"/>
    <w:rsid w:val="00AD71F9"/>
    <w:rsid w:val="00AE09B3"/>
    <w:rsid w:val="00AE14A7"/>
    <w:rsid w:val="00AE1767"/>
    <w:rsid w:val="00AE1A83"/>
    <w:rsid w:val="00AE27E3"/>
    <w:rsid w:val="00AE2A78"/>
    <w:rsid w:val="00AE2AE9"/>
    <w:rsid w:val="00AE2FF9"/>
    <w:rsid w:val="00AE30BE"/>
    <w:rsid w:val="00AE3E6A"/>
    <w:rsid w:val="00AE417E"/>
    <w:rsid w:val="00AE4A50"/>
    <w:rsid w:val="00AE5099"/>
    <w:rsid w:val="00AE56EE"/>
    <w:rsid w:val="00AE59E8"/>
    <w:rsid w:val="00AE6414"/>
    <w:rsid w:val="00AE7087"/>
    <w:rsid w:val="00AE7269"/>
    <w:rsid w:val="00AE75C1"/>
    <w:rsid w:val="00AE77B2"/>
    <w:rsid w:val="00AE797C"/>
    <w:rsid w:val="00AE7CE7"/>
    <w:rsid w:val="00AE7E8D"/>
    <w:rsid w:val="00AE7FAB"/>
    <w:rsid w:val="00AF0DE4"/>
    <w:rsid w:val="00AF0F32"/>
    <w:rsid w:val="00AF12A0"/>
    <w:rsid w:val="00AF1D38"/>
    <w:rsid w:val="00AF1E87"/>
    <w:rsid w:val="00AF25DA"/>
    <w:rsid w:val="00AF31F3"/>
    <w:rsid w:val="00AF33D9"/>
    <w:rsid w:val="00AF4181"/>
    <w:rsid w:val="00AF422A"/>
    <w:rsid w:val="00AF436B"/>
    <w:rsid w:val="00AF5179"/>
    <w:rsid w:val="00AF5CC2"/>
    <w:rsid w:val="00AF660D"/>
    <w:rsid w:val="00AF6776"/>
    <w:rsid w:val="00AF6F98"/>
    <w:rsid w:val="00AF7277"/>
    <w:rsid w:val="00B0001C"/>
    <w:rsid w:val="00B00550"/>
    <w:rsid w:val="00B00913"/>
    <w:rsid w:val="00B00D4D"/>
    <w:rsid w:val="00B01197"/>
    <w:rsid w:val="00B014F7"/>
    <w:rsid w:val="00B01593"/>
    <w:rsid w:val="00B01D0F"/>
    <w:rsid w:val="00B01F1A"/>
    <w:rsid w:val="00B01FF9"/>
    <w:rsid w:val="00B023F2"/>
    <w:rsid w:val="00B026FE"/>
    <w:rsid w:val="00B0271F"/>
    <w:rsid w:val="00B02A45"/>
    <w:rsid w:val="00B03883"/>
    <w:rsid w:val="00B038CA"/>
    <w:rsid w:val="00B0454F"/>
    <w:rsid w:val="00B05375"/>
    <w:rsid w:val="00B05BB6"/>
    <w:rsid w:val="00B05BEC"/>
    <w:rsid w:val="00B05F00"/>
    <w:rsid w:val="00B0601B"/>
    <w:rsid w:val="00B06DB4"/>
    <w:rsid w:val="00B06DDF"/>
    <w:rsid w:val="00B0750D"/>
    <w:rsid w:val="00B07850"/>
    <w:rsid w:val="00B0799C"/>
    <w:rsid w:val="00B102CE"/>
    <w:rsid w:val="00B10A4D"/>
    <w:rsid w:val="00B10C90"/>
    <w:rsid w:val="00B11002"/>
    <w:rsid w:val="00B1114F"/>
    <w:rsid w:val="00B117D9"/>
    <w:rsid w:val="00B1192D"/>
    <w:rsid w:val="00B121B2"/>
    <w:rsid w:val="00B131B1"/>
    <w:rsid w:val="00B13571"/>
    <w:rsid w:val="00B1382F"/>
    <w:rsid w:val="00B13A1C"/>
    <w:rsid w:val="00B141A5"/>
    <w:rsid w:val="00B141B6"/>
    <w:rsid w:val="00B145F1"/>
    <w:rsid w:val="00B14BC1"/>
    <w:rsid w:val="00B14EC9"/>
    <w:rsid w:val="00B154DE"/>
    <w:rsid w:val="00B162C3"/>
    <w:rsid w:val="00B16CD9"/>
    <w:rsid w:val="00B16DD1"/>
    <w:rsid w:val="00B16EB8"/>
    <w:rsid w:val="00B1700A"/>
    <w:rsid w:val="00B174AF"/>
    <w:rsid w:val="00B17625"/>
    <w:rsid w:val="00B17E71"/>
    <w:rsid w:val="00B17FDE"/>
    <w:rsid w:val="00B20632"/>
    <w:rsid w:val="00B21AE3"/>
    <w:rsid w:val="00B21EA4"/>
    <w:rsid w:val="00B2379C"/>
    <w:rsid w:val="00B23D5D"/>
    <w:rsid w:val="00B23E6E"/>
    <w:rsid w:val="00B2450C"/>
    <w:rsid w:val="00B24790"/>
    <w:rsid w:val="00B25531"/>
    <w:rsid w:val="00B25AD0"/>
    <w:rsid w:val="00B25B56"/>
    <w:rsid w:val="00B2687D"/>
    <w:rsid w:val="00B27EAC"/>
    <w:rsid w:val="00B27EC6"/>
    <w:rsid w:val="00B3082E"/>
    <w:rsid w:val="00B30C8B"/>
    <w:rsid w:val="00B3108D"/>
    <w:rsid w:val="00B32DDB"/>
    <w:rsid w:val="00B32F57"/>
    <w:rsid w:val="00B33300"/>
    <w:rsid w:val="00B3345C"/>
    <w:rsid w:val="00B343C4"/>
    <w:rsid w:val="00B34528"/>
    <w:rsid w:val="00B34750"/>
    <w:rsid w:val="00B34CC9"/>
    <w:rsid w:val="00B34CCE"/>
    <w:rsid w:val="00B34CDA"/>
    <w:rsid w:val="00B34EB6"/>
    <w:rsid w:val="00B34EFD"/>
    <w:rsid w:val="00B35160"/>
    <w:rsid w:val="00B3563B"/>
    <w:rsid w:val="00B36BDC"/>
    <w:rsid w:val="00B36C14"/>
    <w:rsid w:val="00B37975"/>
    <w:rsid w:val="00B37D3A"/>
    <w:rsid w:val="00B37D96"/>
    <w:rsid w:val="00B40066"/>
    <w:rsid w:val="00B402FC"/>
    <w:rsid w:val="00B41961"/>
    <w:rsid w:val="00B42127"/>
    <w:rsid w:val="00B422E2"/>
    <w:rsid w:val="00B42517"/>
    <w:rsid w:val="00B42902"/>
    <w:rsid w:val="00B42D5F"/>
    <w:rsid w:val="00B43216"/>
    <w:rsid w:val="00B439DA"/>
    <w:rsid w:val="00B4411A"/>
    <w:rsid w:val="00B44234"/>
    <w:rsid w:val="00B456FD"/>
    <w:rsid w:val="00B45FE8"/>
    <w:rsid w:val="00B4612C"/>
    <w:rsid w:val="00B46382"/>
    <w:rsid w:val="00B46604"/>
    <w:rsid w:val="00B47089"/>
    <w:rsid w:val="00B4753D"/>
    <w:rsid w:val="00B47587"/>
    <w:rsid w:val="00B50D6C"/>
    <w:rsid w:val="00B5150A"/>
    <w:rsid w:val="00B51A05"/>
    <w:rsid w:val="00B51B78"/>
    <w:rsid w:val="00B52151"/>
    <w:rsid w:val="00B52CA5"/>
    <w:rsid w:val="00B530CD"/>
    <w:rsid w:val="00B532B1"/>
    <w:rsid w:val="00B53639"/>
    <w:rsid w:val="00B53C7D"/>
    <w:rsid w:val="00B53D7F"/>
    <w:rsid w:val="00B53E56"/>
    <w:rsid w:val="00B5427F"/>
    <w:rsid w:val="00B545CC"/>
    <w:rsid w:val="00B55311"/>
    <w:rsid w:val="00B55601"/>
    <w:rsid w:val="00B55922"/>
    <w:rsid w:val="00B55A97"/>
    <w:rsid w:val="00B55E7E"/>
    <w:rsid w:val="00B55F5E"/>
    <w:rsid w:val="00B5601B"/>
    <w:rsid w:val="00B56231"/>
    <w:rsid w:val="00B5642C"/>
    <w:rsid w:val="00B564F1"/>
    <w:rsid w:val="00B5658D"/>
    <w:rsid w:val="00B56B6F"/>
    <w:rsid w:val="00B5701A"/>
    <w:rsid w:val="00B5752E"/>
    <w:rsid w:val="00B604FF"/>
    <w:rsid w:val="00B608B7"/>
    <w:rsid w:val="00B60AC1"/>
    <w:rsid w:val="00B6167A"/>
    <w:rsid w:val="00B61FF6"/>
    <w:rsid w:val="00B62316"/>
    <w:rsid w:val="00B62635"/>
    <w:rsid w:val="00B6274C"/>
    <w:rsid w:val="00B62A84"/>
    <w:rsid w:val="00B6329D"/>
    <w:rsid w:val="00B63A11"/>
    <w:rsid w:val="00B63C9F"/>
    <w:rsid w:val="00B63D32"/>
    <w:rsid w:val="00B64425"/>
    <w:rsid w:val="00B64A44"/>
    <w:rsid w:val="00B64C24"/>
    <w:rsid w:val="00B64E72"/>
    <w:rsid w:val="00B655D8"/>
    <w:rsid w:val="00B65CC4"/>
    <w:rsid w:val="00B65CEF"/>
    <w:rsid w:val="00B6608F"/>
    <w:rsid w:val="00B668D7"/>
    <w:rsid w:val="00B674C7"/>
    <w:rsid w:val="00B67749"/>
    <w:rsid w:val="00B679FB"/>
    <w:rsid w:val="00B703DD"/>
    <w:rsid w:val="00B70570"/>
    <w:rsid w:val="00B71FBF"/>
    <w:rsid w:val="00B72E6D"/>
    <w:rsid w:val="00B734A0"/>
    <w:rsid w:val="00B7356B"/>
    <w:rsid w:val="00B7374C"/>
    <w:rsid w:val="00B73A14"/>
    <w:rsid w:val="00B73AB1"/>
    <w:rsid w:val="00B73FE8"/>
    <w:rsid w:val="00B740A0"/>
    <w:rsid w:val="00B74606"/>
    <w:rsid w:val="00B746AB"/>
    <w:rsid w:val="00B748BD"/>
    <w:rsid w:val="00B74964"/>
    <w:rsid w:val="00B7564A"/>
    <w:rsid w:val="00B75719"/>
    <w:rsid w:val="00B76100"/>
    <w:rsid w:val="00B7680F"/>
    <w:rsid w:val="00B76B48"/>
    <w:rsid w:val="00B76D1E"/>
    <w:rsid w:val="00B771E5"/>
    <w:rsid w:val="00B77201"/>
    <w:rsid w:val="00B77543"/>
    <w:rsid w:val="00B77584"/>
    <w:rsid w:val="00B77E34"/>
    <w:rsid w:val="00B805D8"/>
    <w:rsid w:val="00B809F3"/>
    <w:rsid w:val="00B80D44"/>
    <w:rsid w:val="00B80D89"/>
    <w:rsid w:val="00B80EC6"/>
    <w:rsid w:val="00B81288"/>
    <w:rsid w:val="00B81D70"/>
    <w:rsid w:val="00B82420"/>
    <w:rsid w:val="00B833B9"/>
    <w:rsid w:val="00B836F7"/>
    <w:rsid w:val="00B83AAF"/>
    <w:rsid w:val="00B83E07"/>
    <w:rsid w:val="00B84CF6"/>
    <w:rsid w:val="00B85016"/>
    <w:rsid w:val="00B8561A"/>
    <w:rsid w:val="00B86628"/>
    <w:rsid w:val="00B86643"/>
    <w:rsid w:val="00B868F7"/>
    <w:rsid w:val="00B86BBA"/>
    <w:rsid w:val="00B86EB1"/>
    <w:rsid w:val="00B86EB2"/>
    <w:rsid w:val="00B871A7"/>
    <w:rsid w:val="00B87A70"/>
    <w:rsid w:val="00B87F5D"/>
    <w:rsid w:val="00B900FB"/>
    <w:rsid w:val="00B90131"/>
    <w:rsid w:val="00B907BE"/>
    <w:rsid w:val="00B90DE0"/>
    <w:rsid w:val="00B91EBE"/>
    <w:rsid w:val="00B92951"/>
    <w:rsid w:val="00B92D1D"/>
    <w:rsid w:val="00B92D7E"/>
    <w:rsid w:val="00B930CE"/>
    <w:rsid w:val="00B938C5"/>
    <w:rsid w:val="00B93EC3"/>
    <w:rsid w:val="00B940A8"/>
    <w:rsid w:val="00B9554A"/>
    <w:rsid w:val="00B95940"/>
    <w:rsid w:val="00B95ACA"/>
    <w:rsid w:val="00B95C12"/>
    <w:rsid w:val="00B95DA7"/>
    <w:rsid w:val="00B96949"/>
    <w:rsid w:val="00B96D74"/>
    <w:rsid w:val="00B9720E"/>
    <w:rsid w:val="00B97320"/>
    <w:rsid w:val="00B97ACC"/>
    <w:rsid w:val="00B97FE2"/>
    <w:rsid w:val="00BA0986"/>
    <w:rsid w:val="00BA0E0B"/>
    <w:rsid w:val="00BA0F7D"/>
    <w:rsid w:val="00BA1B6F"/>
    <w:rsid w:val="00BA201A"/>
    <w:rsid w:val="00BA21DF"/>
    <w:rsid w:val="00BA2B7C"/>
    <w:rsid w:val="00BA361D"/>
    <w:rsid w:val="00BA3787"/>
    <w:rsid w:val="00BA403A"/>
    <w:rsid w:val="00BA46E8"/>
    <w:rsid w:val="00BA49DB"/>
    <w:rsid w:val="00BA4AE9"/>
    <w:rsid w:val="00BA4CC9"/>
    <w:rsid w:val="00BA4E19"/>
    <w:rsid w:val="00BA52D4"/>
    <w:rsid w:val="00BA5EFC"/>
    <w:rsid w:val="00BA6397"/>
    <w:rsid w:val="00BA6436"/>
    <w:rsid w:val="00BA64F2"/>
    <w:rsid w:val="00BA65BE"/>
    <w:rsid w:val="00BA684E"/>
    <w:rsid w:val="00BA6C2B"/>
    <w:rsid w:val="00BA7B64"/>
    <w:rsid w:val="00BA7D5F"/>
    <w:rsid w:val="00BB02A3"/>
    <w:rsid w:val="00BB0351"/>
    <w:rsid w:val="00BB15C3"/>
    <w:rsid w:val="00BB1A13"/>
    <w:rsid w:val="00BB1AF4"/>
    <w:rsid w:val="00BB2202"/>
    <w:rsid w:val="00BB298E"/>
    <w:rsid w:val="00BB3153"/>
    <w:rsid w:val="00BB3C6B"/>
    <w:rsid w:val="00BB3E48"/>
    <w:rsid w:val="00BB3FD6"/>
    <w:rsid w:val="00BB453F"/>
    <w:rsid w:val="00BB46C6"/>
    <w:rsid w:val="00BB46F3"/>
    <w:rsid w:val="00BB4A71"/>
    <w:rsid w:val="00BB4CB1"/>
    <w:rsid w:val="00BB4E47"/>
    <w:rsid w:val="00BB4F98"/>
    <w:rsid w:val="00BB50C0"/>
    <w:rsid w:val="00BB5AB2"/>
    <w:rsid w:val="00BB5ABF"/>
    <w:rsid w:val="00BB5F94"/>
    <w:rsid w:val="00BB6EA2"/>
    <w:rsid w:val="00BB7142"/>
    <w:rsid w:val="00BB71D2"/>
    <w:rsid w:val="00BB76F3"/>
    <w:rsid w:val="00BB7B5B"/>
    <w:rsid w:val="00BB7E0B"/>
    <w:rsid w:val="00BB7EB1"/>
    <w:rsid w:val="00BC003F"/>
    <w:rsid w:val="00BC0930"/>
    <w:rsid w:val="00BC0D79"/>
    <w:rsid w:val="00BC14B0"/>
    <w:rsid w:val="00BC223A"/>
    <w:rsid w:val="00BC2340"/>
    <w:rsid w:val="00BC327F"/>
    <w:rsid w:val="00BC3512"/>
    <w:rsid w:val="00BC3D26"/>
    <w:rsid w:val="00BC4010"/>
    <w:rsid w:val="00BC48A2"/>
    <w:rsid w:val="00BC493B"/>
    <w:rsid w:val="00BC4B35"/>
    <w:rsid w:val="00BC4F86"/>
    <w:rsid w:val="00BC50BE"/>
    <w:rsid w:val="00BC5332"/>
    <w:rsid w:val="00BC557F"/>
    <w:rsid w:val="00BC5636"/>
    <w:rsid w:val="00BC5715"/>
    <w:rsid w:val="00BC5BBD"/>
    <w:rsid w:val="00BC5C12"/>
    <w:rsid w:val="00BC641B"/>
    <w:rsid w:val="00BC7154"/>
    <w:rsid w:val="00BC731E"/>
    <w:rsid w:val="00BC7614"/>
    <w:rsid w:val="00BC7652"/>
    <w:rsid w:val="00BC7EFA"/>
    <w:rsid w:val="00BD041B"/>
    <w:rsid w:val="00BD1B66"/>
    <w:rsid w:val="00BD25BB"/>
    <w:rsid w:val="00BD2AF8"/>
    <w:rsid w:val="00BD366B"/>
    <w:rsid w:val="00BD3C09"/>
    <w:rsid w:val="00BD410B"/>
    <w:rsid w:val="00BD4310"/>
    <w:rsid w:val="00BD4A73"/>
    <w:rsid w:val="00BD4EDD"/>
    <w:rsid w:val="00BD4EF4"/>
    <w:rsid w:val="00BD57E9"/>
    <w:rsid w:val="00BD5A1B"/>
    <w:rsid w:val="00BD5D0F"/>
    <w:rsid w:val="00BD6659"/>
    <w:rsid w:val="00BD6C75"/>
    <w:rsid w:val="00BD6D4D"/>
    <w:rsid w:val="00BD6D50"/>
    <w:rsid w:val="00BD7105"/>
    <w:rsid w:val="00BD73D2"/>
    <w:rsid w:val="00BE00D1"/>
    <w:rsid w:val="00BE0ACB"/>
    <w:rsid w:val="00BE0AD1"/>
    <w:rsid w:val="00BE0D18"/>
    <w:rsid w:val="00BE0EF9"/>
    <w:rsid w:val="00BE10A1"/>
    <w:rsid w:val="00BE18B9"/>
    <w:rsid w:val="00BE190A"/>
    <w:rsid w:val="00BE2495"/>
    <w:rsid w:val="00BE24DD"/>
    <w:rsid w:val="00BE2DB0"/>
    <w:rsid w:val="00BE34BB"/>
    <w:rsid w:val="00BE386D"/>
    <w:rsid w:val="00BE4B6B"/>
    <w:rsid w:val="00BE4DA9"/>
    <w:rsid w:val="00BE54BF"/>
    <w:rsid w:val="00BE557B"/>
    <w:rsid w:val="00BE55EF"/>
    <w:rsid w:val="00BE59C5"/>
    <w:rsid w:val="00BE652B"/>
    <w:rsid w:val="00BE6C26"/>
    <w:rsid w:val="00BE7F5F"/>
    <w:rsid w:val="00BF02C8"/>
    <w:rsid w:val="00BF08EA"/>
    <w:rsid w:val="00BF0FD7"/>
    <w:rsid w:val="00BF1578"/>
    <w:rsid w:val="00BF15CA"/>
    <w:rsid w:val="00BF1D12"/>
    <w:rsid w:val="00BF1D3A"/>
    <w:rsid w:val="00BF267B"/>
    <w:rsid w:val="00BF2B5B"/>
    <w:rsid w:val="00BF2D41"/>
    <w:rsid w:val="00BF3201"/>
    <w:rsid w:val="00BF3274"/>
    <w:rsid w:val="00BF32DC"/>
    <w:rsid w:val="00BF35C9"/>
    <w:rsid w:val="00BF4329"/>
    <w:rsid w:val="00BF4DCD"/>
    <w:rsid w:val="00BF4E43"/>
    <w:rsid w:val="00BF5C4C"/>
    <w:rsid w:val="00BF6B0D"/>
    <w:rsid w:val="00BF71E7"/>
    <w:rsid w:val="00BF765C"/>
    <w:rsid w:val="00BF77FC"/>
    <w:rsid w:val="00BF7BB2"/>
    <w:rsid w:val="00BF7D00"/>
    <w:rsid w:val="00BF7DAD"/>
    <w:rsid w:val="00C006D6"/>
    <w:rsid w:val="00C008FE"/>
    <w:rsid w:val="00C00BD7"/>
    <w:rsid w:val="00C00EBF"/>
    <w:rsid w:val="00C0103E"/>
    <w:rsid w:val="00C01410"/>
    <w:rsid w:val="00C024BB"/>
    <w:rsid w:val="00C0259E"/>
    <w:rsid w:val="00C027E4"/>
    <w:rsid w:val="00C02D23"/>
    <w:rsid w:val="00C03D4D"/>
    <w:rsid w:val="00C0436A"/>
    <w:rsid w:val="00C044F4"/>
    <w:rsid w:val="00C04B78"/>
    <w:rsid w:val="00C04F46"/>
    <w:rsid w:val="00C052AA"/>
    <w:rsid w:val="00C05608"/>
    <w:rsid w:val="00C06EE3"/>
    <w:rsid w:val="00C07279"/>
    <w:rsid w:val="00C07749"/>
    <w:rsid w:val="00C07B3F"/>
    <w:rsid w:val="00C07C67"/>
    <w:rsid w:val="00C10099"/>
    <w:rsid w:val="00C107A7"/>
    <w:rsid w:val="00C10805"/>
    <w:rsid w:val="00C11244"/>
    <w:rsid w:val="00C1186C"/>
    <w:rsid w:val="00C118A9"/>
    <w:rsid w:val="00C11D48"/>
    <w:rsid w:val="00C12304"/>
    <w:rsid w:val="00C12316"/>
    <w:rsid w:val="00C1246C"/>
    <w:rsid w:val="00C1493E"/>
    <w:rsid w:val="00C1494A"/>
    <w:rsid w:val="00C14D39"/>
    <w:rsid w:val="00C152DE"/>
    <w:rsid w:val="00C15444"/>
    <w:rsid w:val="00C15537"/>
    <w:rsid w:val="00C15954"/>
    <w:rsid w:val="00C15DBD"/>
    <w:rsid w:val="00C161C5"/>
    <w:rsid w:val="00C172F7"/>
    <w:rsid w:val="00C1798F"/>
    <w:rsid w:val="00C2010D"/>
    <w:rsid w:val="00C2030A"/>
    <w:rsid w:val="00C20906"/>
    <w:rsid w:val="00C20CB5"/>
    <w:rsid w:val="00C21430"/>
    <w:rsid w:val="00C21559"/>
    <w:rsid w:val="00C216DF"/>
    <w:rsid w:val="00C21E61"/>
    <w:rsid w:val="00C21F51"/>
    <w:rsid w:val="00C21F94"/>
    <w:rsid w:val="00C224BD"/>
    <w:rsid w:val="00C2272B"/>
    <w:rsid w:val="00C232ED"/>
    <w:rsid w:val="00C234DB"/>
    <w:rsid w:val="00C23796"/>
    <w:rsid w:val="00C23C5C"/>
    <w:rsid w:val="00C240A1"/>
    <w:rsid w:val="00C2479A"/>
    <w:rsid w:val="00C24903"/>
    <w:rsid w:val="00C2590D"/>
    <w:rsid w:val="00C25D9C"/>
    <w:rsid w:val="00C26086"/>
    <w:rsid w:val="00C27913"/>
    <w:rsid w:val="00C27C96"/>
    <w:rsid w:val="00C27FA7"/>
    <w:rsid w:val="00C300E2"/>
    <w:rsid w:val="00C3198A"/>
    <w:rsid w:val="00C31BCC"/>
    <w:rsid w:val="00C31F21"/>
    <w:rsid w:val="00C3220D"/>
    <w:rsid w:val="00C32631"/>
    <w:rsid w:val="00C33301"/>
    <w:rsid w:val="00C33311"/>
    <w:rsid w:val="00C333A0"/>
    <w:rsid w:val="00C33B68"/>
    <w:rsid w:val="00C34AD4"/>
    <w:rsid w:val="00C350C5"/>
    <w:rsid w:val="00C35570"/>
    <w:rsid w:val="00C35A2A"/>
    <w:rsid w:val="00C36A79"/>
    <w:rsid w:val="00C36D19"/>
    <w:rsid w:val="00C4018E"/>
    <w:rsid w:val="00C401A9"/>
    <w:rsid w:val="00C401D2"/>
    <w:rsid w:val="00C401DA"/>
    <w:rsid w:val="00C4031A"/>
    <w:rsid w:val="00C405D4"/>
    <w:rsid w:val="00C408AE"/>
    <w:rsid w:val="00C419D5"/>
    <w:rsid w:val="00C41D54"/>
    <w:rsid w:val="00C41F2C"/>
    <w:rsid w:val="00C42EBB"/>
    <w:rsid w:val="00C431E3"/>
    <w:rsid w:val="00C435E8"/>
    <w:rsid w:val="00C4362A"/>
    <w:rsid w:val="00C4513B"/>
    <w:rsid w:val="00C45502"/>
    <w:rsid w:val="00C46517"/>
    <w:rsid w:val="00C46769"/>
    <w:rsid w:val="00C4755A"/>
    <w:rsid w:val="00C475E8"/>
    <w:rsid w:val="00C50A88"/>
    <w:rsid w:val="00C50B73"/>
    <w:rsid w:val="00C50E79"/>
    <w:rsid w:val="00C5197D"/>
    <w:rsid w:val="00C52250"/>
    <w:rsid w:val="00C525FB"/>
    <w:rsid w:val="00C527AD"/>
    <w:rsid w:val="00C53239"/>
    <w:rsid w:val="00C5390B"/>
    <w:rsid w:val="00C53C9F"/>
    <w:rsid w:val="00C54257"/>
    <w:rsid w:val="00C54697"/>
    <w:rsid w:val="00C550CE"/>
    <w:rsid w:val="00C55344"/>
    <w:rsid w:val="00C553A5"/>
    <w:rsid w:val="00C55402"/>
    <w:rsid w:val="00C55B08"/>
    <w:rsid w:val="00C55E3B"/>
    <w:rsid w:val="00C5603B"/>
    <w:rsid w:val="00C6020C"/>
    <w:rsid w:val="00C60AE3"/>
    <w:rsid w:val="00C60C19"/>
    <w:rsid w:val="00C61F47"/>
    <w:rsid w:val="00C62828"/>
    <w:rsid w:val="00C631B2"/>
    <w:rsid w:val="00C63DD1"/>
    <w:rsid w:val="00C64454"/>
    <w:rsid w:val="00C645CD"/>
    <w:rsid w:val="00C6479C"/>
    <w:rsid w:val="00C655DA"/>
    <w:rsid w:val="00C672C1"/>
    <w:rsid w:val="00C67D88"/>
    <w:rsid w:val="00C706D2"/>
    <w:rsid w:val="00C7090E"/>
    <w:rsid w:val="00C715CC"/>
    <w:rsid w:val="00C719A3"/>
    <w:rsid w:val="00C71D2F"/>
    <w:rsid w:val="00C71D6F"/>
    <w:rsid w:val="00C72227"/>
    <w:rsid w:val="00C72984"/>
    <w:rsid w:val="00C72C99"/>
    <w:rsid w:val="00C73885"/>
    <w:rsid w:val="00C73C93"/>
    <w:rsid w:val="00C741EF"/>
    <w:rsid w:val="00C7435A"/>
    <w:rsid w:val="00C747B1"/>
    <w:rsid w:val="00C74CEA"/>
    <w:rsid w:val="00C75110"/>
    <w:rsid w:val="00C75510"/>
    <w:rsid w:val="00C755F9"/>
    <w:rsid w:val="00C75752"/>
    <w:rsid w:val="00C75B60"/>
    <w:rsid w:val="00C761EC"/>
    <w:rsid w:val="00C770C9"/>
    <w:rsid w:val="00C8019E"/>
    <w:rsid w:val="00C81070"/>
    <w:rsid w:val="00C81259"/>
    <w:rsid w:val="00C8174E"/>
    <w:rsid w:val="00C82191"/>
    <w:rsid w:val="00C830D3"/>
    <w:rsid w:val="00C83134"/>
    <w:rsid w:val="00C831E7"/>
    <w:rsid w:val="00C832F3"/>
    <w:rsid w:val="00C83B4C"/>
    <w:rsid w:val="00C84307"/>
    <w:rsid w:val="00C845A4"/>
    <w:rsid w:val="00C85545"/>
    <w:rsid w:val="00C855B5"/>
    <w:rsid w:val="00C85C86"/>
    <w:rsid w:val="00C85F0E"/>
    <w:rsid w:val="00C867F9"/>
    <w:rsid w:val="00C872AA"/>
    <w:rsid w:val="00C873F3"/>
    <w:rsid w:val="00C875BD"/>
    <w:rsid w:val="00C87C6B"/>
    <w:rsid w:val="00C90357"/>
    <w:rsid w:val="00C9063B"/>
    <w:rsid w:val="00C90CF4"/>
    <w:rsid w:val="00C917A7"/>
    <w:rsid w:val="00C91C20"/>
    <w:rsid w:val="00C922DE"/>
    <w:rsid w:val="00C92843"/>
    <w:rsid w:val="00C929FE"/>
    <w:rsid w:val="00C92EB6"/>
    <w:rsid w:val="00C9300A"/>
    <w:rsid w:val="00C93389"/>
    <w:rsid w:val="00C948E6"/>
    <w:rsid w:val="00C94CDD"/>
    <w:rsid w:val="00C95123"/>
    <w:rsid w:val="00C95DA9"/>
    <w:rsid w:val="00C96A7B"/>
    <w:rsid w:val="00C96EF5"/>
    <w:rsid w:val="00C97588"/>
    <w:rsid w:val="00C97E0D"/>
    <w:rsid w:val="00CA0346"/>
    <w:rsid w:val="00CA073C"/>
    <w:rsid w:val="00CA09F3"/>
    <w:rsid w:val="00CA0BD5"/>
    <w:rsid w:val="00CA0DA1"/>
    <w:rsid w:val="00CA12D2"/>
    <w:rsid w:val="00CA1A21"/>
    <w:rsid w:val="00CA1BD6"/>
    <w:rsid w:val="00CA2EF5"/>
    <w:rsid w:val="00CA37FF"/>
    <w:rsid w:val="00CA423A"/>
    <w:rsid w:val="00CA47BC"/>
    <w:rsid w:val="00CA4B39"/>
    <w:rsid w:val="00CA557E"/>
    <w:rsid w:val="00CA5EAD"/>
    <w:rsid w:val="00CA6AB4"/>
    <w:rsid w:val="00CA7255"/>
    <w:rsid w:val="00CA752E"/>
    <w:rsid w:val="00CA79E2"/>
    <w:rsid w:val="00CA7D68"/>
    <w:rsid w:val="00CB111E"/>
    <w:rsid w:val="00CB1BEE"/>
    <w:rsid w:val="00CB2224"/>
    <w:rsid w:val="00CB2351"/>
    <w:rsid w:val="00CB3605"/>
    <w:rsid w:val="00CB3FC8"/>
    <w:rsid w:val="00CB4022"/>
    <w:rsid w:val="00CB4257"/>
    <w:rsid w:val="00CB4930"/>
    <w:rsid w:val="00CB4BA9"/>
    <w:rsid w:val="00CB4C48"/>
    <w:rsid w:val="00CB4C63"/>
    <w:rsid w:val="00CB5398"/>
    <w:rsid w:val="00CB57F9"/>
    <w:rsid w:val="00CB5895"/>
    <w:rsid w:val="00CB5A48"/>
    <w:rsid w:val="00CB5E10"/>
    <w:rsid w:val="00CB5E2E"/>
    <w:rsid w:val="00CB613B"/>
    <w:rsid w:val="00CB6152"/>
    <w:rsid w:val="00CB61FC"/>
    <w:rsid w:val="00CB63BE"/>
    <w:rsid w:val="00CB64E1"/>
    <w:rsid w:val="00CB6C6F"/>
    <w:rsid w:val="00CB6E4D"/>
    <w:rsid w:val="00CB7495"/>
    <w:rsid w:val="00CB76F1"/>
    <w:rsid w:val="00CC009B"/>
    <w:rsid w:val="00CC0156"/>
    <w:rsid w:val="00CC0834"/>
    <w:rsid w:val="00CC0AEA"/>
    <w:rsid w:val="00CC12C7"/>
    <w:rsid w:val="00CC1901"/>
    <w:rsid w:val="00CC1DF8"/>
    <w:rsid w:val="00CC20FE"/>
    <w:rsid w:val="00CC225C"/>
    <w:rsid w:val="00CC2342"/>
    <w:rsid w:val="00CC2E7D"/>
    <w:rsid w:val="00CC433B"/>
    <w:rsid w:val="00CC469E"/>
    <w:rsid w:val="00CC5BE8"/>
    <w:rsid w:val="00CC612B"/>
    <w:rsid w:val="00CC6145"/>
    <w:rsid w:val="00CC655F"/>
    <w:rsid w:val="00CC65EC"/>
    <w:rsid w:val="00CC66F9"/>
    <w:rsid w:val="00CC6C2A"/>
    <w:rsid w:val="00CC6F4D"/>
    <w:rsid w:val="00CC6F84"/>
    <w:rsid w:val="00CC6FE5"/>
    <w:rsid w:val="00CC7458"/>
    <w:rsid w:val="00CC76BD"/>
    <w:rsid w:val="00CC7A87"/>
    <w:rsid w:val="00CC7F1E"/>
    <w:rsid w:val="00CD08BF"/>
    <w:rsid w:val="00CD0D6B"/>
    <w:rsid w:val="00CD0F7F"/>
    <w:rsid w:val="00CD1060"/>
    <w:rsid w:val="00CD10A5"/>
    <w:rsid w:val="00CD1129"/>
    <w:rsid w:val="00CD1388"/>
    <w:rsid w:val="00CD1A80"/>
    <w:rsid w:val="00CD1CB5"/>
    <w:rsid w:val="00CD1E14"/>
    <w:rsid w:val="00CD2076"/>
    <w:rsid w:val="00CD24B5"/>
    <w:rsid w:val="00CD24CE"/>
    <w:rsid w:val="00CD29B5"/>
    <w:rsid w:val="00CD2B78"/>
    <w:rsid w:val="00CD3866"/>
    <w:rsid w:val="00CD3FAB"/>
    <w:rsid w:val="00CD5456"/>
    <w:rsid w:val="00CD5C3E"/>
    <w:rsid w:val="00CD5C57"/>
    <w:rsid w:val="00CD5CC4"/>
    <w:rsid w:val="00CD5F0F"/>
    <w:rsid w:val="00CD6331"/>
    <w:rsid w:val="00CD636A"/>
    <w:rsid w:val="00CD6AD0"/>
    <w:rsid w:val="00CD79E0"/>
    <w:rsid w:val="00CD7E9E"/>
    <w:rsid w:val="00CE0AB1"/>
    <w:rsid w:val="00CE14BE"/>
    <w:rsid w:val="00CE150B"/>
    <w:rsid w:val="00CE17A4"/>
    <w:rsid w:val="00CE1BA9"/>
    <w:rsid w:val="00CE2D8F"/>
    <w:rsid w:val="00CE3532"/>
    <w:rsid w:val="00CE3BA9"/>
    <w:rsid w:val="00CE3C09"/>
    <w:rsid w:val="00CE3E48"/>
    <w:rsid w:val="00CE46C0"/>
    <w:rsid w:val="00CE47B8"/>
    <w:rsid w:val="00CE4F32"/>
    <w:rsid w:val="00CE54FD"/>
    <w:rsid w:val="00CE5C92"/>
    <w:rsid w:val="00CE5E12"/>
    <w:rsid w:val="00CE62FA"/>
    <w:rsid w:val="00CE670B"/>
    <w:rsid w:val="00CE6833"/>
    <w:rsid w:val="00CE7562"/>
    <w:rsid w:val="00CF020B"/>
    <w:rsid w:val="00CF074A"/>
    <w:rsid w:val="00CF0E03"/>
    <w:rsid w:val="00CF15BF"/>
    <w:rsid w:val="00CF2E4D"/>
    <w:rsid w:val="00CF35A7"/>
    <w:rsid w:val="00CF3B83"/>
    <w:rsid w:val="00CF4205"/>
    <w:rsid w:val="00CF4367"/>
    <w:rsid w:val="00CF4908"/>
    <w:rsid w:val="00CF4B5B"/>
    <w:rsid w:val="00CF4D64"/>
    <w:rsid w:val="00CF51EC"/>
    <w:rsid w:val="00CF545D"/>
    <w:rsid w:val="00CF5873"/>
    <w:rsid w:val="00CF626D"/>
    <w:rsid w:val="00CF6AB7"/>
    <w:rsid w:val="00CF6E87"/>
    <w:rsid w:val="00CF73AE"/>
    <w:rsid w:val="00CF7777"/>
    <w:rsid w:val="00CF7BCB"/>
    <w:rsid w:val="00D003BD"/>
    <w:rsid w:val="00D0085A"/>
    <w:rsid w:val="00D0197F"/>
    <w:rsid w:val="00D01B31"/>
    <w:rsid w:val="00D0220F"/>
    <w:rsid w:val="00D0242D"/>
    <w:rsid w:val="00D026A8"/>
    <w:rsid w:val="00D02716"/>
    <w:rsid w:val="00D02CFF"/>
    <w:rsid w:val="00D03A72"/>
    <w:rsid w:val="00D040DD"/>
    <w:rsid w:val="00D0410D"/>
    <w:rsid w:val="00D04134"/>
    <w:rsid w:val="00D0544B"/>
    <w:rsid w:val="00D05C65"/>
    <w:rsid w:val="00D06884"/>
    <w:rsid w:val="00D0694C"/>
    <w:rsid w:val="00D06B56"/>
    <w:rsid w:val="00D06D68"/>
    <w:rsid w:val="00D075BE"/>
    <w:rsid w:val="00D07AFF"/>
    <w:rsid w:val="00D07CC2"/>
    <w:rsid w:val="00D105FD"/>
    <w:rsid w:val="00D10C15"/>
    <w:rsid w:val="00D11011"/>
    <w:rsid w:val="00D112D2"/>
    <w:rsid w:val="00D11476"/>
    <w:rsid w:val="00D12029"/>
    <w:rsid w:val="00D120BD"/>
    <w:rsid w:val="00D1276D"/>
    <w:rsid w:val="00D12C25"/>
    <w:rsid w:val="00D12FCD"/>
    <w:rsid w:val="00D133B4"/>
    <w:rsid w:val="00D13986"/>
    <w:rsid w:val="00D13F3E"/>
    <w:rsid w:val="00D1464E"/>
    <w:rsid w:val="00D14AF3"/>
    <w:rsid w:val="00D14AF9"/>
    <w:rsid w:val="00D14C5B"/>
    <w:rsid w:val="00D15468"/>
    <w:rsid w:val="00D15D3A"/>
    <w:rsid w:val="00D15FED"/>
    <w:rsid w:val="00D16712"/>
    <w:rsid w:val="00D16EF9"/>
    <w:rsid w:val="00D174E0"/>
    <w:rsid w:val="00D17AD2"/>
    <w:rsid w:val="00D17B4D"/>
    <w:rsid w:val="00D214EF"/>
    <w:rsid w:val="00D215B0"/>
    <w:rsid w:val="00D2192C"/>
    <w:rsid w:val="00D21B36"/>
    <w:rsid w:val="00D21D6D"/>
    <w:rsid w:val="00D21D83"/>
    <w:rsid w:val="00D2243B"/>
    <w:rsid w:val="00D22A03"/>
    <w:rsid w:val="00D22A47"/>
    <w:rsid w:val="00D235B7"/>
    <w:rsid w:val="00D23A99"/>
    <w:rsid w:val="00D23B39"/>
    <w:rsid w:val="00D23EA4"/>
    <w:rsid w:val="00D23FAE"/>
    <w:rsid w:val="00D250EB"/>
    <w:rsid w:val="00D25F28"/>
    <w:rsid w:val="00D25FDC"/>
    <w:rsid w:val="00D26071"/>
    <w:rsid w:val="00D260B0"/>
    <w:rsid w:val="00D260C7"/>
    <w:rsid w:val="00D26133"/>
    <w:rsid w:val="00D2628C"/>
    <w:rsid w:val="00D269B9"/>
    <w:rsid w:val="00D27973"/>
    <w:rsid w:val="00D27B07"/>
    <w:rsid w:val="00D27F07"/>
    <w:rsid w:val="00D27F3A"/>
    <w:rsid w:val="00D31537"/>
    <w:rsid w:val="00D31E1E"/>
    <w:rsid w:val="00D322A0"/>
    <w:rsid w:val="00D32824"/>
    <w:rsid w:val="00D32C69"/>
    <w:rsid w:val="00D3300D"/>
    <w:rsid w:val="00D33297"/>
    <w:rsid w:val="00D333A3"/>
    <w:rsid w:val="00D334E2"/>
    <w:rsid w:val="00D335E5"/>
    <w:rsid w:val="00D33EE0"/>
    <w:rsid w:val="00D348FD"/>
    <w:rsid w:val="00D350B1"/>
    <w:rsid w:val="00D35AD6"/>
    <w:rsid w:val="00D35B69"/>
    <w:rsid w:val="00D35BBB"/>
    <w:rsid w:val="00D35E1A"/>
    <w:rsid w:val="00D362B1"/>
    <w:rsid w:val="00D36779"/>
    <w:rsid w:val="00D36B0A"/>
    <w:rsid w:val="00D36DFB"/>
    <w:rsid w:val="00D36E1C"/>
    <w:rsid w:val="00D3722F"/>
    <w:rsid w:val="00D372D7"/>
    <w:rsid w:val="00D373AF"/>
    <w:rsid w:val="00D37DBD"/>
    <w:rsid w:val="00D40162"/>
    <w:rsid w:val="00D40441"/>
    <w:rsid w:val="00D40556"/>
    <w:rsid w:val="00D40E1F"/>
    <w:rsid w:val="00D41495"/>
    <w:rsid w:val="00D418E9"/>
    <w:rsid w:val="00D41BCD"/>
    <w:rsid w:val="00D41F74"/>
    <w:rsid w:val="00D42399"/>
    <w:rsid w:val="00D428C8"/>
    <w:rsid w:val="00D43034"/>
    <w:rsid w:val="00D43D3C"/>
    <w:rsid w:val="00D43ED2"/>
    <w:rsid w:val="00D4653E"/>
    <w:rsid w:val="00D46F11"/>
    <w:rsid w:val="00D47806"/>
    <w:rsid w:val="00D47A67"/>
    <w:rsid w:val="00D47C12"/>
    <w:rsid w:val="00D47C4E"/>
    <w:rsid w:val="00D50016"/>
    <w:rsid w:val="00D50A79"/>
    <w:rsid w:val="00D50F46"/>
    <w:rsid w:val="00D51FA0"/>
    <w:rsid w:val="00D5302A"/>
    <w:rsid w:val="00D531F2"/>
    <w:rsid w:val="00D533C4"/>
    <w:rsid w:val="00D5384E"/>
    <w:rsid w:val="00D544E7"/>
    <w:rsid w:val="00D5499F"/>
    <w:rsid w:val="00D55602"/>
    <w:rsid w:val="00D5560A"/>
    <w:rsid w:val="00D56250"/>
    <w:rsid w:val="00D56892"/>
    <w:rsid w:val="00D56EE1"/>
    <w:rsid w:val="00D56FBF"/>
    <w:rsid w:val="00D57129"/>
    <w:rsid w:val="00D57677"/>
    <w:rsid w:val="00D5781F"/>
    <w:rsid w:val="00D579B2"/>
    <w:rsid w:val="00D60415"/>
    <w:rsid w:val="00D60515"/>
    <w:rsid w:val="00D60D0C"/>
    <w:rsid w:val="00D60DAE"/>
    <w:rsid w:val="00D60E3C"/>
    <w:rsid w:val="00D60FA7"/>
    <w:rsid w:val="00D612BF"/>
    <w:rsid w:val="00D61332"/>
    <w:rsid w:val="00D61FAB"/>
    <w:rsid w:val="00D62180"/>
    <w:rsid w:val="00D625DF"/>
    <w:rsid w:val="00D629FA"/>
    <w:rsid w:val="00D62C4E"/>
    <w:rsid w:val="00D62FE9"/>
    <w:rsid w:val="00D63947"/>
    <w:rsid w:val="00D63BE5"/>
    <w:rsid w:val="00D6475F"/>
    <w:rsid w:val="00D650A2"/>
    <w:rsid w:val="00D652EB"/>
    <w:rsid w:val="00D655D4"/>
    <w:rsid w:val="00D661A0"/>
    <w:rsid w:val="00D66223"/>
    <w:rsid w:val="00D667B8"/>
    <w:rsid w:val="00D66CCD"/>
    <w:rsid w:val="00D677BC"/>
    <w:rsid w:val="00D679AE"/>
    <w:rsid w:val="00D67D55"/>
    <w:rsid w:val="00D70130"/>
    <w:rsid w:val="00D70289"/>
    <w:rsid w:val="00D7041F"/>
    <w:rsid w:val="00D70822"/>
    <w:rsid w:val="00D708E1"/>
    <w:rsid w:val="00D71B96"/>
    <w:rsid w:val="00D71E35"/>
    <w:rsid w:val="00D72076"/>
    <w:rsid w:val="00D721B4"/>
    <w:rsid w:val="00D726A9"/>
    <w:rsid w:val="00D72986"/>
    <w:rsid w:val="00D72C66"/>
    <w:rsid w:val="00D72DBA"/>
    <w:rsid w:val="00D743E0"/>
    <w:rsid w:val="00D74667"/>
    <w:rsid w:val="00D7469D"/>
    <w:rsid w:val="00D7490C"/>
    <w:rsid w:val="00D74F03"/>
    <w:rsid w:val="00D756D1"/>
    <w:rsid w:val="00D75AC1"/>
    <w:rsid w:val="00D763CF"/>
    <w:rsid w:val="00D77252"/>
    <w:rsid w:val="00D80129"/>
    <w:rsid w:val="00D8084C"/>
    <w:rsid w:val="00D8088C"/>
    <w:rsid w:val="00D8125F"/>
    <w:rsid w:val="00D81809"/>
    <w:rsid w:val="00D8210B"/>
    <w:rsid w:val="00D82EF1"/>
    <w:rsid w:val="00D84470"/>
    <w:rsid w:val="00D84CC9"/>
    <w:rsid w:val="00D84F3F"/>
    <w:rsid w:val="00D84F43"/>
    <w:rsid w:val="00D85114"/>
    <w:rsid w:val="00D85821"/>
    <w:rsid w:val="00D8598C"/>
    <w:rsid w:val="00D85BF3"/>
    <w:rsid w:val="00D861DB"/>
    <w:rsid w:val="00D8755D"/>
    <w:rsid w:val="00D87793"/>
    <w:rsid w:val="00D87AC8"/>
    <w:rsid w:val="00D87C06"/>
    <w:rsid w:val="00D90924"/>
    <w:rsid w:val="00D90DF2"/>
    <w:rsid w:val="00D911AF"/>
    <w:rsid w:val="00D91271"/>
    <w:rsid w:val="00D915EA"/>
    <w:rsid w:val="00D919ED"/>
    <w:rsid w:val="00D922A1"/>
    <w:rsid w:val="00D928BE"/>
    <w:rsid w:val="00D92CD7"/>
    <w:rsid w:val="00D932B8"/>
    <w:rsid w:val="00D932F0"/>
    <w:rsid w:val="00D936C6"/>
    <w:rsid w:val="00D93CDB"/>
    <w:rsid w:val="00D93E70"/>
    <w:rsid w:val="00D95302"/>
    <w:rsid w:val="00D95889"/>
    <w:rsid w:val="00D95C5D"/>
    <w:rsid w:val="00D95CBE"/>
    <w:rsid w:val="00D95E17"/>
    <w:rsid w:val="00D95E7F"/>
    <w:rsid w:val="00D96FA4"/>
    <w:rsid w:val="00D97BD8"/>
    <w:rsid w:val="00D97D00"/>
    <w:rsid w:val="00D97DD2"/>
    <w:rsid w:val="00DA0121"/>
    <w:rsid w:val="00DA096C"/>
    <w:rsid w:val="00DA1AB6"/>
    <w:rsid w:val="00DA2E65"/>
    <w:rsid w:val="00DA3479"/>
    <w:rsid w:val="00DA37DE"/>
    <w:rsid w:val="00DA3ADF"/>
    <w:rsid w:val="00DA3CEF"/>
    <w:rsid w:val="00DA4174"/>
    <w:rsid w:val="00DA4FA8"/>
    <w:rsid w:val="00DA544C"/>
    <w:rsid w:val="00DA5F8E"/>
    <w:rsid w:val="00DA6364"/>
    <w:rsid w:val="00DA656E"/>
    <w:rsid w:val="00DA7114"/>
    <w:rsid w:val="00DA7BC3"/>
    <w:rsid w:val="00DA7C0C"/>
    <w:rsid w:val="00DA7E2F"/>
    <w:rsid w:val="00DB03DD"/>
    <w:rsid w:val="00DB05B4"/>
    <w:rsid w:val="00DB08A9"/>
    <w:rsid w:val="00DB0B33"/>
    <w:rsid w:val="00DB0EBD"/>
    <w:rsid w:val="00DB0FD9"/>
    <w:rsid w:val="00DB1273"/>
    <w:rsid w:val="00DB13EF"/>
    <w:rsid w:val="00DB2DFA"/>
    <w:rsid w:val="00DB2EC8"/>
    <w:rsid w:val="00DB321D"/>
    <w:rsid w:val="00DB459B"/>
    <w:rsid w:val="00DB46D6"/>
    <w:rsid w:val="00DB47FD"/>
    <w:rsid w:val="00DB56F9"/>
    <w:rsid w:val="00DB5E3A"/>
    <w:rsid w:val="00DB5E9A"/>
    <w:rsid w:val="00DB613B"/>
    <w:rsid w:val="00DB657E"/>
    <w:rsid w:val="00DB6604"/>
    <w:rsid w:val="00DB699D"/>
    <w:rsid w:val="00DB7093"/>
    <w:rsid w:val="00DB7342"/>
    <w:rsid w:val="00DB7489"/>
    <w:rsid w:val="00DB74D3"/>
    <w:rsid w:val="00DB76E7"/>
    <w:rsid w:val="00DC07DB"/>
    <w:rsid w:val="00DC0B4D"/>
    <w:rsid w:val="00DC0CBB"/>
    <w:rsid w:val="00DC0DCD"/>
    <w:rsid w:val="00DC17D0"/>
    <w:rsid w:val="00DC1E5D"/>
    <w:rsid w:val="00DC24EE"/>
    <w:rsid w:val="00DC25C7"/>
    <w:rsid w:val="00DC2B41"/>
    <w:rsid w:val="00DC2BF2"/>
    <w:rsid w:val="00DC2EA7"/>
    <w:rsid w:val="00DC3128"/>
    <w:rsid w:val="00DC3A96"/>
    <w:rsid w:val="00DC3E4E"/>
    <w:rsid w:val="00DC435B"/>
    <w:rsid w:val="00DC4A76"/>
    <w:rsid w:val="00DC4AC4"/>
    <w:rsid w:val="00DC53D8"/>
    <w:rsid w:val="00DC56FE"/>
    <w:rsid w:val="00DC5B3B"/>
    <w:rsid w:val="00DC5E13"/>
    <w:rsid w:val="00DC5F11"/>
    <w:rsid w:val="00DC6C2D"/>
    <w:rsid w:val="00DC744D"/>
    <w:rsid w:val="00DC7B1A"/>
    <w:rsid w:val="00DC7DC1"/>
    <w:rsid w:val="00DD01BD"/>
    <w:rsid w:val="00DD04B0"/>
    <w:rsid w:val="00DD0A53"/>
    <w:rsid w:val="00DD129F"/>
    <w:rsid w:val="00DD13FC"/>
    <w:rsid w:val="00DD1A3F"/>
    <w:rsid w:val="00DD29B5"/>
    <w:rsid w:val="00DD32DD"/>
    <w:rsid w:val="00DD33E8"/>
    <w:rsid w:val="00DD4BC8"/>
    <w:rsid w:val="00DD4EFD"/>
    <w:rsid w:val="00DD5287"/>
    <w:rsid w:val="00DD54CD"/>
    <w:rsid w:val="00DD5688"/>
    <w:rsid w:val="00DD58E5"/>
    <w:rsid w:val="00DD5B36"/>
    <w:rsid w:val="00DD6230"/>
    <w:rsid w:val="00DD64A4"/>
    <w:rsid w:val="00DD6D61"/>
    <w:rsid w:val="00DD6E6B"/>
    <w:rsid w:val="00DD7849"/>
    <w:rsid w:val="00DD7D30"/>
    <w:rsid w:val="00DE03DE"/>
    <w:rsid w:val="00DE0453"/>
    <w:rsid w:val="00DE0D8B"/>
    <w:rsid w:val="00DE1237"/>
    <w:rsid w:val="00DE1346"/>
    <w:rsid w:val="00DE140F"/>
    <w:rsid w:val="00DE17E9"/>
    <w:rsid w:val="00DE1A4A"/>
    <w:rsid w:val="00DE1A98"/>
    <w:rsid w:val="00DE1FC3"/>
    <w:rsid w:val="00DE2491"/>
    <w:rsid w:val="00DE273F"/>
    <w:rsid w:val="00DE27CD"/>
    <w:rsid w:val="00DE3231"/>
    <w:rsid w:val="00DE3E22"/>
    <w:rsid w:val="00DE3E5D"/>
    <w:rsid w:val="00DE450F"/>
    <w:rsid w:val="00DE45A0"/>
    <w:rsid w:val="00DE4865"/>
    <w:rsid w:val="00DE4882"/>
    <w:rsid w:val="00DE513B"/>
    <w:rsid w:val="00DE5CA6"/>
    <w:rsid w:val="00DE5E55"/>
    <w:rsid w:val="00DE6209"/>
    <w:rsid w:val="00DE63AE"/>
    <w:rsid w:val="00DE7156"/>
    <w:rsid w:val="00DE7AC8"/>
    <w:rsid w:val="00DF0830"/>
    <w:rsid w:val="00DF18D0"/>
    <w:rsid w:val="00DF2814"/>
    <w:rsid w:val="00DF29E5"/>
    <w:rsid w:val="00DF2C5D"/>
    <w:rsid w:val="00DF2CD3"/>
    <w:rsid w:val="00DF3643"/>
    <w:rsid w:val="00DF3702"/>
    <w:rsid w:val="00DF3C29"/>
    <w:rsid w:val="00DF42FF"/>
    <w:rsid w:val="00DF4369"/>
    <w:rsid w:val="00DF4423"/>
    <w:rsid w:val="00DF47E2"/>
    <w:rsid w:val="00DF497B"/>
    <w:rsid w:val="00DF4ADF"/>
    <w:rsid w:val="00DF5317"/>
    <w:rsid w:val="00DF57D6"/>
    <w:rsid w:val="00DF5D1E"/>
    <w:rsid w:val="00DF7501"/>
    <w:rsid w:val="00DF77E4"/>
    <w:rsid w:val="00DF7F88"/>
    <w:rsid w:val="00E000C0"/>
    <w:rsid w:val="00E005AD"/>
    <w:rsid w:val="00E00B88"/>
    <w:rsid w:val="00E01C0E"/>
    <w:rsid w:val="00E01DBF"/>
    <w:rsid w:val="00E02027"/>
    <w:rsid w:val="00E031C0"/>
    <w:rsid w:val="00E0368F"/>
    <w:rsid w:val="00E03778"/>
    <w:rsid w:val="00E03A92"/>
    <w:rsid w:val="00E03D73"/>
    <w:rsid w:val="00E03F9A"/>
    <w:rsid w:val="00E040A9"/>
    <w:rsid w:val="00E040DA"/>
    <w:rsid w:val="00E04694"/>
    <w:rsid w:val="00E04DDA"/>
    <w:rsid w:val="00E05333"/>
    <w:rsid w:val="00E05CB1"/>
    <w:rsid w:val="00E064FF"/>
    <w:rsid w:val="00E0660F"/>
    <w:rsid w:val="00E07A69"/>
    <w:rsid w:val="00E10898"/>
    <w:rsid w:val="00E11682"/>
    <w:rsid w:val="00E1168B"/>
    <w:rsid w:val="00E11B09"/>
    <w:rsid w:val="00E12191"/>
    <w:rsid w:val="00E129E7"/>
    <w:rsid w:val="00E12AB3"/>
    <w:rsid w:val="00E12ABE"/>
    <w:rsid w:val="00E12B1E"/>
    <w:rsid w:val="00E12B8A"/>
    <w:rsid w:val="00E135EB"/>
    <w:rsid w:val="00E13995"/>
    <w:rsid w:val="00E13DE7"/>
    <w:rsid w:val="00E13E90"/>
    <w:rsid w:val="00E14333"/>
    <w:rsid w:val="00E1444C"/>
    <w:rsid w:val="00E15065"/>
    <w:rsid w:val="00E155BB"/>
    <w:rsid w:val="00E159C6"/>
    <w:rsid w:val="00E16D15"/>
    <w:rsid w:val="00E17262"/>
    <w:rsid w:val="00E173A7"/>
    <w:rsid w:val="00E173F2"/>
    <w:rsid w:val="00E17611"/>
    <w:rsid w:val="00E17F36"/>
    <w:rsid w:val="00E20016"/>
    <w:rsid w:val="00E20064"/>
    <w:rsid w:val="00E2009B"/>
    <w:rsid w:val="00E2039D"/>
    <w:rsid w:val="00E2039E"/>
    <w:rsid w:val="00E2077A"/>
    <w:rsid w:val="00E20BB9"/>
    <w:rsid w:val="00E20BCC"/>
    <w:rsid w:val="00E210D8"/>
    <w:rsid w:val="00E21CA5"/>
    <w:rsid w:val="00E2251C"/>
    <w:rsid w:val="00E23134"/>
    <w:rsid w:val="00E232E0"/>
    <w:rsid w:val="00E2363D"/>
    <w:rsid w:val="00E23C6A"/>
    <w:rsid w:val="00E24411"/>
    <w:rsid w:val="00E24805"/>
    <w:rsid w:val="00E2484B"/>
    <w:rsid w:val="00E253A2"/>
    <w:rsid w:val="00E25943"/>
    <w:rsid w:val="00E260F6"/>
    <w:rsid w:val="00E26A73"/>
    <w:rsid w:val="00E27127"/>
    <w:rsid w:val="00E27233"/>
    <w:rsid w:val="00E274BB"/>
    <w:rsid w:val="00E27AFE"/>
    <w:rsid w:val="00E27F48"/>
    <w:rsid w:val="00E30279"/>
    <w:rsid w:val="00E30F15"/>
    <w:rsid w:val="00E31771"/>
    <w:rsid w:val="00E3186D"/>
    <w:rsid w:val="00E31A3E"/>
    <w:rsid w:val="00E31A84"/>
    <w:rsid w:val="00E32080"/>
    <w:rsid w:val="00E32778"/>
    <w:rsid w:val="00E32DD9"/>
    <w:rsid w:val="00E3309D"/>
    <w:rsid w:val="00E332CF"/>
    <w:rsid w:val="00E333C5"/>
    <w:rsid w:val="00E337F0"/>
    <w:rsid w:val="00E3384A"/>
    <w:rsid w:val="00E34CA5"/>
    <w:rsid w:val="00E34DA9"/>
    <w:rsid w:val="00E34E3F"/>
    <w:rsid w:val="00E350B1"/>
    <w:rsid w:val="00E35A53"/>
    <w:rsid w:val="00E35C5E"/>
    <w:rsid w:val="00E3621D"/>
    <w:rsid w:val="00E3634A"/>
    <w:rsid w:val="00E3656B"/>
    <w:rsid w:val="00E37097"/>
    <w:rsid w:val="00E3712B"/>
    <w:rsid w:val="00E3724A"/>
    <w:rsid w:val="00E37801"/>
    <w:rsid w:val="00E378B1"/>
    <w:rsid w:val="00E41131"/>
    <w:rsid w:val="00E41179"/>
    <w:rsid w:val="00E417BE"/>
    <w:rsid w:val="00E41A3F"/>
    <w:rsid w:val="00E41CD5"/>
    <w:rsid w:val="00E41F01"/>
    <w:rsid w:val="00E42054"/>
    <w:rsid w:val="00E425BA"/>
    <w:rsid w:val="00E4372D"/>
    <w:rsid w:val="00E43A9E"/>
    <w:rsid w:val="00E43E06"/>
    <w:rsid w:val="00E44243"/>
    <w:rsid w:val="00E445D7"/>
    <w:rsid w:val="00E44908"/>
    <w:rsid w:val="00E453F9"/>
    <w:rsid w:val="00E455A7"/>
    <w:rsid w:val="00E45D7D"/>
    <w:rsid w:val="00E46090"/>
    <w:rsid w:val="00E4623F"/>
    <w:rsid w:val="00E4665D"/>
    <w:rsid w:val="00E47854"/>
    <w:rsid w:val="00E478E2"/>
    <w:rsid w:val="00E47A7C"/>
    <w:rsid w:val="00E47EBA"/>
    <w:rsid w:val="00E50156"/>
    <w:rsid w:val="00E504EB"/>
    <w:rsid w:val="00E5076C"/>
    <w:rsid w:val="00E50D2E"/>
    <w:rsid w:val="00E50D7D"/>
    <w:rsid w:val="00E51EF0"/>
    <w:rsid w:val="00E51F14"/>
    <w:rsid w:val="00E53470"/>
    <w:rsid w:val="00E5368D"/>
    <w:rsid w:val="00E539F6"/>
    <w:rsid w:val="00E54503"/>
    <w:rsid w:val="00E54698"/>
    <w:rsid w:val="00E54BE9"/>
    <w:rsid w:val="00E54D22"/>
    <w:rsid w:val="00E54FB4"/>
    <w:rsid w:val="00E5539A"/>
    <w:rsid w:val="00E55482"/>
    <w:rsid w:val="00E55791"/>
    <w:rsid w:val="00E559DE"/>
    <w:rsid w:val="00E55DE0"/>
    <w:rsid w:val="00E55E1A"/>
    <w:rsid w:val="00E56222"/>
    <w:rsid w:val="00E56F48"/>
    <w:rsid w:val="00E56F7E"/>
    <w:rsid w:val="00E577C5"/>
    <w:rsid w:val="00E578A2"/>
    <w:rsid w:val="00E579ED"/>
    <w:rsid w:val="00E60043"/>
    <w:rsid w:val="00E60463"/>
    <w:rsid w:val="00E60C6A"/>
    <w:rsid w:val="00E61740"/>
    <w:rsid w:val="00E61C16"/>
    <w:rsid w:val="00E61EB5"/>
    <w:rsid w:val="00E63031"/>
    <w:rsid w:val="00E6312E"/>
    <w:rsid w:val="00E63157"/>
    <w:rsid w:val="00E6324D"/>
    <w:rsid w:val="00E63B6E"/>
    <w:rsid w:val="00E647C1"/>
    <w:rsid w:val="00E64893"/>
    <w:rsid w:val="00E65084"/>
    <w:rsid w:val="00E6519D"/>
    <w:rsid w:val="00E65320"/>
    <w:rsid w:val="00E65A4D"/>
    <w:rsid w:val="00E66062"/>
    <w:rsid w:val="00E662B7"/>
    <w:rsid w:val="00E6660E"/>
    <w:rsid w:val="00E66634"/>
    <w:rsid w:val="00E66768"/>
    <w:rsid w:val="00E669D7"/>
    <w:rsid w:val="00E67305"/>
    <w:rsid w:val="00E67696"/>
    <w:rsid w:val="00E7024B"/>
    <w:rsid w:val="00E70812"/>
    <w:rsid w:val="00E709AF"/>
    <w:rsid w:val="00E70C5F"/>
    <w:rsid w:val="00E71A3C"/>
    <w:rsid w:val="00E71A58"/>
    <w:rsid w:val="00E728D7"/>
    <w:rsid w:val="00E72A26"/>
    <w:rsid w:val="00E72A7A"/>
    <w:rsid w:val="00E72BA4"/>
    <w:rsid w:val="00E72C0C"/>
    <w:rsid w:val="00E73065"/>
    <w:rsid w:val="00E7326D"/>
    <w:rsid w:val="00E7335A"/>
    <w:rsid w:val="00E735DB"/>
    <w:rsid w:val="00E73986"/>
    <w:rsid w:val="00E744ED"/>
    <w:rsid w:val="00E7467D"/>
    <w:rsid w:val="00E747DC"/>
    <w:rsid w:val="00E74A2D"/>
    <w:rsid w:val="00E7590D"/>
    <w:rsid w:val="00E75C94"/>
    <w:rsid w:val="00E767BF"/>
    <w:rsid w:val="00E76A08"/>
    <w:rsid w:val="00E76B9B"/>
    <w:rsid w:val="00E76C69"/>
    <w:rsid w:val="00E76E61"/>
    <w:rsid w:val="00E76EE4"/>
    <w:rsid w:val="00E7709B"/>
    <w:rsid w:val="00E775DE"/>
    <w:rsid w:val="00E77CC0"/>
    <w:rsid w:val="00E80B3D"/>
    <w:rsid w:val="00E80CA3"/>
    <w:rsid w:val="00E815D7"/>
    <w:rsid w:val="00E81AAA"/>
    <w:rsid w:val="00E82618"/>
    <w:rsid w:val="00E82A42"/>
    <w:rsid w:val="00E82D05"/>
    <w:rsid w:val="00E846A5"/>
    <w:rsid w:val="00E84E09"/>
    <w:rsid w:val="00E858F0"/>
    <w:rsid w:val="00E8745E"/>
    <w:rsid w:val="00E87CE2"/>
    <w:rsid w:val="00E87D3D"/>
    <w:rsid w:val="00E87D5B"/>
    <w:rsid w:val="00E90156"/>
    <w:rsid w:val="00E90CA8"/>
    <w:rsid w:val="00E911C6"/>
    <w:rsid w:val="00E91633"/>
    <w:rsid w:val="00E91A1C"/>
    <w:rsid w:val="00E91DEE"/>
    <w:rsid w:val="00E920DE"/>
    <w:rsid w:val="00E92B68"/>
    <w:rsid w:val="00E930A1"/>
    <w:rsid w:val="00E93820"/>
    <w:rsid w:val="00E94A86"/>
    <w:rsid w:val="00E951AB"/>
    <w:rsid w:val="00E953B8"/>
    <w:rsid w:val="00E953F6"/>
    <w:rsid w:val="00E95A06"/>
    <w:rsid w:val="00E96143"/>
    <w:rsid w:val="00E96833"/>
    <w:rsid w:val="00E97072"/>
    <w:rsid w:val="00E97506"/>
    <w:rsid w:val="00E97BB5"/>
    <w:rsid w:val="00E97D5B"/>
    <w:rsid w:val="00E97F14"/>
    <w:rsid w:val="00EA0C68"/>
    <w:rsid w:val="00EA0E39"/>
    <w:rsid w:val="00EA1130"/>
    <w:rsid w:val="00EA13A3"/>
    <w:rsid w:val="00EA1BE8"/>
    <w:rsid w:val="00EA1D0E"/>
    <w:rsid w:val="00EA2072"/>
    <w:rsid w:val="00EA2841"/>
    <w:rsid w:val="00EA32BC"/>
    <w:rsid w:val="00EA33F4"/>
    <w:rsid w:val="00EA35A7"/>
    <w:rsid w:val="00EA3B32"/>
    <w:rsid w:val="00EA3CEB"/>
    <w:rsid w:val="00EA3D05"/>
    <w:rsid w:val="00EA4222"/>
    <w:rsid w:val="00EA4402"/>
    <w:rsid w:val="00EA4507"/>
    <w:rsid w:val="00EA4B8D"/>
    <w:rsid w:val="00EA513E"/>
    <w:rsid w:val="00EA57C0"/>
    <w:rsid w:val="00EA5C4B"/>
    <w:rsid w:val="00EA7419"/>
    <w:rsid w:val="00EA7C51"/>
    <w:rsid w:val="00EB02B0"/>
    <w:rsid w:val="00EB0887"/>
    <w:rsid w:val="00EB0E32"/>
    <w:rsid w:val="00EB1CDC"/>
    <w:rsid w:val="00EB1D89"/>
    <w:rsid w:val="00EB1E1E"/>
    <w:rsid w:val="00EB3023"/>
    <w:rsid w:val="00EB3502"/>
    <w:rsid w:val="00EB385E"/>
    <w:rsid w:val="00EB3922"/>
    <w:rsid w:val="00EB3E60"/>
    <w:rsid w:val="00EB4511"/>
    <w:rsid w:val="00EB48D7"/>
    <w:rsid w:val="00EB49F1"/>
    <w:rsid w:val="00EB4A8E"/>
    <w:rsid w:val="00EB4BC5"/>
    <w:rsid w:val="00EB4E68"/>
    <w:rsid w:val="00EB5872"/>
    <w:rsid w:val="00EB5A64"/>
    <w:rsid w:val="00EB5BF7"/>
    <w:rsid w:val="00EB5E79"/>
    <w:rsid w:val="00EB5FAA"/>
    <w:rsid w:val="00EB6473"/>
    <w:rsid w:val="00EB6A51"/>
    <w:rsid w:val="00EB6DA6"/>
    <w:rsid w:val="00EB6FAC"/>
    <w:rsid w:val="00EB7AAD"/>
    <w:rsid w:val="00EB7BAC"/>
    <w:rsid w:val="00EB7CC9"/>
    <w:rsid w:val="00EC03D7"/>
    <w:rsid w:val="00EC09B2"/>
    <w:rsid w:val="00EC13A0"/>
    <w:rsid w:val="00EC13A7"/>
    <w:rsid w:val="00EC1744"/>
    <w:rsid w:val="00EC2414"/>
    <w:rsid w:val="00EC2EB6"/>
    <w:rsid w:val="00EC3A3B"/>
    <w:rsid w:val="00EC3E77"/>
    <w:rsid w:val="00EC4FFF"/>
    <w:rsid w:val="00EC5517"/>
    <w:rsid w:val="00EC5B17"/>
    <w:rsid w:val="00EC6E8C"/>
    <w:rsid w:val="00EC79DD"/>
    <w:rsid w:val="00ED0424"/>
    <w:rsid w:val="00ED08BD"/>
    <w:rsid w:val="00ED0962"/>
    <w:rsid w:val="00ED0EF0"/>
    <w:rsid w:val="00ED0F73"/>
    <w:rsid w:val="00ED12B9"/>
    <w:rsid w:val="00ED15D9"/>
    <w:rsid w:val="00ED16B8"/>
    <w:rsid w:val="00ED17D8"/>
    <w:rsid w:val="00ED1959"/>
    <w:rsid w:val="00ED1A00"/>
    <w:rsid w:val="00ED1DF0"/>
    <w:rsid w:val="00ED229E"/>
    <w:rsid w:val="00ED2386"/>
    <w:rsid w:val="00ED2525"/>
    <w:rsid w:val="00ED2B13"/>
    <w:rsid w:val="00ED2D26"/>
    <w:rsid w:val="00ED2EA1"/>
    <w:rsid w:val="00ED3851"/>
    <w:rsid w:val="00ED3D4A"/>
    <w:rsid w:val="00ED3E51"/>
    <w:rsid w:val="00ED3F10"/>
    <w:rsid w:val="00ED3F9B"/>
    <w:rsid w:val="00ED3FB3"/>
    <w:rsid w:val="00ED4D04"/>
    <w:rsid w:val="00ED4E87"/>
    <w:rsid w:val="00ED5153"/>
    <w:rsid w:val="00ED566D"/>
    <w:rsid w:val="00ED5907"/>
    <w:rsid w:val="00ED5F5B"/>
    <w:rsid w:val="00ED62C6"/>
    <w:rsid w:val="00ED64C1"/>
    <w:rsid w:val="00ED781F"/>
    <w:rsid w:val="00ED7A91"/>
    <w:rsid w:val="00EE0E7E"/>
    <w:rsid w:val="00EE1E87"/>
    <w:rsid w:val="00EE226A"/>
    <w:rsid w:val="00EE249F"/>
    <w:rsid w:val="00EE2674"/>
    <w:rsid w:val="00EE2EB4"/>
    <w:rsid w:val="00EE3446"/>
    <w:rsid w:val="00EE3655"/>
    <w:rsid w:val="00EE3E78"/>
    <w:rsid w:val="00EE41FD"/>
    <w:rsid w:val="00EE460E"/>
    <w:rsid w:val="00EE4B1B"/>
    <w:rsid w:val="00EE5DCA"/>
    <w:rsid w:val="00EE5FBA"/>
    <w:rsid w:val="00EE601C"/>
    <w:rsid w:val="00EE6137"/>
    <w:rsid w:val="00EE6382"/>
    <w:rsid w:val="00EE64EC"/>
    <w:rsid w:val="00EE65DE"/>
    <w:rsid w:val="00EE6A09"/>
    <w:rsid w:val="00EE6E06"/>
    <w:rsid w:val="00EE7179"/>
    <w:rsid w:val="00EF0A4D"/>
    <w:rsid w:val="00EF0D90"/>
    <w:rsid w:val="00EF150D"/>
    <w:rsid w:val="00EF1931"/>
    <w:rsid w:val="00EF19E9"/>
    <w:rsid w:val="00EF1F5A"/>
    <w:rsid w:val="00EF232A"/>
    <w:rsid w:val="00EF232B"/>
    <w:rsid w:val="00EF23B5"/>
    <w:rsid w:val="00EF2DDB"/>
    <w:rsid w:val="00EF2E64"/>
    <w:rsid w:val="00EF2F71"/>
    <w:rsid w:val="00EF326A"/>
    <w:rsid w:val="00EF34A0"/>
    <w:rsid w:val="00EF3898"/>
    <w:rsid w:val="00EF47BF"/>
    <w:rsid w:val="00EF52F7"/>
    <w:rsid w:val="00EF54CF"/>
    <w:rsid w:val="00EF583F"/>
    <w:rsid w:val="00EF58B0"/>
    <w:rsid w:val="00EF5989"/>
    <w:rsid w:val="00EF59B1"/>
    <w:rsid w:val="00EF5A13"/>
    <w:rsid w:val="00EF5FF9"/>
    <w:rsid w:val="00EF77D4"/>
    <w:rsid w:val="00EF7CC7"/>
    <w:rsid w:val="00EF7DF6"/>
    <w:rsid w:val="00F00535"/>
    <w:rsid w:val="00F00853"/>
    <w:rsid w:val="00F00866"/>
    <w:rsid w:val="00F00EC8"/>
    <w:rsid w:val="00F0160B"/>
    <w:rsid w:val="00F017B4"/>
    <w:rsid w:val="00F0193E"/>
    <w:rsid w:val="00F02019"/>
    <w:rsid w:val="00F033CB"/>
    <w:rsid w:val="00F037C8"/>
    <w:rsid w:val="00F03B76"/>
    <w:rsid w:val="00F03E2F"/>
    <w:rsid w:val="00F03F61"/>
    <w:rsid w:val="00F03F8D"/>
    <w:rsid w:val="00F04427"/>
    <w:rsid w:val="00F04811"/>
    <w:rsid w:val="00F0488C"/>
    <w:rsid w:val="00F04955"/>
    <w:rsid w:val="00F04C39"/>
    <w:rsid w:val="00F052D2"/>
    <w:rsid w:val="00F05501"/>
    <w:rsid w:val="00F06002"/>
    <w:rsid w:val="00F067B8"/>
    <w:rsid w:val="00F06C78"/>
    <w:rsid w:val="00F07075"/>
    <w:rsid w:val="00F0730A"/>
    <w:rsid w:val="00F073ED"/>
    <w:rsid w:val="00F07478"/>
    <w:rsid w:val="00F07C4C"/>
    <w:rsid w:val="00F07E45"/>
    <w:rsid w:val="00F10F11"/>
    <w:rsid w:val="00F11159"/>
    <w:rsid w:val="00F1149B"/>
    <w:rsid w:val="00F1152E"/>
    <w:rsid w:val="00F115E4"/>
    <w:rsid w:val="00F11AC4"/>
    <w:rsid w:val="00F11FDC"/>
    <w:rsid w:val="00F120A5"/>
    <w:rsid w:val="00F12CFB"/>
    <w:rsid w:val="00F13649"/>
    <w:rsid w:val="00F137EC"/>
    <w:rsid w:val="00F1396C"/>
    <w:rsid w:val="00F13E60"/>
    <w:rsid w:val="00F13FDB"/>
    <w:rsid w:val="00F14922"/>
    <w:rsid w:val="00F149C3"/>
    <w:rsid w:val="00F14FCA"/>
    <w:rsid w:val="00F15143"/>
    <w:rsid w:val="00F158B1"/>
    <w:rsid w:val="00F15AAA"/>
    <w:rsid w:val="00F15BEF"/>
    <w:rsid w:val="00F15DCA"/>
    <w:rsid w:val="00F16ACA"/>
    <w:rsid w:val="00F16BE5"/>
    <w:rsid w:val="00F16DE3"/>
    <w:rsid w:val="00F16E14"/>
    <w:rsid w:val="00F170E6"/>
    <w:rsid w:val="00F1770C"/>
    <w:rsid w:val="00F17898"/>
    <w:rsid w:val="00F17B0D"/>
    <w:rsid w:val="00F17C5C"/>
    <w:rsid w:val="00F204BF"/>
    <w:rsid w:val="00F207C2"/>
    <w:rsid w:val="00F20A12"/>
    <w:rsid w:val="00F21337"/>
    <w:rsid w:val="00F213CF"/>
    <w:rsid w:val="00F214F3"/>
    <w:rsid w:val="00F219A1"/>
    <w:rsid w:val="00F21BB8"/>
    <w:rsid w:val="00F2378B"/>
    <w:rsid w:val="00F23927"/>
    <w:rsid w:val="00F23E20"/>
    <w:rsid w:val="00F24407"/>
    <w:rsid w:val="00F2482C"/>
    <w:rsid w:val="00F249CE"/>
    <w:rsid w:val="00F24FAA"/>
    <w:rsid w:val="00F25040"/>
    <w:rsid w:val="00F259A8"/>
    <w:rsid w:val="00F26385"/>
    <w:rsid w:val="00F269D7"/>
    <w:rsid w:val="00F26FB5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1EBD"/>
    <w:rsid w:val="00F321D2"/>
    <w:rsid w:val="00F32448"/>
    <w:rsid w:val="00F32550"/>
    <w:rsid w:val="00F32649"/>
    <w:rsid w:val="00F32B8A"/>
    <w:rsid w:val="00F32D8D"/>
    <w:rsid w:val="00F3313E"/>
    <w:rsid w:val="00F33523"/>
    <w:rsid w:val="00F3364D"/>
    <w:rsid w:val="00F33914"/>
    <w:rsid w:val="00F341AC"/>
    <w:rsid w:val="00F349BF"/>
    <w:rsid w:val="00F34DDC"/>
    <w:rsid w:val="00F34E04"/>
    <w:rsid w:val="00F36191"/>
    <w:rsid w:val="00F3629F"/>
    <w:rsid w:val="00F36DF3"/>
    <w:rsid w:val="00F37362"/>
    <w:rsid w:val="00F37EDC"/>
    <w:rsid w:val="00F4066D"/>
    <w:rsid w:val="00F41290"/>
    <w:rsid w:val="00F42241"/>
    <w:rsid w:val="00F437CC"/>
    <w:rsid w:val="00F43C45"/>
    <w:rsid w:val="00F44537"/>
    <w:rsid w:val="00F44DAE"/>
    <w:rsid w:val="00F4606B"/>
    <w:rsid w:val="00F46185"/>
    <w:rsid w:val="00F461C3"/>
    <w:rsid w:val="00F462F4"/>
    <w:rsid w:val="00F46423"/>
    <w:rsid w:val="00F4660F"/>
    <w:rsid w:val="00F4696A"/>
    <w:rsid w:val="00F4703A"/>
    <w:rsid w:val="00F47067"/>
    <w:rsid w:val="00F47234"/>
    <w:rsid w:val="00F47709"/>
    <w:rsid w:val="00F503BC"/>
    <w:rsid w:val="00F506A6"/>
    <w:rsid w:val="00F51ADD"/>
    <w:rsid w:val="00F525AB"/>
    <w:rsid w:val="00F525EB"/>
    <w:rsid w:val="00F52BCB"/>
    <w:rsid w:val="00F52CB5"/>
    <w:rsid w:val="00F53378"/>
    <w:rsid w:val="00F53757"/>
    <w:rsid w:val="00F53917"/>
    <w:rsid w:val="00F53A68"/>
    <w:rsid w:val="00F53AA4"/>
    <w:rsid w:val="00F53BA3"/>
    <w:rsid w:val="00F545F4"/>
    <w:rsid w:val="00F54934"/>
    <w:rsid w:val="00F55A92"/>
    <w:rsid w:val="00F5615B"/>
    <w:rsid w:val="00F56250"/>
    <w:rsid w:val="00F56611"/>
    <w:rsid w:val="00F575D3"/>
    <w:rsid w:val="00F57983"/>
    <w:rsid w:val="00F57A76"/>
    <w:rsid w:val="00F57D57"/>
    <w:rsid w:val="00F57DF8"/>
    <w:rsid w:val="00F610B1"/>
    <w:rsid w:val="00F6178B"/>
    <w:rsid w:val="00F618AD"/>
    <w:rsid w:val="00F61E6C"/>
    <w:rsid w:val="00F62BFF"/>
    <w:rsid w:val="00F62CCE"/>
    <w:rsid w:val="00F63092"/>
    <w:rsid w:val="00F6385D"/>
    <w:rsid w:val="00F638FE"/>
    <w:rsid w:val="00F63AAE"/>
    <w:rsid w:val="00F63DDE"/>
    <w:rsid w:val="00F63FB7"/>
    <w:rsid w:val="00F6421B"/>
    <w:rsid w:val="00F647F1"/>
    <w:rsid w:val="00F649D2"/>
    <w:rsid w:val="00F64D5A"/>
    <w:rsid w:val="00F6576E"/>
    <w:rsid w:val="00F6602B"/>
    <w:rsid w:val="00F66FCB"/>
    <w:rsid w:val="00F6716B"/>
    <w:rsid w:val="00F6765B"/>
    <w:rsid w:val="00F6799D"/>
    <w:rsid w:val="00F67DE0"/>
    <w:rsid w:val="00F70E52"/>
    <w:rsid w:val="00F710A4"/>
    <w:rsid w:val="00F71487"/>
    <w:rsid w:val="00F7150B"/>
    <w:rsid w:val="00F717E4"/>
    <w:rsid w:val="00F71DE6"/>
    <w:rsid w:val="00F7232B"/>
    <w:rsid w:val="00F72B83"/>
    <w:rsid w:val="00F72D71"/>
    <w:rsid w:val="00F736AF"/>
    <w:rsid w:val="00F7381C"/>
    <w:rsid w:val="00F73A0C"/>
    <w:rsid w:val="00F740BA"/>
    <w:rsid w:val="00F741EA"/>
    <w:rsid w:val="00F752DC"/>
    <w:rsid w:val="00F7549F"/>
    <w:rsid w:val="00F756DB"/>
    <w:rsid w:val="00F75C5B"/>
    <w:rsid w:val="00F766BE"/>
    <w:rsid w:val="00F767A8"/>
    <w:rsid w:val="00F77590"/>
    <w:rsid w:val="00F7786F"/>
    <w:rsid w:val="00F77A50"/>
    <w:rsid w:val="00F82750"/>
    <w:rsid w:val="00F829F5"/>
    <w:rsid w:val="00F82D14"/>
    <w:rsid w:val="00F82D84"/>
    <w:rsid w:val="00F8473D"/>
    <w:rsid w:val="00F84E7D"/>
    <w:rsid w:val="00F85034"/>
    <w:rsid w:val="00F85066"/>
    <w:rsid w:val="00F85CC1"/>
    <w:rsid w:val="00F8633B"/>
    <w:rsid w:val="00F874F8"/>
    <w:rsid w:val="00F87A4D"/>
    <w:rsid w:val="00F90968"/>
    <w:rsid w:val="00F90BEF"/>
    <w:rsid w:val="00F90C35"/>
    <w:rsid w:val="00F90EEB"/>
    <w:rsid w:val="00F912CB"/>
    <w:rsid w:val="00F9135C"/>
    <w:rsid w:val="00F91B66"/>
    <w:rsid w:val="00F9354A"/>
    <w:rsid w:val="00F93688"/>
    <w:rsid w:val="00F939E3"/>
    <w:rsid w:val="00F939F3"/>
    <w:rsid w:val="00F93C6E"/>
    <w:rsid w:val="00F93F2C"/>
    <w:rsid w:val="00F940DC"/>
    <w:rsid w:val="00F947E9"/>
    <w:rsid w:val="00F95A4E"/>
    <w:rsid w:val="00F962AD"/>
    <w:rsid w:val="00F9644E"/>
    <w:rsid w:val="00F974AA"/>
    <w:rsid w:val="00F97C60"/>
    <w:rsid w:val="00FA0105"/>
    <w:rsid w:val="00FA05A0"/>
    <w:rsid w:val="00FA0AEF"/>
    <w:rsid w:val="00FA1474"/>
    <w:rsid w:val="00FA17CC"/>
    <w:rsid w:val="00FA1CFE"/>
    <w:rsid w:val="00FA1EE7"/>
    <w:rsid w:val="00FA1F01"/>
    <w:rsid w:val="00FA26DF"/>
    <w:rsid w:val="00FA2C07"/>
    <w:rsid w:val="00FA2F0B"/>
    <w:rsid w:val="00FA32BC"/>
    <w:rsid w:val="00FA3FA8"/>
    <w:rsid w:val="00FA4059"/>
    <w:rsid w:val="00FA4574"/>
    <w:rsid w:val="00FA488C"/>
    <w:rsid w:val="00FA48A4"/>
    <w:rsid w:val="00FA4CB7"/>
    <w:rsid w:val="00FA50CB"/>
    <w:rsid w:val="00FA5112"/>
    <w:rsid w:val="00FA5479"/>
    <w:rsid w:val="00FA5526"/>
    <w:rsid w:val="00FA5BF4"/>
    <w:rsid w:val="00FA5D42"/>
    <w:rsid w:val="00FA5D4D"/>
    <w:rsid w:val="00FA6C27"/>
    <w:rsid w:val="00FA6CB6"/>
    <w:rsid w:val="00FA6DD8"/>
    <w:rsid w:val="00FA7089"/>
    <w:rsid w:val="00FA70D3"/>
    <w:rsid w:val="00FA7AEC"/>
    <w:rsid w:val="00FB0AEA"/>
    <w:rsid w:val="00FB0EE2"/>
    <w:rsid w:val="00FB100C"/>
    <w:rsid w:val="00FB1A79"/>
    <w:rsid w:val="00FB1BA4"/>
    <w:rsid w:val="00FB1C0B"/>
    <w:rsid w:val="00FB208B"/>
    <w:rsid w:val="00FB20BC"/>
    <w:rsid w:val="00FB2B2D"/>
    <w:rsid w:val="00FB4AC5"/>
    <w:rsid w:val="00FB4D91"/>
    <w:rsid w:val="00FB542E"/>
    <w:rsid w:val="00FB5580"/>
    <w:rsid w:val="00FB564F"/>
    <w:rsid w:val="00FB6A41"/>
    <w:rsid w:val="00FB6F54"/>
    <w:rsid w:val="00FB79D5"/>
    <w:rsid w:val="00FB7DBB"/>
    <w:rsid w:val="00FC01BC"/>
    <w:rsid w:val="00FC05F8"/>
    <w:rsid w:val="00FC0651"/>
    <w:rsid w:val="00FC077B"/>
    <w:rsid w:val="00FC0E5F"/>
    <w:rsid w:val="00FC1070"/>
    <w:rsid w:val="00FC1266"/>
    <w:rsid w:val="00FC1A5D"/>
    <w:rsid w:val="00FC1A95"/>
    <w:rsid w:val="00FC1ED4"/>
    <w:rsid w:val="00FC2E56"/>
    <w:rsid w:val="00FC2EBA"/>
    <w:rsid w:val="00FC3BEC"/>
    <w:rsid w:val="00FC42C5"/>
    <w:rsid w:val="00FC440B"/>
    <w:rsid w:val="00FC4FB6"/>
    <w:rsid w:val="00FC56C6"/>
    <w:rsid w:val="00FC56DE"/>
    <w:rsid w:val="00FC606F"/>
    <w:rsid w:val="00FC6100"/>
    <w:rsid w:val="00FC63D9"/>
    <w:rsid w:val="00FC64DE"/>
    <w:rsid w:val="00FC6785"/>
    <w:rsid w:val="00FC680C"/>
    <w:rsid w:val="00FC684B"/>
    <w:rsid w:val="00FC6A52"/>
    <w:rsid w:val="00FC6CCA"/>
    <w:rsid w:val="00FC6D2D"/>
    <w:rsid w:val="00FC7BC8"/>
    <w:rsid w:val="00FC7D98"/>
    <w:rsid w:val="00FD0792"/>
    <w:rsid w:val="00FD1135"/>
    <w:rsid w:val="00FD3265"/>
    <w:rsid w:val="00FD3BBD"/>
    <w:rsid w:val="00FD3CF7"/>
    <w:rsid w:val="00FD3EF2"/>
    <w:rsid w:val="00FD3F1C"/>
    <w:rsid w:val="00FD4124"/>
    <w:rsid w:val="00FD4372"/>
    <w:rsid w:val="00FD4916"/>
    <w:rsid w:val="00FD4D12"/>
    <w:rsid w:val="00FD4F73"/>
    <w:rsid w:val="00FD595E"/>
    <w:rsid w:val="00FD771F"/>
    <w:rsid w:val="00FD7767"/>
    <w:rsid w:val="00FD7802"/>
    <w:rsid w:val="00FD7D3B"/>
    <w:rsid w:val="00FD7FBE"/>
    <w:rsid w:val="00FE27C7"/>
    <w:rsid w:val="00FE2C7E"/>
    <w:rsid w:val="00FE2D10"/>
    <w:rsid w:val="00FE2F78"/>
    <w:rsid w:val="00FE3137"/>
    <w:rsid w:val="00FE346A"/>
    <w:rsid w:val="00FE346B"/>
    <w:rsid w:val="00FE346F"/>
    <w:rsid w:val="00FE431E"/>
    <w:rsid w:val="00FE460E"/>
    <w:rsid w:val="00FE46DB"/>
    <w:rsid w:val="00FE48E4"/>
    <w:rsid w:val="00FE5466"/>
    <w:rsid w:val="00FE54EE"/>
    <w:rsid w:val="00FE634C"/>
    <w:rsid w:val="00FE63D8"/>
    <w:rsid w:val="00FE6E69"/>
    <w:rsid w:val="00FE6F59"/>
    <w:rsid w:val="00FE7677"/>
    <w:rsid w:val="00FE77EF"/>
    <w:rsid w:val="00FF01B6"/>
    <w:rsid w:val="00FF03A6"/>
    <w:rsid w:val="00FF0989"/>
    <w:rsid w:val="00FF0F79"/>
    <w:rsid w:val="00FF1136"/>
    <w:rsid w:val="00FF1D4F"/>
    <w:rsid w:val="00FF363B"/>
    <w:rsid w:val="00FF3D76"/>
    <w:rsid w:val="00FF4CF2"/>
    <w:rsid w:val="00FF4E3F"/>
    <w:rsid w:val="00FF535A"/>
    <w:rsid w:val="00FF556A"/>
    <w:rsid w:val="00FF5B8C"/>
    <w:rsid w:val="00FF63E6"/>
    <w:rsid w:val="00FF72DC"/>
    <w:rsid w:val="00FF7B96"/>
    <w:rsid w:val="019CB78C"/>
    <w:rsid w:val="0523CDF2"/>
    <w:rsid w:val="06B1A837"/>
    <w:rsid w:val="08A648BF"/>
    <w:rsid w:val="0EBE9DEC"/>
    <w:rsid w:val="0FBB85B6"/>
    <w:rsid w:val="12650F4E"/>
    <w:rsid w:val="1394E51D"/>
    <w:rsid w:val="17513AF8"/>
    <w:rsid w:val="1B53A8C8"/>
    <w:rsid w:val="1BEE6986"/>
    <w:rsid w:val="20D21749"/>
    <w:rsid w:val="224482AD"/>
    <w:rsid w:val="23E0530E"/>
    <w:rsid w:val="24FC0D77"/>
    <w:rsid w:val="2A0E9F3A"/>
    <w:rsid w:val="2A2A6298"/>
    <w:rsid w:val="37D604A5"/>
    <w:rsid w:val="38C72AFC"/>
    <w:rsid w:val="3C7646FC"/>
    <w:rsid w:val="3E4A9713"/>
    <w:rsid w:val="3E77F3B4"/>
    <w:rsid w:val="40C3BF09"/>
    <w:rsid w:val="47207A7B"/>
    <w:rsid w:val="48038D4B"/>
    <w:rsid w:val="49E8263C"/>
    <w:rsid w:val="4A567F3C"/>
    <w:rsid w:val="50A35788"/>
    <w:rsid w:val="52944939"/>
    <w:rsid w:val="53942896"/>
    <w:rsid w:val="5536E42E"/>
    <w:rsid w:val="58FD3BB8"/>
    <w:rsid w:val="5CF587E8"/>
    <w:rsid w:val="5DD689BF"/>
    <w:rsid w:val="60B2C930"/>
    <w:rsid w:val="67F8BB57"/>
    <w:rsid w:val="6AEA4E8B"/>
    <w:rsid w:val="6AEC8A78"/>
    <w:rsid w:val="6D951AA9"/>
    <w:rsid w:val="7059F910"/>
    <w:rsid w:val="74EA3077"/>
    <w:rsid w:val="75B5B795"/>
    <w:rsid w:val="78058569"/>
    <w:rsid w:val="785B85D1"/>
    <w:rsid w:val="78E73CD1"/>
    <w:rsid w:val="7C941E33"/>
    <w:rsid w:val="7E2BC7B5"/>
    <w:rsid w:val="7F508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6A3CAF"/>
  </w:style>
  <w:style w:type="paragraph" w:customStyle="1" w:styleId="paragraph">
    <w:name w:val="paragraph"/>
    <w:basedOn w:val="Normln"/>
    <w:rsid w:val="006A3CA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784980"/>
  </w:style>
  <w:style w:type="character" w:styleId="Sledovanodkaz">
    <w:name w:val="FollowedHyperlink"/>
    <w:basedOn w:val="Standardnpsmoodstavce"/>
    <w:uiPriority w:val="99"/>
    <w:semiHidden/>
    <w:unhideWhenUsed/>
    <w:rsid w:val="009606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methodological-note-to-consumer-price-index-imputed-rental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&#253;za\Q\2023Q2\eng\Makroanal&#253;za%20grafy_eng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&#253;za\Q\2023Q2\eng\Makroanal&#253;za%20grafy_eng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nal&#253;za\Q\2023Q2\eng\Makroanal&#253;za%20grafy_en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249577845322527E-2"/>
          <c:y val="2.1811335019919161E-2"/>
          <c:w val="0.92237743255066085"/>
          <c:h val="0.733181076212994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2'!$C$5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'Ceny 2'!$A$30:$B$51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2'!$C$30:$C$51</c:f>
              <c:numCache>
                <c:formatCode>0.0</c:formatCode>
                <c:ptCount val="22"/>
                <c:pt idx="0">
                  <c:v>1.9</c:v>
                </c:pt>
                <c:pt idx="1">
                  <c:v>2.2999999999999998</c:v>
                </c:pt>
                <c:pt idx="2">
                  <c:v>2.4</c:v>
                </c:pt>
                <c:pt idx="3">
                  <c:v>2.1</c:v>
                </c:pt>
                <c:pt idx="4">
                  <c:v>2.7</c:v>
                </c:pt>
                <c:pt idx="5">
                  <c:v>2.8</c:v>
                </c:pt>
                <c:pt idx="6">
                  <c:v>2.8</c:v>
                </c:pt>
                <c:pt idx="7">
                  <c:v>3</c:v>
                </c:pt>
                <c:pt idx="8">
                  <c:v>3.6</c:v>
                </c:pt>
                <c:pt idx="9">
                  <c:v>3.1</c:v>
                </c:pt>
                <c:pt idx="10">
                  <c:v>3.3</c:v>
                </c:pt>
                <c:pt idx="11">
                  <c:v>2.6</c:v>
                </c:pt>
                <c:pt idx="12">
                  <c:v>2.2000000000000002</c:v>
                </c:pt>
                <c:pt idx="13">
                  <c:v>2.9</c:v>
                </c:pt>
                <c:pt idx="14">
                  <c:v>4.0999999999999996</c:v>
                </c:pt>
                <c:pt idx="15">
                  <c:v>6.1</c:v>
                </c:pt>
                <c:pt idx="16">
                  <c:v>11.2</c:v>
                </c:pt>
                <c:pt idx="17">
                  <c:v>15.8</c:v>
                </c:pt>
                <c:pt idx="18">
                  <c:v>17.600000000000001</c:v>
                </c:pt>
                <c:pt idx="19">
                  <c:v>15.7</c:v>
                </c:pt>
                <c:pt idx="20">
                  <c:v>16.399999999999999</c:v>
                </c:pt>
                <c:pt idx="21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7A-45B1-813E-13386F5CC0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130513536"/>
        <c:axId val="130531712"/>
      </c:barChart>
      <c:lineChart>
        <c:grouping val="standard"/>
        <c:varyColors val="0"/>
        <c:ser>
          <c:idx val="1"/>
          <c:order val="1"/>
          <c:tx>
            <c:strRef>
              <c:f>'Ceny 2'!$D$5</c:f>
              <c:strCache>
                <c:ptCount val="1"/>
                <c:pt idx="0">
                  <c:v>Food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2'!$A$30:$B$51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2'!$D$30:$D$51</c:f>
              <c:numCache>
                <c:formatCode>#\ ##0.0_ ;\-#\ ##0.0\ </c:formatCode>
                <c:ptCount val="22"/>
                <c:pt idx="0" formatCode="0.0">
                  <c:v>2.9</c:v>
                </c:pt>
                <c:pt idx="1">
                  <c:v>2.2999999999999998</c:v>
                </c:pt>
                <c:pt idx="2" formatCode="0.0">
                  <c:v>0.6</c:v>
                </c:pt>
                <c:pt idx="3" formatCode="0.0">
                  <c:v>-0.5</c:v>
                </c:pt>
                <c:pt idx="4" formatCode="0.0">
                  <c:v>1</c:v>
                </c:pt>
                <c:pt idx="5" formatCode="0.0">
                  <c:v>2.5</c:v>
                </c:pt>
                <c:pt idx="6" formatCode="0.0">
                  <c:v>3.5</c:v>
                </c:pt>
                <c:pt idx="7" formatCode="0.0">
                  <c:v>4.3</c:v>
                </c:pt>
                <c:pt idx="8" formatCode="0.0">
                  <c:v>6.1</c:v>
                </c:pt>
                <c:pt idx="9" formatCode="0.0">
                  <c:v>6.5</c:v>
                </c:pt>
                <c:pt idx="10" formatCode="0.0">
                  <c:v>4</c:v>
                </c:pt>
                <c:pt idx="11" formatCode="0.0">
                  <c:v>1.7</c:v>
                </c:pt>
                <c:pt idx="12" formatCode="0.0">
                  <c:v>0.3</c:v>
                </c:pt>
                <c:pt idx="13" formatCode="0.0">
                  <c:v>-0.8</c:v>
                </c:pt>
                <c:pt idx="14" formatCode="0.0">
                  <c:v>1.4</c:v>
                </c:pt>
                <c:pt idx="15" formatCode="0.0">
                  <c:v>2.2999999999999998</c:v>
                </c:pt>
                <c:pt idx="16" formatCode="0.0">
                  <c:v>6.7</c:v>
                </c:pt>
                <c:pt idx="17" formatCode="0.0">
                  <c:v>14.6</c:v>
                </c:pt>
                <c:pt idx="18" formatCode="0.0">
                  <c:v>20</c:v>
                </c:pt>
                <c:pt idx="19" formatCode="0.0">
                  <c:v>25.5</c:v>
                </c:pt>
                <c:pt idx="20" formatCode="0.0">
                  <c:v>24.1</c:v>
                </c:pt>
                <c:pt idx="21" formatCode="0.0">
                  <c:v>14.6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17A-45B1-813E-13386F5CC09C}"/>
            </c:ext>
          </c:extLst>
        </c:ser>
        <c:ser>
          <c:idx val="3"/>
          <c:order val="2"/>
          <c:tx>
            <c:strRef>
              <c:f>'Ceny 2'!$F$5</c:f>
              <c:strCache>
                <c:ptCount val="1"/>
                <c:pt idx="0">
                  <c:v>Housing and energy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2'!$A$30:$B$51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2'!$F$30:$F$51</c:f>
              <c:numCache>
                <c:formatCode>0.0</c:formatCode>
                <c:ptCount val="22"/>
                <c:pt idx="0">
                  <c:v>2.2999999999999998</c:v>
                </c:pt>
                <c:pt idx="1">
                  <c:v>2.6</c:v>
                </c:pt>
                <c:pt idx="2">
                  <c:v>3.2</c:v>
                </c:pt>
                <c:pt idx="3">
                  <c:v>3.8</c:v>
                </c:pt>
                <c:pt idx="4">
                  <c:v>5.4</c:v>
                </c:pt>
                <c:pt idx="5">
                  <c:v>5.7</c:v>
                </c:pt>
                <c:pt idx="6">
                  <c:v>5.2</c:v>
                </c:pt>
                <c:pt idx="7">
                  <c:v>5</c:v>
                </c:pt>
                <c:pt idx="8">
                  <c:v>4.2</c:v>
                </c:pt>
                <c:pt idx="9">
                  <c:v>3.2</c:v>
                </c:pt>
                <c:pt idx="10">
                  <c:v>2.7</c:v>
                </c:pt>
                <c:pt idx="11">
                  <c:v>1.4</c:v>
                </c:pt>
                <c:pt idx="12">
                  <c:v>0.6</c:v>
                </c:pt>
                <c:pt idx="13">
                  <c:v>1.3</c:v>
                </c:pt>
                <c:pt idx="14">
                  <c:v>3.6</c:v>
                </c:pt>
                <c:pt idx="15">
                  <c:v>5.6</c:v>
                </c:pt>
                <c:pt idx="16">
                  <c:v>16</c:v>
                </c:pt>
                <c:pt idx="17">
                  <c:v>21.4</c:v>
                </c:pt>
                <c:pt idx="18">
                  <c:v>23.6</c:v>
                </c:pt>
                <c:pt idx="19">
                  <c:v>14.9</c:v>
                </c:pt>
                <c:pt idx="20">
                  <c:v>22.2</c:v>
                </c:pt>
                <c:pt idx="21">
                  <c:v>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17A-45B1-813E-13386F5CC09C}"/>
            </c:ext>
          </c:extLst>
        </c:ser>
        <c:ser>
          <c:idx val="4"/>
          <c:order val="3"/>
          <c:tx>
            <c:strRef>
              <c:f>'Ceny 2'!$G$5</c:f>
              <c:strCache>
                <c:ptCount val="1"/>
                <c:pt idx="0">
                  <c:v>Transportation</c:v>
                </c:pt>
              </c:strCache>
            </c:strRef>
          </c:tx>
          <c:spPr>
            <a:ln w="1905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'Ceny 2'!$A$30:$B$51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2'!$G$30:$G$51</c:f>
              <c:numCache>
                <c:formatCode>0.0</c:formatCode>
                <c:ptCount val="22"/>
                <c:pt idx="0">
                  <c:v>1</c:v>
                </c:pt>
                <c:pt idx="1">
                  <c:v>3</c:v>
                </c:pt>
                <c:pt idx="2">
                  <c:v>4.5</c:v>
                </c:pt>
                <c:pt idx="3">
                  <c:v>2.6</c:v>
                </c:pt>
                <c:pt idx="4">
                  <c:v>0.6</c:v>
                </c:pt>
                <c:pt idx="5">
                  <c:v>0.8</c:v>
                </c:pt>
                <c:pt idx="6">
                  <c:v>-0.2</c:v>
                </c:pt>
                <c:pt idx="7">
                  <c:v>0.5</c:v>
                </c:pt>
                <c:pt idx="8" formatCode="General">
                  <c:v>1.7</c:v>
                </c:pt>
                <c:pt idx="9">
                  <c:v>-3.4</c:v>
                </c:pt>
                <c:pt idx="10">
                  <c:v>-0.2</c:v>
                </c:pt>
                <c:pt idx="11">
                  <c:v>0.6</c:v>
                </c:pt>
                <c:pt idx="12">
                  <c:v>2.4</c:v>
                </c:pt>
                <c:pt idx="13">
                  <c:v>9.1</c:v>
                </c:pt>
                <c:pt idx="14">
                  <c:v>8.8000000000000007</c:v>
                </c:pt>
                <c:pt idx="15">
                  <c:v>13.1</c:v>
                </c:pt>
                <c:pt idx="16">
                  <c:v>17.2</c:v>
                </c:pt>
                <c:pt idx="17">
                  <c:v>22.7</c:v>
                </c:pt>
                <c:pt idx="18">
                  <c:v>19.7</c:v>
                </c:pt>
                <c:pt idx="19">
                  <c:v>13.1</c:v>
                </c:pt>
                <c:pt idx="20">
                  <c:v>4.5</c:v>
                </c:pt>
                <c:pt idx="21">
                  <c:v>-4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17A-45B1-813E-13386F5CC09C}"/>
            </c:ext>
          </c:extLst>
        </c:ser>
        <c:ser>
          <c:idx val="2"/>
          <c:order val="5"/>
          <c:tx>
            <c:strRef>
              <c:f>'Ceny 2'!$H$5</c:f>
              <c:strCache>
                <c:ptCount val="1"/>
                <c:pt idx="0">
                  <c:v>Restaurants and hotels</c:v>
                </c:pt>
              </c:strCache>
              <c:extLst xmlns:c15="http://schemas.microsoft.com/office/drawing/2012/chart"/>
            </c:strRef>
          </c:tx>
          <c:spPr>
            <a:ln w="19050">
              <a:solidFill>
                <a:srgbClr val="7030A0"/>
              </a:solidFill>
            </a:ln>
          </c:spPr>
          <c:marker>
            <c:symbol val="none"/>
          </c:marker>
          <c:cat>
            <c:multiLvlStrRef>
              <c:f>'Ceny 2'!$A$30:$B$51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2'!$H$30:$H$51</c:f>
              <c:numCache>
                <c:formatCode>0.0</c:formatCode>
                <c:ptCount val="22"/>
                <c:pt idx="0">
                  <c:v>3.5</c:v>
                </c:pt>
                <c:pt idx="1">
                  <c:v>3.6</c:v>
                </c:pt>
                <c:pt idx="2">
                  <c:v>3.5</c:v>
                </c:pt>
                <c:pt idx="3">
                  <c:v>3.7</c:v>
                </c:pt>
                <c:pt idx="4">
                  <c:v>3.8</c:v>
                </c:pt>
                <c:pt idx="5">
                  <c:v>4</c:v>
                </c:pt>
                <c:pt idx="6">
                  <c:v>4.5</c:v>
                </c:pt>
                <c:pt idx="7">
                  <c:v>4.5999999999999996</c:v>
                </c:pt>
                <c:pt idx="8">
                  <c:v>5.5</c:v>
                </c:pt>
                <c:pt idx="9">
                  <c:v>5.0999999999999996</c:v>
                </c:pt>
                <c:pt idx="10">
                  <c:v>4.9000000000000004</c:v>
                </c:pt>
                <c:pt idx="11">
                  <c:v>4.3</c:v>
                </c:pt>
                <c:pt idx="12">
                  <c:v>3</c:v>
                </c:pt>
                <c:pt idx="13">
                  <c:v>2.9</c:v>
                </c:pt>
                <c:pt idx="14">
                  <c:v>4.5999999999999996</c:v>
                </c:pt>
                <c:pt idx="15">
                  <c:v>6.8</c:v>
                </c:pt>
                <c:pt idx="16">
                  <c:v>12.3</c:v>
                </c:pt>
                <c:pt idx="17">
                  <c:v>21.4</c:v>
                </c:pt>
                <c:pt idx="18">
                  <c:v>24.3</c:v>
                </c:pt>
                <c:pt idx="19">
                  <c:v>25.6</c:v>
                </c:pt>
                <c:pt idx="20">
                  <c:v>22.4</c:v>
                </c:pt>
                <c:pt idx="21">
                  <c:v>15.4</c:v>
                </c:pt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4-817A-45B1-813E-13386F5CC09C}"/>
            </c:ext>
          </c:extLst>
        </c:ser>
        <c:ser>
          <c:idx val="6"/>
          <c:order val="6"/>
          <c:tx>
            <c:strRef>
              <c:f>'Ceny 2'!$I$5</c:f>
              <c:strCache>
                <c:ptCount val="1"/>
                <c:pt idx="0">
                  <c:v>Recreation and culture</c:v>
                </c:pt>
              </c:strCache>
            </c:strRef>
          </c:tx>
          <c:spPr>
            <a:ln w="22225">
              <a:solidFill>
                <a:srgbClr val="FF0000"/>
              </a:solidFill>
            </a:ln>
          </c:spPr>
          <c:marker>
            <c:symbol val="none"/>
          </c:marker>
          <c:cat>
            <c:multiLvlStrRef>
              <c:f>'Ceny 2'!$A$30:$B$51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2'!$I$30:$I$51</c:f>
              <c:numCache>
                <c:formatCode>General</c:formatCode>
                <c:ptCount val="22"/>
                <c:pt idx="0">
                  <c:v>0.5</c:v>
                </c:pt>
                <c:pt idx="1">
                  <c:v>0.59999999999999432</c:v>
                </c:pt>
                <c:pt idx="2">
                  <c:v>2.2000000000000028</c:v>
                </c:pt>
                <c:pt idx="3">
                  <c:v>0.5</c:v>
                </c:pt>
                <c:pt idx="4">
                  <c:v>1.7000000000000028</c:v>
                </c:pt>
                <c:pt idx="5">
                  <c:v>1</c:v>
                </c:pt>
                <c:pt idx="6">
                  <c:v>1.7000000000000028</c:v>
                </c:pt>
                <c:pt idx="7">
                  <c:v>2.0999999999999943</c:v>
                </c:pt>
                <c:pt idx="8">
                  <c:v>2.0999999999999943</c:v>
                </c:pt>
                <c:pt idx="9">
                  <c:v>2</c:v>
                </c:pt>
                <c:pt idx="10">
                  <c:v>2.2000000000000028</c:v>
                </c:pt>
                <c:pt idx="11">
                  <c:v>2.5</c:v>
                </c:pt>
                <c:pt idx="12">
                  <c:v>1.4000000000000057</c:v>
                </c:pt>
                <c:pt idx="13">
                  <c:v>2</c:v>
                </c:pt>
                <c:pt idx="14">
                  <c:v>3.0999999999999943</c:v>
                </c:pt>
                <c:pt idx="15">
                  <c:v>5.2999999999999972</c:v>
                </c:pt>
                <c:pt idx="16">
                  <c:v>8.5</c:v>
                </c:pt>
                <c:pt idx="17">
                  <c:v>11.299999999999997</c:v>
                </c:pt>
                <c:pt idx="18">
                  <c:v>12.599999999999994</c:v>
                </c:pt>
                <c:pt idx="19" formatCode="0.0">
                  <c:v>13.2</c:v>
                </c:pt>
                <c:pt idx="20" formatCode="0.0">
                  <c:v>14</c:v>
                </c:pt>
                <c:pt idx="21" formatCode="0.0">
                  <c:v>11.7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17A-45B1-813E-13386F5CC0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513536"/>
        <c:axId val="130531712"/>
        <c:extLst>
          <c:ext xmlns:c15="http://schemas.microsoft.com/office/drawing/2012/chart" uri="{02D57815-91ED-43cb-92C2-25804820EDAC}">
            <c15:filteredLineSeries>
              <c15:ser>
                <c:idx val="5"/>
                <c:order val="4"/>
                <c:tx>
                  <c:strRef>
                    <c:extLst>
                      <c:ext uri="{02D57815-91ED-43cb-92C2-25804820EDAC}">
                        <c15:formulaRef>
                          <c15:sqref>'Ceny 2'!$E$5</c15:sqref>
                        </c15:formulaRef>
                      </c:ext>
                    </c:extLst>
                    <c:strCache>
                      <c:ptCount val="1"/>
                      <c:pt idx="0">
                        <c:v>Alcoholic beverages and tobacco</c:v>
                      </c:pt>
                    </c:strCache>
                  </c:strRef>
                </c:tx>
                <c:spPr>
                  <a:ln w="22225">
                    <a:solidFill>
                      <a:schemeClr val="accent2"/>
                    </a:solidFill>
                  </a:ln>
                </c:spPr>
                <c:marker>
                  <c:symbol val="none"/>
                </c:marker>
                <c:cat>
                  <c:multiLvlStrRef>
                    <c:extLst>
                      <c:ext uri="{02D57815-91ED-43cb-92C2-25804820EDAC}">
                        <c15:formulaRef>
                          <c15:sqref>'Ceny 2'!$A$30:$B$51</c15:sqref>
                        </c15:formulaRef>
                      </c:ext>
                    </c:extLst>
                    <c:multiLvlStrCache>
                      <c:ptCount val="22"/>
                      <c:lvl>
                        <c:pt idx="0">
                          <c:v>1</c:v>
                        </c:pt>
                        <c:pt idx="1">
                          <c:v>2</c:v>
                        </c:pt>
                        <c:pt idx="2">
                          <c:v>3</c:v>
                        </c:pt>
                        <c:pt idx="3">
                          <c:v>4</c:v>
                        </c:pt>
                        <c:pt idx="4">
                          <c:v>1</c:v>
                        </c:pt>
                        <c:pt idx="5">
                          <c:v>2</c:v>
                        </c:pt>
                        <c:pt idx="6">
                          <c:v>3</c:v>
                        </c:pt>
                        <c:pt idx="7">
                          <c:v>4</c:v>
                        </c:pt>
                        <c:pt idx="8">
                          <c:v>1</c:v>
                        </c:pt>
                        <c:pt idx="9">
                          <c:v>2</c:v>
                        </c:pt>
                        <c:pt idx="10">
                          <c:v>3</c:v>
                        </c:pt>
                        <c:pt idx="11">
                          <c:v>4</c:v>
                        </c:pt>
                        <c:pt idx="12">
                          <c:v>1</c:v>
                        </c:pt>
                        <c:pt idx="13">
                          <c:v>2</c:v>
                        </c:pt>
                        <c:pt idx="14">
                          <c:v>3</c:v>
                        </c:pt>
                        <c:pt idx="15">
                          <c:v>4</c:v>
                        </c:pt>
                        <c:pt idx="16">
                          <c:v>1</c:v>
                        </c:pt>
                        <c:pt idx="17">
                          <c:v>2</c:v>
                        </c:pt>
                        <c:pt idx="18">
                          <c:v>3</c:v>
                        </c:pt>
                        <c:pt idx="19">
                          <c:v>4</c:v>
                        </c:pt>
                        <c:pt idx="20">
                          <c:v>1</c:v>
                        </c:pt>
                        <c:pt idx="21">
                          <c:v>2</c:v>
                        </c:pt>
                      </c:lvl>
                      <c:lvl>
                        <c:pt idx="0">
                          <c:v>2018</c:v>
                        </c:pt>
                        <c:pt idx="4">
                          <c:v>2019</c:v>
                        </c:pt>
                        <c:pt idx="8">
                          <c:v>2020</c:v>
                        </c:pt>
                        <c:pt idx="12">
                          <c:v>2021</c:v>
                        </c:pt>
                        <c:pt idx="16">
                          <c:v>2022</c:v>
                        </c:pt>
                        <c:pt idx="20">
                          <c:v>2023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'Ceny 2'!$E$26:$E$49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3.4000000000000057</c:v>
                      </c:pt>
                      <c:pt idx="1">
                        <c:v>0.79999999999999716</c:v>
                      </c:pt>
                      <c:pt idx="2" formatCode="0.0">
                        <c:v>1.3</c:v>
                      </c:pt>
                      <c:pt idx="3" formatCode="0.0">
                        <c:v>1.5</c:v>
                      </c:pt>
                      <c:pt idx="4" formatCode="0.0">
                        <c:v>2.5</c:v>
                      </c:pt>
                      <c:pt idx="5" formatCode="0.0">
                        <c:v>3.6</c:v>
                      </c:pt>
                      <c:pt idx="6" formatCode="0.0">
                        <c:v>2.8</c:v>
                      </c:pt>
                      <c:pt idx="7" formatCode="0.0">
                        <c:v>3.1</c:v>
                      </c:pt>
                      <c:pt idx="8" formatCode="0.0">
                        <c:v>3.3</c:v>
                      </c:pt>
                      <c:pt idx="9" formatCode="0.0">
                        <c:v>1.7</c:v>
                      </c:pt>
                      <c:pt idx="10" formatCode="0.0">
                        <c:v>1.9</c:v>
                      </c:pt>
                      <c:pt idx="11" formatCode="0.0">
                        <c:v>1.8</c:v>
                      </c:pt>
                      <c:pt idx="12">
                        <c:v>3.5</c:v>
                      </c:pt>
                      <c:pt idx="13" formatCode="0.0">
                        <c:v>6.6</c:v>
                      </c:pt>
                      <c:pt idx="14" formatCode="0.0">
                        <c:v>10.3</c:v>
                      </c:pt>
                      <c:pt idx="15" formatCode="0.0">
                        <c:v>9.9</c:v>
                      </c:pt>
                      <c:pt idx="16" formatCode="0.0">
                        <c:v>9.9</c:v>
                      </c:pt>
                      <c:pt idx="17" formatCode="0.0">
                        <c:v>9.8000000000000007</c:v>
                      </c:pt>
                      <c:pt idx="18" formatCode="0.0">
                        <c:v>6.5</c:v>
                      </c:pt>
                      <c:pt idx="19" formatCode="0.0">
                        <c:v>7.7</c:v>
                      </c:pt>
                      <c:pt idx="20" formatCode="0.0">
                        <c:v>7.1</c:v>
                      </c:pt>
                      <c:pt idx="21" formatCode="0.0">
                        <c:v>5.6</c:v>
                      </c:pt>
                      <c:pt idx="22" formatCode="0.0">
                        <c:v>6.3</c:v>
                      </c:pt>
                      <c:pt idx="23" formatCode="0.0">
                        <c:v>6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817A-45B1-813E-13386F5CC09C}"/>
                  </c:ext>
                </c:extLst>
              </c15:ser>
            </c15:filteredLineSeries>
          </c:ext>
        </c:extLst>
      </c:lineChart>
      <c:catAx>
        <c:axId val="130513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30531712"/>
        <c:crosses val="autoZero"/>
        <c:auto val="1"/>
        <c:lblAlgn val="ctr"/>
        <c:lblOffset val="100"/>
        <c:noMultiLvlLbl val="0"/>
      </c:catAx>
      <c:valAx>
        <c:axId val="130531712"/>
        <c:scaling>
          <c:orientation val="minMax"/>
          <c:max val="28"/>
          <c:min val="-8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30513536"/>
        <c:crosses val="autoZero"/>
        <c:crossBetween val="between"/>
        <c:majorUnit val="4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6562816616008108E-2"/>
          <c:y val="0.87970674321738151"/>
          <c:w val="0.9271700861195542"/>
          <c:h val="0.10577132432771774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258203189717562E-2"/>
          <c:y val="2.9569886214146503E-2"/>
          <c:w val="0.92637856314472322"/>
          <c:h val="0.735566531577169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1'!$C$5</c:f>
              <c:strCache>
                <c:ptCount val="1"/>
                <c:pt idx="0">
                  <c:v>Realised prices of older flats, the CR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'Ceny 1'!$A$30:$B$51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1'!$C$30:$C$51</c:f>
              <c:numCache>
                <c:formatCode>General</c:formatCode>
                <c:ptCount val="22"/>
                <c:pt idx="0">
                  <c:v>9.2000000000000028</c:v>
                </c:pt>
                <c:pt idx="1">
                  <c:v>8</c:v>
                </c:pt>
                <c:pt idx="2">
                  <c:v>9.4000000000000057</c:v>
                </c:pt>
                <c:pt idx="3">
                  <c:v>11.400000000000006</c:v>
                </c:pt>
                <c:pt idx="4">
                  <c:v>11.299999999999997</c:v>
                </c:pt>
                <c:pt idx="5">
                  <c:v>10.599999999999994</c:v>
                </c:pt>
                <c:pt idx="6">
                  <c:v>9.5</c:v>
                </c:pt>
                <c:pt idx="7">
                  <c:v>9.4000000000000057</c:v>
                </c:pt>
                <c:pt idx="8">
                  <c:v>10.599999999999994</c:v>
                </c:pt>
                <c:pt idx="9">
                  <c:v>10.200000000000003</c:v>
                </c:pt>
                <c:pt idx="10">
                  <c:v>11.200000000000003</c:v>
                </c:pt>
                <c:pt idx="11">
                  <c:v>13.299999999999997</c:v>
                </c:pt>
                <c:pt idx="12">
                  <c:v>15.200000000000003</c:v>
                </c:pt>
                <c:pt idx="13">
                  <c:v>17.900000000000006</c:v>
                </c:pt>
                <c:pt idx="14">
                  <c:v>21.299999999999997</c:v>
                </c:pt>
                <c:pt idx="15">
                  <c:v>25.200000000000003</c:v>
                </c:pt>
                <c:pt idx="16">
                  <c:v>27.299999999999997</c:v>
                </c:pt>
                <c:pt idx="17">
                  <c:v>27.599999999999994</c:v>
                </c:pt>
                <c:pt idx="18">
                  <c:v>23.400000000000006</c:v>
                </c:pt>
                <c:pt idx="19">
                  <c:v>13.799999999999997</c:v>
                </c:pt>
                <c:pt idx="20">
                  <c:v>3.7000000000000028</c:v>
                </c:pt>
                <c:pt idx="21">
                  <c:v>-4.0999999999999943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E8-47B0-9055-56125EEC3259}"/>
            </c:ext>
          </c:extLst>
        </c:ser>
        <c:ser>
          <c:idx val="1"/>
          <c:order val="1"/>
          <c:tx>
            <c:strRef>
              <c:f>'Ceny 1'!$D$5</c:f>
              <c:strCache>
                <c:ptCount val="1"/>
                <c:pt idx="0">
                  <c:v>Realised prices of older flats, Prague</c:v>
                </c:pt>
              </c:strCache>
            </c:strRef>
          </c:tx>
          <c:spPr>
            <a:solidFill>
              <a:prstClr val="black">
                <a:lumMod val="50000"/>
                <a:lumOff val="50000"/>
              </a:prstClr>
            </a:solidFill>
            <a:ln w="19050">
              <a:noFill/>
            </a:ln>
          </c:spPr>
          <c:invertIfNegative val="0"/>
          <c:cat>
            <c:multiLvlStrRef>
              <c:f>'Ceny 1'!$A$30:$B$51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1'!$D$30:$D$51</c:f>
              <c:numCache>
                <c:formatCode>General</c:formatCode>
                <c:ptCount val="22"/>
                <c:pt idx="0">
                  <c:v>8.2999999999999972</c:v>
                </c:pt>
                <c:pt idx="1">
                  <c:v>4</c:v>
                </c:pt>
                <c:pt idx="2">
                  <c:v>6</c:v>
                </c:pt>
                <c:pt idx="3">
                  <c:v>8.7000000000000028</c:v>
                </c:pt>
                <c:pt idx="4">
                  <c:v>9.4000000000000057</c:v>
                </c:pt>
                <c:pt idx="5">
                  <c:v>8.7000000000000028</c:v>
                </c:pt>
                <c:pt idx="6">
                  <c:v>6.5</c:v>
                </c:pt>
                <c:pt idx="7">
                  <c:v>7.0999999999999943</c:v>
                </c:pt>
                <c:pt idx="8">
                  <c:v>6.2000000000000028</c:v>
                </c:pt>
                <c:pt idx="9">
                  <c:v>8</c:v>
                </c:pt>
                <c:pt idx="10">
                  <c:v>9.4000000000000057</c:v>
                </c:pt>
                <c:pt idx="11">
                  <c:v>10.599999999999994</c:v>
                </c:pt>
                <c:pt idx="12">
                  <c:v>14.299999999999997</c:v>
                </c:pt>
                <c:pt idx="13">
                  <c:v>15.799999999999997</c:v>
                </c:pt>
                <c:pt idx="14">
                  <c:v>16.599999999999994</c:v>
                </c:pt>
                <c:pt idx="15">
                  <c:v>20</c:v>
                </c:pt>
                <c:pt idx="16">
                  <c:v>19</c:v>
                </c:pt>
                <c:pt idx="17">
                  <c:v>16.700000000000003</c:v>
                </c:pt>
                <c:pt idx="18">
                  <c:v>15.599999999999994</c:v>
                </c:pt>
                <c:pt idx="19">
                  <c:v>8.4000000000000057</c:v>
                </c:pt>
                <c:pt idx="20">
                  <c:v>1.2000000000000028</c:v>
                </c:pt>
                <c:pt idx="21">
                  <c:v>-3.5999999999999943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E8-47B0-9055-56125EEC32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130418560"/>
        <c:axId val="130420096"/>
      </c:barChart>
      <c:lineChart>
        <c:grouping val="standard"/>
        <c:varyColors val="0"/>
        <c:ser>
          <c:idx val="2"/>
          <c:order val="2"/>
          <c:tx>
            <c:strRef>
              <c:f>'Ceny 1'!$E$5</c:f>
              <c:strCache>
                <c:ptCount val="1"/>
                <c:pt idx="0">
                  <c:v>Catalogue prices of flats, the CR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cat>
            <c:multiLvlStrRef>
              <c:f>'Ceny 1'!$A$30:$B$51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1'!$E$30:$E$51</c:f>
              <c:numCache>
                <c:formatCode>0.0</c:formatCode>
                <c:ptCount val="22"/>
                <c:pt idx="0">
                  <c:v>12.801932367149746</c:v>
                </c:pt>
                <c:pt idx="1">
                  <c:v>12.225705329153584</c:v>
                </c:pt>
                <c:pt idx="2">
                  <c:v>9.498878085265531</c:v>
                </c:pt>
                <c:pt idx="3">
                  <c:v>8.4609773887673185</c:v>
                </c:pt>
                <c:pt idx="4">
                  <c:v>7.4232690935046435</c:v>
                </c:pt>
                <c:pt idx="5">
                  <c:v>5.7262569832402335</c:v>
                </c:pt>
                <c:pt idx="6">
                  <c:v>5.1912568306010911</c:v>
                </c:pt>
                <c:pt idx="7">
                  <c:v>5.5144586415601964</c:v>
                </c:pt>
                <c:pt idx="8">
                  <c:v>6.0465116279069662</c:v>
                </c:pt>
                <c:pt idx="9">
                  <c:v>7.1334214002641829</c:v>
                </c:pt>
                <c:pt idx="10">
                  <c:v>7.9870129870129887</c:v>
                </c:pt>
                <c:pt idx="11">
                  <c:v>7.6481835564053569</c:v>
                </c:pt>
                <c:pt idx="12">
                  <c:v>7.6441102756892292</c:v>
                </c:pt>
                <c:pt idx="13">
                  <c:v>7.9531442663378584</c:v>
                </c:pt>
                <c:pt idx="14">
                  <c:v>9.3205051112447421</c:v>
                </c:pt>
                <c:pt idx="15">
                  <c:v>12.433392539964473</c:v>
                </c:pt>
                <c:pt idx="16">
                  <c:v>16.880093131548307</c:v>
                </c:pt>
                <c:pt idx="17">
                  <c:v>24.671616219303274</c:v>
                </c:pt>
                <c:pt idx="18">
                  <c:v>22.937293729372925</c:v>
                </c:pt>
                <c:pt idx="19">
                  <c:v>18.325434439178508</c:v>
                </c:pt>
                <c:pt idx="20">
                  <c:v>9.8107569721115624</c:v>
                </c:pt>
                <c:pt idx="21" formatCode="General">
                  <c:v>-0.73293632615667548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FE8-47B0-9055-56125EEC3259}"/>
            </c:ext>
          </c:extLst>
        </c:ser>
        <c:ser>
          <c:idx val="3"/>
          <c:order val="3"/>
          <c:tx>
            <c:strRef>
              <c:f>'Ceny 1'!$F$5</c:f>
              <c:strCache>
                <c:ptCount val="1"/>
                <c:pt idx="0">
                  <c:v>Catalogue prices of flats, Prague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1'!$A$30:$B$51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1'!$F$30:$F$51</c:f>
              <c:numCache>
                <c:formatCode>0.0</c:formatCode>
                <c:ptCount val="22"/>
                <c:pt idx="0">
                  <c:v>15.071428571428555</c:v>
                </c:pt>
                <c:pt idx="1">
                  <c:v>14.24638678596007</c:v>
                </c:pt>
                <c:pt idx="2">
                  <c:v>10.732984293193695</c:v>
                </c:pt>
                <c:pt idx="3">
                  <c:v>8.7531486146095574</c:v>
                </c:pt>
                <c:pt idx="4">
                  <c:v>8.3178150217256359</c:v>
                </c:pt>
                <c:pt idx="5">
                  <c:v>4.9397590361445651</c:v>
                </c:pt>
                <c:pt idx="6">
                  <c:v>3.3096926713947994</c:v>
                </c:pt>
                <c:pt idx="7">
                  <c:v>2.9530978575564575</c:v>
                </c:pt>
                <c:pt idx="8">
                  <c:v>3.5530085959885298</c:v>
                </c:pt>
                <c:pt idx="9">
                  <c:v>5.2812858783008068</c:v>
                </c:pt>
                <c:pt idx="10">
                  <c:v>6.2356979405034281</c:v>
                </c:pt>
                <c:pt idx="11">
                  <c:v>5.1743532058492718</c:v>
                </c:pt>
                <c:pt idx="12">
                  <c:v>4.759269507470961</c:v>
                </c:pt>
                <c:pt idx="13">
                  <c:v>4.5256270447110012</c:v>
                </c:pt>
                <c:pt idx="14">
                  <c:v>6.2466343564889826</c:v>
                </c:pt>
                <c:pt idx="15">
                  <c:v>9.1443850267379503</c:v>
                </c:pt>
                <c:pt idx="16">
                  <c:v>12.255678816693077</c:v>
                </c:pt>
                <c:pt idx="17">
                  <c:v>19.718309859154942</c:v>
                </c:pt>
                <c:pt idx="18">
                  <c:v>18.499746578813998</c:v>
                </c:pt>
                <c:pt idx="19">
                  <c:v>16.903478686918177</c:v>
                </c:pt>
                <c:pt idx="20">
                  <c:v>10.305882352941182</c:v>
                </c:pt>
                <c:pt idx="21" formatCode="General">
                  <c:v>0.30501089324617681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FE8-47B0-9055-56125EEC32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418560"/>
        <c:axId val="130420096"/>
      </c:lineChart>
      <c:catAx>
        <c:axId val="130418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30420096"/>
        <c:crosses val="autoZero"/>
        <c:auto val="1"/>
        <c:lblAlgn val="ctr"/>
        <c:lblOffset val="100"/>
        <c:noMultiLvlLbl val="0"/>
      </c:catAx>
      <c:valAx>
        <c:axId val="130420096"/>
        <c:scaling>
          <c:orientation val="minMax"/>
          <c:max val="30"/>
          <c:min val="-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30418560"/>
        <c:crosses val="autoZero"/>
        <c:crossBetween val="between"/>
        <c:majorUnit val="5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6528021206651497E-2"/>
          <c:y val="0.88817854328492629"/>
          <c:w val="0.9267997314289258"/>
          <c:h val="9.8380614657210319E-2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536533717322946E-2"/>
          <c:y val="2.0784574468085106E-2"/>
          <c:w val="0.93242262856416824"/>
          <c:h val="0.667720449172576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4'!$C$5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'Ceny 4'!$A$6:$B$27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4'!$C$6:$C$27</c:f>
              <c:numCache>
                <c:formatCode>General</c:formatCode>
                <c:ptCount val="22"/>
                <c:pt idx="0">
                  <c:v>9.9999999999994316E-2</c:v>
                </c:pt>
                <c:pt idx="1">
                  <c:v>1.5</c:v>
                </c:pt>
                <c:pt idx="2">
                  <c:v>3.2999999999999972</c:v>
                </c:pt>
                <c:pt idx="3">
                  <c:v>3.4000000000000057</c:v>
                </c:pt>
                <c:pt idx="4">
                  <c:v>3.5</c:v>
                </c:pt>
                <c:pt idx="5">
                  <c:v>3.5</c:v>
                </c:pt>
                <c:pt idx="6">
                  <c:v>2</c:v>
                </c:pt>
                <c:pt idx="7">
                  <c:v>1.2999999999999972</c:v>
                </c:pt>
                <c:pt idx="8">
                  <c:v>1.4000000000000057</c:v>
                </c:pt>
                <c:pt idx="9">
                  <c:v>-0.59999999999999432</c:v>
                </c:pt>
                <c:pt idx="10">
                  <c:v>-0.29999999999999716</c:v>
                </c:pt>
                <c:pt idx="11">
                  <c:v>9.9999999999994316E-2</c:v>
                </c:pt>
                <c:pt idx="12">
                  <c:v>1.5</c:v>
                </c:pt>
                <c:pt idx="13">
                  <c:v>5.2999999999999972</c:v>
                </c:pt>
                <c:pt idx="14">
                  <c:v>9</c:v>
                </c:pt>
                <c:pt idx="15">
                  <c:v>12.799999999999997</c:v>
                </c:pt>
                <c:pt idx="16">
                  <c:v>21.799999999999997</c:v>
                </c:pt>
                <c:pt idx="17">
                  <c:v>27.700000000000003</c:v>
                </c:pt>
                <c:pt idx="18">
                  <c:v>25.900000000000006</c:v>
                </c:pt>
                <c:pt idx="19">
                  <c:v>21.799999999999997</c:v>
                </c:pt>
                <c:pt idx="20">
                  <c:v>15</c:v>
                </c:pt>
                <c:pt idx="21">
                  <c:v>3.9000000000000057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8F-441C-943E-96FC0213B0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717494240"/>
        <c:axId val="1718275936"/>
      </c:barChart>
      <c:lineChart>
        <c:grouping val="standard"/>
        <c:varyColors val="0"/>
        <c:ser>
          <c:idx val="1"/>
          <c:order val="1"/>
          <c:tx>
            <c:strRef>
              <c:f>'Ceny 4'!$D$5</c:f>
              <c:strCache>
                <c:ptCount val="1"/>
                <c:pt idx="0">
                  <c:v>Mining and quarrying</c:v>
                </c:pt>
              </c:strCache>
            </c:strRef>
          </c:tx>
          <c:spPr>
            <a:ln w="22225" cap="rnd">
              <a:solidFill>
                <a:srgbClr val="7DBB2D"/>
              </a:solidFill>
              <a:round/>
            </a:ln>
            <a:effectLst/>
          </c:spPr>
          <c:marker>
            <c:symbol val="none"/>
          </c:marker>
          <c:cat>
            <c:multiLvlStrRef>
              <c:f>'Ceny 4'!$A$6:$B$27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4'!$D$6:$D$27</c:f>
              <c:numCache>
                <c:formatCode>General</c:formatCode>
                <c:ptCount val="22"/>
                <c:pt idx="0">
                  <c:v>5.4000000000000057</c:v>
                </c:pt>
                <c:pt idx="1">
                  <c:v>6.7000000000000028</c:v>
                </c:pt>
                <c:pt idx="2">
                  <c:v>9.4000000000000057</c:v>
                </c:pt>
                <c:pt idx="3">
                  <c:v>8.7999999999999972</c:v>
                </c:pt>
                <c:pt idx="4">
                  <c:v>7.7000000000000028</c:v>
                </c:pt>
                <c:pt idx="5">
                  <c:v>7.7000000000000028</c:v>
                </c:pt>
                <c:pt idx="6">
                  <c:v>6.7000000000000028</c:v>
                </c:pt>
                <c:pt idx="7">
                  <c:v>3.7000000000000028</c:v>
                </c:pt>
                <c:pt idx="8">
                  <c:v>-2.0999999999999943</c:v>
                </c:pt>
                <c:pt idx="9">
                  <c:v>-3.5</c:v>
                </c:pt>
                <c:pt idx="10">
                  <c:v>-3.5999999999999943</c:v>
                </c:pt>
                <c:pt idx="11">
                  <c:v>-2</c:v>
                </c:pt>
                <c:pt idx="12">
                  <c:v>-0.5</c:v>
                </c:pt>
                <c:pt idx="13">
                  <c:v>0.79999999999999716</c:v>
                </c:pt>
                <c:pt idx="14">
                  <c:v>3.2999999999999972</c:v>
                </c:pt>
                <c:pt idx="15">
                  <c:v>13.799999999999997</c:v>
                </c:pt>
                <c:pt idx="16">
                  <c:v>25.200000000000003</c:v>
                </c:pt>
                <c:pt idx="17">
                  <c:v>31.900000000000006</c:v>
                </c:pt>
                <c:pt idx="18">
                  <c:v>30.199999999999989</c:v>
                </c:pt>
                <c:pt idx="19">
                  <c:v>23.299999999999997</c:v>
                </c:pt>
                <c:pt idx="20">
                  <c:v>54</c:v>
                </c:pt>
                <c:pt idx="21">
                  <c:v>47.599999999999994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8F-441C-943E-96FC0213B003}"/>
            </c:ext>
          </c:extLst>
        </c:ser>
        <c:ser>
          <c:idx val="2"/>
          <c:order val="2"/>
          <c:tx>
            <c:strRef>
              <c:f>'Ceny 4'!$E$5</c:f>
              <c:strCache>
                <c:ptCount val="1"/>
                <c:pt idx="0">
                  <c:v>Manufacturing</c:v>
                </c:pt>
              </c:strCache>
            </c:strRef>
          </c:tx>
          <c:spPr>
            <a:ln w="22225" cap="rnd">
              <a:solidFill>
                <a:srgbClr val="BD1B21"/>
              </a:solidFill>
              <a:round/>
            </a:ln>
            <a:effectLst/>
          </c:spPr>
          <c:marker>
            <c:symbol val="none"/>
          </c:marker>
          <c:cat>
            <c:multiLvlStrRef>
              <c:f>'Ceny 4'!$A$6:$B$27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4'!$E$6:$E$27</c:f>
              <c:numCache>
                <c:formatCode>General</c:formatCode>
                <c:ptCount val="22"/>
                <c:pt idx="0">
                  <c:v>-0.40000000000000568</c:v>
                </c:pt>
                <c:pt idx="1">
                  <c:v>1.2000000000000028</c:v>
                </c:pt>
                <c:pt idx="2">
                  <c:v>3.2000000000000028</c:v>
                </c:pt>
                <c:pt idx="3">
                  <c:v>3.2999999999999972</c:v>
                </c:pt>
                <c:pt idx="4">
                  <c:v>2.5999999999999943</c:v>
                </c:pt>
                <c:pt idx="5">
                  <c:v>2.5999999999999943</c:v>
                </c:pt>
                <c:pt idx="6">
                  <c:v>0.79999999999999716</c:v>
                </c:pt>
                <c:pt idx="7">
                  <c:v>-9.9999999999994316E-2</c:v>
                </c:pt>
                <c:pt idx="8">
                  <c:v>0</c:v>
                </c:pt>
                <c:pt idx="9">
                  <c:v>-2.2999999999999972</c:v>
                </c:pt>
                <c:pt idx="10">
                  <c:v>-1.7999999999999972</c:v>
                </c:pt>
                <c:pt idx="11">
                  <c:v>-1.2000000000000028</c:v>
                </c:pt>
                <c:pt idx="12">
                  <c:v>1.7999999999999972</c:v>
                </c:pt>
                <c:pt idx="13">
                  <c:v>6.5</c:v>
                </c:pt>
                <c:pt idx="14">
                  <c:v>11</c:v>
                </c:pt>
                <c:pt idx="15">
                  <c:v>14.5</c:v>
                </c:pt>
                <c:pt idx="16">
                  <c:v>17.5</c:v>
                </c:pt>
                <c:pt idx="17">
                  <c:v>24.200000000000003</c:v>
                </c:pt>
                <c:pt idx="18">
                  <c:v>20.5</c:v>
                </c:pt>
                <c:pt idx="19">
                  <c:v>16</c:v>
                </c:pt>
                <c:pt idx="20">
                  <c:v>10.299999999999997</c:v>
                </c:pt>
                <c:pt idx="21">
                  <c:v>-0.90000000000000568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18F-441C-943E-96FC0213B003}"/>
            </c:ext>
          </c:extLst>
        </c:ser>
        <c:ser>
          <c:idx val="3"/>
          <c:order val="3"/>
          <c:tx>
            <c:strRef>
              <c:f>'Ceny 4'!$F$5</c:f>
              <c:strCache>
                <c:ptCount val="1"/>
                <c:pt idx="0">
                  <c:v>Electricity, gas, steam and air conditioning supply</c:v>
                </c:pt>
              </c:strCache>
            </c:strRef>
          </c:tx>
          <c:spPr>
            <a:ln w="2222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multiLvlStrRef>
              <c:f>'Ceny 4'!$A$6:$B$27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4'!$F$6:$F$27</c:f>
              <c:numCache>
                <c:formatCode>General</c:formatCode>
                <c:ptCount val="22"/>
                <c:pt idx="0">
                  <c:v>1.5</c:v>
                </c:pt>
                <c:pt idx="1">
                  <c:v>1.9000000000000057</c:v>
                </c:pt>
                <c:pt idx="2">
                  <c:v>2.5999999999999943</c:v>
                </c:pt>
                <c:pt idx="3">
                  <c:v>2.7999999999999972</c:v>
                </c:pt>
                <c:pt idx="4">
                  <c:v>7.7000000000000028</c:v>
                </c:pt>
                <c:pt idx="5">
                  <c:v>8.2999999999999972</c:v>
                </c:pt>
                <c:pt idx="6">
                  <c:v>7.7999999999999972</c:v>
                </c:pt>
                <c:pt idx="7">
                  <c:v>8.2999999999999972</c:v>
                </c:pt>
                <c:pt idx="8">
                  <c:v>8.9000000000000057</c:v>
                </c:pt>
                <c:pt idx="9">
                  <c:v>8.2000000000000028</c:v>
                </c:pt>
                <c:pt idx="10">
                  <c:v>7.7999999999999972</c:v>
                </c:pt>
                <c:pt idx="11">
                  <c:v>6.0999999999999943</c:v>
                </c:pt>
                <c:pt idx="12">
                  <c:v>0.29999999999999716</c:v>
                </c:pt>
                <c:pt idx="13">
                  <c:v>9.9999999999994316E-2</c:v>
                </c:pt>
                <c:pt idx="14">
                  <c:v>0.79999999999999716</c:v>
                </c:pt>
                <c:pt idx="15">
                  <c:v>5.5</c:v>
                </c:pt>
                <c:pt idx="16">
                  <c:v>45</c:v>
                </c:pt>
                <c:pt idx="17">
                  <c:v>47.199999999999989</c:v>
                </c:pt>
                <c:pt idx="18">
                  <c:v>56</c:v>
                </c:pt>
                <c:pt idx="19">
                  <c:v>54.300000000000011</c:v>
                </c:pt>
                <c:pt idx="20">
                  <c:v>28.400000000000006</c:v>
                </c:pt>
                <c:pt idx="21">
                  <c:v>18.400000000000006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18F-441C-943E-96FC0213B003}"/>
            </c:ext>
          </c:extLst>
        </c:ser>
        <c:ser>
          <c:idx val="4"/>
          <c:order val="4"/>
          <c:tx>
            <c:strRef>
              <c:f>'Ceny 4'!$G$5</c:f>
              <c:strCache>
                <c:ptCount val="1"/>
                <c:pt idx="0">
                  <c:v>Water supply, sewerage</c:v>
                </c:pt>
              </c:strCache>
            </c:strRef>
          </c:tx>
          <c:spPr>
            <a:ln w="22225" cap="rnd">
              <a:solidFill>
                <a:srgbClr val="0071BC"/>
              </a:solidFill>
              <a:round/>
            </a:ln>
            <a:effectLst/>
          </c:spPr>
          <c:marker>
            <c:symbol val="none"/>
          </c:marker>
          <c:cat>
            <c:multiLvlStrRef>
              <c:f>'Ceny 4'!$A$6:$B$27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4'!$G$6:$G$27</c:f>
              <c:numCache>
                <c:formatCode>General</c:formatCode>
                <c:ptCount val="22"/>
                <c:pt idx="0">
                  <c:v>1.9000000000000057</c:v>
                </c:pt>
                <c:pt idx="1">
                  <c:v>1.9000000000000057</c:v>
                </c:pt>
                <c:pt idx="2">
                  <c:v>1.9000000000000057</c:v>
                </c:pt>
                <c:pt idx="3">
                  <c:v>1.9000000000000057</c:v>
                </c:pt>
                <c:pt idx="4">
                  <c:v>2.9000000000000057</c:v>
                </c:pt>
                <c:pt idx="5">
                  <c:v>2.9000000000000057</c:v>
                </c:pt>
                <c:pt idx="6">
                  <c:v>2.9000000000000057</c:v>
                </c:pt>
                <c:pt idx="7">
                  <c:v>2.9000000000000057</c:v>
                </c:pt>
                <c:pt idx="8">
                  <c:v>5.4000000000000057</c:v>
                </c:pt>
                <c:pt idx="9">
                  <c:v>6.0999999999999943</c:v>
                </c:pt>
                <c:pt idx="10">
                  <c:v>6.4000000000000057</c:v>
                </c:pt>
                <c:pt idx="11">
                  <c:v>6.4000000000000057</c:v>
                </c:pt>
                <c:pt idx="12">
                  <c:v>6.9000000000000057</c:v>
                </c:pt>
                <c:pt idx="13">
                  <c:v>6.2000000000000028</c:v>
                </c:pt>
                <c:pt idx="14">
                  <c:v>5.9000000000000057</c:v>
                </c:pt>
                <c:pt idx="15">
                  <c:v>5.9000000000000057</c:v>
                </c:pt>
                <c:pt idx="16">
                  <c:v>5.2999999999999972</c:v>
                </c:pt>
                <c:pt idx="17">
                  <c:v>5.2999999999999972</c:v>
                </c:pt>
                <c:pt idx="18">
                  <c:v>5.2999999999999972</c:v>
                </c:pt>
                <c:pt idx="19">
                  <c:v>5.2999999999999972</c:v>
                </c:pt>
                <c:pt idx="20">
                  <c:v>16.299999999999997</c:v>
                </c:pt>
                <c:pt idx="21">
                  <c:v>16.299999999999997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18F-441C-943E-96FC0213B0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7494240"/>
        <c:axId val="1718275936"/>
      </c:lineChart>
      <c:catAx>
        <c:axId val="171749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718275936"/>
        <c:crosses val="autoZero"/>
        <c:auto val="1"/>
        <c:lblAlgn val="ctr"/>
        <c:lblOffset val="100"/>
        <c:noMultiLvlLbl val="0"/>
      </c:catAx>
      <c:valAx>
        <c:axId val="1718275936"/>
        <c:scaling>
          <c:orientation val="minMax"/>
          <c:max val="60"/>
          <c:min val="-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717494240"/>
        <c:crosses val="autoZero"/>
        <c:crossBetween val="between"/>
        <c:majorUnit val="5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5.4913125880123238E-2"/>
          <c:y val="0.80408628841607566"/>
          <c:w val="0.93175198788738656"/>
          <c:h val="0.18321187943262413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BBA9E39CFCF469C5C18733081B222" ma:contentTypeVersion="3" ma:contentTypeDescription="Vytvoří nový dokument" ma:contentTypeScope="" ma:versionID="3072f6f3e77686ec6964bf5712aff85a">
  <xsd:schema xmlns:xsd="http://www.w3.org/2001/XMLSchema" xmlns:xs="http://www.w3.org/2001/XMLSchema" xmlns:p="http://schemas.microsoft.com/office/2006/metadata/properties" xmlns:ns2="eabc42bd-08fe-4a27-9645-04f6ad96d74a" targetNamespace="http://schemas.microsoft.com/office/2006/metadata/properties" ma:root="true" ma:fieldsID="572e7ed591a9b745512fd70b2662d46d" ns2:_="">
    <xsd:import namespace="eabc42bd-08fe-4a27-9645-04f6ad96d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42bd-08fe-4a27-9645-04f6ad96d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CFD8-CD6F-4E0C-A345-781C95A88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c42bd-08fe-4a27-9645-04f6ad96d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7926D-EFC2-4F8B-B71C-495191F49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38702-393C-4E0B-95FC-639749005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1CBBBD-98F8-4593-A88E-A6FF8A3732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42EDBA-49BC-4EB2-B5E1-7EDDE442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5</TotalTime>
  <Pages>6</Pages>
  <Words>2649</Words>
  <Characters>15630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Zábojníková Karolína</cp:lastModifiedBy>
  <cp:revision>5</cp:revision>
  <cp:lastPrinted>2023-06-09T17:23:00Z</cp:lastPrinted>
  <dcterms:created xsi:type="dcterms:W3CDTF">2023-10-17T10:13:00Z</dcterms:created>
  <dcterms:modified xsi:type="dcterms:W3CDTF">2023-10-17T10:26:00Z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0x010100331BBA9E39CFCF469C5C18733081B222</vt:lpwstr>
  </property>
  <property fmtid="{D5CDD505-2E9C-101B-9397-08002B2CF9AE}" pid="3" name="MSIP_Label_29db9e61-aac5-4f6e-805d-ceb8cb9983a1_Enabled">
    <vt:lpwstr>true</vt:lpwstr>
  </property>
  <property fmtid="{D5CDD505-2E9C-101B-9397-08002B2CF9AE}" pid="4" name="MSIP_Label_29db9e61-aac5-4f6e-805d-ceb8cb9983a1_SetDate">
    <vt:lpwstr>2023-09-17T16:05:15Z</vt:lpwstr>
  </property>
  <property fmtid="{D5CDD505-2E9C-101B-9397-08002B2CF9AE}" pid="5" name="MSIP_Label_29db9e61-aac5-4f6e-805d-ceb8cb9983a1_Method">
    <vt:lpwstr>Standard</vt:lpwstr>
  </property>
  <property fmtid="{D5CDD505-2E9C-101B-9397-08002B2CF9AE}" pid="6" name="MSIP_Label_29db9e61-aac5-4f6e-805d-ceb8cb9983a1_Name">
    <vt:lpwstr>UniCredit - Internal Use Only - no visual markings</vt:lpwstr>
  </property>
  <property fmtid="{D5CDD505-2E9C-101B-9397-08002B2CF9AE}" pid="7" name="MSIP_Label_29db9e61-aac5-4f6e-805d-ceb8cb9983a1_SiteId">
    <vt:lpwstr>2cc49ce9-66a1-41ac-a96b-bdc54247696a</vt:lpwstr>
  </property>
  <property fmtid="{D5CDD505-2E9C-101B-9397-08002B2CF9AE}" pid="8" name="MSIP_Label_29db9e61-aac5-4f6e-805d-ceb8cb9983a1_ActionId">
    <vt:lpwstr>bc2e51ea-0f16-4c13-bd82-d5a39cb11630</vt:lpwstr>
  </property>
  <property fmtid="{D5CDD505-2E9C-101B-9397-08002B2CF9AE}" pid="9" name="MSIP_Label_29db9e61-aac5-4f6e-805d-ceb8cb9983a1_ContentBits">
    <vt:lpwstr>0</vt:lpwstr>
  </property>
</Properties>
</file>