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AD95D" w14:textId="77777777" w:rsidR="00B350BE" w:rsidRPr="00DF5032" w:rsidRDefault="003D0F2B" w:rsidP="009223FF">
      <w:pPr>
        <w:spacing w:after="120"/>
        <w:jc w:val="center"/>
        <w:rPr>
          <w:rFonts w:ascii="Arial" w:hAnsi="Arial" w:cs="Arial"/>
          <w:b/>
        </w:rPr>
      </w:pPr>
      <w:bookmarkStart w:id="0" w:name="_GoBack"/>
      <w:bookmarkEnd w:id="0"/>
      <w:r w:rsidRPr="00DF5032">
        <w:rPr>
          <w:rFonts w:ascii="Arial" w:hAnsi="Arial" w:cs="Arial"/>
          <w:b/>
        </w:rPr>
        <w:t>METODICKÉ POZNÁMKY</w:t>
      </w:r>
    </w:p>
    <w:p w14:paraId="30A19E8D" w14:textId="444DB68B" w:rsidR="00F63FB7" w:rsidRPr="00DF5032" w:rsidRDefault="00F63FB7" w:rsidP="007769EB">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szCs w:val="20"/>
        </w:rPr>
      </w:pPr>
      <w:r w:rsidRPr="00DF5032">
        <w:rPr>
          <w:rFonts w:ascii="Arial" w:hAnsi="Arial" w:cs="Arial"/>
          <w:szCs w:val="20"/>
        </w:rPr>
        <w:t>Veškeré publikované údaje vycházejí z údajů prezentovaných po ukončení zpracování Českým statistickým úřadem na webu</w:t>
      </w:r>
      <w:r w:rsidR="007769EB">
        <w:rPr>
          <w:rFonts w:eastAsia="Calibri"/>
        </w:rPr>
        <w:t xml:space="preserve"> </w:t>
      </w:r>
      <w:hyperlink r:id="rId5" w:history="1">
        <w:r w:rsidR="007769EB" w:rsidRPr="003A05EA">
          <w:rPr>
            <w:rStyle w:val="Hypertextovodkaz"/>
            <w:rFonts w:eastAsia="Calibri"/>
          </w:rPr>
          <w:t>www.volby.cz</w:t>
        </w:r>
      </w:hyperlink>
      <w:r w:rsidR="007769EB">
        <w:rPr>
          <w:rFonts w:eastAsia="Calibri"/>
        </w:rPr>
        <w:t xml:space="preserve"> </w:t>
      </w:r>
      <w:r w:rsidRPr="00DF5032">
        <w:rPr>
          <w:rFonts w:ascii="Arial" w:hAnsi="Arial" w:cs="Arial"/>
          <w:szCs w:val="20"/>
        </w:rPr>
        <w:t>a z celkových výsledků voleb, vyhlášených Státní volební komisí.</w:t>
      </w:r>
    </w:p>
    <w:p w14:paraId="434C51ED" w14:textId="77777777"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Údaje o jednotlivých kandidátech zachycují stav po uplynutí lhůty, ve které bylo možno podle volebního zákona vzdát se kandidatury, kandidaturu odvolat nebo být v členském státě, jehož je kandidát občanem, zbaven práva být volen.</w:t>
      </w:r>
    </w:p>
    <w:p w14:paraId="61EFCE9B" w14:textId="77777777"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b/>
          <w:color w:val="000000"/>
          <w:szCs w:val="20"/>
        </w:rPr>
        <w:t>Zkratky použité v publikaci</w:t>
      </w:r>
      <w:r w:rsidRPr="00DF5032">
        <w:rPr>
          <w:rFonts w:ascii="Arial" w:hAnsi="Arial" w:cs="Arial"/>
          <w:color w:val="000000"/>
          <w:szCs w:val="20"/>
        </w:rPr>
        <w:t xml:space="preserve"> pro označení politických stran, politických hnutí a koalic při zpracování výsledků voleb nemusí být vždy shodné se zkratkami názvů těchto subjektů, používaných v jiných dokumentech.</w:t>
      </w:r>
    </w:p>
    <w:p w14:paraId="47D60486" w14:textId="0323F412" w:rsidR="008A39D5" w:rsidRPr="00DF5032" w:rsidRDefault="008A39D5"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Pod pojmem „</w:t>
      </w:r>
      <w:r w:rsidRPr="00DF5032">
        <w:rPr>
          <w:rFonts w:ascii="Arial" w:hAnsi="Arial" w:cs="Arial"/>
          <w:b/>
          <w:color w:val="000000"/>
          <w:szCs w:val="20"/>
        </w:rPr>
        <w:t>volební zákon</w:t>
      </w:r>
      <w:r w:rsidRPr="00DF5032">
        <w:rPr>
          <w:rFonts w:ascii="Arial" w:hAnsi="Arial" w:cs="Arial"/>
          <w:color w:val="000000"/>
          <w:szCs w:val="20"/>
        </w:rPr>
        <w:t xml:space="preserve">“ se rozumí legislativa příslušná k probíhajícímu </w:t>
      </w:r>
      <w:r w:rsidR="002A535B">
        <w:rPr>
          <w:rFonts w:ascii="Arial" w:hAnsi="Arial" w:cs="Arial"/>
          <w:color w:val="000000"/>
          <w:szCs w:val="20"/>
        </w:rPr>
        <w:t>druhu</w:t>
      </w:r>
      <w:r w:rsidR="002A535B" w:rsidRPr="00DF5032">
        <w:rPr>
          <w:rFonts w:ascii="Arial" w:hAnsi="Arial" w:cs="Arial"/>
          <w:color w:val="000000"/>
          <w:szCs w:val="20"/>
        </w:rPr>
        <w:t xml:space="preserve"> </w:t>
      </w:r>
      <w:r w:rsidRPr="00DF5032">
        <w:rPr>
          <w:rFonts w:ascii="Arial" w:hAnsi="Arial" w:cs="Arial"/>
          <w:color w:val="000000"/>
          <w:szCs w:val="20"/>
        </w:rPr>
        <w:t>voleb. Pro vol</w:t>
      </w:r>
      <w:r w:rsidR="00727DA3" w:rsidRPr="00DF5032">
        <w:rPr>
          <w:rFonts w:ascii="Arial" w:hAnsi="Arial" w:cs="Arial"/>
          <w:color w:val="000000"/>
          <w:szCs w:val="20"/>
        </w:rPr>
        <w:t>by do Evropského parlamentu je</w:t>
      </w:r>
      <w:r w:rsidRPr="00DF5032">
        <w:rPr>
          <w:rFonts w:ascii="Arial" w:hAnsi="Arial" w:cs="Arial"/>
          <w:color w:val="000000"/>
          <w:szCs w:val="20"/>
        </w:rPr>
        <w:t xml:space="preserve"> příslušnou legislativou </w:t>
      </w:r>
      <w:r w:rsidRPr="00DF5032">
        <w:rPr>
          <w:rFonts w:ascii="Arial" w:hAnsi="Arial" w:cs="Arial"/>
          <w:szCs w:val="20"/>
        </w:rPr>
        <w:t xml:space="preserve">zákon </w:t>
      </w:r>
      <w:r w:rsidRPr="00DF5032">
        <w:rPr>
          <w:rFonts w:ascii="Arial" w:hAnsi="Arial" w:cs="Arial"/>
          <w:b/>
          <w:szCs w:val="20"/>
        </w:rPr>
        <w:t>č. 62/2003 Sb</w:t>
      </w:r>
      <w:r w:rsidRPr="00CA0FA6">
        <w:rPr>
          <w:rFonts w:ascii="Arial" w:hAnsi="Arial" w:cs="Arial"/>
          <w:b/>
          <w:szCs w:val="20"/>
        </w:rPr>
        <w:t>.</w:t>
      </w:r>
      <w:r w:rsidRPr="00DF5032">
        <w:rPr>
          <w:rFonts w:ascii="Arial" w:hAnsi="Arial" w:cs="Arial"/>
          <w:szCs w:val="20"/>
        </w:rPr>
        <w:t>, o volbách do Evropského parlamentu a o změně některých zákon</w:t>
      </w:r>
      <w:r w:rsidR="00F546BA" w:rsidRPr="00DF5032">
        <w:rPr>
          <w:rFonts w:ascii="Arial" w:hAnsi="Arial" w:cs="Arial"/>
          <w:szCs w:val="20"/>
        </w:rPr>
        <w:t>ů, ve znění pozdějších předpisů.</w:t>
      </w:r>
    </w:p>
    <w:p w14:paraId="787857F3" w14:textId="15570AB1" w:rsidR="00F63FB7" w:rsidRPr="00DF5032" w:rsidRDefault="00F63FB7" w:rsidP="007235CB">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 xml:space="preserve">Pojmem </w:t>
      </w:r>
      <w:r w:rsidR="00167B2F" w:rsidRPr="00DF5032">
        <w:rPr>
          <w:rFonts w:ascii="Arial" w:hAnsi="Arial" w:cs="Arial"/>
          <w:color w:val="000000"/>
          <w:szCs w:val="20"/>
        </w:rPr>
        <w:t>„</w:t>
      </w:r>
      <w:r w:rsidRPr="00DF5032">
        <w:rPr>
          <w:rFonts w:ascii="Arial" w:hAnsi="Arial" w:cs="Arial"/>
          <w:b/>
          <w:color w:val="000000"/>
          <w:szCs w:val="20"/>
        </w:rPr>
        <w:t>volební strana</w:t>
      </w:r>
      <w:r w:rsidR="00167B2F" w:rsidRPr="00DF5032">
        <w:rPr>
          <w:rFonts w:ascii="Arial" w:hAnsi="Arial" w:cs="Arial"/>
          <w:color w:val="000000"/>
          <w:szCs w:val="20"/>
        </w:rPr>
        <w:t>“</w:t>
      </w:r>
      <w:r w:rsidRPr="00DF5032">
        <w:rPr>
          <w:rFonts w:ascii="Arial" w:hAnsi="Arial" w:cs="Arial"/>
          <w:color w:val="000000"/>
          <w:szCs w:val="20"/>
        </w:rPr>
        <w:t xml:space="preserve"> je myšlena politická strana, politické hnutí a jejich koalice</w:t>
      </w:r>
      <w:r w:rsidR="002A535B">
        <w:rPr>
          <w:rFonts w:ascii="Arial" w:hAnsi="Arial" w:cs="Arial"/>
          <w:color w:val="000000"/>
          <w:szCs w:val="20"/>
        </w:rPr>
        <w:t>, jejichž k</w:t>
      </w:r>
      <w:r w:rsidRPr="00DF5032">
        <w:rPr>
          <w:rFonts w:ascii="Arial" w:hAnsi="Arial" w:cs="Arial"/>
          <w:color w:val="000000"/>
          <w:szCs w:val="20"/>
        </w:rPr>
        <w:t>andidátní listiny zaregistroval do voleb registrační úřad (</w:t>
      </w:r>
      <w:r w:rsidR="002A535B">
        <w:rPr>
          <w:rFonts w:ascii="Arial" w:hAnsi="Arial" w:cs="Arial"/>
          <w:color w:val="000000"/>
          <w:szCs w:val="20"/>
        </w:rPr>
        <w:t>p</w:t>
      </w:r>
      <w:r w:rsidR="007235CB" w:rsidRPr="00DF5032">
        <w:rPr>
          <w:rFonts w:ascii="Arial" w:hAnsi="Arial" w:cs="Arial"/>
          <w:color w:val="000000"/>
          <w:szCs w:val="20"/>
        </w:rPr>
        <w:t xml:space="preserve">ro volby do Evropského parlamentu je jím </w:t>
      </w:r>
      <w:r w:rsidRPr="00DF5032">
        <w:rPr>
          <w:rFonts w:ascii="Arial" w:hAnsi="Arial" w:cs="Arial"/>
          <w:color w:val="000000"/>
          <w:szCs w:val="20"/>
        </w:rPr>
        <w:t>Ministerstvo vnitra). Volební strany jsou v publikaci označeny čísly, která jim vylosovala Státní volební komise.</w:t>
      </w:r>
    </w:p>
    <w:p w14:paraId="3BD30C39" w14:textId="77777777"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Pod pojmem </w:t>
      </w:r>
      <w:r w:rsidR="00167B2F" w:rsidRPr="00DF5032">
        <w:rPr>
          <w:rFonts w:ascii="Arial" w:hAnsi="Arial" w:cs="Arial"/>
          <w:szCs w:val="20"/>
        </w:rPr>
        <w:t>„</w:t>
      </w:r>
      <w:r w:rsidRPr="00DF5032">
        <w:rPr>
          <w:rFonts w:ascii="Arial" w:hAnsi="Arial" w:cs="Arial"/>
          <w:b/>
          <w:szCs w:val="20"/>
        </w:rPr>
        <w:t>navrhující strana</w:t>
      </w:r>
      <w:r w:rsidR="00167B2F" w:rsidRPr="00DF5032">
        <w:rPr>
          <w:rFonts w:ascii="Arial" w:hAnsi="Arial" w:cs="Arial"/>
          <w:szCs w:val="20"/>
        </w:rPr>
        <w:t>“</w:t>
      </w:r>
      <w:r w:rsidRPr="00DF5032">
        <w:rPr>
          <w:rFonts w:ascii="Arial" w:hAnsi="Arial" w:cs="Arial"/>
          <w:szCs w:val="20"/>
        </w:rPr>
        <w:t xml:space="preserve"> se rozumí politická strana nebo politické hnutí, které navrhlo do voleb konkrétní kandidáty. V případě koalic je tento údaj vždy uveden přímo na kandidátní listině a hlasovacím lístku.</w:t>
      </w:r>
    </w:p>
    <w:p w14:paraId="2A88C5CB" w14:textId="187F2F64"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Pod pojmem </w:t>
      </w:r>
      <w:r w:rsidR="00167B2F" w:rsidRPr="00DF5032">
        <w:rPr>
          <w:rFonts w:ascii="Arial" w:hAnsi="Arial" w:cs="Arial"/>
          <w:szCs w:val="20"/>
        </w:rPr>
        <w:t>„</w:t>
      </w:r>
      <w:r w:rsidRPr="00DF5032">
        <w:rPr>
          <w:rFonts w:ascii="Arial" w:hAnsi="Arial" w:cs="Arial"/>
          <w:b/>
          <w:szCs w:val="20"/>
        </w:rPr>
        <w:t>politická příslušnost</w:t>
      </w:r>
      <w:r w:rsidR="00167B2F" w:rsidRPr="00DF5032">
        <w:rPr>
          <w:rFonts w:ascii="Arial" w:hAnsi="Arial" w:cs="Arial"/>
          <w:szCs w:val="20"/>
        </w:rPr>
        <w:t>“</w:t>
      </w:r>
      <w:r w:rsidRPr="00DF5032">
        <w:rPr>
          <w:rFonts w:ascii="Arial" w:hAnsi="Arial" w:cs="Arial"/>
          <w:szCs w:val="20"/>
        </w:rPr>
        <w:t xml:space="preserve"> se rozumí politická strana nebo politické hnutí, kde je kandidát členem. Nebyl-li kandidát členem žádné politické str</w:t>
      </w:r>
      <w:r w:rsidR="002F2F8F">
        <w:rPr>
          <w:rFonts w:ascii="Arial" w:hAnsi="Arial" w:cs="Arial"/>
          <w:szCs w:val="20"/>
        </w:rPr>
        <w:t>any či politického hnutí, šlo o </w:t>
      </w:r>
      <w:r w:rsidRPr="00DF5032">
        <w:rPr>
          <w:rFonts w:ascii="Arial" w:hAnsi="Arial" w:cs="Arial"/>
          <w:szCs w:val="20"/>
        </w:rPr>
        <w:t>kandidáta bez politické příslušnosti.</w:t>
      </w:r>
    </w:p>
    <w:p w14:paraId="5C18C37A" w14:textId="4741EBF7"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Údaj </w:t>
      </w:r>
      <w:r w:rsidR="00167B2F" w:rsidRPr="00DF5032">
        <w:rPr>
          <w:rFonts w:ascii="Arial" w:hAnsi="Arial" w:cs="Arial"/>
          <w:szCs w:val="20"/>
        </w:rPr>
        <w:t>„</w:t>
      </w:r>
      <w:r w:rsidRPr="00DF5032">
        <w:rPr>
          <w:rFonts w:ascii="Arial" w:hAnsi="Arial" w:cs="Arial"/>
          <w:b/>
          <w:szCs w:val="20"/>
        </w:rPr>
        <w:t>Počet osob v</w:t>
      </w:r>
      <w:r w:rsidR="002A535B">
        <w:rPr>
          <w:rFonts w:ascii="Arial" w:hAnsi="Arial" w:cs="Arial"/>
          <w:b/>
          <w:szCs w:val="20"/>
        </w:rPr>
        <w:t> </w:t>
      </w:r>
      <w:r w:rsidRPr="00DF5032">
        <w:rPr>
          <w:rFonts w:ascii="Arial" w:hAnsi="Arial" w:cs="Arial"/>
          <w:b/>
          <w:szCs w:val="20"/>
        </w:rPr>
        <w:t>seznamu</w:t>
      </w:r>
      <w:r w:rsidR="002A535B">
        <w:rPr>
          <w:rFonts w:ascii="Arial" w:hAnsi="Arial" w:cs="Arial"/>
          <w:b/>
          <w:szCs w:val="20"/>
        </w:rPr>
        <w:t xml:space="preserve"> voličů</w:t>
      </w:r>
      <w:r w:rsidR="00167B2F" w:rsidRPr="00DF5032">
        <w:rPr>
          <w:rFonts w:ascii="Arial" w:hAnsi="Arial" w:cs="Arial"/>
          <w:szCs w:val="20"/>
        </w:rPr>
        <w:t>“</w:t>
      </w:r>
      <w:r w:rsidRPr="00DF5032">
        <w:rPr>
          <w:rFonts w:ascii="Arial" w:hAnsi="Arial" w:cs="Arial"/>
          <w:szCs w:val="20"/>
        </w:rPr>
        <w:t xml:space="preserve"> (též </w:t>
      </w:r>
      <w:r w:rsidR="00167B2F" w:rsidRPr="00DF5032">
        <w:rPr>
          <w:rFonts w:ascii="Arial" w:hAnsi="Arial" w:cs="Arial"/>
          <w:szCs w:val="20"/>
        </w:rPr>
        <w:t>„</w:t>
      </w:r>
      <w:r w:rsidRPr="00DF5032">
        <w:rPr>
          <w:rFonts w:ascii="Arial" w:hAnsi="Arial" w:cs="Arial"/>
          <w:b/>
          <w:szCs w:val="20"/>
        </w:rPr>
        <w:t>počet zapsaných voličů</w:t>
      </w:r>
      <w:r w:rsidR="00167B2F" w:rsidRPr="00DF5032">
        <w:rPr>
          <w:rFonts w:ascii="Arial" w:hAnsi="Arial" w:cs="Arial"/>
          <w:szCs w:val="20"/>
        </w:rPr>
        <w:t>“)</w:t>
      </w:r>
      <w:r w:rsidRPr="00DF5032">
        <w:rPr>
          <w:rFonts w:ascii="Arial" w:hAnsi="Arial" w:cs="Arial"/>
          <w:szCs w:val="20"/>
        </w:rPr>
        <w:t xml:space="preserve"> představuje počet osob, zapsaných do výpisu ze seznamu voličů pro volby do Evropského parlamentu za podmínek stanovených volebním zákonem.</w:t>
      </w:r>
    </w:p>
    <w:p w14:paraId="3D100B25" w14:textId="77777777"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 xml:space="preserve">Údaj </w:t>
      </w:r>
      <w:r w:rsidR="00167B2F" w:rsidRPr="00DF5032">
        <w:rPr>
          <w:rFonts w:ascii="Arial" w:hAnsi="Arial" w:cs="Arial"/>
          <w:color w:val="000000"/>
          <w:szCs w:val="20"/>
        </w:rPr>
        <w:t>„</w:t>
      </w:r>
      <w:r w:rsidRPr="00DF5032">
        <w:rPr>
          <w:rFonts w:ascii="Arial" w:hAnsi="Arial" w:cs="Arial"/>
          <w:b/>
          <w:color w:val="000000"/>
          <w:szCs w:val="20"/>
        </w:rPr>
        <w:t>Vydáno úředních obálek</w:t>
      </w:r>
      <w:r w:rsidR="00167B2F" w:rsidRPr="00DF5032">
        <w:rPr>
          <w:rFonts w:ascii="Arial" w:hAnsi="Arial" w:cs="Arial"/>
          <w:color w:val="000000"/>
          <w:szCs w:val="20"/>
        </w:rPr>
        <w:t>“</w:t>
      </w:r>
      <w:r w:rsidRPr="00DF5032">
        <w:rPr>
          <w:rFonts w:ascii="Arial" w:hAnsi="Arial" w:cs="Arial"/>
          <w:color w:val="000000"/>
          <w:szCs w:val="20"/>
        </w:rPr>
        <w:t xml:space="preserve"> představuje počet voličů, kteří se zúčastnili voleb a kterým byla okrskovou volební komisí ve volební místnosti vydána úřední obálka pro hlasování nebo jim byla vydána při hlasování do přenosné volební schránky.</w:t>
      </w:r>
    </w:p>
    <w:p w14:paraId="2B884C88" w14:textId="77777777" w:rsidR="00F63FB7" w:rsidRPr="00DF5032" w:rsidRDefault="00F63FB7" w:rsidP="00167B2F">
      <w:pPr>
        <w:pStyle w:val="Style0"/>
        <w:numPr>
          <w:ilvl w:val="0"/>
          <w:numId w:val="5"/>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Údaj </w:t>
      </w:r>
      <w:r w:rsidR="00167B2F" w:rsidRPr="00DF5032">
        <w:rPr>
          <w:rFonts w:ascii="Arial" w:hAnsi="Arial" w:cs="Arial"/>
          <w:szCs w:val="20"/>
        </w:rPr>
        <w:t>„</w:t>
      </w:r>
      <w:r w:rsidRPr="00DF5032">
        <w:rPr>
          <w:rFonts w:ascii="Arial" w:hAnsi="Arial" w:cs="Arial"/>
          <w:b/>
          <w:szCs w:val="20"/>
        </w:rPr>
        <w:t>Volební účast</w:t>
      </w:r>
      <w:r w:rsidR="00167B2F" w:rsidRPr="00DF5032">
        <w:rPr>
          <w:rFonts w:ascii="Arial" w:hAnsi="Arial" w:cs="Arial"/>
          <w:szCs w:val="20"/>
        </w:rPr>
        <w:t>“</w:t>
      </w:r>
      <w:r w:rsidRPr="00DF5032">
        <w:rPr>
          <w:rFonts w:ascii="Arial" w:hAnsi="Arial" w:cs="Arial"/>
          <w:szCs w:val="20"/>
        </w:rPr>
        <w:t xml:space="preserve"> je vypočítán jako podíl počtu vydaných úředních obálek a</w:t>
      </w:r>
      <w:r w:rsidR="00FA348A" w:rsidRPr="00DF5032">
        <w:rPr>
          <w:rFonts w:ascii="Arial" w:hAnsi="Arial" w:cs="Arial"/>
          <w:szCs w:val="20"/>
        </w:rPr>
        <w:t xml:space="preserve"> počtu</w:t>
      </w:r>
      <w:r w:rsidRPr="00DF5032">
        <w:rPr>
          <w:rFonts w:ascii="Arial" w:hAnsi="Arial" w:cs="Arial"/>
          <w:szCs w:val="20"/>
        </w:rPr>
        <w:t xml:space="preserve"> zapsaných voličů a zaokrouhlován na dvě desetinná místa.</w:t>
      </w:r>
    </w:p>
    <w:p w14:paraId="26ECB8D4" w14:textId="2508BAB2"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 xml:space="preserve">Údaj </w:t>
      </w:r>
      <w:r w:rsidR="00167B2F" w:rsidRPr="00DF5032">
        <w:rPr>
          <w:rFonts w:ascii="Arial" w:hAnsi="Arial" w:cs="Arial"/>
          <w:color w:val="000000"/>
          <w:szCs w:val="20"/>
        </w:rPr>
        <w:t>„</w:t>
      </w:r>
      <w:r w:rsidRPr="00DF5032">
        <w:rPr>
          <w:rFonts w:ascii="Arial" w:hAnsi="Arial" w:cs="Arial"/>
          <w:b/>
          <w:color w:val="000000"/>
          <w:szCs w:val="20"/>
        </w:rPr>
        <w:t>Odevzdáno úředních obálek</w:t>
      </w:r>
      <w:r w:rsidR="00167B2F" w:rsidRPr="00DF5032">
        <w:rPr>
          <w:rFonts w:ascii="Arial" w:hAnsi="Arial" w:cs="Arial"/>
          <w:color w:val="000000"/>
          <w:szCs w:val="20"/>
        </w:rPr>
        <w:t>“</w:t>
      </w:r>
      <w:r w:rsidRPr="00DF5032">
        <w:rPr>
          <w:rFonts w:ascii="Arial" w:hAnsi="Arial" w:cs="Arial"/>
          <w:color w:val="000000"/>
          <w:szCs w:val="20"/>
        </w:rPr>
        <w:t xml:space="preserve"> představuje </w:t>
      </w:r>
      <w:r w:rsidR="008014B6">
        <w:rPr>
          <w:rFonts w:ascii="Arial" w:hAnsi="Arial" w:cs="Arial"/>
          <w:color w:val="000000"/>
          <w:szCs w:val="20"/>
        </w:rPr>
        <w:t xml:space="preserve">celkový </w:t>
      </w:r>
      <w:r w:rsidRPr="00DF5032">
        <w:rPr>
          <w:rFonts w:ascii="Arial" w:hAnsi="Arial" w:cs="Arial"/>
          <w:color w:val="000000"/>
          <w:szCs w:val="20"/>
        </w:rPr>
        <w:t>počet</w:t>
      </w:r>
      <w:r w:rsidR="002F2F8F">
        <w:rPr>
          <w:rFonts w:ascii="Arial" w:hAnsi="Arial" w:cs="Arial"/>
          <w:color w:val="000000"/>
          <w:szCs w:val="20"/>
        </w:rPr>
        <w:t xml:space="preserve"> voličů, kteří provedli volbu a </w:t>
      </w:r>
      <w:r w:rsidRPr="00DF5032">
        <w:rPr>
          <w:rFonts w:ascii="Arial" w:hAnsi="Arial" w:cs="Arial"/>
          <w:color w:val="000000"/>
          <w:szCs w:val="20"/>
        </w:rPr>
        <w:t>odevzdali úřední obálku do volební schránky.</w:t>
      </w:r>
    </w:p>
    <w:p w14:paraId="627B5210" w14:textId="77777777" w:rsidR="00F63FB7" w:rsidRPr="00DF5032" w:rsidRDefault="00F63FB7" w:rsidP="00167B2F">
      <w:pPr>
        <w:pStyle w:val="Style0"/>
        <w:numPr>
          <w:ilvl w:val="0"/>
          <w:numId w:val="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 xml:space="preserve">Údaj </w:t>
      </w:r>
      <w:r w:rsidR="00167B2F" w:rsidRPr="00DF5032">
        <w:rPr>
          <w:rFonts w:ascii="Arial" w:hAnsi="Arial" w:cs="Arial"/>
          <w:color w:val="000000"/>
          <w:szCs w:val="20"/>
        </w:rPr>
        <w:t>„</w:t>
      </w:r>
      <w:r w:rsidRPr="00DF5032">
        <w:rPr>
          <w:rFonts w:ascii="Arial" w:hAnsi="Arial" w:cs="Arial"/>
          <w:b/>
          <w:color w:val="000000"/>
          <w:szCs w:val="20"/>
        </w:rPr>
        <w:t>Počet platných hlasů celkem</w:t>
      </w:r>
      <w:r w:rsidR="00167B2F" w:rsidRPr="00DF5032">
        <w:rPr>
          <w:rFonts w:ascii="Arial" w:hAnsi="Arial" w:cs="Arial"/>
          <w:color w:val="000000"/>
          <w:szCs w:val="20"/>
        </w:rPr>
        <w:t>“</w:t>
      </w:r>
      <w:r w:rsidRPr="00DF5032">
        <w:rPr>
          <w:rFonts w:ascii="Arial" w:hAnsi="Arial" w:cs="Arial"/>
          <w:color w:val="000000"/>
          <w:szCs w:val="20"/>
        </w:rPr>
        <w:t xml:space="preserve"> je počet odevzdaných platných hlasů po vytřídění neplatných hlasovacích lístků a neplatných hlasů.</w:t>
      </w:r>
    </w:p>
    <w:p w14:paraId="300820BB" w14:textId="77777777" w:rsidR="00DF5032" w:rsidRPr="00DF5032" w:rsidRDefault="00F63FB7" w:rsidP="00DF5032">
      <w:pPr>
        <w:numPr>
          <w:ilvl w:val="0"/>
          <w:numId w:val="5"/>
        </w:numPr>
        <w:spacing w:after="120" w:line="240" w:lineRule="exact"/>
        <w:jc w:val="both"/>
        <w:rPr>
          <w:rFonts w:ascii="Arial" w:hAnsi="Arial" w:cs="Arial"/>
          <w:sz w:val="20"/>
          <w:szCs w:val="20"/>
        </w:rPr>
      </w:pPr>
      <w:r w:rsidRPr="00DF5032">
        <w:rPr>
          <w:rFonts w:ascii="Arial" w:hAnsi="Arial" w:cs="Arial"/>
          <w:color w:val="000000"/>
          <w:sz w:val="20"/>
          <w:szCs w:val="20"/>
        </w:rPr>
        <w:t>Údaje o procentech platných hlasů pro jednotlivé volební strany a přednostních hlasů pro jednotlivé kandidáty jsou uváděny na dvě desetinná místa bez zaokrouhlení (údaj je za druhým desetinným místem uříznut), proto celkový</w:t>
      </w:r>
      <w:r w:rsidR="00167B2F" w:rsidRPr="00DF5032">
        <w:rPr>
          <w:rFonts w:ascii="Arial" w:hAnsi="Arial" w:cs="Arial"/>
          <w:color w:val="000000"/>
          <w:sz w:val="20"/>
          <w:szCs w:val="20"/>
        </w:rPr>
        <w:t xml:space="preserve"> součet nemusí být roven 100 %.</w:t>
      </w:r>
    </w:p>
    <w:p w14:paraId="42DC7582" w14:textId="77777777" w:rsidR="00DF5032" w:rsidRPr="00DF5032" w:rsidRDefault="00DF5032" w:rsidP="00DF5032">
      <w:pPr>
        <w:numPr>
          <w:ilvl w:val="0"/>
          <w:numId w:val="5"/>
        </w:numPr>
        <w:spacing w:after="120" w:line="240" w:lineRule="exact"/>
        <w:jc w:val="both"/>
        <w:rPr>
          <w:rFonts w:ascii="Arial" w:hAnsi="Arial" w:cs="Arial"/>
          <w:sz w:val="20"/>
          <w:szCs w:val="20"/>
        </w:rPr>
      </w:pPr>
      <w:r w:rsidRPr="00DF5032">
        <w:rPr>
          <w:rFonts w:ascii="Arial" w:hAnsi="Arial" w:cs="Arial"/>
          <w:sz w:val="20"/>
          <w:szCs w:val="20"/>
        </w:rPr>
        <w:t>Není-li uvedeno jinak, jsou přehledy řazeny podle číselného kódu údaje. V některých tabulkách je zřejmé řazení od nejvyšší hodnoty ukazatele.</w:t>
      </w:r>
    </w:p>
    <w:p w14:paraId="4E556250" w14:textId="77777777" w:rsidR="00F63FB7" w:rsidRPr="00DF5032" w:rsidRDefault="00F63FB7" w:rsidP="00167B2F">
      <w:pPr>
        <w:pStyle w:val="Style0"/>
        <w:numPr>
          <w:ilvl w:val="0"/>
          <w:numId w:val="5"/>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Údaj </w:t>
      </w:r>
      <w:r w:rsidR="00167B2F" w:rsidRPr="00DF5032">
        <w:rPr>
          <w:rFonts w:ascii="Arial" w:hAnsi="Arial" w:cs="Arial"/>
          <w:szCs w:val="20"/>
        </w:rPr>
        <w:t>„</w:t>
      </w:r>
      <w:r w:rsidRPr="00DF5032">
        <w:rPr>
          <w:rFonts w:ascii="Arial" w:hAnsi="Arial" w:cs="Arial"/>
          <w:b/>
          <w:szCs w:val="20"/>
        </w:rPr>
        <w:t>Maximálně možných přednostních hlasů</w:t>
      </w:r>
      <w:r w:rsidR="00167B2F" w:rsidRPr="00DF5032">
        <w:rPr>
          <w:rFonts w:ascii="Arial" w:hAnsi="Arial" w:cs="Arial"/>
          <w:szCs w:val="20"/>
        </w:rPr>
        <w:t>“</w:t>
      </w:r>
      <w:r w:rsidRPr="00DF5032">
        <w:rPr>
          <w:rFonts w:ascii="Arial" w:hAnsi="Arial" w:cs="Arial"/>
          <w:szCs w:val="20"/>
        </w:rPr>
        <w:t xml:space="preserve"> představuje maximální počet přednostních hlasů, které mohli voliči udělit jednotlivým kandidátům. Každý volič disponoval 2 přednostními hlasy, proto se maximální počet přednostních hlasů rovná dvojnásobku platných hlasů celkem.</w:t>
      </w:r>
    </w:p>
    <w:p w14:paraId="3CA97EB0" w14:textId="77777777" w:rsidR="00F63FB7" w:rsidRPr="00DF5032" w:rsidRDefault="00F63FB7" w:rsidP="00167B2F">
      <w:pPr>
        <w:pStyle w:val="Style0"/>
        <w:numPr>
          <w:ilvl w:val="0"/>
          <w:numId w:val="5"/>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color w:val="000000"/>
          <w:szCs w:val="20"/>
        </w:rPr>
        <w:t xml:space="preserve">Údaj </w:t>
      </w:r>
      <w:r w:rsidR="00167B2F" w:rsidRPr="00DF5032">
        <w:rPr>
          <w:rFonts w:ascii="Arial" w:hAnsi="Arial" w:cs="Arial"/>
          <w:color w:val="000000"/>
          <w:szCs w:val="20"/>
        </w:rPr>
        <w:t>„</w:t>
      </w:r>
      <w:r w:rsidRPr="00DF5032">
        <w:rPr>
          <w:rFonts w:ascii="Arial" w:hAnsi="Arial" w:cs="Arial"/>
          <w:b/>
          <w:color w:val="000000"/>
          <w:szCs w:val="20"/>
        </w:rPr>
        <w:t>Reálně udělené přednostní hlasy</w:t>
      </w:r>
      <w:r w:rsidR="00167B2F" w:rsidRPr="00DF5032">
        <w:rPr>
          <w:rFonts w:ascii="Arial" w:hAnsi="Arial" w:cs="Arial"/>
          <w:color w:val="000000"/>
          <w:szCs w:val="20"/>
        </w:rPr>
        <w:t>“</w:t>
      </w:r>
      <w:r w:rsidRPr="00DF5032">
        <w:rPr>
          <w:rFonts w:ascii="Arial" w:hAnsi="Arial" w:cs="Arial"/>
          <w:color w:val="000000"/>
          <w:szCs w:val="20"/>
        </w:rPr>
        <w:t xml:space="preserve"> představuje reálný počet voliči udělených přednostních hlasů.</w:t>
      </w:r>
    </w:p>
    <w:p w14:paraId="4D6E07CB" w14:textId="77777777" w:rsidR="00F63FB7" w:rsidRPr="00DF5032" w:rsidRDefault="00F63FB7" w:rsidP="00167B2F">
      <w:pPr>
        <w:pStyle w:val="Style0"/>
        <w:numPr>
          <w:ilvl w:val="0"/>
          <w:numId w:val="5"/>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Údaj </w:t>
      </w:r>
      <w:r w:rsidR="00167B2F" w:rsidRPr="00DF5032">
        <w:rPr>
          <w:rFonts w:ascii="Arial" w:hAnsi="Arial" w:cs="Arial"/>
          <w:szCs w:val="20"/>
        </w:rPr>
        <w:t>„</w:t>
      </w:r>
      <w:r w:rsidRPr="00DF5032">
        <w:rPr>
          <w:rFonts w:ascii="Arial" w:hAnsi="Arial" w:cs="Arial"/>
          <w:b/>
          <w:szCs w:val="20"/>
        </w:rPr>
        <w:t>Míra využití přednostního hlasování</w:t>
      </w:r>
      <w:r w:rsidR="00167B2F" w:rsidRPr="00DF5032">
        <w:rPr>
          <w:rFonts w:ascii="Arial" w:hAnsi="Arial" w:cs="Arial"/>
          <w:szCs w:val="20"/>
        </w:rPr>
        <w:t>“</w:t>
      </w:r>
      <w:r w:rsidRPr="00DF5032">
        <w:rPr>
          <w:rFonts w:ascii="Arial" w:hAnsi="Arial" w:cs="Arial"/>
          <w:szCs w:val="20"/>
        </w:rPr>
        <w:t xml:space="preserve"> je procentuálním poměrem mezi počtem reálně udělených přednostních hlasů a maximálně možným počtem přednostních hlasů.</w:t>
      </w:r>
    </w:p>
    <w:p w14:paraId="112DD921" w14:textId="5D219E7E" w:rsidR="00F63FB7" w:rsidRPr="00DF5032" w:rsidRDefault="00F63FB7" w:rsidP="00167B2F">
      <w:pPr>
        <w:pStyle w:val="Style0"/>
        <w:numPr>
          <w:ilvl w:val="0"/>
          <w:numId w:val="5"/>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40" w:lineRule="exact"/>
        <w:jc w:val="both"/>
        <w:rPr>
          <w:rFonts w:ascii="Arial" w:hAnsi="Arial" w:cs="Arial"/>
          <w:color w:val="000000"/>
          <w:szCs w:val="20"/>
        </w:rPr>
      </w:pPr>
      <w:r w:rsidRPr="00DF5032">
        <w:rPr>
          <w:rFonts w:ascii="Arial" w:hAnsi="Arial" w:cs="Arial"/>
          <w:szCs w:val="20"/>
        </w:rPr>
        <w:t xml:space="preserve">Není-li uvedeno pod tabulkou jinak, pak se pod pojmem </w:t>
      </w:r>
      <w:r w:rsidR="00167B2F" w:rsidRPr="00DF5032">
        <w:rPr>
          <w:rFonts w:ascii="Arial" w:hAnsi="Arial" w:cs="Arial"/>
          <w:szCs w:val="20"/>
        </w:rPr>
        <w:t>„</w:t>
      </w:r>
      <w:r w:rsidRPr="00DF5032">
        <w:rPr>
          <w:rFonts w:ascii="Arial" w:hAnsi="Arial" w:cs="Arial"/>
          <w:b/>
          <w:szCs w:val="20"/>
        </w:rPr>
        <w:t>obce</w:t>
      </w:r>
      <w:r w:rsidR="00167B2F" w:rsidRPr="00DF5032">
        <w:rPr>
          <w:rFonts w:ascii="Arial" w:hAnsi="Arial" w:cs="Arial"/>
          <w:szCs w:val="20"/>
        </w:rPr>
        <w:t>“</w:t>
      </w:r>
      <w:r w:rsidR="002F2F8F">
        <w:rPr>
          <w:rFonts w:ascii="Arial" w:hAnsi="Arial" w:cs="Arial"/>
          <w:szCs w:val="20"/>
        </w:rPr>
        <w:t xml:space="preserve"> rozumí i městské části a </w:t>
      </w:r>
      <w:r w:rsidRPr="00DF5032">
        <w:rPr>
          <w:rFonts w:ascii="Arial" w:hAnsi="Arial" w:cs="Arial"/>
          <w:szCs w:val="20"/>
        </w:rPr>
        <w:t>městské obvody.</w:t>
      </w:r>
    </w:p>
    <w:p w14:paraId="26EF8D6C" w14:textId="3F70F94D" w:rsidR="00F63FB7" w:rsidRPr="00DF5032" w:rsidRDefault="00F63FB7" w:rsidP="00167B2F">
      <w:pPr>
        <w:numPr>
          <w:ilvl w:val="0"/>
          <w:numId w:val="5"/>
        </w:numPr>
        <w:spacing w:after="120" w:line="240" w:lineRule="exact"/>
        <w:jc w:val="both"/>
        <w:rPr>
          <w:rFonts w:ascii="Arial" w:hAnsi="Arial" w:cs="Arial"/>
          <w:sz w:val="20"/>
          <w:szCs w:val="20"/>
        </w:rPr>
      </w:pPr>
      <w:r w:rsidRPr="00DF5032">
        <w:rPr>
          <w:rFonts w:ascii="Arial" w:hAnsi="Arial" w:cs="Arial"/>
          <w:sz w:val="20"/>
          <w:szCs w:val="20"/>
        </w:rPr>
        <w:lastRenderedPageBreak/>
        <w:t>Výběr obcí s 10 000 a více obyvateli vychází ze stavu počt</w:t>
      </w:r>
      <w:r w:rsidR="007235CB" w:rsidRPr="00DF5032">
        <w:rPr>
          <w:rFonts w:ascii="Arial" w:hAnsi="Arial" w:cs="Arial"/>
          <w:sz w:val="20"/>
          <w:szCs w:val="20"/>
        </w:rPr>
        <w:t>u obyvatel v obcích k 1. 1. 2024</w:t>
      </w:r>
      <w:r w:rsidRPr="00DF5032">
        <w:rPr>
          <w:rFonts w:ascii="Arial" w:hAnsi="Arial" w:cs="Arial"/>
          <w:sz w:val="20"/>
          <w:szCs w:val="20"/>
        </w:rPr>
        <w:t>.</w:t>
      </w:r>
    </w:p>
    <w:p w14:paraId="4F11382F" w14:textId="77777777" w:rsidR="00167B2F" w:rsidRDefault="00F63FB7" w:rsidP="00167B2F">
      <w:pPr>
        <w:numPr>
          <w:ilvl w:val="0"/>
          <w:numId w:val="5"/>
        </w:numPr>
        <w:spacing w:after="120" w:line="240" w:lineRule="exact"/>
        <w:jc w:val="both"/>
        <w:rPr>
          <w:rFonts w:ascii="Arial" w:hAnsi="Arial" w:cs="Arial"/>
          <w:sz w:val="20"/>
          <w:szCs w:val="20"/>
        </w:rPr>
      </w:pPr>
      <w:r w:rsidRPr="00DF5032">
        <w:rPr>
          <w:rFonts w:ascii="Arial" w:hAnsi="Arial" w:cs="Arial"/>
          <w:sz w:val="20"/>
          <w:szCs w:val="20"/>
        </w:rPr>
        <w:t xml:space="preserve">Pro účely této publikace jsou pojmy </w:t>
      </w:r>
      <w:r w:rsidR="00167B2F" w:rsidRPr="00DF5032">
        <w:rPr>
          <w:rFonts w:ascii="Arial" w:hAnsi="Arial" w:cs="Arial"/>
          <w:sz w:val="20"/>
          <w:szCs w:val="20"/>
        </w:rPr>
        <w:t>„</w:t>
      </w:r>
      <w:r w:rsidRPr="00DF5032">
        <w:rPr>
          <w:rFonts w:ascii="Arial" w:hAnsi="Arial" w:cs="Arial"/>
          <w:b/>
          <w:sz w:val="20"/>
          <w:szCs w:val="20"/>
        </w:rPr>
        <w:t>hlasovací lístek</w:t>
      </w:r>
      <w:r w:rsidR="00167B2F" w:rsidRPr="00DF5032">
        <w:rPr>
          <w:rFonts w:ascii="Arial" w:hAnsi="Arial" w:cs="Arial"/>
          <w:sz w:val="20"/>
          <w:szCs w:val="20"/>
        </w:rPr>
        <w:t>“</w:t>
      </w:r>
      <w:r w:rsidRPr="00DF5032">
        <w:rPr>
          <w:rFonts w:ascii="Arial" w:hAnsi="Arial" w:cs="Arial"/>
          <w:sz w:val="20"/>
          <w:szCs w:val="20"/>
        </w:rPr>
        <w:t xml:space="preserve"> a </w:t>
      </w:r>
      <w:r w:rsidR="00167B2F" w:rsidRPr="00DF5032">
        <w:rPr>
          <w:rFonts w:ascii="Arial" w:hAnsi="Arial" w:cs="Arial"/>
          <w:sz w:val="20"/>
          <w:szCs w:val="20"/>
        </w:rPr>
        <w:t>„</w:t>
      </w:r>
      <w:r w:rsidRPr="00DF5032">
        <w:rPr>
          <w:rFonts w:ascii="Arial" w:hAnsi="Arial" w:cs="Arial"/>
          <w:b/>
          <w:sz w:val="20"/>
          <w:szCs w:val="20"/>
        </w:rPr>
        <w:t>kandidátní listina</w:t>
      </w:r>
      <w:r w:rsidR="00167B2F" w:rsidRPr="00DF5032">
        <w:rPr>
          <w:rFonts w:ascii="Arial" w:hAnsi="Arial" w:cs="Arial"/>
          <w:sz w:val="20"/>
          <w:szCs w:val="20"/>
        </w:rPr>
        <w:t>“</w:t>
      </w:r>
      <w:r w:rsidRPr="00DF5032">
        <w:rPr>
          <w:rFonts w:ascii="Arial" w:hAnsi="Arial" w:cs="Arial"/>
          <w:sz w:val="20"/>
          <w:szCs w:val="20"/>
        </w:rPr>
        <w:t xml:space="preserve"> významově totožné.</w:t>
      </w:r>
    </w:p>
    <w:p w14:paraId="62A535A5" w14:textId="77777777" w:rsidR="00131F27" w:rsidRPr="00131F27" w:rsidRDefault="00131F27" w:rsidP="004D64CF">
      <w:pPr>
        <w:numPr>
          <w:ilvl w:val="0"/>
          <w:numId w:val="5"/>
        </w:numPr>
        <w:spacing w:after="120" w:line="240" w:lineRule="exact"/>
        <w:jc w:val="both"/>
        <w:rPr>
          <w:rFonts w:ascii="Arial" w:hAnsi="Arial" w:cs="Arial"/>
          <w:sz w:val="20"/>
          <w:szCs w:val="20"/>
        </w:rPr>
      </w:pPr>
      <w:r w:rsidRPr="00131F27">
        <w:rPr>
          <w:rFonts w:ascii="Arial" w:hAnsi="Arial" w:cs="Arial"/>
          <w:sz w:val="20"/>
          <w:szCs w:val="20"/>
        </w:rPr>
        <w:t>Pokud jsou názvy volebních krajů uvedeny zkráceně, jsou používány zkratky: Hlavní město Praha (PHA), Středočeský kraj (STC), Jihočeský kraj (JHC), Plzeňský kraj (PLK), Karlovarský kraj (KVK), Ústecký kraj (ULK), Liberecký kraj (LBK), Královéhradecký kraj (HKK), Pardubický kraj (PAK), Kraj Vysočina (VYS), Jihomoravský kraj (JHM), Olomoucký kraj (OLK), Zlínský kraj (ZLK) a Moravskoslezský kraj (MSK).</w:t>
      </w:r>
    </w:p>
    <w:p w14:paraId="7707DB39" w14:textId="77777777" w:rsidR="00F63FB7" w:rsidRPr="00DF5032" w:rsidRDefault="00F63FB7" w:rsidP="00167B2F">
      <w:pPr>
        <w:spacing w:after="120" w:line="240" w:lineRule="exact"/>
        <w:ind w:firstLine="426"/>
        <w:jc w:val="both"/>
        <w:rPr>
          <w:rFonts w:ascii="Arial" w:hAnsi="Arial" w:cs="Arial"/>
          <w:b/>
          <w:sz w:val="20"/>
          <w:szCs w:val="20"/>
        </w:rPr>
      </w:pPr>
      <w:r w:rsidRPr="00DF5032">
        <w:rPr>
          <w:rFonts w:ascii="Arial" w:hAnsi="Arial" w:cs="Arial"/>
          <w:b/>
          <w:sz w:val="20"/>
          <w:szCs w:val="20"/>
        </w:rPr>
        <w:t>Vysvětlivky ke znakům v tabulkách</w:t>
      </w:r>
    </w:p>
    <w:p w14:paraId="03720336" w14:textId="77777777" w:rsidR="00F63FB7" w:rsidRPr="00DF5032" w:rsidRDefault="00F63FB7" w:rsidP="00167B2F">
      <w:pPr>
        <w:pStyle w:val="Default"/>
        <w:spacing w:after="120" w:line="240" w:lineRule="exact"/>
        <w:ind w:left="709"/>
        <w:rPr>
          <w:sz w:val="20"/>
          <w:szCs w:val="20"/>
        </w:rPr>
      </w:pPr>
      <w:r w:rsidRPr="00DF5032">
        <w:rPr>
          <w:sz w:val="20"/>
          <w:szCs w:val="20"/>
        </w:rPr>
        <w:t>Ležatá čárka (-) v tabulce na místě čísla</w:t>
      </w:r>
      <w:r w:rsidR="00727DA3" w:rsidRPr="00DF5032">
        <w:rPr>
          <w:sz w:val="20"/>
          <w:szCs w:val="20"/>
        </w:rPr>
        <w:t xml:space="preserve"> značí, že se jev nevyskytoval.</w:t>
      </w:r>
    </w:p>
    <w:p w14:paraId="47F1D880" w14:textId="77777777" w:rsidR="001E733C" w:rsidRDefault="00F63FB7" w:rsidP="00167B2F">
      <w:pPr>
        <w:pStyle w:val="Default"/>
        <w:spacing w:after="120" w:line="240" w:lineRule="exact"/>
        <w:ind w:left="709"/>
        <w:rPr>
          <w:sz w:val="20"/>
          <w:szCs w:val="20"/>
        </w:rPr>
      </w:pPr>
      <w:r w:rsidRPr="00DF5032">
        <w:rPr>
          <w:sz w:val="20"/>
          <w:szCs w:val="20"/>
        </w:rPr>
        <w:t>Ležatý křížek (x) značí, že zápis</w:t>
      </w:r>
      <w:r w:rsidR="00EA3FD8">
        <w:rPr>
          <w:sz w:val="20"/>
          <w:szCs w:val="20"/>
        </w:rPr>
        <w:t xml:space="preserve"> není možný z logických důvodů.</w:t>
      </w:r>
    </w:p>
    <w:p w14:paraId="240B94F2" w14:textId="77777777" w:rsidR="002A535B" w:rsidRPr="00DF5032" w:rsidRDefault="002A535B" w:rsidP="00167B2F">
      <w:pPr>
        <w:pStyle w:val="Default"/>
        <w:spacing w:after="120" w:line="240" w:lineRule="exact"/>
        <w:ind w:left="709"/>
        <w:rPr>
          <w:sz w:val="20"/>
          <w:szCs w:val="20"/>
        </w:rPr>
      </w:pPr>
      <w:r>
        <w:rPr>
          <w:sz w:val="20"/>
          <w:szCs w:val="20"/>
        </w:rPr>
        <w:t>Výpočty v tabulkách jsou prováděny z nezaokrouhlovaných údajů (včetně součtů).</w:t>
      </w:r>
    </w:p>
    <w:sectPr w:rsidR="002A535B" w:rsidRPr="00DF5032" w:rsidSect="00B35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4390F"/>
    <w:multiLevelType w:val="hybridMultilevel"/>
    <w:tmpl w:val="EAC2CA2E"/>
    <w:lvl w:ilvl="0" w:tplc="458C980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6721395"/>
    <w:multiLevelType w:val="hybridMultilevel"/>
    <w:tmpl w:val="5426A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1730987"/>
    <w:multiLevelType w:val="hybridMultilevel"/>
    <w:tmpl w:val="582645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69F0BE7"/>
    <w:multiLevelType w:val="hybridMultilevel"/>
    <w:tmpl w:val="EB768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EB407B"/>
    <w:multiLevelType w:val="hybridMultilevel"/>
    <w:tmpl w:val="BFD6FAB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8C7"/>
    <w:rsid w:val="0000164A"/>
    <w:rsid w:val="0005333F"/>
    <w:rsid w:val="000875B3"/>
    <w:rsid w:val="000B13CC"/>
    <w:rsid w:val="000C5B16"/>
    <w:rsid w:val="00131F27"/>
    <w:rsid w:val="001510D8"/>
    <w:rsid w:val="00167B2F"/>
    <w:rsid w:val="00177F7F"/>
    <w:rsid w:val="001E733C"/>
    <w:rsid w:val="00251563"/>
    <w:rsid w:val="002A535B"/>
    <w:rsid w:val="002F2F8F"/>
    <w:rsid w:val="003D0F2B"/>
    <w:rsid w:val="003F1E59"/>
    <w:rsid w:val="003F29D8"/>
    <w:rsid w:val="0041225E"/>
    <w:rsid w:val="00475BBD"/>
    <w:rsid w:val="00487410"/>
    <w:rsid w:val="0049077C"/>
    <w:rsid w:val="004F44A5"/>
    <w:rsid w:val="005219C6"/>
    <w:rsid w:val="00606F01"/>
    <w:rsid w:val="00646D92"/>
    <w:rsid w:val="007218C7"/>
    <w:rsid w:val="007235CB"/>
    <w:rsid w:val="00727DA3"/>
    <w:rsid w:val="007769EB"/>
    <w:rsid w:val="007C461D"/>
    <w:rsid w:val="008014B6"/>
    <w:rsid w:val="008A39D5"/>
    <w:rsid w:val="008B1A5D"/>
    <w:rsid w:val="008D1C84"/>
    <w:rsid w:val="008F1BA7"/>
    <w:rsid w:val="00903ABF"/>
    <w:rsid w:val="009223FF"/>
    <w:rsid w:val="009509DB"/>
    <w:rsid w:val="00966E50"/>
    <w:rsid w:val="009673C3"/>
    <w:rsid w:val="00997E9D"/>
    <w:rsid w:val="00A66A59"/>
    <w:rsid w:val="00AA10C0"/>
    <w:rsid w:val="00B33D06"/>
    <w:rsid w:val="00B350BE"/>
    <w:rsid w:val="00BB155D"/>
    <w:rsid w:val="00BC223E"/>
    <w:rsid w:val="00C36CB4"/>
    <w:rsid w:val="00C51DF6"/>
    <w:rsid w:val="00CA0FA6"/>
    <w:rsid w:val="00D92B7B"/>
    <w:rsid w:val="00DF5032"/>
    <w:rsid w:val="00E33080"/>
    <w:rsid w:val="00EA0149"/>
    <w:rsid w:val="00EA3FD8"/>
    <w:rsid w:val="00F168C7"/>
    <w:rsid w:val="00F22776"/>
    <w:rsid w:val="00F546BA"/>
    <w:rsid w:val="00F63FB7"/>
    <w:rsid w:val="00F931BB"/>
    <w:rsid w:val="00F9632B"/>
    <w:rsid w:val="00FA348A"/>
    <w:rsid w:val="00FA5E8F"/>
    <w:rsid w:val="00FA755F"/>
    <w:rsid w:val="00FB3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0232D"/>
  <w15:docId w15:val="{FB5F5C05-8E6E-4BD4-A5ED-60398757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50BE"/>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168C7"/>
    <w:pPr>
      <w:ind w:left="720"/>
      <w:contextualSpacing/>
    </w:pPr>
  </w:style>
  <w:style w:type="paragraph" w:customStyle="1" w:styleId="Style0">
    <w:name w:val="Style0"/>
    <w:rsid w:val="001E733C"/>
    <w:pPr>
      <w:autoSpaceDE w:val="0"/>
      <w:autoSpaceDN w:val="0"/>
      <w:adjustRightInd w:val="0"/>
    </w:pPr>
    <w:rPr>
      <w:rFonts w:ascii="MS Sans Serif" w:eastAsia="Times New Roman" w:hAnsi="MS Sans Serif"/>
      <w:szCs w:val="24"/>
    </w:rPr>
  </w:style>
  <w:style w:type="paragraph" w:styleId="Textbubliny">
    <w:name w:val="Balloon Text"/>
    <w:basedOn w:val="Normln"/>
    <w:link w:val="TextbublinyChar"/>
    <w:uiPriority w:val="99"/>
    <w:semiHidden/>
    <w:unhideWhenUsed/>
    <w:rsid w:val="000875B3"/>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875B3"/>
    <w:rPr>
      <w:rFonts w:ascii="Tahoma" w:hAnsi="Tahoma" w:cs="Tahoma"/>
      <w:sz w:val="16"/>
      <w:szCs w:val="16"/>
    </w:rPr>
  </w:style>
  <w:style w:type="paragraph" w:customStyle="1" w:styleId="Default">
    <w:name w:val="Default"/>
    <w:rsid w:val="00F63FB7"/>
    <w:pPr>
      <w:autoSpaceDE w:val="0"/>
      <w:autoSpaceDN w:val="0"/>
      <w:adjustRightInd w:val="0"/>
    </w:pPr>
    <w:rPr>
      <w:rFonts w:ascii="Arial" w:eastAsia="Times New Roman" w:hAnsi="Arial" w:cs="Arial"/>
      <w:color w:val="000000"/>
      <w:sz w:val="24"/>
      <w:szCs w:val="24"/>
    </w:rPr>
  </w:style>
  <w:style w:type="character" w:styleId="Hypertextovodkaz">
    <w:name w:val="Hyperlink"/>
    <w:uiPriority w:val="99"/>
    <w:unhideWhenUsed/>
    <w:rsid w:val="00167B2F"/>
    <w:rPr>
      <w:color w:val="0000FF"/>
      <w:u w:val="single"/>
    </w:rPr>
  </w:style>
  <w:style w:type="character" w:styleId="Odkaznakoment">
    <w:name w:val="annotation reference"/>
    <w:basedOn w:val="Standardnpsmoodstavce"/>
    <w:uiPriority w:val="99"/>
    <w:semiHidden/>
    <w:unhideWhenUsed/>
    <w:rsid w:val="002A535B"/>
    <w:rPr>
      <w:sz w:val="16"/>
      <w:szCs w:val="16"/>
    </w:rPr>
  </w:style>
  <w:style w:type="paragraph" w:styleId="Textkomente">
    <w:name w:val="annotation text"/>
    <w:basedOn w:val="Normln"/>
    <w:link w:val="TextkomenteChar"/>
    <w:uiPriority w:val="99"/>
    <w:semiHidden/>
    <w:unhideWhenUsed/>
    <w:rsid w:val="002A535B"/>
    <w:pPr>
      <w:spacing w:line="240" w:lineRule="auto"/>
    </w:pPr>
    <w:rPr>
      <w:sz w:val="20"/>
      <w:szCs w:val="20"/>
    </w:rPr>
  </w:style>
  <w:style w:type="character" w:customStyle="1" w:styleId="TextkomenteChar">
    <w:name w:val="Text komentáře Char"/>
    <w:basedOn w:val="Standardnpsmoodstavce"/>
    <w:link w:val="Textkomente"/>
    <w:uiPriority w:val="99"/>
    <w:semiHidden/>
    <w:rsid w:val="002A535B"/>
    <w:rPr>
      <w:lang w:eastAsia="en-US"/>
    </w:rPr>
  </w:style>
  <w:style w:type="paragraph" w:styleId="Pedmtkomente">
    <w:name w:val="annotation subject"/>
    <w:basedOn w:val="Textkomente"/>
    <w:next w:val="Textkomente"/>
    <w:link w:val="PedmtkomenteChar"/>
    <w:uiPriority w:val="99"/>
    <w:semiHidden/>
    <w:unhideWhenUsed/>
    <w:rsid w:val="002A535B"/>
    <w:rPr>
      <w:b/>
      <w:bCs/>
    </w:rPr>
  </w:style>
  <w:style w:type="character" w:customStyle="1" w:styleId="PedmtkomenteChar">
    <w:name w:val="Předmět komentáře Char"/>
    <w:basedOn w:val="TextkomenteChar"/>
    <w:link w:val="Pedmtkomente"/>
    <w:uiPriority w:val="99"/>
    <w:semiHidden/>
    <w:rsid w:val="002A535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38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olby.cz"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643</Words>
  <Characters>3794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kvizova4526</dc:creator>
  <cp:lastModifiedBy>Sixta Jakub</cp:lastModifiedBy>
  <cp:revision>19</cp:revision>
  <cp:lastPrinted>2024-10-08T14:20:00Z</cp:lastPrinted>
  <dcterms:created xsi:type="dcterms:W3CDTF">2024-06-10T06:43:00Z</dcterms:created>
  <dcterms:modified xsi:type="dcterms:W3CDTF">2024-10-10T07:32:00Z</dcterms:modified>
</cp:coreProperties>
</file>