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56CE49" w14:textId="14C57F40" w:rsidR="00532E62" w:rsidRDefault="00532E62" w:rsidP="00532E62">
      <w:pPr>
        <w:pStyle w:val="Nadpis1"/>
      </w:pPr>
      <w:bookmarkStart w:id="0" w:name="_Toc176767109"/>
      <w:bookmarkStart w:id="1" w:name="_Toc193366676"/>
      <w:r>
        <w:t>5. Ceny</w:t>
      </w:r>
      <w:bookmarkEnd w:id="1"/>
      <w:r>
        <w:t xml:space="preserve"> </w:t>
      </w:r>
      <w:bookmarkStart w:id="2" w:name="_GoBack"/>
      <w:bookmarkEnd w:id="2"/>
    </w:p>
    <w:tbl>
      <w:tblPr>
        <w:tblW w:w="9639" w:type="dxa"/>
        <w:tblInd w:w="-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91"/>
        <w:gridCol w:w="223"/>
        <w:gridCol w:w="7625"/>
      </w:tblGrid>
      <w:tr w:rsidR="00532E62" w14:paraId="0130B537" w14:textId="77777777" w:rsidTr="00A4206C">
        <w:trPr>
          <w:trHeight w:val="145"/>
        </w:trPr>
        <w:tc>
          <w:tcPr>
            <w:tcW w:w="1791" w:type="dxa"/>
            <w:hideMark/>
          </w:tcPr>
          <w:p w14:paraId="3B3485AF" w14:textId="77777777" w:rsidR="00532E62" w:rsidRDefault="00532E62" w:rsidP="00A4206C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Cenová hladina loni rostla nejpomaleji od roku 2019.</w:t>
            </w:r>
          </w:p>
        </w:tc>
        <w:tc>
          <w:tcPr>
            <w:tcW w:w="223" w:type="dxa"/>
          </w:tcPr>
          <w:p w14:paraId="68F96922" w14:textId="77777777" w:rsidR="00532E62" w:rsidRDefault="00532E62" w:rsidP="00A4206C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43432008" w14:textId="77777777" w:rsidR="00532E62" w:rsidRDefault="00532E62" w:rsidP="00A4206C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 xml:space="preserve">V roce 2024 celková cenová hladina (měřeno deflátorem HDP) vzrostla o 3,9 %, nejméně od roku 2019. Ceny spotřeby byly vyšší o 3,2 %, z toho u spotřeby domácností došlo ke zvýšení cenové hladiny o 3,0 % a vládních institucí o 3,6 %. Ceny investičních statků se loni zvýšily o 2,0 %. Směnné relace zahraničního obchodu byly loni kladné (101,6 %). Z toho u obchodu se zbožím dosáhly 101,3 % a se službami 102,9 %. Během roku meziroční přírůstky cenové hladiny slábly a v samotném 4. čtvrtletí se celková cenová hladina meziročně zvýšila o 3,7 %. Ceny spotřeby byly meziročně vyšší o 3,0 % (z toho u domácností o 2,7 %) a ceny hrubého fixního kapitálu o 3,7 %. Ve </w:t>
            </w:r>
            <w:r>
              <w:rPr>
                <w:szCs w:val="20"/>
                <w:lang w:eastAsia="en-US"/>
              </w:rPr>
              <w:br/>
              <w:t xml:space="preserve">4. čtvrtletí dosáhly směnné relace meziročně 101,7 % (zboží 101,2 % a služby 104,1 %). Mezičtvrtletně se ve 4. čtvrtletí cenová hladina zvýšila o 0,3 % a také šlo o nejmírnější nárůst v rámci roku. Ceny spotřeby se mezičtvrtletně zvýšily o 0,6 %, ceny tvorby hrubého kapitálu klesly o 2,3 %. Směnné relace dosáhly 100,6 %. </w:t>
            </w:r>
          </w:p>
        </w:tc>
      </w:tr>
      <w:tr w:rsidR="00532E62" w14:paraId="7CA90CB0" w14:textId="77777777" w:rsidTr="00A4206C">
        <w:trPr>
          <w:trHeight w:val="145"/>
        </w:trPr>
        <w:tc>
          <w:tcPr>
            <w:tcW w:w="1791" w:type="dxa"/>
          </w:tcPr>
          <w:p w14:paraId="44A4BE72" w14:textId="77777777" w:rsidR="00532E62" w:rsidRDefault="00532E62" w:rsidP="00A4206C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Růst spotřebitelských cen byl v roce 2024 nejnižší od roku 2018.</w:t>
            </w:r>
          </w:p>
        </w:tc>
        <w:tc>
          <w:tcPr>
            <w:tcW w:w="223" w:type="dxa"/>
          </w:tcPr>
          <w:p w14:paraId="7F2AEF7B" w14:textId="77777777" w:rsidR="00532E62" w:rsidRDefault="00532E62" w:rsidP="00A4206C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</w:tcPr>
          <w:p w14:paraId="2D3245B5" w14:textId="77777777" w:rsidR="00532E62" w:rsidRDefault="00532E62" w:rsidP="00A4206C">
            <w:pPr>
              <w:rPr>
                <w:lang w:eastAsia="en-US"/>
              </w:rPr>
            </w:pPr>
            <w:r>
              <w:rPr>
                <w:lang w:eastAsia="en-US"/>
              </w:rPr>
              <w:t>Za celý rok 2024 se spotřebitelské ceny zvýšily o 2,4 %, což byla nejnižší hodnota od roku 2018. Výrazný propad tempa oproti roku 2023 (10,7 %) byl způsoben zmírněním růstu cen bydlení a energií a také poklesem cen potravin a nealkoholických nápojů. Bydlení a energie ale nadále zůstaly položkou, která nejvíce působila ve směru růstu spotřebitelských cen. Cenový vývoj v roce 2024 byl rovněž charakteristický přetrvávajícím silným růstem cen služeb (5,1 %), zatímco ceny zboží úhrnem vzrostly jen o 0,9 %. Rozdíl mezi cenovým vývojem zboží a služeb souvisí s rozdílným dopadem inflace v letech 2022 a 2023 na různé příjmové skupiny obyvatel. U služeb, které více spotřebovávají domácnosti s vyššími příjmy, nebyl tlak na snížení cen tak velký, protože u nich nedošlo k tak výraznému propadu poptávky jako u zboží.</w:t>
            </w:r>
          </w:p>
        </w:tc>
      </w:tr>
      <w:tr w:rsidR="00532E62" w14:paraId="5EC05ED9" w14:textId="77777777" w:rsidTr="00A4206C">
        <w:trPr>
          <w:trHeight w:val="145"/>
        </w:trPr>
        <w:tc>
          <w:tcPr>
            <w:tcW w:w="1791" w:type="dxa"/>
          </w:tcPr>
          <w:p w14:paraId="7C58B744" w14:textId="77777777" w:rsidR="00532E62" w:rsidRDefault="00532E62" w:rsidP="00A4206C">
            <w:pPr>
              <w:pStyle w:val="Marginlie"/>
              <w:rPr>
                <w:spacing w:val="0"/>
                <w:lang w:eastAsia="en-US"/>
              </w:rPr>
            </w:pPr>
          </w:p>
        </w:tc>
        <w:tc>
          <w:tcPr>
            <w:tcW w:w="223" w:type="dxa"/>
          </w:tcPr>
          <w:p w14:paraId="727BAB4E" w14:textId="77777777" w:rsidR="00532E62" w:rsidRDefault="00532E62" w:rsidP="00A4206C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0D67B611" w14:textId="77777777" w:rsidR="00532E62" w:rsidRDefault="00532E62" w:rsidP="00A4206C">
            <w:pPr>
              <w:spacing w:after="0"/>
              <w:rPr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>Graf č. 10 Ceny ve vybraných oddílech indexu spotřebitelských cen</w:t>
            </w:r>
            <w:r>
              <w:rPr>
                <w:rFonts w:cs="Arial"/>
                <w:b/>
                <w:color w:val="000000"/>
                <w:sz w:val="18"/>
                <w:szCs w:val="18"/>
                <w:lang w:eastAsia="en-US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  <w:lang w:eastAsia="en-US"/>
              </w:rPr>
              <w:t>(meziročně v %)</w:t>
            </w:r>
          </w:p>
        </w:tc>
      </w:tr>
      <w:tr w:rsidR="00532E62" w14:paraId="7B7C6AF0" w14:textId="77777777" w:rsidTr="00A4206C">
        <w:tblPrEx>
          <w:tblCellMar>
            <w:left w:w="70" w:type="dxa"/>
            <w:right w:w="70" w:type="dxa"/>
          </w:tblCellMar>
        </w:tblPrEx>
        <w:trPr>
          <w:trHeight w:val="145"/>
        </w:trPr>
        <w:tc>
          <w:tcPr>
            <w:tcW w:w="1791" w:type="dxa"/>
          </w:tcPr>
          <w:p w14:paraId="15039F46" w14:textId="77777777" w:rsidR="00532E62" w:rsidRDefault="00532E62" w:rsidP="00A4206C">
            <w:pPr>
              <w:pStyle w:val="Marginlie"/>
              <w:rPr>
                <w:spacing w:val="0"/>
                <w:lang w:eastAsia="en-US"/>
              </w:rPr>
            </w:pPr>
          </w:p>
        </w:tc>
        <w:tc>
          <w:tcPr>
            <w:tcW w:w="223" w:type="dxa"/>
          </w:tcPr>
          <w:p w14:paraId="4701FE3F" w14:textId="77777777" w:rsidR="00532E62" w:rsidRDefault="00532E62" w:rsidP="00A4206C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32838B1B" w14:textId="77777777" w:rsidR="00532E62" w:rsidRDefault="00532E62" w:rsidP="00A4206C">
            <w:pPr>
              <w:spacing w:after="0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1273630D" wp14:editId="6FABA86F">
                  <wp:extent cx="4752000" cy="3553200"/>
                  <wp:effectExtent l="0" t="0" r="0" b="0"/>
                  <wp:docPr id="32" name="Graf 3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532E62" w14:paraId="7E77A2DE" w14:textId="77777777" w:rsidTr="00A4206C">
        <w:trPr>
          <w:trHeight w:val="145"/>
        </w:trPr>
        <w:tc>
          <w:tcPr>
            <w:tcW w:w="1791" w:type="dxa"/>
          </w:tcPr>
          <w:p w14:paraId="6F1F7B1C" w14:textId="77777777" w:rsidR="00532E62" w:rsidRDefault="00532E62" w:rsidP="00A4206C">
            <w:pPr>
              <w:pStyle w:val="Marginlie"/>
              <w:rPr>
                <w:spacing w:val="0"/>
                <w:lang w:eastAsia="en-US"/>
              </w:rPr>
            </w:pPr>
          </w:p>
        </w:tc>
        <w:tc>
          <w:tcPr>
            <w:tcW w:w="223" w:type="dxa"/>
          </w:tcPr>
          <w:p w14:paraId="25C2E02D" w14:textId="77777777" w:rsidR="00532E62" w:rsidRDefault="00532E62" w:rsidP="00A4206C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401EF3B1" w14:textId="77777777" w:rsidR="00532E62" w:rsidRDefault="00532E62" w:rsidP="00A4206C">
            <w:pPr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Zdroj: ČSÚ</w:t>
            </w:r>
          </w:p>
        </w:tc>
      </w:tr>
      <w:tr w:rsidR="00532E62" w14:paraId="4F39B4F2" w14:textId="77777777" w:rsidTr="00A4206C">
        <w:trPr>
          <w:trHeight w:val="145"/>
        </w:trPr>
        <w:tc>
          <w:tcPr>
            <w:tcW w:w="1791" w:type="dxa"/>
          </w:tcPr>
          <w:p w14:paraId="4EB0091F" w14:textId="77777777" w:rsidR="00532E62" w:rsidRDefault="00532E62" w:rsidP="00A4206C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Meziroční růst spotřebitelských cen byl ve 4. kvartálu nejvyšší v rámci roku 2024.</w:t>
            </w:r>
          </w:p>
        </w:tc>
        <w:tc>
          <w:tcPr>
            <w:tcW w:w="223" w:type="dxa"/>
          </w:tcPr>
          <w:p w14:paraId="525AC872" w14:textId="77777777" w:rsidR="00532E62" w:rsidRDefault="00532E62" w:rsidP="00A4206C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</w:tcPr>
          <w:p w14:paraId="7FC8A39D" w14:textId="77777777" w:rsidR="00532E62" w:rsidRDefault="00532E62" w:rsidP="00A4206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Ve 4. čtvrtletí 2024 došlo ke zrychlení meziročního růstu spotřebitelských cen na 2,9 %. To byl v rámci roku nejvyšší nárůst (v 1., 2. a 3. kvartálu ceny postupně meziročně vzrostly o 2,1 %, 2,5 % a 2,3 %). Popsané posílení dynamiky v závěru roku bylo ovlivněno především vývojem cen potravin a nealkoholických nápojů, které na </w:t>
            </w:r>
            <w:r>
              <w:rPr>
                <w:lang w:eastAsia="en-US"/>
              </w:rPr>
              <w:lastRenderedPageBreak/>
              <w:t xml:space="preserve">předchozí tři meziroční poklesy ve 4. čtvrtletí roku navázaly opětovným růstem. Posílil také meziroční růst cen bydlení, vody, energií a paliv. Naopak ve směru nižšího meziročního růstu spotřebitelských cen působil pokles u oděvů a obuvi a oslabení růstu cen dopravy. Celkově k meziročnímu růstu spotřebitelských cen nejvíce přispívaly oddíly bydlení a energie, stravování a ubytování a alkoholické nápoje a tabák. Mezičtvrtletně se spotřebitelské ceny ve 4. čtvrtletí zvýšily o 0,1 %. Přírůstky v průběhu roku postupně slábly. </w:t>
            </w:r>
          </w:p>
        </w:tc>
      </w:tr>
      <w:tr w:rsidR="00532E62" w14:paraId="56468A4C" w14:textId="77777777" w:rsidTr="00A4206C">
        <w:trPr>
          <w:trHeight w:val="145"/>
        </w:trPr>
        <w:tc>
          <w:tcPr>
            <w:tcW w:w="1791" w:type="dxa"/>
            <w:hideMark/>
          </w:tcPr>
          <w:p w14:paraId="73DF8BF1" w14:textId="77777777" w:rsidR="00532E62" w:rsidRDefault="00532E62" w:rsidP="00A4206C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lastRenderedPageBreak/>
              <w:t>Ceny bydlení a energií si držely výraznou dynamiku…</w:t>
            </w:r>
          </w:p>
          <w:p w14:paraId="62088932" w14:textId="77777777" w:rsidR="00532E62" w:rsidRDefault="00532E62" w:rsidP="00A4206C">
            <w:pPr>
              <w:pStyle w:val="Marginlie"/>
              <w:rPr>
                <w:spacing w:val="0"/>
                <w:lang w:eastAsia="en-US"/>
              </w:rPr>
            </w:pPr>
          </w:p>
          <w:p w14:paraId="7C842BB0" w14:textId="77777777" w:rsidR="00532E62" w:rsidRDefault="00532E62" w:rsidP="00A4206C">
            <w:pPr>
              <w:pStyle w:val="Marginlie"/>
              <w:rPr>
                <w:spacing w:val="0"/>
                <w:lang w:eastAsia="en-US"/>
              </w:rPr>
            </w:pPr>
          </w:p>
          <w:p w14:paraId="758CE7AF" w14:textId="77777777" w:rsidR="00532E62" w:rsidRDefault="00532E62" w:rsidP="00A4206C">
            <w:pPr>
              <w:pStyle w:val="Marginlie"/>
              <w:rPr>
                <w:spacing w:val="0"/>
                <w:lang w:eastAsia="en-US"/>
              </w:rPr>
            </w:pPr>
          </w:p>
          <w:p w14:paraId="39A12261" w14:textId="77777777" w:rsidR="00532E62" w:rsidRDefault="00532E62" w:rsidP="00A4206C">
            <w:pPr>
              <w:pStyle w:val="Marginlie"/>
              <w:rPr>
                <w:spacing w:val="0"/>
                <w:lang w:eastAsia="en-US"/>
              </w:rPr>
            </w:pPr>
          </w:p>
          <w:p w14:paraId="75B0BC2D" w14:textId="77777777" w:rsidR="00532E62" w:rsidRDefault="00532E62" w:rsidP="00A4206C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…zejména vlivem nájemného a služeb souvisejících s bydlením.</w:t>
            </w:r>
          </w:p>
        </w:tc>
        <w:tc>
          <w:tcPr>
            <w:tcW w:w="223" w:type="dxa"/>
          </w:tcPr>
          <w:p w14:paraId="182FFB7E" w14:textId="77777777" w:rsidR="00532E62" w:rsidRDefault="00532E62" w:rsidP="00A4206C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03CFCF0B" w14:textId="77777777" w:rsidR="00532E62" w:rsidRDefault="00532E62" w:rsidP="00A4206C">
            <w:pPr>
              <w:rPr>
                <w:lang w:eastAsia="en-US"/>
              </w:rPr>
            </w:pPr>
            <w:r>
              <w:rPr>
                <w:lang w:eastAsia="en-US"/>
              </w:rPr>
              <w:t>Ceny bydlení a energií ve 4. čtvrtletí meziročně vzrostly o 4,2 % a mezičtvrtletně o 0,6 %. Zrychlení meziročního růstu cen bydlení bylo ovlivněno zejména cenami elektrické a tepelné energie, plynu a ostatních paliv, jejichž přírůstek posílil na 5,5 %. Mírně vyšší byl také nárůst imputovaného nájemného</w:t>
            </w:r>
            <w:r>
              <w:rPr>
                <w:rStyle w:val="Znakapoznpodarou"/>
                <w:lang w:eastAsia="en-US"/>
              </w:rPr>
              <w:footnoteReference w:id="1"/>
            </w:r>
            <w:r>
              <w:rPr>
                <w:lang w:eastAsia="en-US"/>
              </w:rPr>
              <w:t xml:space="preserve"> (1,6 %). Ostatní položky v tomto oddílu si udržovaly silnou meziroční dynamiku – ostatní služby související s bydlením o 8,7 %, nájemné z bytu o 6,2 % a běžná údržba a drobné opravy o 4,1 %. Za celý rok 2024 se ceny bydlení a energií zvýšily o 3,5 %. Nejvíce rostly ceny ostatních služeb souvisejících s bydlením (8,4 %) následované nájemným z bytu (6,7 %). Výrazně vyšší byly také ceny běžné údržby a oprav (4,5 %) a elektrické a tepelné energie, plynu a ostatních paliv (4,4 %).</w:t>
            </w:r>
          </w:p>
        </w:tc>
      </w:tr>
      <w:tr w:rsidR="00532E62" w14:paraId="55D946C8" w14:textId="77777777" w:rsidTr="00A4206C">
        <w:trPr>
          <w:trHeight w:val="145"/>
        </w:trPr>
        <w:tc>
          <w:tcPr>
            <w:tcW w:w="1791" w:type="dxa"/>
          </w:tcPr>
          <w:p w14:paraId="6B347361" w14:textId="77777777" w:rsidR="00532E62" w:rsidRDefault="00532E62" w:rsidP="00A4206C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 xml:space="preserve">Ceny potravin </w:t>
            </w:r>
            <w:r>
              <w:rPr>
                <w:spacing w:val="0"/>
                <w:lang w:eastAsia="en-US"/>
              </w:rPr>
              <w:br/>
              <w:t xml:space="preserve">a nealkoholických nápojů loni celkově klesly, ale ve 4. čtvrtletí se meziroční růst obnovil. </w:t>
            </w:r>
          </w:p>
        </w:tc>
        <w:tc>
          <w:tcPr>
            <w:tcW w:w="223" w:type="dxa"/>
          </w:tcPr>
          <w:p w14:paraId="563B2E0C" w14:textId="77777777" w:rsidR="00532E62" w:rsidRDefault="00532E62" w:rsidP="00A4206C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37626C16" w14:textId="77777777" w:rsidR="00532E62" w:rsidRDefault="00532E62" w:rsidP="00A4206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Ceny potravin se ve 4. čtvrtletí meziročně zvýšily o 0,9 % a mezičtvrtletně o 1,0 %. Období jejich meziročního poklesu tak trvalo jen tři kvartály. Změna ve směru vývoje cen potravin výrazně podpořila posílení celkového růstu spotřebitelských cen. K meziročnímu růstu cen potravin přispěl zejména vývoj cen olejů a tuků (13,0 %), ovoce (4,7 %) a mléka, sýrů a vajec (3,2 %). Dál naopak meziročně klesaly ceny pekárenských výrobků a obilovin (−2,4 %) a masa (−1,9 %). Za celý rok 2024 ceny potravin a nealkoholických nápojů klesly o 2,3 %. Nižší byly ceny mléka, sýrů a vajec (−6,1 %), masa (−3,9 %) nebo pekárenských výrobků a obilovin (−3,7 %). Rostly ceny nealkoholických nápojů (3,8 %), olejů a tuků (3,5 %) a cukru, marmelády, medu, čokolády, cukrovinek a cukrářských výrobků (0,8 %).  </w:t>
            </w:r>
          </w:p>
        </w:tc>
      </w:tr>
      <w:tr w:rsidR="00532E62" w14:paraId="717A2C62" w14:textId="77777777" w:rsidTr="00A4206C">
        <w:trPr>
          <w:trHeight w:val="145"/>
        </w:trPr>
        <w:tc>
          <w:tcPr>
            <w:tcW w:w="1791" w:type="dxa"/>
          </w:tcPr>
          <w:p w14:paraId="0B7D48BE" w14:textId="77777777" w:rsidR="00532E62" w:rsidRDefault="00532E62" w:rsidP="00A4206C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 xml:space="preserve">Ceny stravování </w:t>
            </w:r>
            <w:r>
              <w:rPr>
                <w:spacing w:val="0"/>
                <w:lang w:eastAsia="en-US"/>
              </w:rPr>
              <w:br/>
              <w:t>a ubytování loni silně vzrostly a dokládaly obecně silnou dynamiku cen služeb.</w:t>
            </w:r>
          </w:p>
        </w:tc>
        <w:tc>
          <w:tcPr>
            <w:tcW w:w="223" w:type="dxa"/>
          </w:tcPr>
          <w:p w14:paraId="605C4B95" w14:textId="77777777" w:rsidR="00532E62" w:rsidRDefault="00532E62" w:rsidP="00A4206C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</w:tcPr>
          <w:p w14:paraId="4FCC7390" w14:textId="77777777" w:rsidR="00532E62" w:rsidRDefault="00532E62" w:rsidP="00A4206C">
            <w:pPr>
              <w:rPr>
                <w:lang w:eastAsia="en-US"/>
              </w:rPr>
            </w:pPr>
            <w:r>
              <w:rPr>
                <w:lang w:eastAsia="en-US"/>
              </w:rPr>
              <w:t>Ceny stravování a ubytování si držely silný meziroční růst po celý loňský rok (celkově vzrostly o 7,6 %) a významně tak přispívaly k celkovému navýšení spotřebitelských cen. Jejich meziroční přírůstky v průběhu roku mírně slábly a v samotném 4. čtvrtletí ceny meziročně vzrostly o 7,0 %. Mezičtvrtletně se ceny stravování a ubytování zvýšily o 0,9 %. Významný vliv na celkový růst spotřebitelských cen měly rovněž ceny alkoholických nápojů a tabáku, které za celý rok 2024 vzrostly o 5,1 %. Ve 4. čtvrtletí byly meziročně vyšší o 4,8 % a mezičtvrtletně klesly o 0,1 %. Ceny rekreací a kultury rovněž významně promlouvaly do vývoje celkového indexu. Za celý loňský rok byly vyšší o 3,8 %, zejména vlivem rekreačních a kulturních služeb (6,1 %) a dovolených s komplexními službami (4,3 %). V samotném 4. čtvrtletí se ceny rekreací a kultury meziročně zvýšily o 3,5 %, zatímco mezičtvrtletně klesly o 3,5 %.</w:t>
            </w:r>
          </w:p>
        </w:tc>
      </w:tr>
      <w:tr w:rsidR="00532E62" w14:paraId="37A34021" w14:textId="77777777" w:rsidTr="00A4206C">
        <w:trPr>
          <w:trHeight w:val="145"/>
        </w:trPr>
        <w:tc>
          <w:tcPr>
            <w:tcW w:w="1791" w:type="dxa"/>
          </w:tcPr>
          <w:p w14:paraId="770599F8" w14:textId="77777777" w:rsidR="00532E62" w:rsidRDefault="00532E62" w:rsidP="00A4206C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Nejvíce se zvýšily ceny ve vzdělávání.</w:t>
            </w:r>
          </w:p>
        </w:tc>
        <w:tc>
          <w:tcPr>
            <w:tcW w:w="223" w:type="dxa"/>
          </w:tcPr>
          <w:p w14:paraId="2CF0AE5D" w14:textId="77777777" w:rsidR="00532E62" w:rsidRDefault="00532E62" w:rsidP="00A4206C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285DF596" w14:textId="77777777" w:rsidR="00532E62" w:rsidRDefault="00532E62" w:rsidP="00A4206C">
            <w:pPr>
              <w:rPr>
                <w:lang w:eastAsia="en-US"/>
              </w:rPr>
            </w:pPr>
            <w:r>
              <w:rPr>
                <w:lang w:eastAsia="en-US"/>
              </w:rPr>
              <w:t>Ceny vzdělávání se loni zvýšily nejvíce v rámci spotřebního koše (8,2 %). Meziroční dynamika sílila v průběhu roku až na 11,3 % ve 4. čtvrtletí. Mezičtvrtletně se ve 4. kvartálu ceny vzdělávání zvýšily o 6,9 %. Ceny v oblasti zdraví si rovněž držely výrazný nárůst a loni byly celkově vyšší o 4,2 %. Ve 4. čtvrtletí se ceny zdraví meziročně zvýšily o 3,8 % a mezičtvrtletně klesly o 0,7 %. Také v oddílu ostatní zboží a služby</w:t>
            </w:r>
            <w:r>
              <w:rPr>
                <w:rStyle w:val="Znakapoznpodarou"/>
                <w:lang w:eastAsia="en-US"/>
              </w:rPr>
              <w:footnoteReference w:id="2"/>
            </w:r>
            <w:r>
              <w:rPr>
                <w:lang w:eastAsia="en-US"/>
              </w:rPr>
              <w:t xml:space="preserve"> loni ceny rostly nadprůměrně (celkem o 3,4 %) a v samotném 4. čtvrtletí byly meziročně vyšší o 3,6 %, zatímco mezičtvrtletně vzrostly o 0,1 %. V průběhu roku postupně </w:t>
            </w:r>
            <w:r>
              <w:rPr>
                <w:lang w:eastAsia="en-US"/>
              </w:rPr>
              <w:lastRenderedPageBreak/>
              <w:t>oslaboval meziroční růst cen pošt a telekomunikací. Za celý rok ceny vzrostly o 1,6 %, ve 4. čtvrtletí meziročně o 0,7 % a mezičtvrtletně o 0,1 %.</w:t>
            </w:r>
          </w:p>
        </w:tc>
      </w:tr>
      <w:tr w:rsidR="00532E62" w14:paraId="3D5416AB" w14:textId="77777777" w:rsidTr="00A4206C">
        <w:trPr>
          <w:trHeight w:val="145"/>
        </w:trPr>
        <w:tc>
          <w:tcPr>
            <w:tcW w:w="1791" w:type="dxa"/>
          </w:tcPr>
          <w:p w14:paraId="0CDFF427" w14:textId="77777777" w:rsidR="00532E62" w:rsidRDefault="00532E62" w:rsidP="00A4206C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lastRenderedPageBreak/>
              <w:t>Ceny dopravy loni celkově vzrostly.</w:t>
            </w:r>
          </w:p>
        </w:tc>
        <w:tc>
          <w:tcPr>
            <w:tcW w:w="223" w:type="dxa"/>
          </w:tcPr>
          <w:p w14:paraId="06A63E8F" w14:textId="77777777" w:rsidR="00532E62" w:rsidRDefault="00532E62" w:rsidP="00A4206C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32BAA4E1" w14:textId="77777777" w:rsidR="00532E62" w:rsidRDefault="00532E62" w:rsidP="00A4206C">
            <w:pPr>
              <w:rPr>
                <w:lang w:eastAsia="en-US"/>
              </w:rPr>
            </w:pPr>
            <w:r>
              <w:rPr>
                <w:lang w:eastAsia="en-US"/>
              </w:rPr>
              <w:t>Meziroční růst cen dopravy během roku postupně oslaboval až na 0,1 % ve 4. kvartálu. Stály za tím především pohonné hmoty, jejichž ceny ve 4. čtvrtletí meziročně klesly o 7,3 %. Náklady na nákup automobilů, motocyklů a jízdních kol klesly o 1,1 %. Posiloval naopak meziroční růst cen dopravních služeb (7,3 %).  Mezičtvrtletně se ceny dopravy ve 4. čtvrtletí snížily o 1,1 %. Za celý rok byly ceny dopravy vyšší o 1,8 %. Výrazně vzrostly ceny dopravních služeb (5,8 %) a vyšší byly ceny provozu dopravních prostředků (3,8 %, z toho ale pohonné hmoty zlevnily o 0,4 %, vliv na růst cen měly naopak dálniční známky, které zdražily na počátku roku). Ceny nákupů automobilů, motocyklů a jízdních kol byly loni nižší o 1,6 %. Dokladem slábnoucího růstu cen zboží byl loni oddíl bytové vybavení, zařízení domácnosti a opravy, kde ceny celkem vzrostly o 0,5 % a ve 4. čtvrtletí meziročně o 1,0 % a mezičtvrtletně o 0,5 %. Slábnutí meziroční dynamiky cen bylo patrné zejména u přístrojů a spotřebičů pro domácnost. Také ceny odívání a obuvi už nerostly tak silně jako v předchozích letech. Za celý rok 2024 se v tomto oddíle ceny zvýšily o 2,5 % a ve 4. čtvrtletí meziročně klesly o 0,6 %. Mezičtvrtletně se ceny zvýšily o 1,5 %.</w:t>
            </w:r>
          </w:p>
        </w:tc>
      </w:tr>
      <w:tr w:rsidR="00532E62" w14:paraId="429E1E19" w14:textId="77777777" w:rsidTr="00A4206C">
        <w:trPr>
          <w:trHeight w:val="145"/>
        </w:trPr>
        <w:tc>
          <w:tcPr>
            <w:tcW w:w="1791" w:type="dxa"/>
            <w:hideMark/>
          </w:tcPr>
          <w:p w14:paraId="5DF66A2C" w14:textId="77777777" w:rsidR="00532E62" w:rsidRDefault="00532E62" w:rsidP="00A4206C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Růst spotřebitelských cen v EU se loni dostal do mírnějších hodnot.</w:t>
            </w:r>
          </w:p>
        </w:tc>
        <w:tc>
          <w:tcPr>
            <w:tcW w:w="223" w:type="dxa"/>
          </w:tcPr>
          <w:p w14:paraId="515401D6" w14:textId="77777777" w:rsidR="00532E62" w:rsidRDefault="00532E62" w:rsidP="00A4206C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1ED73F25" w14:textId="77777777" w:rsidR="00532E62" w:rsidRDefault="00532E62" w:rsidP="00A4206C">
            <w:pPr>
              <w:rPr>
                <w:lang w:eastAsia="en-US"/>
              </w:rPr>
            </w:pPr>
            <w:r>
              <w:rPr>
                <w:lang w:eastAsia="en-US"/>
              </w:rPr>
              <w:t>Meziroční růst spotřebitelských cen v EU (podle harmonizovaného indexu spotřebitelských cen, HICP</w:t>
            </w:r>
            <w:r>
              <w:rPr>
                <w:rStyle w:val="Znakapoznpodarou"/>
                <w:lang w:eastAsia="en-US"/>
              </w:rPr>
              <w:footnoteReference w:id="3"/>
            </w:r>
            <w:r>
              <w:rPr>
                <w:lang w:eastAsia="en-US"/>
              </w:rPr>
              <w:t xml:space="preserve">) se loni zmírnil na 2,6 % a byl nejnižší od roku 2020. Nejvíce ceny rostly v Rumunsku (5,8 %), Belgii (4,3 %) a Chorvatsku (4,0 %). Naopak v Litvě (0,9 %), Finsku (1,0 %) a Itálii (1,1 %) spotřebitelské ceny vzrostly nejméně. Vývoj cen v EU byl loni charakteristický poklesem u cen energií a naopak trvající zvýšenou dynamikou cen služeb. U zemí, kde spotřebitelské ceny loni rostly nejvíce, dál silně zdražovaly položky napříč spotřebním košem, zejména služby, ale také potraviny a alkohol a tabák. V Česku loni podle HICP spotřebitelské ceny vzrostly o 2,7 %. Meziroční růst cen loni v EU nejprve zpomaloval (2,8 %, 2,6 % a 2,4 % v 1. až 3. čtvrtletí), ale opět posílil ve 4. kvartálu na 2,5 %. Důvodem bylo zejména zmírnění propadu cen energií. Mezičtvrtletně se spotřebitelské ceny v EU zvýšily o 0,3 %. Na čele žebříčku zemí s nejvýraznějším meziročním růstem cen byly ve 4. čtvrtletí Rumunsko (5,3 %), Belgie (4,6 %) a Estonsko (4,1 %). Pod úroveň 1 % se dostal přírůstek cen v Irsku (0,5 %) a nízký byl také v Litvě (1,0 %) nebo Lucembursku a Slovinsku (shodně o 1,2 %).     </w:t>
            </w:r>
          </w:p>
        </w:tc>
      </w:tr>
      <w:tr w:rsidR="00532E62" w14:paraId="06C80052" w14:textId="77777777" w:rsidTr="00A4206C">
        <w:trPr>
          <w:trHeight w:val="145"/>
        </w:trPr>
        <w:tc>
          <w:tcPr>
            <w:tcW w:w="1791" w:type="dxa"/>
          </w:tcPr>
          <w:p w14:paraId="46F56CA3" w14:textId="77777777" w:rsidR="00532E62" w:rsidRDefault="00532E62" w:rsidP="00A4206C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Růst cen bytů loni opět zrychlil.</w:t>
            </w:r>
          </w:p>
        </w:tc>
        <w:tc>
          <w:tcPr>
            <w:tcW w:w="223" w:type="dxa"/>
          </w:tcPr>
          <w:p w14:paraId="505594F6" w14:textId="77777777" w:rsidR="00532E62" w:rsidRDefault="00532E62" w:rsidP="00A4206C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</w:tcPr>
          <w:p w14:paraId="7E4082D8" w14:textId="547C87E6" w:rsidR="00532E62" w:rsidRDefault="00532E62" w:rsidP="00A4206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Poté, co se růst cen bytů v roce 2023 dočasně zastavil, loňský rok přinesl nové zrychlení dynamiky a nabídkové ceny bytů v Česku se celkem </w:t>
            </w:r>
            <w:r w:rsidR="00693FEC">
              <w:rPr>
                <w:lang w:eastAsia="en-US"/>
              </w:rPr>
              <w:t xml:space="preserve">meziročně </w:t>
            </w:r>
            <w:r>
              <w:rPr>
                <w:lang w:eastAsia="en-US"/>
              </w:rPr>
              <w:t>zvýšily o</w:t>
            </w:r>
            <w:r w:rsidR="00693FEC">
              <w:rPr>
                <w:lang w:eastAsia="en-US"/>
              </w:rPr>
              <w:t> </w:t>
            </w:r>
            <w:r>
              <w:rPr>
                <w:lang w:eastAsia="en-US"/>
              </w:rPr>
              <w:t xml:space="preserve">5,0 %. Přitom v samotné Praze se ceny </w:t>
            </w:r>
            <w:r w:rsidR="00693FEC">
              <w:rPr>
                <w:lang w:eastAsia="en-US"/>
              </w:rPr>
              <w:t xml:space="preserve">meziročně </w:t>
            </w:r>
            <w:r>
              <w:rPr>
                <w:lang w:eastAsia="en-US"/>
              </w:rPr>
              <w:t>zvýšily o 5,4 % a ve zbytku Česka o 4,7 %. V průběhu roku meziroční přírůstky nabídkových cen bytů v Česku sílily až na 10,7 % ve 4. kvartálu. Přitom v Praze došlo ke zvýšení o 10,4 % a mimo Prahu o</w:t>
            </w:r>
            <w:r w:rsidR="00693FEC">
              <w:rPr>
                <w:lang w:eastAsia="en-US"/>
              </w:rPr>
              <w:t> </w:t>
            </w:r>
            <w:r>
              <w:rPr>
                <w:lang w:eastAsia="en-US"/>
              </w:rPr>
              <w:t>11,1 %. Mezičtvrtletně se nabídkové ceny bytů v Česku zvýšily o 3,1 %. Růst cen byl poháněn novým oživením poptávky a trvajícím nesouladem s nabídkou. Dokládá to také tempo růstu realizovaných cen starších bytů, které bylo silnější než dynamika cen nabídkových. Realizované ceny starších bytů v Česku ve 4. čtvrtletí meziročně vzrostly o 14,2 % a mezičtvrtletně byly vyšší o 3,6 %. V Praze realizované ceny starších bytů meziročně vzrostly o 12,1 % a mezičtvrtletně o 3,5 %. Index realizovaných cen nových bytů v Praze ve 4. čtvrtletí meziročně vzrostl o 7,6 % a mezičtvrtletně o 3,9 %.</w:t>
            </w:r>
          </w:p>
          <w:p w14:paraId="0BE8A4BD" w14:textId="77777777" w:rsidR="00532E62" w:rsidRDefault="00532E62" w:rsidP="00A4206C">
            <w:pPr>
              <w:rPr>
                <w:lang w:eastAsia="en-US"/>
              </w:rPr>
            </w:pPr>
          </w:p>
          <w:p w14:paraId="77049B55" w14:textId="77777777" w:rsidR="00532E62" w:rsidRDefault="00532E62" w:rsidP="00A4206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</w:tr>
      <w:tr w:rsidR="00532E62" w14:paraId="21972A51" w14:textId="77777777" w:rsidTr="00A4206C">
        <w:trPr>
          <w:trHeight w:val="145"/>
        </w:trPr>
        <w:tc>
          <w:tcPr>
            <w:tcW w:w="1791" w:type="dxa"/>
          </w:tcPr>
          <w:p w14:paraId="41C107C1" w14:textId="77777777" w:rsidR="00532E62" w:rsidRDefault="00532E62" w:rsidP="00A4206C">
            <w:pPr>
              <w:pStyle w:val="Marginlie"/>
              <w:rPr>
                <w:spacing w:val="0"/>
                <w:lang w:eastAsia="en-US"/>
              </w:rPr>
            </w:pPr>
          </w:p>
        </w:tc>
        <w:tc>
          <w:tcPr>
            <w:tcW w:w="223" w:type="dxa"/>
          </w:tcPr>
          <w:p w14:paraId="25535945" w14:textId="77777777" w:rsidR="00532E62" w:rsidRDefault="00532E62" w:rsidP="00A4206C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099483F6" w14:textId="77777777" w:rsidR="00532E62" w:rsidRDefault="00532E62" w:rsidP="00A4206C">
            <w:pPr>
              <w:spacing w:after="0"/>
              <w:rPr>
                <w:rStyle w:val="Znakapoznpodarou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Graf č. 11 Ceny nemovitostí </w:t>
            </w:r>
            <w:r>
              <w:rPr>
                <w:sz w:val="18"/>
                <w:szCs w:val="18"/>
                <w:lang w:eastAsia="en-US"/>
              </w:rPr>
              <w:t>(meziroční změna, v %)</w:t>
            </w:r>
          </w:p>
        </w:tc>
      </w:tr>
      <w:tr w:rsidR="00532E62" w14:paraId="5F7F814B" w14:textId="77777777" w:rsidTr="00A4206C">
        <w:tblPrEx>
          <w:tblCellMar>
            <w:left w:w="70" w:type="dxa"/>
            <w:right w:w="70" w:type="dxa"/>
          </w:tblCellMar>
        </w:tblPrEx>
        <w:trPr>
          <w:trHeight w:val="145"/>
        </w:trPr>
        <w:tc>
          <w:tcPr>
            <w:tcW w:w="1791" w:type="dxa"/>
          </w:tcPr>
          <w:p w14:paraId="3F3F36E0" w14:textId="77777777" w:rsidR="00532E62" w:rsidRDefault="00532E62" w:rsidP="00A4206C">
            <w:pPr>
              <w:pStyle w:val="Marginlie"/>
              <w:rPr>
                <w:spacing w:val="0"/>
              </w:rPr>
            </w:pPr>
          </w:p>
        </w:tc>
        <w:tc>
          <w:tcPr>
            <w:tcW w:w="223" w:type="dxa"/>
          </w:tcPr>
          <w:p w14:paraId="7728F3DB" w14:textId="77777777" w:rsidR="00532E62" w:rsidRDefault="00532E62" w:rsidP="00A4206C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79201982" w14:textId="77777777" w:rsidR="00532E62" w:rsidRDefault="00532E62" w:rsidP="00A4206C">
            <w:pPr>
              <w:spacing w:after="0"/>
              <w:rPr>
                <w:rStyle w:val="Znakapoznpodarou"/>
              </w:rPr>
            </w:pPr>
            <w:r>
              <w:rPr>
                <w:noProof/>
              </w:rPr>
              <w:drawing>
                <wp:inline distT="0" distB="0" distL="0" distR="0" wp14:anchorId="2769ABCD" wp14:editId="1BF0AC85">
                  <wp:extent cx="4737600" cy="3553200"/>
                  <wp:effectExtent l="0" t="0" r="6350" b="0"/>
                  <wp:docPr id="16" name="Graf 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5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532E62" w14:paraId="47B7DA2B" w14:textId="77777777" w:rsidTr="00A4206C">
        <w:trPr>
          <w:trHeight w:val="145"/>
        </w:trPr>
        <w:tc>
          <w:tcPr>
            <w:tcW w:w="1791" w:type="dxa"/>
          </w:tcPr>
          <w:p w14:paraId="398FF7D5" w14:textId="77777777" w:rsidR="00532E62" w:rsidRDefault="00532E62" w:rsidP="00A4206C">
            <w:pPr>
              <w:pStyle w:val="Marginlie"/>
              <w:rPr>
                <w:spacing w:val="0"/>
              </w:rPr>
            </w:pPr>
          </w:p>
        </w:tc>
        <w:tc>
          <w:tcPr>
            <w:tcW w:w="223" w:type="dxa"/>
          </w:tcPr>
          <w:p w14:paraId="63237B32" w14:textId="77777777" w:rsidR="00532E62" w:rsidRDefault="00532E62" w:rsidP="00A4206C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633A1EAE" w14:textId="77777777" w:rsidR="00532E62" w:rsidRDefault="00532E62" w:rsidP="00A4206C">
            <w:pPr>
              <w:jc w:val="right"/>
              <w:rPr>
                <w:rStyle w:val="Znakapoznpodarou"/>
                <w:sz w:val="16"/>
                <w:szCs w:val="16"/>
              </w:rPr>
            </w:pPr>
            <w:r>
              <w:rPr>
                <w:sz w:val="16"/>
                <w:szCs w:val="16"/>
                <w:lang w:eastAsia="en-US"/>
              </w:rPr>
              <w:t>Zdroj: ČSÚ</w:t>
            </w:r>
          </w:p>
        </w:tc>
      </w:tr>
      <w:tr w:rsidR="00532E62" w14:paraId="3921C371" w14:textId="77777777" w:rsidTr="00A4206C">
        <w:trPr>
          <w:trHeight w:val="145"/>
        </w:trPr>
        <w:tc>
          <w:tcPr>
            <w:tcW w:w="1791" w:type="dxa"/>
          </w:tcPr>
          <w:p w14:paraId="73397F1B" w14:textId="77777777" w:rsidR="00532E62" w:rsidRDefault="00532E62" w:rsidP="00A4206C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Ceny průmyslových výrobců loni vzrostly.</w:t>
            </w:r>
          </w:p>
        </w:tc>
        <w:tc>
          <w:tcPr>
            <w:tcW w:w="223" w:type="dxa"/>
          </w:tcPr>
          <w:p w14:paraId="7FCE26B1" w14:textId="77777777" w:rsidR="00532E62" w:rsidRDefault="00532E62" w:rsidP="00A4206C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</w:tcPr>
          <w:p w14:paraId="22AF461E" w14:textId="77777777" w:rsidR="00532E62" w:rsidRDefault="00532E62" w:rsidP="00A4206C">
            <w:pPr>
              <w:rPr>
                <w:lang w:eastAsia="en-US"/>
              </w:rPr>
            </w:pPr>
            <w:r>
              <w:rPr>
                <w:lang w:eastAsia="en-US"/>
              </w:rPr>
              <w:t>Meziroční dynamika cen průmyslových výrobců v průběhu loňského roku postupně posilovala. Zatímco v 1. kvartálu došlo k poklesu o 0,9 %, v dalších čtvrtletích už ceny rostly a 4. kvartál přinesl meziroční nárůst o 1,8 % a mezičtvrtletní o 0,3 %. Za celý rok 2024 ceny průmyslových výrobců vzrostly o 0,8 %. Vyšší byly loni ceny elektřiny, plynu, páry a klimatizovaného vzduchu (4,0 %), hlavně kvůli cenám přenosu a rozvodu, ceny samotné elektřiny naopak loni klesly. Ve 4. čtvrtletí ceny elektřiny, plynu, páry a klimatizovaného vzduchu vzrostly meziročně o 6,7 % a mezičtvrtletně o 1,9 %. Loni se zvýšily rovněž ceny zásobování vodou a souvisejících služeb (9,2 %, o stejnou hodnotu meziročně vzrostly také ve 4. kvartálu). Především pod vlivem cen zemního plynu loni klesly ceny těžby a dobývání (−1,3 %). Ty v meziročním poklesu setrvávaly celý rok a ve 4. kvartálu se meziročně snížily o 1,8 % a mezičtvrtletně klesly o 0,5 %.</w:t>
            </w:r>
          </w:p>
        </w:tc>
      </w:tr>
      <w:tr w:rsidR="00532E62" w14:paraId="2F763E2C" w14:textId="77777777" w:rsidTr="00A4206C">
        <w:trPr>
          <w:trHeight w:val="145"/>
        </w:trPr>
        <w:tc>
          <w:tcPr>
            <w:tcW w:w="1791" w:type="dxa"/>
          </w:tcPr>
          <w:p w14:paraId="5F539805" w14:textId="77777777" w:rsidR="00532E62" w:rsidRDefault="00532E62" w:rsidP="00A4206C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Ceny surovin, které silně rostly v předchozích letech, v roce 2024 klesaly.</w:t>
            </w:r>
          </w:p>
        </w:tc>
        <w:tc>
          <w:tcPr>
            <w:tcW w:w="223" w:type="dxa"/>
          </w:tcPr>
          <w:p w14:paraId="24FBED15" w14:textId="77777777" w:rsidR="00532E62" w:rsidRDefault="00532E62" w:rsidP="00A4206C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6FC2FC5E" w14:textId="77777777" w:rsidR="00532E62" w:rsidRDefault="00532E62" w:rsidP="00A4206C">
            <w:pPr>
              <w:rPr>
                <w:lang w:eastAsia="en-US"/>
              </w:rPr>
            </w:pPr>
            <w:r>
              <w:rPr>
                <w:lang w:eastAsia="en-US"/>
              </w:rPr>
              <w:t>Mírně se loni snížily i ceny výrobků a služeb zpracovatelského průmyslu (−0,3 %), vývoj v rámci sekce byl ale různorodý. U řady surovin nebo výrobků přímo od nich odvozených byl patrný pokles cen po předchozích dvou letech silného růstu (zejména dřevo a výrobky z něj −6,8 %, základní kovy −5,6 %, papír a výrobky z něj −4,3 %). Naopak rostly ceny oprav, údržby a instalace strojů a zařízení (5,0 %), počítačů, elektronických a optických přístrojů a zařízení (4,2 %), motorových vozidel kromě motocyklů (3,5 %) nebo strojů a zařízení (3,0 %). V samotném 4. čtvrtletí ceny ve zpracovatelském průmyslu vzrostly meziročně o 0,4 % a mezičtvrtletně stagnovaly. Nejvíce meziročně rostly ceny oprav, údržby a instalace strojů a zařízení 4,6 % a znovu začaly narůstat ceny papíru a výrobků z něj (3,9 %). Kromě toho výrazněji vzrostly ceny počítačů, elektronických a optických přístrojů a zařízení (3,6 %), oděvů nebo motorových vozidel kromě motocyklů (3,0 %). U ostatních oddílů byly přírůstky mírnější. Meziroční pokles byl zaznamenán u kovodělných výrobků (−1,6 %), základních kovů (−1,1 %), tiskařských a nahrávacích služeb (−0,8 %), chemických látek a přípravků (−0,7 %) a ostatních nekovových minerálních výrobků (−0,4 %).</w:t>
            </w:r>
          </w:p>
          <w:p w14:paraId="265895C4" w14:textId="77777777" w:rsidR="00532E62" w:rsidRDefault="00532E62" w:rsidP="00A4206C">
            <w:pPr>
              <w:rPr>
                <w:lang w:eastAsia="en-US"/>
              </w:rPr>
            </w:pPr>
          </w:p>
        </w:tc>
      </w:tr>
      <w:tr w:rsidR="00532E62" w14:paraId="2B55496A" w14:textId="77777777" w:rsidTr="00A4206C">
        <w:trPr>
          <w:trHeight w:val="145"/>
        </w:trPr>
        <w:tc>
          <w:tcPr>
            <w:tcW w:w="1791" w:type="dxa"/>
          </w:tcPr>
          <w:p w14:paraId="663BD9C6" w14:textId="77777777" w:rsidR="00532E62" w:rsidRDefault="00532E62" w:rsidP="00A4206C">
            <w:pPr>
              <w:pStyle w:val="Marginlie"/>
              <w:rPr>
                <w:spacing w:val="0"/>
                <w:lang w:eastAsia="en-US"/>
              </w:rPr>
            </w:pPr>
          </w:p>
        </w:tc>
        <w:tc>
          <w:tcPr>
            <w:tcW w:w="223" w:type="dxa"/>
          </w:tcPr>
          <w:p w14:paraId="211E7F30" w14:textId="77777777" w:rsidR="00532E62" w:rsidRDefault="00532E62" w:rsidP="00A4206C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2A020A63" w14:textId="77777777" w:rsidR="00532E62" w:rsidRDefault="00532E62" w:rsidP="00A4206C">
            <w:pPr>
              <w:spacing w:after="0"/>
              <w:rPr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Graf č. 12 Ceny hlavních skupin průmyslových výrobců </w:t>
            </w:r>
            <w:r>
              <w:rPr>
                <w:sz w:val="18"/>
                <w:szCs w:val="18"/>
                <w:lang w:eastAsia="en-US"/>
              </w:rPr>
              <w:t>(meziroční změna, v %, podle klasifikace CPA)</w:t>
            </w:r>
          </w:p>
        </w:tc>
      </w:tr>
      <w:tr w:rsidR="00532E62" w14:paraId="5F47D78D" w14:textId="77777777" w:rsidTr="00A4206C">
        <w:tblPrEx>
          <w:tblCellMar>
            <w:left w:w="70" w:type="dxa"/>
            <w:right w:w="70" w:type="dxa"/>
          </w:tblCellMar>
        </w:tblPrEx>
        <w:trPr>
          <w:trHeight w:val="145"/>
        </w:trPr>
        <w:tc>
          <w:tcPr>
            <w:tcW w:w="1791" w:type="dxa"/>
          </w:tcPr>
          <w:p w14:paraId="01EE2BFF" w14:textId="77777777" w:rsidR="00532E62" w:rsidRDefault="00532E62" w:rsidP="00A4206C">
            <w:pPr>
              <w:pStyle w:val="Marginlie"/>
              <w:rPr>
                <w:spacing w:val="0"/>
                <w:lang w:eastAsia="en-US"/>
              </w:rPr>
            </w:pPr>
          </w:p>
        </w:tc>
        <w:tc>
          <w:tcPr>
            <w:tcW w:w="223" w:type="dxa"/>
          </w:tcPr>
          <w:p w14:paraId="291A89DD" w14:textId="77777777" w:rsidR="00532E62" w:rsidRDefault="00532E62" w:rsidP="00A4206C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7A27ADEA" w14:textId="77777777" w:rsidR="00532E62" w:rsidRDefault="00532E62" w:rsidP="00A4206C">
            <w:pPr>
              <w:spacing w:after="0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7B172402" wp14:editId="41CD5BAF">
                  <wp:extent cx="4752000" cy="3553200"/>
                  <wp:effectExtent l="0" t="0" r="0" b="0"/>
                  <wp:docPr id="18" name="Graf 1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8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  <w:tr w:rsidR="00532E62" w14:paraId="5F2D644F" w14:textId="77777777" w:rsidTr="00A4206C">
        <w:trPr>
          <w:trHeight w:val="145"/>
        </w:trPr>
        <w:tc>
          <w:tcPr>
            <w:tcW w:w="1791" w:type="dxa"/>
          </w:tcPr>
          <w:p w14:paraId="62252BA4" w14:textId="77777777" w:rsidR="00532E62" w:rsidRDefault="00532E62" w:rsidP="00A4206C">
            <w:pPr>
              <w:pStyle w:val="Marginlie"/>
              <w:rPr>
                <w:spacing w:val="0"/>
                <w:lang w:eastAsia="en-US"/>
              </w:rPr>
            </w:pPr>
          </w:p>
        </w:tc>
        <w:tc>
          <w:tcPr>
            <w:tcW w:w="223" w:type="dxa"/>
          </w:tcPr>
          <w:p w14:paraId="4708103D" w14:textId="77777777" w:rsidR="00532E62" w:rsidRDefault="00532E62" w:rsidP="00A4206C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1B63CFF3" w14:textId="77777777" w:rsidR="00532E62" w:rsidRDefault="00532E62" w:rsidP="00A4206C">
            <w:pPr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Zdroj: ČSÚ</w:t>
            </w:r>
          </w:p>
        </w:tc>
      </w:tr>
      <w:tr w:rsidR="00532E62" w14:paraId="62723663" w14:textId="77777777" w:rsidTr="00A4206C">
        <w:trPr>
          <w:trHeight w:val="145"/>
        </w:trPr>
        <w:tc>
          <w:tcPr>
            <w:tcW w:w="1791" w:type="dxa"/>
            <w:hideMark/>
          </w:tcPr>
          <w:p w14:paraId="6B6E0C07" w14:textId="77777777" w:rsidR="00532E62" w:rsidRDefault="00532E62" w:rsidP="00A4206C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Ceny průmyslových výrobců v EU loni klesly.</w:t>
            </w:r>
          </w:p>
        </w:tc>
        <w:tc>
          <w:tcPr>
            <w:tcW w:w="223" w:type="dxa"/>
          </w:tcPr>
          <w:p w14:paraId="77D066DE" w14:textId="77777777" w:rsidR="00532E62" w:rsidRDefault="00532E62" w:rsidP="00A4206C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11075C72" w14:textId="77777777" w:rsidR="00532E62" w:rsidRDefault="00532E62" w:rsidP="00A4206C">
            <w:pPr>
              <w:rPr>
                <w:lang w:eastAsia="en-US"/>
              </w:rPr>
            </w:pPr>
            <w:r>
              <w:rPr>
                <w:lang w:eastAsia="en-US"/>
              </w:rPr>
              <w:t>Ceny průmyslových výrobců v EU loni klesly o 4,0 %</w:t>
            </w:r>
            <w:r>
              <w:rPr>
                <w:rStyle w:val="Znakapoznpodarou"/>
                <w:lang w:eastAsia="en-US"/>
              </w:rPr>
              <w:footnoteReference w:id="4"/>
            </w:r>
            <w:r>
              <w:rPr>
                <w:lang w:eastAsia="en-US"/>
              </w:rPr>
              <w:t xml:space="preserve">. Propad byl druhý v řadě a prohloubil se. Nižší byly loni ceny těžby a dobývání (−2,8 %), výrobků zpracovatelského průmyslu (−0,7 %) i elektřiny, plynu, páry a klimatizovaného vzduchu (−13,1 %). Ve většině zemí EU ceny průmyslových výrobců loni klesly, nejvíce na Slovensku (−19,7 %), v Lucembursku (−10,4 %) a v Lotyšsku (−7,6 %). Ve čtyřech zemích byl zaznamenán mírný přírůstek, největší v Česku (0,8 %, důvodem jsou zejména ceny elektřiny, které v Česku jako v jedné z mála zemí EU rostly) a dále na Maltě (0,6 %), v Portugalsku (0,5 %) a Švédsku (0,1 %). Meziroční propad cen průmyslových výrobců v EU se v průběhu roku postupně zmírňoval, mimo jiné kvůli cenám energií. V samotném 4. čtvrtletí byly ceny průmyslových výrobců v EU nižší o 1,4 %. Mezičtvrtletně ale vzrostly o 1,4 %. Nejvíce meziročně klesaly ceny elektřiny, plynu, páry a klimatizovaného vzduchu (−4,5 %), u kterých byl ale zároveň zaznamenán 6,2% mezičtvrtletní nárůst. Ceny těžby a dobývání meziročně klesly o 1,2 % a mezičtvrtletně byly vyšší o 0,5 %. Ceny ve zpracovatelském průmyslu mezičtvrtletně stagnovaly a blízko stagnace byly i v meziročním pohledu (−0,2 %). Česko sice v meziročním pohledu patřilo mezi menšinu zemí, kde ceny průmyslových výrobců ve 4. čtvrtletí vzrostly (1,8 %), ale mezičtvrtletní dynamika cen byla podprůměrná (0,4 %). Nejvíce meziročně rostly ceny průmyslových výrobců v Irsku (5,4 %), Dánsku (2,7 %) a v Maďarsku (2,1 %). Nejhlubší propad cen vykázalo Slovensko (−18,6 %). Následovaly Francie (−4,8 %) a shodně s −4,3 % Polsko, Rakousko a Lotyšsko.   </w:t>
            </w:r>
          </w:p>
        </w:tc>
      </w:tr>
      <w:tr w:rsidR="00532E62" w14:paraId="65EA0C37" w14:textId="77777777" w:rsidTr="00A4206C">
        <w:trPr>
          <w:trHeight w:val="145"/>
        </w:trPr>
        <w:tc>
          <w:tcPr>
            <w:tcW w:w="1791" w:type="dxa"/>
            <w:hideMark/>
          </w:tcPr>
          <w:p w14:paraId="529D5DEA" w14:textId="77777777" w:rsidR="00532E62" w:rsidRDefault="00532E62" w:rsidP="00A4206C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Ceny stavebních prací rostly meziročně stálým tempem.</w:t>
            </w:r>
          </w:p>
        </w:tc>
        <w:tc>
          <w:tcPr>
            <w:tcW w:w="223" w:type="dxa"/>
          </w:tcPr>
          <w:p w14:paraId="7A28ADB3" w14:textId="77777777" w:rsidR="00532E62" w:rsidRDefault="00532E62" w:rsidP="00A4206C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059CA81D" w14:textId="77777777" w:rsidR="00532E62" w:rsidRDefault="00532E62" w:rsidP="00A4206C">
            <w:pPr>
              <w:spacing w:after="0"/>
              <w:rPr>
                <w:lang w:eastAsia="en-US"/>
              </w:rPr>
            </w:pPr>
            <w:r>
              <w:rPr>
                <w:lang w:eastAsia="en-US"/>
              </w:rPr>
              <w:t>Ceny stavebních prací si v průběhu roku 2024 udržovaly stabilní mírný meziroční růst a celkově se zvýšily o 2,1 % (v roce 2023 po zpřesnění o 5,9 %). Podle odhadů se ceny stavebních prací ve 4. čtvrtletí zvýšily meziročně o 2,4 % a mezičtvrtletně byly vyšší o 0,7 %. Ceny materiálů a výrobků spotřebovávaných ve stavebnictví klesly v průměru za celý rok 2024 o 0,5 % (v roce 2023 vzrostly o 3,8 %). V samotném 4. čtvrtletí meziročně vzrostly o 0,7 % a mezičtvrtletně o 0,1 %.</w:t>
            </w:r>
          </w:p>
        </w:tc>
      </w:tr>
      <w:tr w:rsidR="00532E62" w14:paraId="1B045BC6" w14:textId="77777777" w:rsidTr="00A4206C">
        <w:trPr>
          <w:trHeight w:val="145"/>
        </w:trPr>
        <w:tc>
          <w:tcPr>
            <w:tcW w:w="1791" w:type="dxa"/>
            <w:hideMark/>
          </w:tcPr>
          <w:p w14:paraId="5EE39636" w14:textId="77777777" w:rsidR="00532E62" w:rsidRDefault="00532E62" w:rsidP="00A4206C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lastRenderedPageBreak/>
              <w:t>Ceny tržních služeb byly nejvíce ovlivněny vývojem u cen služeb v oblasti nemovitostí.</w:t>
            </w:r>
          </w:p>
        </w:tc>
        <w:tc>
          <w:tcPr>
            <w:tcW w:w="223" w:type="dxa"/>
          </w:tcPr>
          <w:p w14:paraId="5C067599" w14:textId="77777777" w:rsidR="00532E62" w:rsidRDefault="00532E62" w:rsidP="00A4206C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7EDA6291" w14:textId="77777777" w:rsidR="00532E62" w:rsidRDefault="00532E62" w:rsidP="00A4206C">
            <w:pPr>
              <w:rPr>
                <w:lang w:eastAsia="en-US"/>
              </w:rPr>
            </w:pPr>
            <w:r>
              <w:rPr>
                <w:lang w:eastAsia="en-US"/>
              </w:rPr>
              <w:t>Ceny tržních služeb loni celkově vzrostly o 3,8 % a přírůstek tak oslabil oproti předchozímu roku. K růstu loni přispěly nejvíce ceny služeb v oblasti nemovitostí (7,7 %) a dále reklamní služby a průzkum trhu (10,0 %) a služby v oblasti programování a souvisejícího poradenství (3,7 %). Nadprůměrně loni rostly ceny služeb v oblasti zaměstnání (10,3 %), bezpečnostních a pátracích služeb (9,0 %), služeb souvisejících se stavbami a úpravou krajiny (zahrnuje především úklidové služby, 5,8 %), poštovních a kurýrních služeb (5,4 %) nebo právních a účetnických služeb (5,1 %). Loni klesly jen ceny skladování a podpůrných služeb v dopravě (−0,4 %). V samotném 4. čtvrtletí se ceny tržních služeb meziročně zvýšily o 3,7 % a nárůst tak mírně posílil oproti 2. i 3. kvartálu. Mezičtvrtletně byly ceny tržních služeb vyšší o 1,5 %. Zrychlení meziročního růstu cen bylo ovlivněno posílením dynamiky u cen služeb v oblasti zaměstnání (13,5 %), u vedení podniků a poradenství v oblasti řízení (2,9 %) a informačních služeb (2,7 %). Celkově k meziročnímu nárůstu cen tržních služeb nejvíce přispívaly ceny služeb v oblasti nemovitostí (7,6 %), reklamní služby a průzkum trhu (11,2 %) a služby v oblasti programování a souvisejícího poradenství (3,1 %). Meziročně nižší byly ceny pozemní a potrubní dopravy (−0,4 %), skladování a podpůrných služeb v dopravě (−0,3 %) a a</w:t>
            </w:r>
            <w:r w:rsidRPr="0004074E">
              <w:rPr>
                <w:lang w:eastAsia="en-US"/>
              </w:rPr>
              <w:t>dministrativní</w:t>
            </w:r>
            <w:r>
              <w:rPr>
                <w:lang w:eastAsia="en-US"/>
              </w:rPr>
              <w:t>ch</w:t>
            </w:r>
            <w:r w:rsidRPr="0004074E">
              <w:rPr>
                <w:lang w:eastAsia="en-US"/>
              </w:rPr>
              <w:t>, kancelářsk</w:t>
            </w:r>
            <w:r>
              <w:rPr>
                <w:lang w:eastAsia="en-US"/>
              </w:rPr>
              <w:t>ých</w:t>
            </w:r>
            <w:r w:rsidRPr="0004074E">
              <w:rPr>
                <w:lang w:eastAsia="en-US"/>
              </w:rPr>
              <w:t xml:space="preserve"> a jin</w:t>
            </w:r>
            <w:r>
              <w:rPr>
                <w:lang w:eastAsia="en-US"/>
              </w:rPr>
              <w:t>ých</w:t>
            </w:r>
            <w:r w:rsidRPr="0004074E">
              <w:rPr>
                <w:lang w:eastAsia="en-US"/>
              </w:rPr>
              <w:t xml:space="preserve"> podpůrn</w:t>
            </w:r>
            <w:r>
              <w:rPr>
                <w:lang w:eastAsia="en-US"/>
              </w:rPr>
              <w:t>ých</w:t>
            </w:r>
            <w:r w:rsidRPr="0004074E">
              <w:rPr>
                <w:lang w:eastAsia="en-US"/>
              </w:rPr>
              <w:t xml:space="preserve"> služ</w:t>
            </w:r>
            <w:r>
              <w:rPr>
                <w:lang w:eastAsia="en-US"/>
              </w:rPr>
              <w:t>e</w:t>
            </w:r>
            <w:r w:rsidRPr="0004074E">
              <w:rPr>
                <w:lang w:eastAsia="en-US"/>
              </w:rPr>
              <w:t>b pro podnikání</w:t>
            </w:r>
            <w:r>
              <w:rPr>
                <w:lang w:eastAsia="en-US"/>
              </w:rPr>
              <w:t xml:space="preserve"> (−0,1 %). </w:t>
            </w:r>
          </w:p>
        </w:tc>
      </w:tr>
      <w:tr w:rsidR="00532E62" w14:paraId="76BDD789" w14:textId="77777777" w:rsidTr="00A4206C">
        <w:trPr>
          <w:trHeight w:val="145"/>
        </w:trPr>
        <w:tc>
          <w:tcPr>
            <w:tcW w:w="1791" w:type="dxa"/>
            <w:hideMark/>
          </w:tcPr>
          <w:p w14:paraId="11418197" w14:textId="77777777" w:rsidR="00532E62" w:rsidRDefault="00532E62" w:rsidP="00A4206C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Ceny zemědělských výrobců ve 4. čtvrtletí začaly opět meziročně růst. Za celý rok ale klesly.</w:t>
            </w:r>
          </w:p>
        </w:tc>
        <w:tc>
          <w:tcPr>
            <w:tcW w:w="223" w:type="dxa"/>
          </w:tcPr>
          <w:p w14:paraId="19153C59" w14:textId="77777777" w:rsidR="00532E62" w:rsidRDefault="00532E62" w:rsidP="00A4206C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5EB8E88A" w14:textId="77777777" w:rsidR="00532E62" w:rsidRDefault="00532E62" w:rsidP="00A4206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Ceny zemědělských výrobců se v roce 2024 celkově snížily o 5,9 %, což bylo téměř stejně jako v roce 2023 (−6,0 %). Ceny v rostlinné výrobě klesly o 9,1 %. V hlubokém propadu byly loni obiloviny (−18,6 %). Nižší byly rovněž ceny průmyslových plodin (−2,4 %), zeleniny a zahradnických produktů (−1,3 %) a brambor (−5,8 %). Rostly naopak ceny ovoce (28,7 %) a krmných plodin (13,7 %). Pokles cen živočišné výroby byl loni mírnější (−1,5 %). Přispěl k němu zejména propad u cen prasat (−3,6 %), drůbeže (−6,3 %) a vajec (−13,2 %). Naopak rostly ceny skotu (6,6 %), telat (7,9 %) a mléka (0,2 %). Pokles cen zemědělských výrobců v průběhu roku zmírňoval a ve 4. čtvrtletí ceny meziročně vzrostly o 5,0 %, poprvé od 1. kvartálu 2023. Mezičtvrtletně ceny vzrostly o 6,8 %. Ceny rostlinné výroby byly meziročně vyšší o 2,3 %. Ceny obilovin byly nadále v mírném poklesu (−0,2 %) – nižší byly ceny žita (−2,0 %), ječmene (−5,3 %) a ovsa (−0,4 %) a naopak do růstu se dostala pšenice (1,2 %) a kukuřice (2,2 %). V meziročním růstu pokračovaly průmyslové plodiny (9,7 %), hlavně olejniny (16,4 %) a luskoviny (14,8 %), v menší míře zdražovala cukrová řepa (3,8 %). Ceny krmných plodin byly ve 4. čtvrtletí meziročně vyšší o 7,5 % a ovoce o 31,4 %. Klesly ceny zeleniny a zahradnických produktů (−3,8 %) a brambor (−10,8 %). Ceny živočišné výroby meziročně rostly už ve 3. kvartálu a ve 4. čtvrtletí přírůstek posílil na 10,1 %. Ceny skotu vzrostly o 13,6 %, mléka o 17,8 % a vajec o 10,3 %. Naopak v poklesu nadále setrvávaly ceny prasat (−6,6 %) a drůbeže (−0,7 %).     </w:t>
            </w:r>
          </w:p>
        </w:tc>
      </w:tr>
      <w:tr w:rsidR="00532E62" w14:paraId="4F568A03" w14:textId="77777777" w:rsidTr="00A4206C">
        <w:trPr>
          <w:trHeight w:val="145"/>
        </w:trPr>
        <w:tc>
          <w:tcPr>
            <w:tcW w:w="1791" w:type="dxa"/>
            <w:hideMark/>
          </w:tcPr>
          <w:p w14:paraId="6C02A811" w14:textId="77777777" w:rsidR="00532E62" w:rsidRDefault="00532E62" w:rsidP="00A4206C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Ceny vývozu zboží loni vzrostly.</w:t>
            </w:r>
          </w:p>
        </w:tc>
        <w:tc>
          <w:tcPr>
            <w:tcW w:w="223" w:type="dxa"/>
          </w:tcPr>
          <w:p w14:paraId="3CF67369" w14:textId="77777777" w:rsidR="00532E62" w:rsidRDefault="00532E62" w:rsidP="00A4206C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55B657E3" w14:textId="77777777" w:rsidR="00532E62" w:rsidRDefault="00532E62" w:rsidP="00A4206C">
            <w:pPr>
              <w:rPr>
                <w:lang w:eastAsia="en-US"/>
              </w:rPr>
            </w:pPr>
            <w:r>
              <w:rPr>
                <w:lang w:eastAsia="en-US"/>
              </w:rPr>
              <w:t>Meziroční vývoj cen zahraničního obchodu byl v loňském roce výrazně ovlivněn posuny směnného kurzu koruny, který oslabil vůči euru i dolaru</w:t>
            </w:r>
            <w:r>
              <w:rPr>
                <w:rStyle w:val="Znakapoznpodarou"/>
                <w:lang w:eastAsia="en-US"/>
              </w:rPr>
              <w:footnoteReference w:id="5"/>
            </w:r>
            <w:r>
              <w:rPr>
                <w:lang w:eastAsia="en-US"/>
              </w:rPr>
              <w:t xml:space="preserve">. To působilo proinflačně. Za celý rok 2024 ceny vývozu vzrostly o 3,1 %. Vyšší byly ceny výrobků zpracovatelského průmyslu (3,8 %) a zásobování vodou a činností souvisejících s odpady a odpadními vodami (7,9 %). Na druhé straně se propadly ceny exportu v oblasti těžby a dobývání (−11,5 %), elektřiny, plynu, páry a klimatizovaného vzduchu (−5,4 %) a také produktů zemědělství, lesnictví a rybářství (−3,3 %). V průběhu roku meziroční dynamika cen vývozu posilovala. V samotném 4. kvartálu jejich meziroční přírůstek dosáhl 4,1 %, mezičtvrtletně se ceny zvýšily o 0,9 %. Posilování meziročního růstu v průběhu roku bylo patrné zejména na cenách produktů zemědělství, lesnictví a rybářství (5,7 % ve 4. čtvrtletí) a dále u elektřiny, plynu, páry a klimatizovaného vzduchu (prudké zrychlení </w:t>
            </w:r>
            <w:r>
              <w:rPr>
                <w:lang w:eastAsia="en-US"/>
              </w:rPr>
              <w:lastRenderedPageBreak/>
              <w:t xml:space="preserve">růstu na 26,8 % ve 4. čtvrtletí). Ve 4. čtvrtletí se propadaly jen ceny exportu v sekci těžba a dobývání (−11,7 %). Meziroční růst cen výrobků zpracovatelského průmyslu ve 4. čtvrtletí mírně zvolnil na 3,6 %. Vyšší byly ceny nábytku (7,7 %), ostatních dopravních prostředků a zařízení (7,6 %), základních farmaceutických výrobků a přípravků (5,2 %), elektrických zařízení a pryžových a plastových výrobků (shodně o 4,8 %) nebo strojů a zařízení a motorových vozidel (shodně o 4,6 %). Pokles byl zaznamenán jen v menšině případů, a to u koksu a rafinovaných ropných produktů (−13,6 %), usní (−7,8 %) a ostatních nekovových minerálních výrobků (−1,3 %). </w:t>
            </w:r>
          </w:p>
        </w:tc>
      </w:tr>
      <w:tr w:rsidR="00532E62" w14:paraId="179754AB" w14:textId="77777777" w:rsidTr="00A4206C">
        <w:trPr>
          <w:trHeight w:val="145"/>
        </w:trPr>
        <w:tc>
          <w:tcPr>
            <w:tcW w:w="1791" w:type="dxa"/>
          </w:tcPr>
          <w:p w14:paraId="45F97A2B" w14:textId="77777777" w:rsidR="00532E62" w:rsidRDefault="00532E62" w:rsidP="00A4206C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lastRenderedPageBreak/>
              <w:t>Směnné relace zahraničního obchodu se zbožím byly loni kladné.</w:t>
            </w:r>
          </w:p>
        </w:tc>
        <w:tc>
          <w:tcPr>
            <w:tcW w:w="223" w:type="dxa"/>
          </w:tcPr>
          <w:p w14:paraId="0ED09EBD" w14:textId="77777777" w:rsidR="00532E62" w:rsidRDefault="00532E62" w:rsidP="00A4206C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74666756" w14:textId="77777777" w:rsidR="00532E62" w:rsidRDefault="00532E62" w:rsidP="00A4206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Ceny dovozu loni celkově vzrostly o 1,5 %. Vyšší byly ceny výrobků zpracovatelského průmyslu, ale propad byl zaznamenán u cen dovozu elektřiny, plynu, páry a klimatizovaného vzduchu (−15,8 %), produktů zemědělství, lesnictví a rybářství (−9,7 %) a těžby a dobývání (−4,1 %). V samotném 4. čtvrtletí se ceny importu zvýšily o 2,2 % a mezičtvrtletně byly vyšší o 0,9 %. Ve 4. čtvrtletí meziročně vzrostly ceny dovozu výrobků zpracovatelského průmyslu (2,6 %) a do výrazného růstu se dostaly také ceny elektřiny, plynu, páry a klimatizovaného vzduchu (11,0 %). Naopak nižší byly ceny produktů zemědělství, lesnictví a rybářství (−5,3 %) a těžby a dobývání (−1,4 %). Směnné relace zahraničního obchodu se zbožím v loňském roce celkově dosáhly 101,5 %. Výrazně kladné byly směnné relace obchodu s elektřinou, plynem, párou a klimatizovaným vzduchem (112,4 %) a produkty zemědělství, lesnictví a rybářství (107,2 %). Pozitivních směnných relací dosáhl také zahraniční obchod s výrobky zpracovatelského průmyslu (101,2 %). Naopak výrazně záporné byly směnné relace obchodu v oblasti těžby a dobývání (92,3 %). Směnné relace přetrvávaly kladné po celý rok a v samotném 4. čtvrtletí dosáhly 101,9 %. Přitom kladné byly směnné relace obchodu s elektřinou, plynem, párou a klimatizovaným vzduchem (114,2 %), produkty zemědělství, lesnictví a rybářství (111,6 %) a obchodu s výrobky zpracovatelského průmyslu (101,0 %). Hluboce záporné byly naopak směnné relace u těžby a dobývání (89,6 %). </w:t>
            </w:r>
          </w:p>
        </w:tc>
      </w:tr>
      <w:bookmarkEnd w:id="0"/>
    </w:tbl>
    <w:p w14:paraId="2143296F" w14:textId="7A6BA442" w:rsidR="00A50D73" w:rsidRDefault="00A50D73" w:rsidP="00800216">
      <w:pPr>
        <w:spacing w:after="0"/>
      </w:pPr>
    </w:p>
    <w:sectPr w:rsidR="00A50D73" w:rsidSect="00E701C5">
      <w:headerReference w:type="even" r:id="rId14"/>
      <w:headerReference w:type="default" r:id="rId15"/>
      <w:footerReference w:type="even" r:id="rId16"/>
      <w:footerReference w:type="default" r:id="rId17"/>
      <w:pgSz w:w="11906" w:h="16838" w:code="9"/>
      <w:pgMar w:top="1134" w:right="1134" w:bottom="1418" w:left="1134" w:header="680" w:footer="680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2EF3C" w14:textId="77777777" w:rsidR="002B48B4" w:rsidRDefault="002B48B4" w:rsidP="00E71A58">
      <w:r>
        <w:separator/>
      </w:r>
    </w:p>
  </w:endnote>
  <w:endnote w:type="continuationSeparator" w:id="0">
    <w:p w14:paraId="70B7E2B6" w14:textId="77777777" w:rsidR="002B48B4" w:rsidRDefault="002B48B4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8" w14:textId="6D9CAD1E" w:rsidR="002B48B4" w:rsidRPr="00932443" w:rsidRDefault="002B48B4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2143298A" wp14:editId="2143298B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1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E701C5">
      <w:rPr>
        <w:szCs w:val="16"/>
      </w:rPr>
      <w:t>28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rok 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9" w14:textId="576D35EA" w:rsidR="002B48B4" w:rsidRPr="00932443" w:rsidRDefault="002B48B4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2143298C" wp14:editId="2143298D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2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>
      <w:rPr>
        <w:szCs w:val="16"/>
      </w:rPr>
      <w:t>rok 2024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E701C5">
      <w:rPr>
        <w:rStyle w:val="ZpatChar"/>
        <w:szCs w:val="16"/>
      </w:rPr>
      <w:t>29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70D8F6" w14:textId="77777777" w:rsidR="002B48B4" w:rsidRDefault="002B48B4" w:rsidP="00EA4302">
      <w:pPr>
        <w:spacing w:after="0"/>
      </w:pPr>
      <w:r>
        <w:separator/>
      </w:r>
    </w:p>
  </w:footnote>
  <w:footnote w:type="continuationSeparator" w:id="0">
    <w:p w14:paraId="70CDBF0C" w14:textId="77777777" w:rsidR="002B48B4" w:rsidRDefault="002B48B4" w:rsidP="00E71A58">
      <w:r>
        <w:continuationSeparator/>
      </w:r>
    </w:p>
  </w:footnote>
  <w:footnote w:id="1">
    <w:p w14:paraId="7E432542" w14:textId="77777777" w:rsidR="002B48B4" w:rsidRDefault="002B48B4" w:rsidP="00532E62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Imputované nájemné vyjadřuje náklady vlastnického bydlení. Kromě samotných cen bydlení zahrnuje i náklady na výstavbu a renovace a další poplatky. Více na: </w:t>
      </w:r>
      <w:hyperlink r:id="rId1" w:history="1">
        <w:r>
          <w:rPr>
            <w:rStyle w:val="Hypertextovodkaz"/>
            <w:sz w:val="16"/>
            <w:szCs w:val="16"/>
          </w:rPr>
          <w:t>https://www.czso.cz/csu/czso/metodicka-poznamka-k-indexu-spotrebitelskych-cen-imputovane-najemne</w:t>
        </w:r>
      </w:hyperlink>
      <w:r>
        <w:rPr>
          <w:rStyle w:val="Hypertextovodkaz"/>
          <w:sz w:val="16"/>
          <w:szCs w:val="16"/>
        </w:rPr>
        <w:t>.</w:t>
      </w:r>
    </w:p>
  </w:footnote>
  <w:footnote w:id="2">
    <w:p w14:paraId="70F94943" w14:textId="77777777" w:rsidR="002B48B4" w:rsidRDefault="002B48B4" w:rsidP="00532E62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Zahrnuje služby osobní péče a osobní potřeby a doplňky, sociální péči, pojištění a další finanční služby apod.</w:t>
      </w:r>
    </w:p>
  </w:footnote>
  <w:footnote w:id="3">
    <w:p w14:paraId="267C8BF3" w14:textId="77777777" w:rsidR="002B48B4" w:rsidRDefault="002B48B4" w:rsidP="00532E62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Oproti indexu spotřebitelských cen, který ČSÚ pro českou ekonomiku sestavuje, HICP neobsahuje imputované nájemné, což bývá zdrojem rozdílů mezi HICP a Indexem spotřebitelských cen.</w:t>
      </w:r>
    </w:p>
  </w:footnote>
  <w:footnote w:id="4">
    <w:p w14:paraId="13119F74" w14:textId="77777777" w:rsidR="002B48B4" w:rsidRDefault="002B48B4" w:rsidP="00532E62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Bez cen zásobování vodou a služeb souvisejících s odpadními vodami.</w:t>
      </w:r>
    </w:p>
  </w:footnote>
  <w:footnote w:id="5">
    <w:p w14:paraId="261EE522" w14:textId="77777777" w:rsidR="002B48B4" w:rsidRDefault="002B48B4" w:rsidP="00532E62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Podle údajů ČNB byl ve 4. čtvrtletí 2024 průměrný kurz koruny vůči euru 25,249 CZK/EUR. Ve 4. čtvrtletí 2023 to bylo </w:t>
      </w:r>
      <w:r>
        <w:rPr>
          <w:sz w:val="16"/>
          <w:szCs w:val="16"/>
        </w:rPr>
        <w:br/>
        <w:t>24,521 CZK/EUR. Za celý rok 2024 průměr kurzu dosáhl 25,1 CZK/EUR a v roce 2023 24,007 CZK/EUR. Kurz vůči dolaru ve 4. čtvrtletí 2024 v průměru činil 23,640 CZK/USD. Ve stejném období roku 2023 to bylo 22,820 CZK/USD. Za celý loňský rok kurz vůči dolaru dosáhl průměru 23,208 CZK/USD a v roce 2023 to bylo 22,210 CZK/USD.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6" w14:textId="3C11EE3B" w:rsidR="002B48B4" w:rsidRPr="00C27E4F" w:rsidRDefault="002B48B4" w:rsidP="00C27E4F">
    <w:pPr>
      <w:pStyle w:val="Zhlav"/>
    </w:pPr>
    <w:r>
      <w:t>Vývoj ekonomiky České republiky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7" w14:textId="4F78F164" w:rsidR="002B48B4" w:rsidRPr="006F5416" w:rsidRDefault="002B48B4" w:rsidP="00937AE2">
    <w:pPr>
      <w:pStyle w:val="Zhlav"/>
    </w:pPr>
    <w:r>
      <w:t>Vývoj ekonomiky České republiky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95764B"/>
    <w:multiLevelType w:val="hybridMultilevel"/>
    <w:tmpl w:val="84788BC8"/>
    <w:lvl w:ilvl="0" w:tplc="1B96A2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3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4558D6"/>
    <w:multiLevelType w:val="hybridMultilevel"/>
    <w:tmpl w:val="1B90B8E0"/>
    <w:lvl w:ilvl="0" w:tplc="4B66ED1E">
      <w:start w:val="1"/>
      <w:numFmt w:val="decimal"/>
      <w:lvlText w:val="%1."/>
      <w:lvlJc w:val="left"/>
      <w:pPr>
        <w:ind w:left="49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625" w:hanging="360"/>
      </w:pPr>
    </w:lvl>
    <w:lvl w:ilvl="2" w:tplc="0405001B" w:tentative="1">
      <w:start w:val="1"/>
      <w:numFmt w:val="lowerRoman"/>
      <w:lvlText w:val="%3."/>
      <w:lvlJc w:val="right"/>
      <w:pPr>
        <w:ind w:left="6345" w:hanging="180"/>
      </w:pPr>
    </w:lvl>
    <w:lvl w:ilvl="3" w:tplc="0405000F" w:tentative="1">
      <w:start w:val="1"/>
      <w:numFmt w:val="decimal"/>
      <w:lvlText w:val="%4."/>
      <w:lvlJc w:val="left"/>
      <w:pPr>
        <w:ind w:left="7065" w:hanging="360"/>
      </w:pPr>
    </w:lvl>
    <w:lvl w:ilvl="4" w:tplc="04050019" w:tentative="1">
      <w:start w:val="1"/>
      <w:numFmt w:val="lowerLetter"/>
      <w:lvlText w:val="%5."/>
      <w:lvlJc w:val="left"/>
      <w:pPr>
        <w:ind w:left="7785" w:hanging="360"/>
      </w:pPr>
    </w:lvl>
    <w:lvl w:ilvl="5" w:tplc="0405001B" w:tentative="1">
      <w:start w:val="1"/>
      <w:numFmt w:val="lowerRoman"/>
      <w:lvlText w:val="%6."/>
      <w:lvlJc w:val="right"/>
      <w:pPr>
        <w:ind w:left="8505" w:hanging="180"/>
      </w:pPr>
    </w:lvl>
    <w:lvl w:ilvl="6" w:tplc="0405000F" w:tentative="1">
      <w:start w:val="1"/>
      <w:numFmt w:val="decimal"/>
      <w:lvlText w:val="%7."/>
      <w:lvlJc w:val="left"/>
      <w:pPr>
        <w:ind w:left="9225" w:hanging="360"/>
      </w:pPr>
    </w:lvl>
    <w:lvl w:ilvl="7" w:tplc="04050019" w:tentative="1">
      <w:start w:val="1"/>
      <w:numFmt w:val="lowerLetter"/>
      <w:lvlText w:val="%8."/>
      <w:lvlJc w:val="left"/>
      <w:pPr>
        <w:ind w:left="9945" w:hanging="360"/>
      </w:pPr>
    </w:lvl>
    <w:lvl w:ilvl="8" w:tplc="0405001B" w:tentative="1">
      <w:start w:val="1"/>
      <w:numFmt w:val="lowerRoman"/>
      <w:lvlText w:val="%9."/>
      <w:lvlJc w:val="right"/>
      <w:pPr>
        <w:ind w:left="10665" w:hanging="180"/>
      </w:pPr>
    </w:lvl>
  </w:abstractNum>
  <w:abstractNum w:abstractNumId="26" w15:restartNumberingAfterBreak="0">
    <w:nsid w:val="479678F7"/>
    <w:multiLevelType w:val="hybridMultilevel"/>
    <w:tmpl w:val="A4DE71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8567A6"/>
    <w:multiLevelType w:val="hybridMultilevel"/>
    <w:tmpl w:val="50E0FC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D405E1"/>
    <w:multiLevelType w:val="multilevel"/>
    <w:tmpl w:val="5FCA5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6EF3AA7"/>
    <w:multiLevelType w:val="multilevel"/>
    <w:tmpl w:val="9092D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B048D2"/>
    <w:multiLevelType w:val="hybridMultilevel"/>
    <w:tmpl w:val="D2A0FC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7747AF"/>
    <w:multiLevelType w:val="hybridMultilevel"/>
    <w:tmpl w:val="76204D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651B2D"/>
    <w:multiLevelType w:val="hybridMultilevel"/>
    <w:tmpl w:val="054EEC40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DA7946"/>
    <w:multiLevelType w:val="multilevel"/>
    <w:tmpl w:val="6F3E3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5"/>
  </w:num>
  <w:num w:numId="13">
    <w:abstractNumId w:val="29"/>
  </w:num>
  <w:num w:numId="14">
    <w:abstractNumId w:val="14"/>
  </w:num>
  <w:num w:numId="15">
    <w:abstractNumId w:val="20"/>
  </w:num>
  <w:num w:numId="16">
    <w:abstractNumId w:val="16"/>
  </w:num>
  <w:num w:numId="17">
    <w:abstractNumId w:val="30"/>
  </w:num>
  <w:num w:numId="18">
    <w:abstractNumId w:val="21"/>
  </w:num>
  <w:num w:numId="19">
    <w:abstractNumId w:val="32"/>
  </w:num>
  <w:num w:numId="20">
    <w:abstractNumId w:val="37"/>
  </w:num>
  <w:num w:numId="21">
    <w:abstractNumId w:val="28"/>
  </w:num>
  <w:num w:numId="22">
    <w:abstractNumId w:val="19"/>
  </w:num>
  <w:num w:numId="23">
    <w:abstractNumId w:val="17"/>
  </w:num>
  <w:num w:numId="24">
    <w:abstractNumId w:val="18"/>
  </w:num>
  <w:num w:numId="25">
    <w:abstractNumId w:val="35"/>
  </w:num>
  <w:num w:numId="26">
    <w:abstractNumId w:val="36"/>
  </w:num>
  <w:num w:numId="27">
    <w:abstractNumId w:val="37"/>
  </w:num>
  <w:num w:numId="28">
    <w:abstractNumId w:val="13"/>
  </w:num>
  <w:num w:numId="29">
    <w:abstractNumId w:val="23"/>
  </w:num>
  <w:num w:numId="30">
    <w:abstractNumId w:val="22"/>
  </w:num>
  <w:num w:numId="31">
    <w:abstractNumId w:val="10"/>
  </w:num>
  <w:num w:numId="32">
    <w:abstractNumId w:val="24"/>
  </w:num>
  <w:num w:numId="33">
    <w:abstractNumId w:val="12"/>
  </w:num>
  <w:num w:numId="34">
    <w:abstractNumId w:val="39"/>
  </w:num>
  <w:num w:numId="35">
    <w:abstractNumId w:val="11"/>
  </w:num>
  <w:num w:numId="36">
    <w:abstractNumId w:val="31"/>
  </w:num>
  <w:num w:numId="37">
    <w:abstractNumId w:val="26"/>
  </w:num>
  <w:num w:numId="38">
    <w:abstractNumId w:val="25"/>
  </w:num>
  <w:num w:numId="39">
    <w:abstractNumId w:val="33"/>
  </w:num>
  <w:num w:numId="40">
    <w:abstractNumId w:val="38"/>
  </w:num>
  <w:num w:numId="4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6385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062"/>
    <w:rsid w:val="0000209D"/>
    <w:rsid w:val="00004D5A"/>
    <w:rsid w:val="000056D5"/>
    <w:rsid w:val="00006ABD"/>
    <w:rsid w:val="0000767A"/>
    <w:rsid w:val="00010256"/>
    <w:rsid w:val="00010702"/>
    <w:rsid w:val="00011912"/>
    <w:rsid w:val="0002195D"/>
    <w:rsid w:val="000234D6"/>
    <w:rsid w:val="00023D29"/>
    <w:rsid w:val="00026389"/>
    <w:rsid w:val="00031AE0"/>
    <w:rsid w:val="000322EF"/>
    <w:rsid w:val="00033FCD"/>
    <w:rsid w:val="00040D10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5135"/>
    <w:rsid w:val="000974D1"/>
    <w:rsid w:val="0009799E"/>
    <w:rsid w:val="000A1183"/>
    <w:rsid w:val="000A256D"/>
    <w:rsid w:val="000A3A2C"/>
    <w:rsid w:val="000A5265"/>
    <w:rsid w:val="000A57D4"/>
    <w:rsid w:val="000B7C8D"/>
    <w:rsid w:val="000C3408"/>
    <w:rsid w:val="000C6AFD"/>
    <w:rsid w:val="000D5637"/>
    <w:rsid w:val="000E6FBD"/>
    <w:rsid w:val="00100F5C"/>
    <w:rsid w:val="00101CDA"/>
    <w:rsid w:val="00102C41"/>
    <w:rsid w:val="00104C4C"/>
    <w:rsid w:val="00117623"/>
    <w:rsid w:val="0012192F"/>
    <w:rsid w:val="001224E5"/>
    <w:rsid w:val="00124940"/>
    <w:rsid w:val="00125D69"/>
    <w:rsid w:val="001405FA"/>
    <w:rsid w:val="001425C3"/>
    <w:rsid w:val="001476BD"/>
    <w:rsid w:val="001612F4"/>
    <w:rsid w:val="0016256B"/>
    <w:rsid w:val="00163793"/>
    <w:rsid w:val="001706D6"/>
    <w:rsid w:val="001714F2"/>
    <w:rsid w:val="00175B9F"/>
    <w:rsid w:val="00181BBC"/>
    <w:rsid w:val="00184B08"/>
    <w:rsid w:val="00185010"/>
    <w:rsid w:val="0019143B"/>
    <w:rsid w:val="001A0487"/>
    <w:rsid w:val="001A552F"/>
    <w:rsid w:val="001B2CA9"/>
    <w:rsid w:val="001B3110"/>
    <w:rsid w:val="001B4729"/>
    <w:rsid w:val="001B6310"/>
    <w:rsid w:val="001B6C09"/>
    <w:rsid w:val="001C05CD"/>
    <w:rsid w:val="001C3924"/>
    <w:rsid w:val="001D40D7"/>
    <w:rsid w:val="001D48D4"/>
    <w:rsid w:val="001D68B2"/>
    <w:rsid w:val="001E1C2E"/>
    <w:rsid w:val="001E504C"/>
    <w:rsid w:val="001E6062"/>
    <w:rsid w:val="001F4597"/>
    <w:rsid w:val="00203DA4"/>
    <w:rsid w:val="002118B9"/>
    <w:rsid w:val="00213E46"/>
    <w:rsid w:val="00214CF7"/>
    <w:rsid w:val="00217C5B"/>
    <w:rsid w:val="0022139E"/>
    <w:rsid w:val="00222729"/>
    <w:rsid w:val="002252E0"/>
    <w:rsid w:val="002255F6"/>
    <w:rsid w:val="00227850"/>
    <w:rsid w:val="00227A53"/>
    <w:rsid w:val="00230C6E"/>
    <w:rsid w:val="00233CD7"/>
    <w:rsid w:val="00236443"/>
    <w:rsid w:val="00241B06"/>
    <w:rsid w:val="00242C10"/>
    <w:rsid w:val="002436BA"/>
    <w:rsid w:val="00244A15"/>
    <w:rsid w:val="0024661A"/>
    <w:rsid w:val="00247319"/>
    <w:rsid w:val="0024799E"/>
    <w:rsid w:val="00247EE7"/>
    <w:rsid w:val="00253C0F"/>
    <w:rsid w:val="002558C1"/>
    <w:rsid w:val="00271465"/>
    <w:rsid w:val="0028207A"/>
    <w:rsid w:val="00285412"/>
    <w:rsid w:val="00291640"/>
    <w:rsid w:val="00295A5D"/>
    <w:rsid w:val="002A1407"/>
    <w:rsid w:val="002A16D4"/>
    <w:rsid w:val="002A230C"/>
    <w:rsid w:val="002A66B0"/>
    <w:rsid w:val="002B2299"/>
    <w:rsid w:val="002B4845"/>
    <w:rsid w:val="002B48B4"/>
    <w:rsid w:val="002C2FE9"/>
    <w:rsid w:val="002C43BD"/>
    <w:rsid w:val="002D0E59"/>
    <w:rsid w:val="002E02A1"/>
    <w:rsid w:val="002E42AC"/>
    <w:rsid w:val="002E4E4C"/>
    <w:rsid w:val="00302ADD"/>
    <w:rsid w:val="00304771"/>
    <w:rsid w:val="0030495D"/>
    <w:rsid w:val="003052D4"/>
    <w:rsid w:val="00306C5B"/>
    <w:rsid w:val="003103E0"/>
    <w:rsid w:val="00314F9F"/>
    <w:rsid w:val="003209D6"/>
    <w:rsid w:val="00321924"/>
    <w:rsid w:val="0032656E"/>
    <w:rsid w:val="00332190"/>
    <w:rsid w:val="0034335E"/>
    <w:rsid w:val="00344668"/>
    <w:rsid w:val="003462D9"/>
    <w:rsid w:val="00360C86"/>
    <w:rsid w:val="00360FBC"/>
    <w:rsid w:val="00362E90"/>
    <w:rsid w:val="00364FA0"/>
    <w:rsid w:val="003657F3"/>
    <w:rsid w:val="00366591"/>
    <w:rsid w:val="0038123E"/>
    <w:rsid w:val="003818DC"/>
    <w:rsid w:val="00384327"/>
    <w:rsid w:val="00385D98"/>
    <w:rsid w:val="003A2B4D"/>
    <w:rsid w:val="003A2B5E"/>
    <w:rsid w:val="003A2D12"/>
    <w:rsid w:val="003A478C"/>
    <w:rsid w:val="003A5525"/>
    <w:rsid w:val="003A6B38"/>
    <w:rsid w:val="003B461F"/>
    <w:rsid w:val="003B5A32"/>
    <w:rsid w:val="003C3490"/>
    <w:rsid w:val="003C6550"/>
    <w:rsid w:val="003C7E62"/>
    <w:rsid w:val="003D6920"/>
    <w:rsid w:val="003E48F2"/>
    <w:rsid w:val="003E4C91"/>
    <w:rsid w:val="003E62A5"/>
    <w:rsid w:val="003F313C"/>
    <w:rsid w:val="003F37FC"/>
    <w:rsid w:val="003F4B2C"/>
    <w:rsid w:val="003F551C"/>
    <w:rsid w:val="003F62B0"/>
    <w:rsid w:val="003F72ED"/>
    <w:rsid w:val="003F7D23"/>
    <w:rsid w:val="00400DF4"/>
    <w:rsid w:val="00407C13"/>
    <w:rsid w:val="0041041D"/>
    <w:rsid w:val="00410638"/>
    <w:rsid w:val="0041501E"/>
    <w:rsid w:val="004159C3"/>
    <w:rsid w:val="00416EB7"/>
    <w:rsid w:val="00432A58"/>
    <w:rsid w:val="00434617"/>
    <w:rsid w:val="00440900"/>
    <w:rsid w:val="00441BF6"/>
    <w:rsid w:val="00443556"/>
    <w:rsid w:val="004441A0"/>
    <w:rsid w:val="004455BA"/>
    <w:rsid w:val="0045078A"/>
    <w:rsid w:val="0045086D"/>
    <w:rsid w:val="00451504"/>
    <w:rsid w:val="004607BF"/>
    <w:rsid w:val="00460FB3"/>
    <w:rsid w:val="0046627E"/>
    <w:rsid w:val="00476240"/>
    <w:rsid w:val="00476439"/>
    <w:rsid w:val="0047735C"/>
    <w:rsid w:val="004776BC"/>
    <w:rsid w:val="0048139F"/>
    <w:rsid w:val="00481E40"/>
    <w:rsid w:val="00484ECE"/>
    <w:rsid w:val="00485567"/>
    <w:rsid w:val="004915CB"/>
    <w:rsid w:val="004924DC"/>
    <w:rsid w:val="004A14E4"/>
    <w:rsid w:val="004A3212"/>
    <w:rsid w:val="004A5494"/>
    <w:rsid w:val="004A61C5"/>
    <w:rsid w:val="004A77DF"/>
    <w:rsid w:val="004B1417"/>
    <w:rsid w:val="004B55B7"/>
    <w:rsid w:val="004B5A60"/>
    <w:rsid w:val="004B6468"/>
    <w:rsid w:val="004B7125"/>
    <w:rsid w:val="004C384C"/>
    <w:rsid w:val="004C3867"/>
    <w:rsid w:val="004C4CD0"/>
    <w:rsid w:val="004C70DC"/>
    <w:rsid w:val="004D0211"/>
    <w:rsid w:val="004D0794"/>
    <w:rsid w:val="004D5C93"/>
    <w:rsid w:val="004E1288"/>
    <w:rsid w:val="004E7C6B"/>
    <w:rsid w:val="004F06F5"/>
    <w:rsid w:val="004F33A0"/>
    <w:rsid w:val="0050689D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2E62"/>
    <w:rsid w:val="0053324C"/>
    <w:rsid w:val="00534A28"/>
    <w:rsid w:val="00541508"/>
    <w:rsid w:val="00543498"/>
    <w:rsid w:val="00545512"/>
    <w:rsid w:val="00553016"/>
    <w:rsid w:val="0055599F"/>
    <w:rsid w:val="00556995"/>
    <w:rsid w:val="00556D68"/>
    <w:rsid w:val="00563EB8"/>
    <w:rsid w:val="005647BF"/>
    <w:rsid w:val="00564AF1"/>
    <w:rsid w:val="0057364B"/>
    <w:rsid w:val="00574773"/>
    <w:rsid w:val="0058308D"/>
    <w:rsid w:val="00583FFD"/>
    <w:rsid w:val="005911BE"/>
    <w:rsid w:val="00593152"/>
    <w:rsid w:val="005A10F2"/>
    <w:rsid w:val="005A21E0"/>
    <w:rsid w:val="005A28FF"/>
    <w:rsid w:val="005A3DF8"/>
    <w:rsid w:val="005A5113"/>
    <w:rsid w:val="005A5549"/>
    <w:rsid w:val="005A7038"/>
    <w:rsid w:val="005B121D"/>
    <w:rsid w:val="005C06ED"/>
    <w:rsid w:val="005C2609"/>
    <w:rsid w:val="005C6CF0"/>
    <w:rsid w:val="005D5802"/>
    <w:rsid w:val="005D7119"/>
    <w:rsid w:val="005D7890"/>
    <w:rsid w:val="005E7C78"/>
    <w:rsid w:val="005F18C5"/>
    <w:rsid w:val="005F3EB1"/>
    <w:rsid w:val="005F46D8"/>
    <w:rsid w:val="005F5469"/>
    <w:rsid w:val="00603FF5"/>
    <w:rsid w:val="00604307"/>
    <w:rsid w:val="0060487F"/>
    <w:rsid w:val="00604EAD"/>
    <w:rsid w:val="006104FB"/>
    <w:rsid w:val="00612A2F"/>
    <w:rsid w:val="00616E05"/>
    <w:rsid w:val="00622275"/>
    <w:rsid w:val="00624093"/>
    <w:rsid w:val="00625F8F"/>
    <w:rsid w:val="006350D5"/>
    <w:rsid w:val="006404A7"/>
    <w:rsid w:val="006451E4"/>
    <w:rsid w:val="00645B33"/>
    <w:rsid w:val="006516CB"/>
    <w:rsid w:val="00656FC8"/>
    <w:rsid w:val="00657E87"/>
    <w:rsid w:val="00664803"/>
    <w:rsid w:val="0066504F"/>
    <w:rsid w:val="00665BA4"/>
    <w:rsid w:val="00667AF2"/>
    <w:rsid w:val="006710C9"/>
    <w:rsid w:val="006741AC"/>
    <w:rsid w:val="00674D89"/>
    <w:rsid w:val="00675E37"/>
    <w:rsid w:val="0068174E"/>
    <w:rsid w:val="00681DCE"/>
    <w:rsid w:val="0068260E"/>
    <w:rsid w:val="00693FEC"/>
    <w:rsid w:val="00695BEF"/>
    <w:rsid w:val="006977F6"/>
    <w:rsid w:val="00697A13"/>
    <w:rsid w:val="006A109C"/>
    <w:rsid w:val="006B0F92"/>
    <w:rsid w:val="006B173A"/>
    <w:rsid w:val="006B344A"/>
    <w:rsid w:val="006B78D8"/>
    <w:rsid w:val="006C113F"/>
    <w:rsid w:val="006C123E"/>
    <w:rsid w:val="006C1752"/>
    <w:rsid w:val="006C56D4"/>
    <w:rsid w:val="006C6924"/>
    <w:rsid w:val="006C7CA6"/>
    <w:rsid w:val="006D3E8A"/>
    <w:rsid w:val="006D61F6"/>
    <w:rsid w:val="006E279A"/>
    <w:rsid w:val="006E313B"/>
    <w:rsid w:val="006E4254"/>
    <w:rsid w:val="006E7227"/>
    <w:rsid w:val="006F438E"/>
    <w:rsid w:val="006F5416"/>
    <w:rsid w:val="006F7076"/>
    <w:rsid w:val="00705242"/>
    <w:rsid w:val="00706AD4"/>
    <w:rsid w:val="00707150"/>
    <w:rsid w:val="007140BE"/>
    <w:rsid w:val="007211F5"/>
    <w:rsid w:val="00723946"/>
    <w:rsid w:val="007240E2"/>
    <w:rsid w:val="00725BB5"/>
    <w:rsid w:val="00730AE8"/>
    <w:rsid w:val="00730F1B"/>
    <w:rsid w:val="00741493"/>
    <w:rsid w:val="00752180"/>
    <w:rsid w:val="00753CAB"/>
    <w:rsid w:val="00755202"/>
    <w:rsid w:val="00755D3A"/>
    <w:rsid w:val="007578D3"/>
    <w:rsid w:val="007609C6"/>
    <w:rsid w:val="00760EA4"/>
    <w:rsid w:val="0076175D"/>
    <w:rsid w:val="00763B85"/>
    <w:rsid w:val="00764744"/>
    <w:rsid w:val="0076521E"/>
    <w:rsid w:val="007661E9"/>
    <w:rsid w:val="00773220"/>
    <w:rsid w:val="00776169"/>
    <w:rsid w:val="00776527"/>
    <w:rsid w:val="00780EF1"/>
    <w:rsid w:val="00790711"/>
    <w:rsid w:val="00790764"/>
    <w:rsid w:val="0079124F"/>
    <w:rsid w:val="0079453C"/>
    <w:rsid w:val="00794677"/>
    <w:rsid w:val="00797445"/>
    <w:rsid w:val="007A516D"/>
    <w:rsid w:val="007B6689"/>
    <w:rsid w:val="007C6BBD"/>
    <w:rsid w:val="007D40DF"/>
    <w:rsid w:val="007E29B4"/>
    <w:rsid w:val="007E435A"/>
    <w:rsid w:val="007E7E61"/>
    <w:rsid w:val="007E7FCE"/>
    <w:rsid w:val="007F0845"/>
    <w:rsid w:val="007F708D"/>
    <w:rsid w:val="00800216"/>
    <w:rsid w:val="00801E13"/>
    <w:rsid w:val="00807C82"/>
    <w:rsid w:val="00810C82"/>
    <w:rsid w:val="00814B15"/>
    <w:rsid w:val="00816905"/>
    <w:rsid w:val="00821777"/>
    <w:rsid w:val="00821FF6"/>
    <w:rsid w:val="00822574"/>
    <w:rsid w:val="00825C4D"/>
    <w:rsid w:val="0083143E"/>
    <w:rsid w:val="00831CDE"/>
    <w:rsid w:val="00834304"/>
    <w:rsid w:val="00834FAA"/>
    <w:rsid w:val="0083516C"/>
    <w:rsid w:val="00836086"/>
    <w:rsid w:val="00846121"/>
    <w:rsid w:val="008462A8"/>
    <w:rsid w:val="0084708F"/>
    <w:rsid w:val="008477C8"/>
    <w:rsid w:val="0085114D"/>
    <w:rsid w:val="00852217"/>
    <w:rsid w:val="00855408"/>
    <w:rsid w:val="00856D65"/>
    <w:rsid w:val="00861B41"/>
    <w:rsid w:val="00861BE3"/>
    <w:rsid w:val="00863434"/>
    <w:rsid w:val="00865E4C"/>
    <w:rsid w:val="008701E4"/>
    <w:rsid w:val="00871069"/>
    <w:rsid w:val="00875A32"/>
    <w:rsid w:val="00876086"/>
    <w:rsid w:val="008825B0"/>
    <w:rsid w:val="00884AD6"/>
    <w:rsid w:val="008873D4"/>
    <w:rsid w:val="0089126C"/>
    <w:rsid w:val="0089296D"/>
    <w:rsid w:val="00893E85"/>
    <w:rsid w:val="00894031"/>
    <w:rsid w:val="00895508"/>
    <w:rsid w:val="008A6CB4"/>
    <w:rsid w:val="008B5CF6"/>
    <w:rsid w:val="008B7C02"/>
    <w:rsid w:val="008B7D2B"/>
    <w:rsid w:val="008C0049"/>
    <w:rsid w:val="008C0E88"/>
    <w:rsid w:val="008C53CB"/>
    <w:rsid w:val="008D1E6A"/>
    <w:rsid w:val="008D2A16"/>
    <w:rsid w:val="008E2C57"/>
    <w:rsid w:val="008E31FF"/>
    <w:rsid w:val="008E6F06"/>
    <w:rsid w:val="008E7FC9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31A3"/>
    <w:rsid w:val="00924AC8"/>
    <w:rsid w:val="0092597A"/>
    <w:rsid w:val="00925E75"/>
    <w:rsid w:val="00930FB1"/>
    <w:rsid w:val="0093139F"/>
    <w:rsid w:val="00932443"/>
    <w:rsid w:val="00937AE2"/>
    <w:rsid w:val="0094427A"/>
    <w:rsid w:val="00945245"/>
    <w:rsid w:val="0095759C"/>
    <w:rsid w:val="009721DB"/>
    <w:rsid w:val="0097239B"/>
    <w:rsid w:val="00974923"/>
    <w:rsid w:val="009808F7"/>
    <w:rsid w:val="00980D3D"/>
    <w:rsid w:val="009855E1"/>
    <w:rsid w:val="00987A30"/>
    <w:rsid w:val="00992CF3"/>
    <w:rsid w:val="00994868"/>
    <w:rsid w:val="009968D6"/>
    <w:rsid w:val="009A1CAB"/>
    <w:rsid w:val="009A60D1"/>
    <w:rsid w:val="009B6FD3"/>
    <w:rsid w:val="009C1750"/>
    <w:rsid w:val="009C2E29"/>
    <w:rsid w:val="009C554B"/>
    <w:rsid w:val="009C719E"/>
    <w:rsid w:val="009C7A10"/>
    <w:rsid w:val="009D3ACD"/>
    <w:rsid w:val="009E5273"/>
    <w:rsid w:val="009E5DDB"/>
    <w:rsid w:val="009F4CA7"/>
    <w:rsid w:val="00A10D66"/>
    <w:rsid w:val="00A14114"/>
    <w:rsid w:val="00A1537C"/>
    <w:rsid w:val="00A16413"/>
    <w:rsid w:val="00A16E1D"/>
    <w:rsid w:val="00A17D5B"/>
    <w:rsid w:val="00A17EB2"/>
    <w:rsid w:val="00A23E43"/>
    <w:rsid w:val="00A25216"/>
    <w:rsid w:val="00A30F65"/>
    <w:rsid w:val="00A33A89"/>
    <w:rsid w:val="00A40EAC"/>
    <w:rsid w:val="00A40EDD"/>
    <w:rsid w:val="00A418BC"/>
    <w:rsid w:val="00A4206C"/>
    <w:rsid w:val="00A46DE0"/>
    <w:rsid w:val="00A47FCA"/>
    <w:rsid w:val="00A50D73"/>
    <w:rsid w:val="00A52CAD"/>
    <w:rsid w:val="00A53FC7"/>
    <w:rsid w:val="00A62CE1"/>
    <w:rsid w:val="00A668A3"/>
    <w:rsid w:val="00A6741E"/>
    <w:rsid w:val="00A75E40"/>
    <w:rsid w:val="00A77D1D"/>
    <w:rsid w:val="00A84A6A"/>
    <w:rsid w:val="00A857C0"/>
    <w:rsid w:val="00A90FED"/>
    <w:rsid w:val="00AA2996"/>
    <w:rsid w:val="00AA52BF"/>
    <w:rsid w:val="00AA559A"/>
    <w:rsid w:val="00AB2AF1"/>
    <w:rsid w:val="00AB535B"/>
    <w:rsid w:val="00AC45BD"/>
    <w:rsid w:val="00AD168E"/>
    <w:rsid w:val="00AD306C"/>
    <w:rsid w:val="00AD4F16"/>
    <w:rsid w:val="00AD68C4"/>
    <w:rsid w:val="00AE09B3"/>
    <w:rsid w:val="00AE0ED3"/>
    <w:rsid w:val="00AE1A83"/>
    <w:rsid w:val="00AE31A7"/>
    <w:rsid w:val="00AF6128"/>
    <w:rsid w:val="00B00913"/>
    <w:rsid w:val="00B01593"/>
    <w:rsid w:val="00B023F2"/>
    <w:rsid w:val="00B04705"/>
    <w:rsid w:val="00B07BBB"/>
    <w:rsid w:val="00B10A4D"/>
    <w:rsid w:val="00B14BC1"/>
    <w:rsid w:val="00B17E71"/>
    <w:rsid w:val="00B17FDE"/>
    <w:rsid w:val="00B2379C"/>
    <w:rsid w:val="00B25189"/>
    <w:rsid w:val="00B2687D"/>
    <w:rsid w:val="00B26897"/>
    <w:rsid w:val="00B32DDB"/>
    <w:rsid w:val="00B34528"/>
    <w:rsid w:val="00B34CC9"/>
    <w:rsid w:val="00B402FC"/>
    <w:rsid w:val="00B439DA"/>
    <w:rsid w:val="00B46604"/>
    <w:rsid w:val="00B530CD"/>
    <w:rsid w:val="00B55F5E"/>
    <w:rsid w:val="00B5752E"/>
    <w:rsid w:val="00B63A11"/>
    <w:rsid w:val="00B63B6A"/>
    <w:rsid w:val="00B64C24"/>
    <w:rsid w:val="00B6608F"/>
    <w:rsid w:val="00B679FB"/>
    <w:rsid w:val="00B71EF7"/>
    <w:rsid w:val="00B76D1E"/>
    <w:rsid w:val="00B8028A"/>
    <w:rsid w:val="00B80EC6"/>
    <w:rsid w:val="00B84CF6"/>
    <w:rsid w:val="00B92D1D"/>
    <w:rsid w:val="00B938C5"/>
    <w:rsid w:val="00B95940"/>
    <w:rsid w:val="00BA6C2B"/>
    <w:rsid w:val="00BB46F3"/>
    <w:rsid w:val="00BB4CB1"/>
    <w:rsid w:val="00BB4F98"/>
    <w:rsid w:val="00BC5C12"/>
    <w:rsid w:val="00BC7154"/>
    <w:rsid w:val="00BC731E"/>
    <w:rsid w:val="00BD366B"/>
    <w:rsid w:val="00BD6D50"/>
    <w:rsid w:val="00BE18B9"/>
    <w:rsid w:val="00BE2495"/>
    <w:rsid w:val="00BF1578"/>
    <w:rsid w:val="00BF723F"/>
    <w:rsid w:val="00C21F94"/>
    <w:rsid w:val="00C27913"/>
    <w:rsid w:val="00C27E4F"/>
    <w:rsid w:val="00C32964"/>
    <w:rsid w:val="00C33B68"/>
    <w:rsid w:val="00C36A79"/>
    <w:rsid w:val="00C401D2"/>
    <w:rsid w:val="00C405D4"/>
    <w:rsid w:val="00C4431F"/>
    <w:rsid w:val="00C4513B"/>
    <w:rsid w:val="00C5390B"/>
    <w:rsid w:val="00C54697"/>
    <w:rsid w:val="00C65535"/>
    <w:rsid w:val="00C71E85"/>
    <w:rsid w:val="00C72884"/>
    <w:rsid w:val="00C73885"/>
    <w:rsid w:val="00C747B1"/>
    <w:rsid w:val="00C82191"/>
    <w:rsid w:val="00C83134"/>
    <w:rsid w:val="00C85545"/>
    <w:rsid w:val="00C90CF4"/>
    <w:rsid w:val="00C92EB6"/>
    <w:rsid w:val="00C93389"/>
    <w:rsid w:val="00CA0914"/>
    <w:rsid w:val="00CA6AB4"/>
    <w:rsid w:val="00CB4930"/>
    <w:rsid w:val="00CC2E7D"/>
    <w:rsid w:val="00CD10A5"/>
    <w:rsid w:val="00CD2076"/>
    <w:rsid w:val="00CD29B5"/>
    <w:rsid w:val="00CD6331"/>
    <w:rsid w:val="00CE670B"/>
    <w:rsid w:val="00CF4908"/>
    <w:rsid w:val="00CF51EC"/>
    <w:rsid w:val="00CF73AE"/>
    <w:rsid w:val="00D040DD"/>
    <w:rsid w:val="00D075BE"/>
    <w:rsid w:val="00D13986"/>
    <w:rsid w:val="00D21D83"/>
    <w:rsid w:val="00D235B7"/>
    <w:rsid w:val="00D23C02"/>
    <w:rsid w:val="00D25F28"/>
    <w:rsid w:val="00D26071"/>
    <w:rsid w:val="00D27973"/>
    <w:rsid w:val="00D35E1A"/>
    <w:rsid w:val="00D42211"/>
    <w:rsid w:val="00D50F46"/>
    <w:rsid w:val="00D567C6"/>
    <w:rsid w:val="00D57677"/>
    <w:rsid w:val="00D66223"/>
    <w:rsid w:val="00D71625"/>
    <w:rsid w:val="00D751DA"/>
    <w:rsid w:val="00D8084C"/>
    <w:rsid w:val="00D915EA"/>
    <w:rsid w:val="00D96855"/>
    <w:rsid w:val="00DA48C1"/>
    <w:rsid w:val="00DA7C0C"/>
    <w:rsid w:val="00DB08A9"/>
    <w:rsid w:val="00DB2EC8"/>
    <w:rsid w:val="00DB5FC0"/>
    <w:rsid w:val="00DB6566"/>
    <w:rsid w:val="00DC1E84"/>
    <w:rsid w:val="00DC48F1"/>
    <w:rsid w:val="00DC5B3B"/>
    <w:rsid w:val="00DD129F"/>
    <w:rsid w:val="00DD4EFE"/>
    <w:rsid w:val="00DE02BD"/>
    <w:rsid w:val="00DF42FF"/>
    <w:rsid w:val="00DF5908"/>
    <w:rsid w:val="00E01C0E"/>
    <w:rsid w:val="00E03F9A"/>
    <w:rsid w:val="00E04694"/>
    <w:rsid w:val="00E063CE"/>
    <w:rsid w:val="00E12B1E"/>
    <w:rsid w:val="00E17262"/>
    <w:rsid w:val="00E253A2"/>
    <w:rsid w:val="00E3309D"/>
    <w:rsid w:val="00E43C1C"/>
    <w:rsid w:val="00E47EBA"/>
    <w:rsid w:val="00E50156"/>
    <w:rsid w:val="00E51643"/>
    <w:rsid w:val="00E53470"/>
    <w:rsid w:val="00E53874"/>
    <w:rsid w:val="00E539F6"/>
    <w:rsid w:val="00E6519D"/>
    <w:rsid w:val="00E67696"/>
    <w:rsid w:val="00E701C5"/>
    <w:rsid w:val="00E71A58"/>
    <w:rsid w:val="00E72A7A"/>
    <w:rsid w:val="00E75C94"/>
    <w:rsid w:val="00E920F4"/>
    <w:rsid w:val="00E93820"/>
    <w:rsid w:val="00E94A86"/>
    <w:rsid w:val="00E96143"/>
    <w:rsid w:val="00EA0987"/>
    <w:rsid w:val="00EA0C68"/>
    <w:rsid w:val="00EA32BC"/>
    <w:rsid w:val="00EA4302"/>
    <w:rsid w:val="00EB39C7"/>
    <w:rsid w:val="00EB3D8F"/>
    <w:rsid w:val="00EB4511"/>
    <w:rsid w:val="00EC03D7"/>
    <w:rsid w:val="00ED62C6"/>
    <w:rsid w:val="00ED64C1"/>
    <w:rsid w:val="00EE3446"/>
    <w:rsid w:val="00EE3E78"/>
    <w:rsid w:val="00EE4B1B"/>
    <w:rsid w:val="00EE7F19"/>
    <w:rsid w:val="00EF150D"/>
    <w:rsid w:val="00EF1F5A"/>
    <w:rsid w:val="00EF47BF"/>
    <w:rsid w:val="00EF6DB3"/>
    <w:rsid w:val="00F04811"/>
    <w:rsid w:val="00F0488C"/>
    <w:rsid w:val="00F10F11"/>
    <w:rsid w:val="00F15AAA"/>
    <w:rsid w:val="00F15BEF"/>
    <w:rsid w:val="00F24407"/>
    <w:rsid w:val="00F24931"/>
    <w:rsid w:val="00F24FAA"/>
    <w:rsid w:val="00F3364D"/>
    <w:rsid w:val="00F437CC"/>
    <w:rsid w:val="00F44537"/>
    <w:rsid w:val="00F44B6A"/>
    <w:rsid w:val="00F47067"/>
    <w:rsid w:val="00F50FC3"/>
    <w:rsid w:val="00F52106"/>
    <w:rsid w:val="00F525EB"/>
    <w:rsid w:val="00F63DDE"/>
    <w:rsid w:val="00F63FB7"/>
    <w:rsid w:val="00F6421B"/>
    <w:rsid w:val="00F649D2"/>
    <w:rsid w:val="00F6602B"/>
    <w:rsid w:val="00F66FD9"/>
    <w:rsid w:val="00F67C4E"/>
    <w:rsid w:val="00F73A0C"/>
    <w:rsid w:val="00F756DB"/>
    <w:rsid w:val="00F84E7D"/>
    <w:rsid w:val="00F85066"/>
    <w:rsid w:val="00F87A4D"/>
    <w:rsid w:val="00F9785E"/>
    <w:rsid w:val="00FA5D4D"/>
    <w:rsid w:val="00FA60AD"/>
    <w:rsid w:val="00FA7115"/>
    <w:rsid w:val="00FB0EE2"/>
    <w:rsid w:val="00FB4423"/>
    <w:rsid w:val="00FB542E"/>
    <w:rsid w:val="00FC0E5F"/>
    <w:rsid w:val="00FC1A95"/>
    <w:rsid w:val="00FC56DE"/>
    <w:rsid w:val="00FC684B"/>
    <w:rsid w:val="00FD3265"/>
    <w:rsid w:val="00FD5F92"/>
    <w:rsid w:val="00FD66F9"/>
    <w:rsid w:val="00FE2F78"/>
    <w:rsid w:val="00FF4082"/>
    <w:rsid w:val="00FF7090"/>
    <w:rsid w:val="00FF7B96"/>
    <w:rsid w:val="0274CEEB"/>
    <w:rsid w:val="11D0C0D9"/>
    <w:rsid w:val="1C7F89FF"/>
    <w:rsid w:val="304DB734"/>
    <w:rsid w:val="30D0B3BE"/>
    <w:rsid w:val="55C2456F"/>
    <w:rsid w:val="614CA75B"/>
    <w:rsid w:val="6B2670A5"/>
    <w:rsid w:val="6E1EAC99"/>
    <w:rsid w:val="7BDB84E4"/>
    <w:rsid w:val="7DB2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21432897"/>
  <w15:docId w15:val="{3A7C6927-7F52-4209-ABA9-A0ACA8657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EA0987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86BF5E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EA0987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86BF5E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EA0987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86BF5E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1041D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86BF5E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EA0987"/>
    <w:rPr>
      <w:rFonts w:ascii="Arial" w:eastAsia="MS Gothic" w:hAnsi="Arial"/>
      <w:b/>
      <w:bCs/>
      <w:color w:val="86BF5E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EA0987"/>
    <w:rPr>
      <w:rFonts w:ascii="Arial" w:eastAsia="MS Gothic" w:hAnsi="Arial"/>
      <w:b/>
      <w:bCs/>
      <w:color w:val="86BF5E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EA0987"/>
    <w:rPr>
      <w:rFonts w:ascii="Arial" w:eastAsia="MS Gothic" w:hAnsi="Arial"/>
      <w:b/>
      <w:bCs/>
      <w:color w:val="86BF5E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41041D"/>
    <w:rPr>
      <w:rFonts w:ascii="Arial" w:eastAsia="MS Gothic" w:hAnsi="Arial"/>
      <w:b/>
      <w:bCs/>
      <w:iCs/>
      <w:color w:val="86BF5E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0A57D4"/>
    <w:pPr>
      <w:spacing w:after="80" w:line="288" w:lineRule="auto"/>
    </w:pPr>
    <w:rPr>
      <w:rFonts w:ascii="Arial" w:eastAsia="Times New Roman" w:hAnsi="Arial"/>
      <w:b/>
      <w:color w:val="86BF5E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EA0987"/>
    <w:pPr>
      <w:shd w:val="clear" w:color="auto" w:fill="F0F6E9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EA0987"/>
    <w:pPr>
      <w:spacing w:before="240" w:after="240" w:line="276" w:lineRule="auto"/>
      <w:contextualSpacing/>
      <w:jc w:val="both"/>
    </w:pPr>
    <w:rPr>
      <w:rFonts w:ascii="Arial" w:hAnsi="Arial" w:cs="Arial"/>
      <w:color w:val="86BF5E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0A57D4"/>
    <w:pPr>
      <w:spacing w:after="40"/>
      <w:contextualSpacing/>
    </w:pPr>
    <w:rPr>
      <w:b/>
      <w:caps/>
      <w:sz w:val="24"/>
    </w:rPr>
  </w:style>
  <w:style w:type="paragraph" w:customStyle="1" w:styleId="TLKontakty">
    <w:name w:val="TL Kontakty"/>
    <w:qFormat/>
    <w:rsid w:val="000A57D4"/>
    <w:pPr>
      <w:spacing w:after="160" w:line="259" w:lineRule="auto"/>
      <w:contextualSpacing/>
    </w:pPr>
    <w:rPr>
      <w:rFonts w:ascii="Arial" w:eastAsia="Times New Roman" w:hAnsi="Arial"/>
      <w:b/>
      <w:color w:val="86BF5E"/>
      <w:lang w:eastAsia="cs-CZ"/>
    </w:rPr>
  </w:style>
  <w:style w:type="paragraph" w:styleId="Nzev">
    <w:name w:val="Title"/>
    <w:link w:val="NzevChar"/>
    <w:uiPriority w:val="10"/>
    <w:qFormat/>
    <w:rsid w:val="001E6062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1E6062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1E6062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E6062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7"/>
      </w:num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EA0987"/>
    <w:pPr>
      <w:shd w:val="clear" w:color="auto" w:fill="F0F6E9"/>
      <w:spacing w:before="240" w:after="240" w:line="276" w:lineRule="auto"/>
      <w:ind w:left="709"/>
      <w:contextualSpacing/>
      <w:jc w:val="both"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EA0987"/>
    <w:pPr>
      <w:spacing w:before="240" w:after="240" w:line="276" w:lineRule="auto"/>
      <w:ind w:left="709"/>
      <w:contextualSpacing/>
      <w:jc w:val="both"/>
    </w:pPr>
    <w:rPr>
      <w:rFonts w:ascii="Arial" w:hAnsi="Arial" w:cs="Arial"/>
      <w:b/>
      <w:color w:val="86BF5E"/>
      <w:lang w:eastAsia="cs-CZ"/>
    </w:rPr>
  </w:style>
  <w:style w:type="character" w:styleId="Zdraznnintenzivn">
    <w:name w:val="Intense Emphasis"/>
    <w:basedOn w:val="Standardnpsmoodstavce"/>
    <w:uiPriority w:val="21"/>
    <w:qFormat/>
    <w:rsid w:val="001E6062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32"/>
    <w:qFormat/>
    <w:rsid w:val="001E6062"/>
    <w:rPr>
      <w:b/>
      <w:bCs/>
      <w:smallCaps/>
      <w:color w:val="000000" w:themeColor="text1"/>
      <w:spacing w:val="5"/>
    </w:rPr>
  </w:style>
  <w:style w:type="character" w:styleId="Znakapoznpodarou">
    <w:name w:val="footnote reference"/>
    <w:basedOn w:val="Standardnpsmoodstavce"/>
    <w:rsid w:val="00E063CE"/>
    <w:rPr>
      <w:rFonts w:cs="Times New Roman"/>
      <w:vertAlign w:val="superscript"/>
    </w:rPr>
  </w:style>
  <w:style w:type="paragraph" w:customStyle="1" w:styleId="Nadpis11">
    <w:name w:val="Nadpis 11"/>
    <w:basedOn w:val="Normln"/>
    <w:uiPriority w:val="9"/>
    <w:qFormat/>
    <w:rsid w:val="008A6CB4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8A6CB4"/>
    <w:pPr>
      <w:spacing w:after="0" w:line="240" w:lineRule="auto"/>
      <w:jc w:val="left"/>
    </w:pPr>
    <w:rPr>
      <w:rFonts w:eastAsia="Calibri"/>
      <w:szCs w:val="20"/>
    </w:rPr>
  </w:style>
  <w:style w:type="character" w:styleId="Zdraznn">
    <w:name w:val="Emphasis"/>
    <w:basedOn w:val="Standardnpsmoodstavce"/>
    <w:uiPriority w:val="20"/>
    <w:qFormat/>
    <w:rsid w:val="00C4431F"/>
    <w:rPr>
      <w:i/>
      <w:iCs/>
    </w:rPr>
  </w:style>
  <w:style w:type="character" w:customStyle="1" w:styleId="normaltextrun">
    <w:name w:val="normaltextrun"/>
    <w:basedOn w:val="Standardnpsmoodstavce"/>
    <w:rsid w:val="00C4431F"/>
  </w:style>
  <w:style w:type="paragraph" w:customStyle="1" w:styleId="paragraph">
    <w:name w:val="paragraph"/>
    <w:basedOn w:val="Normln"/>
    <w:rsid w:val="00C4431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eop">
    <w:name w:val="eop"/>
    <w:basedOn w:val="Standardnpsmoodstavce"/>
    <w:rsid w:val="00C4431F"/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603FF5"/>
    <w:p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5455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4551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45512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55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5512"/>
    <w:rPr>
      <w:rFonts w:ascii="Arial" w:eastAsia="Times New Roman" w:hAnsi="Arial"/>
      <w:b/>
      <w:bCs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54551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4551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545512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customStyle="1" w:styleId="spelle">
    <w:name w:val="spelle"/>
    <w:basedOn w:val="Standardnpsmoodstavce"/>
    <w:rsid w:val="00545512"/>
  </w:style>
  <w:style w:type="paragraph" w:styleId="Revize">
    <w:name w:val="Revision"/>
    <w:hidden/>
    <w:uiPriority w:val="99"/>
    <w:semiHidden/>
    <w:rsid w:val="00545512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45512"/>
  </w:style>
  <w:style w:type="character" w:customStyle="1" w:styleId="tabulka">
    <w:name w:val="tabulka"/>
    <w:basedOn w:val="Standardnpsmoodstavce"/>
    <w:rsid w:val="00545512"/>
  </w:style>
  <w:style w:type="paragraph" w:customStyle="1" w:styleId="Default">
    <w:name w:val="Default"/>
    <w:rsid w:val="0054551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54551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455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45512"/>
    <w:rPr>
      <w:rFonts w:ascii="Courier New" w:eastAsia="Times New Roman" w:hAnsi="Courier New" w:cs="Courier New"/>
      <w:lang w:eastAsia="cs-CZ"/>
    </w:rPr>
  </w:style>
  <w:style w:type="paragraph" w:customStyle="1" w:styleId="cay">
    <w:name w:val="c_ay"/>
    <w:basedOn w:val="Normln"/>
    <w:rsid w:val="0054551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cew">
    <w:name w:val="c_ew"/>
    <w:basedOn w:val="Standardnpsmoodstavce"/>
    <w:rsid w:val="00545512"/>
  </w:style>
  <w:style w:type="character" w:styleId="Sledovanodkaz">
    <w:name w:val="FollowedHyperlink"/>
    <w:basedOn w:val="Standardnpsmoodstavce"/>
    <w:uiPriority w:val="99"/>
    <w:semiHidden/>
    <w:unhideWhenUsed/>
    <w:rsid w:val="005455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hart" Target="charts/chart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hart" Target="charts/chart2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zso.cz/csu/czso/metodicka-poznamka-k-indexu-spotrebitelskych-cen-imputovane-najemne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https://czsocz-my.sharepoint.com/personal/karolina_zabojnikova_czso_cz/Documents/Dokumenty/Anal&#253;za/Q/2024Q3/Makroanal&#253;za%20grafy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https://czsocz-my.sharepoint.com/personal/karolina_zabojnikova_czso_cz/Documents/Dokumenty/Anal&#253;za/Q/2024Q4/Makroanal&#253;za%20grafy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https://czsocz-my.sharepoint.com/personal/karolina_zabojnikova_czso_cz/Documents/Dokumenty/Anal&#253;za/Q/2024Q4/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8568840579710145E-2"/>
          <c:y val="2.1811315924220299E-2"/>
          <c:w val="0.92237743255066085"/>
          <c:h val="0.7147157521300415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'Ceny 2'!$C$5</c:f>
              <c:strCache>
                <c:ptCount val="1"/>
                <c:pt idx="0">
                  <c:v>Celkem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invertIfNegative val="0"/>
          <c:cat>
            <c:multiLvlStrRef>
              <c:f>'Ceny 2'!$A$10:$B$32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2019</c:v>
                  </c:pt>
                  <c:pt idx="4">
                    <c:v>2020</c:v>
                  </c:pt>
                  <c:pt idx="8">
                    <c:v>2021</c:v>
                  </c:pt>
                  <c:pt idx="12">
                    <c:v>2022</c:v>
                  </c:pt>
                  <c:pt idx="16">
                    <c:v>2023</c:v>
                  </c:pt>
                  <c:pt idx="20">
                    <c:v>2024</c:v>
                  </c:pt>
                </c:lvl>
              </c:multiLvlStrCache>
            </c:multiLvlStrRef>
          </c:cat>
          <c:val>
            <c:numRef>
              <c:f>'Ceny 2'!$C$10:$C$32</c:f>
              <c:numCache>
                <c:formatCode>0.0</c:formatCode>
                <c:ptCount val="23"/>
                <c:pt idx="0">
                  <c:v>2.7</c:v>
                </c:pt>
                <c:pt idx="1">
                  <c:v>2.8</c:v>
                </c:pt>
                <c:pt idx="2">
                  <c:v>2.8</c:v>
                </c:pt>
                <c:pt idx="3">
                  <c:v>3</c:v>
                </c:pt>
                <c:pt idx="4">
                  <c:v>3.6</c:v>
                </c:pt>
                <c:pt idx="5">
                  <c:v>3.1</c:v>
                </c:pt>
                <c:pt idx="6">
                  <c:v>3.3</c:v>
                </c:pt>
                <c:pt idx="7">
                  <c:v>2.6</c:v>
                </c:pt>
                <c:pt idx="8">
                  <c:v>2.2000000000000002</c:v>
                </c:pt>
                <c:pt idx="9">
                  <c:v>2.9</c:v>
                </c:pt>
                <c:pt idx="10">
                  <c:v>4.0999999999999996</c:v>
                </c:pt>
                <c:pt idx="11">
                  <c:v>6.1</c:v>
                </c:pt>
                <c:pt idx="12">
                  <c:v>11.2</c:v>
                </c:pt>
                <c:pt idx="13">
                  <c:v>15.8</c:v>
                </c:pt>
                <c:pt idx="14">
                  <c:v>17.600000000000001</c:v>
                </c:pt>
                <c:pt idx="15">
                  <c:v>15.7</c:v>
                </c:pt>
                <c:pt idx="16">
                  <c:v>16.399999999999999</c:v>
                </c:pt>
                <c:pt idx="17">
                  <c:v>11.1</c:v>
                </c:pt>
                <c:pt idx="18">
                  <c:v>8</c:v>
                </c:pt>
                <c:pt idx="19">
                  <c:v>7.6</c:v>
                </c:pt>
                <c:pt idx="20">
                  <c:v>2.1</c:v>
                </c:pt>
                <c:pt idx="21">
                  <c:v>2.5</c:v>
                </c:pt>
                <c:pt idx="22">
                  <c:v>2.2999999999999998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6E8-4777-8E41-B0CD985F45C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axId val="270120064"/>
        <c:axId val="270121600"/>
      </c:barChart>
      <c:lineChart>
        <c:grouping val="standard"/>
        <c:varyColors val="0"/>
        <c:ser>
          <c:idx val="1"/>
          <c:order val="1"/>
          <c:tx>
            <c:strRef>
              <c:f>'Ceny 2'!$D$5</c:f>
              <c:strCache>
                <c:ptCount val="1"/>
                <c:pt idx="0">
                  <c:v>Potraviny a nealkoholické nápoje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'Ceny 2'!$A$10:$B$32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2019</c:v>
                  </c:pt>
                  <c:pt idx="4">
                    <c:v>2020</c:v>
                  </c:pt>
                  <c:pt idx="8">
                    <c:v>2021</c:v>
                  </c:pt>
                  <c:pt idx="12">
                    <c:v>2022</c:v>
                  </c:pt>
                  <c:pt idx="16">
                    <c:v>2023</c:v>
                  </c:pt>
                  <c:pt idx="20">
                    <c:v>2024</c:v>
                  </c:pt>
                </c:lvl>
              </c:multiLvlStrCache>
            </c:multiLvlStrRef>
          </c:cat>
          <c:val>
            <c:numRef>
              <c:f>'Ceny 2'!$D$10:$D$32</c:f>
              <c:numCache>
                <c:formatCode>0.0</c:formatCode>
                <c:ptCount val="23"/>
                <c:pt idx="0">
                  <c:v>1</c:v>
                </c:pt>
                <c:pt idx="1">
                  <c:v>2.5</c:v>
                </c:pt>
                <c:pt idx="2">
                  <c:v>3.5</c:v>
                </c:pt>
                <c:pt idx="3">
                  <c:v>4.3</c:v>
                </c:pt>
                <c:pt idx="4">
                  <c:v>6.1</c:v>
                </c:pt>
                <c:pt idx="5">
                  <c:v>6.5</c:v>
                </c:pt>
                <c:pt idx="6">
                  <c:v>4</c:v>
                </c:pt>
                <c:pt idx="7">
                  <c:v>1.7</c:v>
                </c:pt>
                <c:pt idx="8">
                  <c:v>0.3</c:v>
                </c:pt>
                <c:pt idx="9">
                  <c:v>-0.8</c:v>
                </c:pt>
                <c:pt idx="10">
                  <c:v>1.4</c:v>
                </c:pt>
                <c:pt idx="11">
                  <c:v>2.2999999999999998</c:v>
                </c:pt>
                <c:pt idx="12">
                  <c:v>6.7</c:v>
                </c:pt>
                <c:pt idx="13">
                  <c:v>14.6</c:v>
                </c:pt>
                <c:pt idx="14">
                  <c:v>20</c:v>
                </c:pt>
                <c:pt idx="15">
                  <c:v>25.5</c:v>
                </c:pt>
                <c:pt idx="16">
                  <c:v>24.1</c:v>
                </c:pt>
                <c:pt idx="17">
                  <c:v>14.6</c:v>
                </c:pt>
                <c:pt idx="18">
                  <c:v>7.8</c:v>
                </c:pt>
                <c:pt idx="19">
                  <c:v>1.6</c:v>
                </c:pt>
                <c:pt idx="20">
                  <c:v>-4.9000000000000004</c:v>
                </c:pt>
                <c:pt idx="21">
                  <c:v>-3.6</c:v>
                </c:pt>
                <c:pt idx="22">
                  <c:v>-1.4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D6E8-4777-8E41-B0CD985F45C2}"/>
            </c:ext>
          </c:extLst>
        </c:ser>
        <c:ser>
          <c:idx val="3"/>
          <c:order val="2"/>
          <c:tx>
            <c:strRef>
              <c:f>'Ceny 2'!$F$5</c:f>
              <c:strCache>
                <c:ptCount val="1"/>
                <c:pt idx="0">
                  <c:v>Bydlení a energie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'Ceny 2'!$A$10:$B$32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2019</c:v>
                  </c:pt>
                  <c:pt idx="4">
                    <c:v>2020</c:v>
                  </c:pt>
                  <c:pt idx="8">
                    <c:v>2021</c:v>
                  </c:pt>
                  <c:pt idx="12">
                    <c:v>2022</c:v>
                  </c:pt>
                  <c:pt idx="16">
                    <c:v>2023</c:v>
                  </c:pt>
                  <c:pt idx="20">
                    <c:v>2024</c:v>
                  </c:pt>
                </c:lvl>
              </c:multiLvlStrCache>
            </c:multiLvlStrRef>
          </c:cat>
          <c:val>
            <c:numRef>
              <c:f>'Ceny 2'!$F$10:$F$32</c:f>
              <c:numCache>
                <c:formatCode>0.0</c:formatCode>
                <c:ptCount val="23"/>
                <c:pt idx="0">
                  <c:v>5.4</c:v>
                </c:pt>
                <c:pt idx="1">
                  <c:v>5.7</c:v>
                </c:pt>
                <c:pt idx="2">
                  <c:v>5.2</c:v>
                </c:pt>
                <c:pt idx="3">
                  <c:v>5</c:v>
                </c:pt>
                <c:pt idx="4">
                  <c:v>4.2</c:v>
                </c:pt>
                <c:pt idx="5">
                  <c:v>3.2</c:v>
                </c:pt>
                <c:pt idx="6">
                  <c:v>2.7</c:v>
                </c:pt>
                <c:pt idx="7">
                  <c:v>1.4</c:v>
                </c:pt>
                <c:pt idx="8">
                  <c:v>0.6</c:v>
                </c:pt>
                <c:pt idx="9">
                  <c:v>1.3</c:v>
                </c:pt>
                <c:pt idx="10">
                  <c:v>3.6</c:v>
                </c:pt>
                <c:pt idx="11">
                  <c:v>5.6</c:v>
                </c:pt>
                <c:pt idx="12">
                  <c:v>16</c:v>
                </c:pt>
                <c:pt idx="13">
                  <c:v>21.4</c:v>
                </c:pt>
                <c:pt idx="14">
                  <c:v>23.6</c:v>
                </c:pt>
                <c:pt idx="15">
                  <c:v>14.9</c:v>
                </c:pt>
                <c:pt idx="16">
                  <c:v>22.2</c:v>
                </c:pt>
                <c:pt idx="17">
                  <c:v>16</c:v>
                </c:pt>
                <c:pt idx="18">
                  <c:v>11.6</c:v>
                </c:pt>
                <c:pt idx="19">
                  <c:v>17.8</c:v>
                </c:pt>
                <c:pt idx="20">
                  <c:v>3.4</c:v>
                </c:pt>
                <c:pt idx="21">
                  <c:v>3.1</c:v>
                </c:pt>
                <c:pt idx="22">
                  <c:v>3.2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D6E8-4777-8E41-B0CD985F45C2}"/>
            </c:ext>
          </c:extLst>
        </c:ser>
        <c:ser>
          <c:idx val="4"/>
          <c:order val="3"/>
          <c:tx>
            <c:strRef>
              <c:f>'Ceny 2'!$G$5</c:f>
              <c:strCache>
                <c:ptCount val="1"/>
                <c:pt idx="0">
                  <c:v>Doprava</c:v>
                </c:pt>
              </c:strCache>
            </c:strRef>
          </c:tx>
          <c:spPr>
            <a:ln w="19050">
              <a:solidFill>
                <a:srgbClr val="FFC000"/>
              </a:solidFill>
            </a:ln>
          </c:spPr>
          <c:marker>
            <c:symbol val="none"/>
          </c:marker>
          <c:cat>
            <c:multiLvlStrRef>
              <c:f>'Ceny 2'!$A$10:$B$32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2019</c:v>
                  </c:pt>
                  <c:pt idx="4">
                    <c:v>2020</c:v>
                  </c:pt>
                  <c:pt idx="8">
                    <c:v>2021</c:v>
                  </c:pt>
                  <c:pt idx="12">
                    <c:v>2022</c:v>
                  </c:pt>
                  <c:pt idx="16">
                    <c:v>2023</c:v>
                  </c:pt>
                  <c:pt idx="20">
                    <c:v>2024</c:v>
                  </c:pt>
                </c:lvl>
              </c:multiLvlStrCache>
            </c:multiLvlStrRef>
          </c:cat>
          <c:val>
            <c:numRef>
              <c:f>'Ceny 2'!$G$10:$G$32</c:f>
              <c:numCache>
                <c:formatCode>0.0</c:formatCode>
                <c:ptCount val="23"/>
                <c:pt idx="0">
                  <c:v>0.6</c:v>
                </c:pt>
                <c:pt idx="1">
                  <c:v>0.8</c:v>
                </c:pt>
                <c:pt idx="2">
                  <c:v>-0.2</c:v>
                </c:pt>
                <c:pt idx="3">
                  <c:v>0.5</c:v>
                </c:pt>
                <c:pt idx="4" formatCode="General">
                  <c:v>1.7</c:v>
                </c:pt>
                <c:pt idx="5">
                  <c:v>-3.4</c:v>
                </c:pt>
                <c:pt idx="6">
                  <c:v>-0.2</c:v>
                </c:pt>
                <c:pt idx="7">
                  <c:v>0.6</c:v>
                </c:pt>
                <c:pt idx="8">
                  <c:v>2.4</c:v>
                </c:pt>
                <c:pt idx="9">
                  <c:v>9.1</c:v>
                </c:pt>
                <c:pt idx="10">
                  <c:v>8.8000000000000007</c:v>
                </c:pt>
                <c:pt idx="11">
                  <c:v>13.1</c:v>
                </c:pt>
                <c:pt idx="12">
                  <c:v>17.2</c:v>
                </c:pt>
                <c:pt idx="13">
                  <c:v>22.7</c:v>
                </c:pt>
                <c:pt idx="14">
                  <c:v>19.7</c:v>
                </c:pt>
                <c:pt idx="15">
                  <c:v>13.1</c:v>
                </c:pt>
                <c:pt idx="16">
                  <c:v>4.5</c:v>
                </c:pt>
                <c:pt idx="17">
                  <c:v>-4</c:v>
                </c:pt>
                <c:pt idx="18">
                  <c:v>-2.4</c:v>
                </c:pt>
                <c:pt idx="19">
                  <c:v>-1.6</c:v>
                </c:pt>
                <c:pt idx="20">
                  <c:v>1.7</c:v>
                </c:pt>
                <c:pt idx="21">
                  <c:v>4.5999999999999996</c:v>
                </c:pt>
                <c:pt idx="22">
                  <c:v>0.9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D6E8-4777-8E41-B0CD985F45C2}"/>
            </c:ext>
          </c:extLst>
        </c:ser>
        <c:ser>
          <c:idx val="2"/>
          <c:order val="4"/>
          <c:tx>
            <c:strRef>
              <c:f>'Ceny 2'!$E$5</c:f>
              <c:strCache>
                <c:ptCount val="1"/>
                <c:pt idx="0">
                  <c:v>Alkoholické nápoje a tabák</c:v>
                </c:pt>
              </c:strCache>
              <c:extLst xmlns:c15="http://schemas.microsoft.com/office/drawing/2012/chart"/>
            </c:strRef>
          </c:tx>
          <c:spPr>
            <a:ln w="19050">
              <a:solidFill>
                <a:srgbClr val="FF0000"/>
              </a:solidFill>
            </a:ln>
          </c:spPr>
          <c:marker>
            <c:symbol val="none"/>
          </c:marker>
          <c:cat>
            <c:multiLvlStrRef>
              <c:f>'Ceny 2'!$A$10:$B$32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2019</c:v>
                  </c:pt>
                  <c:pt idx="4">
                    <c:v>2020</c:v>
                  </c:pt>
                  <c:pt idx="8">
                    <c:v>2021</c:v>
                  </c:pt>
                  <c:pt idx="12">
                    <c:v>2022</c:v>
                  </c:pt>
                  <c:pt idx="16">
                    <c:v>2023</c:v>
                  </c:pt>
                  <c:pt idx="20">
                    <c:v>2024</c:v>
                  </c:pt>
                </c:lvl>
              </c:multiLvlStrCache>
            </c:multiLvlStrRef>
          </c:cat>
          <c:val>
            <c:numRef>
              <c:f>'Ceny 2'!$E$10:$E$32</c:f>
              <c:numCache>
                <c:formatCode>0.0</c:formatCode>
                <c:ptCount val="23"/>
                <c:pt idx="0">
                  <c:v>3.3</c:v>
                </c:pt>
                <c:pt idx="1">
                  <c:v>1.7</c:v>
                </c:pt>
                <c:pt idx="2">
                  <c:v>1.9</c:v>
                </c:pt>
                <c:pt idx="3">
                  <c:v>1.8</c:v>
                </c:pt>
                <c:pt idx="4" formatCode="General">
                  <c:v>3.5</c:v>
                </c:pt>
                <c:pt idx="5">
                  <c:v>6.6</c:v>
                </c:pt>
                <c:pt idx="6">
                  <c:v>10.3</c:v>
                </c:pt>
                <c:pt idx="7">
                  <c:v>9.9</c:v>
                </c:pt>
                <c:pt idx="8">
                  <c:v>9.9</c:v>
                </c:pt>
                <c:pt idx="9">
                  <c:v>9.8000000000000007</c:v>
                </c:pt>
                <c:pt idx="10">
                  <c:v>6.5</c:v>
                </c:pt>
                <c:pt idx="11">
                  <c:v>7.7</c:v>
                </c:pt>
                <c:pt idx="12">
                  <c:v>7.1</c:v>
                </c:pt>
                <c:pt idx="13">
                  <c:v>5.6</c:v>
                </c:pt>
                <c:pt idx="14">
                  <c:v>6.3</c:v>
                </c:pt>
                <c:pt idx="15">
                  <c:v>6</c:v>
                </c:pt>
                <c:pt idx="16">
                  <c:v>6.8</c:v>
                </c:pt>
                <c:pt idx="17">
                  <c:v>6.5</c:v>
                </c:pt>
                <c:pt idx="18">
                  <c:v>7.2</c:v>
                </c:pt>
                <c:pt idx="19">
                  <c:v>5.9</c:v>
                </c:pt>
                <c:pt idx="20">
                  <c:v>4.7</c:v>
                </c:pt>
                <c:pt idx="21">
                  <c:v>6.2</c:v>
                </c:pt>
                <c:pt idx="22">
                  <c:v>4.5999999999999996</c:v>
                </c:pt>
              </c:numCache>
            </c:numRef>
          </c:val>
          <c:smooth val="0"/>
          <c:extLst xmlns:c15="http://schemas.microsoft.com/office/drawing/2012/chart">
            <c:ext xmlns:c16="http://schemas.microsoft.com/office/drawing/2014/chart" uri="{C3380CC4-5D6E-409C-BE32-E72D297353CC}">
              <c16:uniqueId val="{00000004-D6E8-4777-8E41-B0CD985F45C2}"/>
            </c:ext>
          </c:extLst>
        </c:ser>
        <c:ser>
          <c:idx val="5"/>
          <c:order val="5"/>
          <c:tx>
            <c:strRef>
              <c:f>'Ceny 2'!$H$5</c:f>
              <c:strCache>
                <c:ptCount val="1"/>
                <c:pt idx="0">
                  <c:v>Stravování a ubytování</c:v>
                </c:pt>
              </c:strCache>
            </c:strRef>
          </c:tx>
          <c:spPr>
            <a:ln w="19050">
              <a:solidFill>
                <a:srgbClr val="7030A0"/>
              </a:solidFill>
            </a:ln>
          </c:spPr>
          <c:marker>
            <c:symbol val="none"/>
          </c:marker>
          <c:cat>
            <c:multiLvlStrRef>
              <c:f>'Ceny 2'!$A$10:$B$32</c:f>
              <c:multiLvlStrCache>
                <c:ptCount val="2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</c:lvl>
                <c:lvl>
                  <c:pt idx="0">
                    <c:v>2019</c:v>
                  </c:pt>
                  <c:pt idx="4">
                    <c:v>2020</c:v>
                  </c:pt>
                  <c:pt idx="8">
                    <c:v>2021</c:v>
                  </c:pt>
                  <c:pt idx="12">
                    <c:v>2022</c:v>
                  </c:pt>
                  <c:pt idx="16">
                    <c:v>2023</c:v>
                  </c:pt>
                  <c:pt idx="20">
                    <c:v>2024</c:v>
                  </c:pt>
                </c:lvl>
              </c:multiLvlStrCache>
            </c:multiLvlStrRef>
          </c:cat>
          <c:val>
            <c:numRef>
              <c:f>'Ceny 2'!$H$10:$H$32</c:f>
              <c:numCache>
                <c:formatCode>0.0</c:formatCode>
                <c:ptCount val="23"/>
                <c:pt idx="0">
                  <c:v>3.8</c:v>
                </c:pt>
                <c:pt idx="1">
                  <c:v>4</c:v>
                </c:pt>
                <c:pt idx="2">
                  <c:v>4.5</c:v>
                </c:pt>
                <c:pt idx="3">
                  <c:v>4.5999999999999996</c:v>
                </c:pt>
                <c:pt idx="4">
                  <c:v>5.5</c:v>
                </c:pt>
                <c:pt idx="5">
                  <c:v>5.0999999999999996</c:v>
                </c:pt>
                <c:pt idx="6">
                  <c:v>4.9000000000000004</c:v>
                </c:pt>
                <c:pt idx="7">
                  <c:v>4.3</c:v>
                </c:pt>
                <c:pt idx="8">
                  <c:v>3</c:v>
                </c:pt>
                <c:pt idx="9">
                  <c:v>2.9</c:v>
                </c:pt>
                <c:pt idx="10">
                  <c:v>4.5999999999999996</c:v>
                </c:pt>
                <c:pt idx="11">
                  <c:v>6.8</c:v>
                </c:pt>
                <c:pt idx="12">
                  <c:v>12.3</c:v>
                </c:pt>
                <c:pt idx="13">
                  <c:v>21.4</c:v>
                </c:pt>
                <c:pt idx="14">
                  <c:v>24.3</c:v>
                </c:pt>
                <c:pt idx="15">
                  <c:v>25.6</c:v>
                </c:pt>
                <c:pt idx="16">
                  <c:v>22.4</c:v>
                </c:pt>
                <c:pt idx="17">
                  <c:v>15.4</c:v>
                </c:pt>
                <c:pt idx="18">
                  <c:v>11.6</c:v>
                </c:pt>
                <c:pt idx="19">
                  <c:v>8.8000000000000007</c:v>
                </c:pt>
                <c:pt idx="20">
                  <c:v>8.6</c:v>
                </c:pt>
                <c:pt idx="21">
                  <c:v>7.8</c:v>
                </c:pt>
                <c:pt idx="22">
                  <c:v>7.2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D6E8-4777-8E41-B0CD985F45C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0120064"/>
        <c:axId val="270121600"/>
        <c:extLst>
          <c:ext xmlns:c15="http://schemas.microsoft.com/office/drawing/2012/chart" uri="{02D57815-91ED-43cb-92C2-25804820EDAC}">
            <c15:filteredLineSeries>
              <c15:ser>
                <c:idx val="6"/>
                <c:order val="6"/>
                <c:tx>
                  <c:strRef>
                    <c:extLst>
                      <c:ext uri="{02D57815-91ED-43cb-92C2-25804820EDAC}">
                        <c15:formulaRef>
                          <c15:sqref>'Ceny 2'!$I$5</c15:sqref>
                        </c15:formulaRef>
                      </c:ext>
                    </c:extLst>
                    <c:strCache>
                      <c:ptCount val="1"/>
                      <c:pt idx="0">
                        <c:v>Rekreace a kultura</c:v>
                      </c:pt>
                    </c:strCache>
                  </c:strRef>
                </c:tx>
                <c:spPr>
                  <a:ln w="19050">
                    <a:solidFill>
                      <a:srgbClr val="FF0000"/>
                    </a:solidFill>
                  </a:ln>
                </c:spPr>
                <c:marker>
                  <c:symbol val="none"/>
                </c:marker>
                <c:cat>
                  <c:multiLvlStrRef>
                    <c:extLst>
                      <c:ext uri="{02D57815-91ED-43cb-92C2-25804820EDAC}">
                        <c15:formulaRef>
                          <c15:sqref>'Ceny 2'!$A$10:$B$32</c15:sqref>
                        </c15:formulaRef>
                      </c:ext>
                    </c:extLst>
                    <c:multiLvlStrCache>
                      <c:ptCount val="23"/>
                      <c:lvl>
                        <c:pt idx="0">
                          <c:v>1</c:v>
                        </c:pt>
                        <c:pt idx="1">
                          <c:v>2</c:v>
                        </c:pt>
                        <c:pt idx="2">
                          <c:v>3</c:v>
                        </c:pt>
                        <c:pt idx="3">
                          <c:v>4</c:v>
                        </c:pt>
                        <c:pt idx="4">
                          <c:v>1</c:v>
                        </c:pt>
                        <c:pt idx="5">
                          <c:v>2</c:v>
                        </c:pt>
                        <c:pt idx="6">
                          <c:v>3</c:v>
                        </c:pt>
                        <c:pt idx="7">
                          <c:v>4</c:v>
                        </c:pt>
                        <c:pt idx="8">
                          <c:v>1</c:v>
                        </c:pt>
                        <c:pt idx="9">
                          <c:v>2</c:v>
                        </c:pt>
                        <c:pt idx="10">
                          <c:v>3</c:v>
                        </c:pt>
                        <c:pt idx="11">
                          <c:v>4</c:v>
                        </c:pt>
                        <c:pt idx="12">
                          <c:v>1</c:v>
                        </c:pt>
                        <c:pt idx="13">
                          <c:v>2</c:v>
                        </c:pt>
                        <c:pt idx="14">
                          <c:v>3</c:v>
                        </c:pt>
                        <c:pt idx="15">
                          <c:v>4</c:v>
                        </c:pt>
                        <c:pt idx="16">
                          <c:v>1</c:v>
                        </c:pt>
                        <c:pt idx="17">
                          <c:v>2</c:v>
                        </c:pt>
                        <c:pt idx="18">
                          <c:v>3</c:v>
                        </c:pt>
                        <c:pt idx="19">
                          <c:v>4</c:v>
                        </c:pt>
                        <c:pt idx="20">
                          <c:v>1</c:v>
                        </c:pt>
                        <c:pt idx="21">
                          <c:v>2</c:v>
                        </c:pt>
                        <c:pt idx="22">
                          <c:v>3</c:v>
                        </c:pt>
                      </c:lvl>
                      <c:lvl>
                        <c:pt idx="0">
                          <c:v>2019</c:v>
                        </c:pt>
                        <c:pt idx="4">
                          <c:v>2020</c:v>
                        </c:pt>
                        <c:pt idx="8">
                          <c:v>2021</c:v>
                        </c:pt>
                        <c:pt idx="12">
                          <c:v>2022</c:v>
                        </c:pt>
                        <c:pt idx="16">
                          <c:v>2023</c:v>
                        </c:pt>
                        <c:pt idx="20">
                          <c:v>2024</c:v>
                        </c:pt>
                      </c:lvl>
                    </c:multiLvlStrCache>
                  </c:multiLvlStrRef>
                </c:cat>
                <c:val>
                  <c:numRef>
                    <c:extLst>
                      <c:ext uri="{02D57815-91ED-43cb-92C2-25804820EDAC}">
                        <c15:formulaRef>
                          <c15:sqref>'Ceny 2'!$I$10:$I$30</c15:sqref>
                        </c15:formulaRef>
                      </c:ext>
                    </c:extLst>
                    <c:numCache>
                      <c:formatCode>General</c:formatCode>
                      <c:ptCount val="21"/>
                      <c:pt idx="0">
                        <c:v>1.7000000000000028</c:v>
                      </c:pt>
                      <c:pt idx="1">
                        <c:v>1</c:v>
                      </c:pt>
                      <c:pt idx="2">
                        <c:v>1.7000000000000028</c:v>
                      </c:pt>
                      <c:pt idx="3">
                        <c:v>2.0999999999999943</c:v>
                      </c:pt>
                      <c:pt idx="4">
                        <c:v>2.0999999999999943</c:v>
                      </c:pt>
                      <c:pt idx="5">
                        <c:v>2</c:v>
                      </c:pt>
                      <c:pt idx="6">
                        <c:v>2.2000000000000028</c:v>
                      </c:pt>
                      <c:pt idx="7">
                        <c:v>2.5</c:v>
                      </c:pt>
                      <c:pt idx="8">
                        <c:v>1.4000000000000057</c:v>
                      </c:pt>
                      <c:pt idx="9">
                        <c:v>2</c:v>
                      </c:pt>
                      <c:pt idx="10">
                        <c:v>3.0999999999999943</c:v>
                      </c:pt>
                      <c:pt idx="11">
                        <c:v>5.2999999999999972</c:v>
                      </c:pt>
                      <c:pt idx="12">
                        <c:v>8.5</c:v>
                      </c:pt>
                      <c:pt idx="13">
                        <c:v>11.299999999999997</c:v>
                      </c:pt>
                      <c:pt idx="14">
                        <c:v>12.599999999999994</c:v>
                      </c:pt>
                      <c:pt idx="15" formatCode="0.0">
                        <c:v>13.2</c:v>
                      </c:pt>
                      <c:pt idx="16" formatCode="0.0">
                        <c:v>14</c:v>
                      </c:pt>
                      <c:pt idx="17" formatCode="0.0">
                        <c:v>11.7</c:v>
                      </c:pt>
                      <c:pt idx="18" formatCode="0.0">
                        <c:v>9.6999999999999993</c:v>
                      </c:pt>
                      <c:pt idx="19" formatCode="0.0">
                        <c:v>6.9</c:v>
                      </c:pt>
                      <c:pt idx="20" formatCode="0.0">
                        <c:v>4.4000000000000004</c:v>
                      </c:pt>
                    </c:numCache>
                  </c:numRef>
                </c:val>
                <c:smooth val="0"/>
                <c:extLst>
                  <c:ext xmlns:c16="http://schemas.microsoft.com/office/drawing/2014/chart" uri="{C3380CC4-5D6E-409C-BE32-E72D297353CC}">
                    <c16:uniqueId val="{00000006-D6E8-4777-8E41-B0CD985F45C2}"/>
                  </c:ext>
                </c:extLst>
              </c15:ser>
            </c15:filteredLineSeries>
            <c15:filteredLineSeries>
              <c15:ser>
                <c:idx val="7"/>
                <c:order val="7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'Ceny 2'!$J$5</c15:sqref>
                        </c15:formulaRef>
                      </c:ext>
                    </c:extLst>
                    <c:strCache>
                      <c:ptCount val="1"/>
                      <c:pt idx="0">
                        <c:v>Odívání a obuv</c:v>
                      </c:pt>
                    </c:strCache>
                  </c:strRef>
                </c:tx>
                <c:spPr>
                  <a:ln w="19050">
                    <a:solidFill>
                      <a:srgbClr val="E8AFB2"/>
                    </a:solidFill>
                  </a:ln>
                </c:spPr>
                <c:marker>
                  <c:symbol val="none"/>
                </c:marker>
                <c:cat>
                  <c:multiLvl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'Ceny 2'!$A$10:$B$32</c15:sqref>
                        </c15:formulaRef>
                      </c:ext>
                    </c:extLst>
                    <c:multiLvlStrCache>
                      <c:ptCount val="23"/>
                      <c:lvl>
                        <c:pt idx="0">
                          <c:v>1</c:v>
                        </c:pt>
                        <c:pt idx="1">
                          <c:v>2</c:v>
                        </c:pt>
                        <c:pt idx="2">
                          <c:v>3</c:v>
                        </c:pt>
                        <c:pt idx="3">
                          <c:v>4</c:v>
                        </c:pt>
                        <c:pt idx="4">
                          <c:v>1</c:v>
                        </c:pt>
                        <c:pt idx="5">
                          <c:v>2</c:v>
                        </c:pt>
                        <c:pt idx="6">
                          <c:v>3</c:v>
                        </c:pt>
                        <c:pt idx="7">
                          <c:v>4</c:v>
                        </c:pt>
                        <c:pt idx="8">
                          <c:v>1</c:v>
                        </c:pt>
                        <c:pt idx="9">
                          <c:v>2</c:v>
                        </c:pt>
                        <c:pt idx="10">
                          <c:v>3</c:v>
                        </c:pt>
                        <c:pt idx="11">
                          <c:v>4</c:v>
                        </c:pt>
                        <c:pt idx="12">
                          <c:v>1</c:v>
                        </c:pt>
                        <c:pt idx="13">
                          <c:v>2</c:v>
                        </c:pt>
                        <c:pt idx="14">
                          <c:v>3</c:v>
                        </c:pt>
                        <c:pt idx="15">
                          <c:v>4</c:v>
                        </c:pt>
                        <c:pt idx="16">
                          <c:v>1</c:v>
                        </c:pt>
                        <c:pt idx="17">
                          <c:v>2</c:v>
                        </c:pt>
                        <c:pt idx="18">
                          <c:v>3</c:v>
                        </c:pt>
                        <c:pt idx="19">
                          <c:v>4</c:v>
                        </c:pt>
                        <c:pt idx="20">
                          <c:v>1</c:v>
                        </c:pt>
                        <c:pt idx="21">
                          <c:v>2</c:v>
                        </c:pt>
                        <c:pt idx="22">
                          <c:v>3</c:v>
                        </c:pt>
                      </c:lvl>
                      <c:lvl>
                        <c:pt idx="0">
                          <c:v>2019</c:v>
                        </c:pt>
                        <c:pt idx="4">
                          <c:v>2020</c:v>
                        </c:pt>
                        <c:pt idx="8">
                          <c:v>2021</c:v>
                        </c:pt>
                        <c:pt idx="12">
                          <c:v>2022</c:v>
                        </c:pt>
                        <c:pt idx="16">
                          <c:v>2023</c:v>
                        </c:pt>
                        <c:pt idx="20">
                          <c:v>2024</c:v>
                        </c:pt>
                      </c:lvl>
                    </c:multiLvlStrCache>
                  </c:multiLvl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'Ceny 2'!$J$6:$J$24</c15:sqref>
                        </c15:formulaRef>
                      </c:ext>
                    </c:extLst>
                    <c:numCache>
                      <c:formatCode>General</c:formatCode>
                      <c:ptCount val="19"/>
                      <c:pt idx="0">
                        <c:v>-0.29999999999999716</c:v>
                      </c:pt>
                      <c:pt idx="1">
                        <c:v>-1</c:v>
                      </c:pt>
                      <c:pt idx="2">
                        <c:v>-1.4000000000000057</c:v>
                      </c:pt>
                      <c:pt idx="3">
                        <c:v>-1.7000000000000028</c:v>
                      </c:pt>
                      <c:pt idx="4">
                        <c:v>-1.0999999999999943</c:v>
                      </c:pt>
                      <c:pt idx="5">
                        <c:v>-1.9000000000000057</c:v>
                      </c:pt>
                      <c:pt idx="6">
                        <c:v>-1.5</c:v>
                      </c:pt>
                      <c:pt idx="7">
                        <c:v>-0.29999999999999716</c:v>
                      </c:pt>
                      <c:pt idx="8">
                        <c:v>3.5</c:v>
                      </c:pt>
                      <c:pt idx="9">
                        <c:v>3.4000000000000057</c:v>
                      </c:pt>
                      <c:pt idx="10">
                        <c:v>4.5</c:v>
                      </c:pt>
                      <c:pt idx="11">
                        <c:v>3.4000000000000057</c:v>
                      </c:pt>
                      <c:pt idx="12">
                        <c:v>2.7000000000000028</c:v>
                      </c:pt>
                      <c:pt idx="13">
                        <c:v>2.9000000000000057</c:v>
                      </c:pt>
                      <c:pt idx="14">
                        <c:v>7.7999999999999972</c:v>
                      </c:pt>
                      <c:pt idx="15">
                        <c:v>12.599999999999994</c:v>
                      </c:pt>
                      <c:pt idx="16">
                        <c:v>16.900000000000006</c:v>
                      </c:pt>
                      <c:pt idx="17">
                        <c:v>20</c:v>
                      </c:pt>
                      <c:pt idx="18">
                        <c:v>19</c:v>
                      </c:pt>
                    </c:numCache>
                  </c:numRef>
                </c:val>
                <c:smooth val="0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7-D6E8-4777-8E41-B0CD985F45C2}"/>
                  </c:ext>
                </c:extLst>
              </c15:ser>
            </c15:filteredLineSeries>
          </c:ext>
        </c:extLst>
      </c:lineChart>
      <c:catAx>
        <c:axId val="2701200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270121600"/>
        <c:crosses val="autoZero"/>
        <c:auto val="1"/>
        <c:lblAlgn val="ctr"/>
        <c:lblOffset val="100"/>
        <c:noMultiLvlLbl val="0"/>
      </c:catAx>
      <c:valAx>
        <c:axId val="270121600"/>
        <c:scaling>
          <c:orientation val="minMax"/>
          <c:max val="27"/>
          <c:min val="-6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70120064"/>
        <c:crosses val="autoZero"/>
        <c:crossBetween val="between"/>
        <c:majorUnit val="3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3882134414049307E-2"/>
          <c:y val="0.85802375323651925"/>
          <c:w val="0.92470364741641342"/>
          <c:h val="0.1312535179556456"/>
        </c:manualLayout>
      </c:layout>
      <c:overlay val="0"/>
      <c:spPr>
        <a:ln w="6350">
          <a:noFill/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070373184734885E-2"/>
          <c:y val="2.9569886214146503E-2"/>
          <c:w val="0.90493308848362042"/>
          <c:h val="0.7355665315771695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'Ceny 1'!$C$5</c:f>
              <c:strCache>
                <c:ptCount val="1"/>
                <c:pt idx="0">
                  <c:v>Realizované ceny starších bytů, ČR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invertIfNegative val="0"/>
          <c:cat>
            <c:multiLvlStrRef>
              <c:f>'Ceny 1'!$A$10:$B$33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2019</c:v>
                  </c:pt>
                  <c:pt idx="4">
                    <c:v>2020</c:v>
                  </c:pt>
                  <c:pt idx="8">
                    <c:v>2021</c:v>
                  </c:pt>
                  <c:pt idx="12">
                    <c:v>2022</c:v>
                  </c:pt>
                  <c:pt idx="16">
                    <c:v>2023</c:v>
                  </c:pt>
                  <c:pt idx="20">
                    <c:v>2024</c:v>
                  </c:pt>
                </c:lvl>
              </c:multiLvlStrCache>
            </c:multiLvlStrRef>
          </c:cat>
          <c:val>
            <c:numRef>
              <c:f>'Ceny 1'!$C$10:$C$33</c:f>
              <c:numCache>
                <c:formatCode>General</c:formatCode>
                <c:ptCount val="24"/>
                <c:pt idx="0">
                  <c:v>11.299999999999997</c:v>
                </c:pt>
                <c:pt idx="1">
                  <c:v>10.599999999999994</c:v>
                </c:pt>
                <c:pt idx="2">
                  <c:v>9.5</c:v>
                </c:pt>
                <c:pt idx="3">
                  <c:v>9.4000000000000057</c:v>
                </c:pt>
                <c:pt idx="4">
                  <c:v>10.599999999999994</c:v>
                </c:pt>
                <c:pt idx="5">
                  <c:v>10.200000000000003</c:v>
                </c:pt>
                <c:pt idx="6">
                  <c:v>11.200000000000003</c:v>
                </c:pt>
                <c:pt idx="7">
                  <c:v>13.299999999999997</c:v>
                </c:pt>
                <c:pt idx="8">
                  <c:v>15.200000000000003</c:v>
                </c:pt>
                <c:pt idx="9">
                  <c:v>17.900000000000006</c:v>
                </c:pt>
                <c:pt idx="10">
                  <c:v>21.299999999999997</c:v>
                </c:pt>
                <c:pt idx="11">
                  <c:v>25.200000000000003</c:v>
                </c:pt>
                <c:pt idx="12">
                  <c:v>27.299999999999997</c:v>
                </c:pt>
                <c:pt idx="13">
                  <c:v>27.599999999999994</c:v>
                </c:pt>
                <c:pt idx="14">
                  <c:v>23.400000000000006</c:v>
                </c:pt>
                <c:pt idx="15">
                  <c:v>13.799999999999997</c:v>
                </c:pt>
                <c:pt idx="16">
                  <c:v>3.7000000000000028</c:v>
                </c:pt>
                <c:pt idx="17">
                  <c:v>-4.0999999999999943</c:v>
                </c:pt>
                <c:pt idx="18">
                  <c:v>-7</c:v>
                </c:pt>
                <c:pt idx="19">
                  <c:v>-5.5</c:v>
                </c:pt>
                <c:pt idx="20">
                  <c:v>9.9999999999994316E-2</c:v>
                </c:pt>
                <c:pt idx="21">
                  <c:v>6.0999999999999943</c:v>
                </c:pt>
                <c:pt idx="22">
                  <c:v>10.700000000000003</c:v>
                </c:pt>
                <c:pt idx="23">
                  <c:v>14.200000000000003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60E-43C0-B1E9-F819427884E1}"/>
            </c:ext>
          </c:extLst>
        </c:ser>
        <c:ser>
          <c:idx val="1"/>
          <c:order val="1"/>
          <c:tx>
            <c:strRef>
              <c:f>'Ceny 1'!$D$5</c:f>
              <c:strCache>
                <c:ptCount val="1"/>
                <c:pt idx="0">
                  <c:v>Realizované ceny starších bytů, Praha</c:v>
                </c:pt>
              </c:strCache>
            </c:strRef>
          </c:tx>
          <c:spPr>
            <a:solidFill>
              <a:prstClr val="black">
                <a:lumMod val="50000"/>
                <a:lumOff val="50000"/>
              </a:prstClr>
            </a:solidFill>
            <a:ln w="19050">
              <a:noFill/>
            </a:ln>
          </c:spPr>
          <c:invertIfNegative val="0"/>
          <c:cat>
            <c:multiLvlStrRef>
              <c:f>'Ceny 1'!$A$10:$B$33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2019</c:v>
                  </c:pt>
                  <c:pt idx="4">
                    <c:v>2020</c:v>
                  </c:pt>
                  <c:pt idx="8">
                    <c:v>2021</c:v>
                  </c:pt>
                  <c:pt idx="12">
                    <c:v>2022</c:v>
                  </c:pt>
                  <c:pt idx="16">
                    <c:v>2023</c:v>
                  </c:pt>
                  <c:pt idx="20">
                    <c:v>2024</c:v>
                  </c:pt>
                </c:lvl>
              </c:multiLvlStrCache>
            </c:multiLvlStrRef>
          </c:cat>
          <c:val>
            <c:numRef>
              <c:f>'Ceny 1'!$D$10:$D$33</c:f>
              <c:numCache>
                <c:formatCode>General</c:formatCode>
                <c:ptCount val="24"/>
                <c:pt idx="0">
                  <c:v>9.4000000000000057</c:v>
                </c:pt>
                <c:pt idx="1">
                  <c:v>8.7000000000000028</c:v>
                </c:pt>
                <c:pt idx="2">
                  <c:v>6.5</c:v>
                </c:pt>
                <c:pt idx="3">
                  <c:v>7.0999999999999943</c:v>
                </c:pt>
                <c:pt idx="4">
                  <c:v>6.2000000000000028</c:v>
                </c:pt>
                <c:pt idx="5">
                  <c:v>8</c:v>
                </c:pt>
                <c:pt idx="6">
                  <c:v>9.4000000000000057</c:v>
                </c:pt>
                <c:pt idx="7">
                  <c:v>10.599999999999994</c:v>
                </c:pt>
                <c:pt idx="8">
                  <c:v>14.299999999999997</c:v>
                </c:pt>
                <c:pt idx="9">
                  <c:v>15.799999999999997</c:v>
                </c:pt>
                <c:pt idx="10">
                  <c:v>16.599999999999994</c:v>
                </c:pt>
                <c:pt idx="11">
                  <c:v>20</c:v>
                </c:pt>
                <c:pt idx="12">
                  <c:v>19</c:v>
                </c:pt>
                <c:pt idx="13">
                  <c:v>16.700000000000003</c:v>
                </c:pt>
                <c:pt idx="14">
                  <c:v>15.599999999999994</c:v>
                </c:pt>
                <c:pt idx="15">
                  <c:v>8.4000000000000057</c:v>
                </c:pt>
                <c:pt idx="16">
                  <c:v>1.2000000000000028</c:v>
                </c:pt>
                <c:pt idx="17">
                  <c:v>-3.5999999999999943</c:v>
                </c:pt>
                <c:pt idx="18">
                  <c:v>-5.2999999999999972</c:v>
                </c:pt>
                <c:pt idx="19">
                  <c:v>-2.5999999999999943</c:v>
                </c:pt>
                <c:pt idx="20">
                  <c:v>1</c:v>
                </c:pt>
                <c:pt idx="21">
                  <c:v>8.5999999999999943</c:v>
                </c:pt>
                <c:pt idx="22">
                  <c:v>11.799999999999997</c:v>
                </c:pt>
                <c:pt idx="23">
                  <c:v>12.099999999999994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60E-43C0-B1E9-F819427884E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axId val="270057856"/>
        <c:axId val="270059392"/>
      </c:barChart>
      <c:lineChart>
        <c:grouping val="standard"/>
        <c:varyColors val="0"/>
        <c:ser>
          <c:idx val="2"/>
          <c:order val="2"/>
          <c:tx>
            <c:strRef>
              <c:f>'Ceny 1'!$E$5</c:f>
              <c:strCache>
                <c:ptCount val="1"/>
                <c:pt idx="0">
                  <c:v>Nabídkové ceny bytů, ČR</c:v>
                </c:pt>
              </c:strCache>
            </c:strRef>
          </c:tx>
          <c:spPr>
            <a:ln w="19050">
              <a:solidFill>
                <a:schemeClr val="accent2"/>
              </a:solidFill>
            </a:ln>
          </c:spPr>
          <c:marker>
            <c:symbol val="none"/>
          </c:marker>
          <c:cat>
            <c:multiLvlStrRef>
              <c:f>'Ceny 1'!$A$10:$B$33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2019</c:v>
                  </c:pt>
                  <c:pt idx="4">
                    <c:v>2020</c:v>
                  </c:pt>
                  <c:pt idx="8">
                    <c:v>2021</c:v>
                  </c:pt>
                  <c:pt idx="12">
                    <c:v>2022</c:v>
                  </c:pt>
                  <c:pt idx="16">
                    <c:v>2023</c:v>
                  </c:pt>
                  <c:pt idx="20">
                    <c:v>2024</c:v>
                  </c:pt>
                </c:lvl>
              </c:multiLvlStrCache>
            </c:multiLvlStrRef>
          </c:cat>
          <c:val>
            <c:numRef>
              <c:f>'Ceny 1'!$E$10:$E$33</c:f>
              <c:numCache>
                <c:formatCode>0.0</c:formatCode>
                <c:ptCount val="24"/>
                <c:pt idx="0">
                  <c:v>7.4232690935046435</c:v>
                </c:pt>
                <c:pt idx="1">
                  <c:v>5.7262569832402335</c:v>
                </c:pt>
                <c:pt idx="2">
                  <c:v>5.1912568306010911</c:v>
                </c:pt>
                <c:pt idx="3">
                  <c:v>5.5144586415601964</c:v>
                </c:pt>
                <c:pt idx="4">
                  <c:v>6.0465116279069662</c:v>
                </c:pt>
                <c:pt idx="5">
                  <c:v>7.1334214002641829</c:v>
                </c:pt>
                <c:pt idx="6">
                  <c:v>7.9870129870129887</c:v>
                </c:pt>
                <c:pt idx="7">
                  <c:v>7.6481835564053569</c:v>
                </c:pt>
                <c:pt idx="8">
                  <c:v>7.6441102756892292</c:v>
                </c:pt>
                <c:pt idx="9">
                  <c:v>7.9531442663378584</c:v>
                </c:pt>
                <c:pt idx="10">
                  <c:v>9.3205051112447421</c:v>
                </c:pt>
                <c:pt idx="11">
                  <c:v>12.433392539964473</c:v>
                </c:pt>
                <c:pt idx="12">
                  <c:v>16.880093131548307</c:v>
                </c:pt>
                <c:pt idx="13">
                  <c:v>24.671616219303274</c:v>
                </c:pt>
                <c:pt idx="14">
                  <c:v>22.937293729372925</c:v>
                </c:pt>
                <c:pt idx="15">
                  <c:v>18.325434439178508</c:v>
                </c:pt>
                <c:pt idx="16">
                  <c:v>9.8107569721115624</c:v>
                </c:pt>
                <c:pt idx="17" formatCode="General">
                  <c:v>-0.73293632615667548</c:v>
                </c:pt>
                <c:pt idx="18" formatCode="General">
                  <c:v>-3.3109619686800897</c:v>
                </c:pt>
                <c:pt idx="19" formatCode="General">
                  <c:v>-4.1833555852247315</c:v>
                </c:pt>
                <c:pt idx="20" formatCode="General">
                  <c:v>-0.68027210884353906</c:v>
                </c:pt>
                <c:pt idx="21" formatCode="General">
                  <c:v>3.3687125057683573</c:v>
                </c:pt>
                <c:pt idx="22" formatCode="General">
                  <c:v>6.9412309116150084</c:v>
                </c:pt>
                <c:pt idx="23" formatCode="General">
                  <c:v>10.682768230376212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560E-43C0-B1E9-F819427884E1}"/>
            </c:ext>
          </c:extLst>
        </c:ser>
        <c:ser>
          <c:idx val="3"/>
          <c:order val="3"/>
          <c:tx>
            <c:strRef>
              <c:f>'Ceny 1'!$F$5</c:f>
              <c:strCache>
                <c:ptCount val="1"/>
                <c:pt idx="0">
                  <c:v>Nabídkové ceny bytů, Praha</c:v>
                </c:pt>
              </c:strCache>
            </c:strRef>
          </c:tx>
          <c:spPr>
            <a:ln>
              <a:solidFill>
                <a:schemeClr val="accent1"/>
              </a:solidFill>
            </a:ln>
          </c:spPr>
          <c:marker>
            <c:symbol val="none"/>
          </c:marker>
          <c:cat>
            <c:multiLvlStrRef>
              <c:f>'Ceny 1'!$A$10:$B$33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2019</c:v>
                  </c:pt>
                  <c:pt idx="4">
                    <c:v>2020</c:v>
                  </c:pt>
                  <c:pt idx="8">
                    <c:v>2021</c:v>
                  </c:pt>
                  <c:pt idx="12">
                    <c:v>2022</c:v>
                  </c:pt>
                  <c:pt idx="16">
                    <c:v>2023</c:v>
                  </c:pt>
                  <c:pt idx="20">
                    <c:v>2024</c:v>
                  </c:pt>
                </c:lvl>
              </c:multiLvlStrCache>
            </c:multiLvlStrRef>
          </c:cat>
          <c:val>
            <c:numRef>
              <c:f>'Ceny 1'!$F$10:$F$33</c:f>
              <c:numCache>
                <c:formatCode>0.0</c:formatCode>
                <c:ptCount val="24"/>
                <c:pt idx="0">
                  <c:v>8.3178150217256359</c:v>
                </c:pt>
                <c:pt idx="1">
                  <c:v>4.9397590361445651</c:v>
                </c:pt>
                <c:pt idx="2">
                  <c:v>3.3096926713947994</c:v>
                </c:pt>
                <c:pt idx="3">
                  <c:v>2.9530978575564575</c:v>
                </c:pt>
                <c:pt idx="4">
                  <c:v>3.5530085959885298</c:v>
                </c:pt>
                <c:pt idx="5">
                  <c:v>5.2812858783008068</c:v>
                </c:pt>
                <c:pt idx="6">
                  <c:v>6.2356979405034281</c:v>
                </c:pt>
                <c:pt idx="7">
                  <c:v>5.1743532058492718</c:v>
                </c:pt>
                <c:pt idx="8">
                  <c:v>4.759269507470961</c:v>
                </c:pt>
                <c:pt idx="9">
                  <c:v>4.5256270447110012</c:v>
                </c:pt>
                <c:pt idx="10">
                  <c:v>6.2466343564889826</c:v>
                </c:pt>
                <c:pt idx="11">
                  <c:v>9.1443850267379503</c:v>
                </c:pt>
                <c:pt idx="12">
                  <c:v>12.255678816693077</c:v>
                </c:pt>
                <c:pt idx="13">
                  <c:v>19.718309859154942</c:v>
                </c:pt>
                <c:pt idx="14">
                  <c:v>18.499746578813998</c:v>
                </c:pt>
                <c:pt idx="15">
                  <c:v>16.903478686918177</c:v>
                </c:pt>
                <c:pt idx="16">
                  <c:v>10.305882352941182</c:v>
                </c:pt>
                <c:pt idx="17" formatCode="General">
                  <c:v>0.30501089324617681</c:v>
                </c:pt>
                <c:pt idx="18" formatCode="General">
                  <c:v>-1.5825491873396089</c:v>
                </c:pt>
                <c:pt idx="19" formatCode="General">
                  <c:v>-3.5624476110645418</c:v>
                </c:pt>
                <c:pt idx="20" formatCode="General">
                  <c:v>0.3412969283276226</c:v>
                </c:pt>
                <c:pt idx="21" formatCode="General">
                  <c:v>3.9965247610773247</c:v>
                </c:pt>
                <c:pt idx="22" formatCode="General">
                  <c:v>6.7796610169491629</c:v>
                </c:pt>
                <c:pt idx="23" formatCode="General">
                  <c:v>10.386788352890036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560E-43C0-B1E9-F819427884E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0057856"/>
        <c:axId val="270059392"/>
      </c:lineChart>
      <c:catAx>
        <c:axId val="2700578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270059392"/>
        <c:crosses val="autoZero"/>
        <c:auto val="1"/>
        <c:lblAlgn val="ctr"/>
        <c:lblOffset val="100"/>
        <c:noMultiLvlLbl val="0"/>
      </c:catAx>
      <c:valAx>
        <c:axId val="270059392"/>
        <c:scaling>
          <c:orientation val="minMax"/>
          <c:max val="28"/>
          <c:min val="-8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70057856"/>
        <c:crosses val="autoZero"/>
        <c:crossBetween val="between"/>
        <c:majorUnit val="4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7.3334810874704504E-2"/>
          <c:y val="0.88817854328492629"/>
          <c:w val="0.89999282337048292"/>
          <c:h val="9.8380614657210319E-2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0948270126413842E-2"/>
          <c:y val="2.181131592422042E-2"/>
          <c:w val="0.91916383898868925"/>
          <c:h val="0.7166323314195656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'Ceny 4'!$C$5</c:f>
              <c:strCache>
                <c:ptCount val="1"/>
                <c:pt idx="0">
                  <c:v>Celkem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invertIfNegative val="0"/>
          <c:cat>
            <c:multiLvlStrRef>
              <c:f>'Ceny 4'!$A$10:$B$33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2019</c:v>
                  </c:pt>
                  <c:pt idx="4">
                    <c:v>2020</c:v>
                  </c:pt>
                  <c:pt idx="8">
                    <c:v>2021</c:v>
                  </c:pt>
                  <c:pt idx="12">
                    <c:v>2022</c:v>
                  </c:pt>
                  <c:pt idx="16">
                    <c:v>2023</c:v>
                  </c:pt>
                  <c:pt idx="20">
                    <c:v>2024</c:v>
                  </c:pt>
                </c:lvl>
              </c:multiLvlStrCache>
            </c:multiLvlStrRef>
          </c:cat>
          <c:val>
            <c:numRef>
              <c:f>'Ceny 4'!$C$10:$C$33</c:f>
              <c:numCache>
                <c:formatCode>General</c:formatCode>
                <c:ptCount val="24"/>
                <c:pt idx="0">
                  <c:v>3.5</c:v>
                </c:pt>
                <c:pt idx="1">
                  <c:v>3.5</c:v>
                </c:pt>
                <c:pt idx="2">
                  <c:v>2</c:v>
                </c:pt>
                <c:pt idx="3">
                  <c:v>1.2999999999999972</c:v>
                </c:pt>
                <c:pt idx="4">
                  <c:v>1.4000000000000057</c:v>
                </c:pt>
                <c:pt idx="5">
                  <c:v>-0.59999999999999432</c:v>
                </c:pt>
                <c:pt idx="6">
                  <c:v>-0.29999999999999716</c:v>
                </c:pt>
                <c:pt idx="7">
                  <c:v>9.9999999999994316E-2</c:v>
                </c:pt>
                <c:pt idx="8">
                  <c:v>1.5</c:v>
                </c:pt>
                <c:pt idx="9">
                  <c:v>5.2999999999999972</c:v>
                </c:pt>
                <c:pt idx="10">
                  <c:v>9</c:v>
                </c:pt>
                <c:pt idx="11">
                  <c:v>12.799999999999997</c:v>
                </c:pt>
                <c:pt idx="12">
                  <c:v>21.799999999999997</c:v>
                </c:pt>
                <c:pt idx="13">
                  <c:v>27.700000000000003</c:v>
                </c:pt>
                <c:pt idx="14">
                  <c:v>25.900000000000006</c:v>
                </c:pt>
                <c:pt idx="15">
                  <c:v>21.799999999999997</c:v>
                </c:pt>
                <c:pt idx="16">
                  <c:v>15</c:v>
                </c:pt>
                <c:pt idx="17">
                  <c:v>3.9000000000000057</c:v>
                </c:pt>
                <c:pt idx="18">
                  <c:v>1.3</c:v>
                </c:pt>
                <c:pt idx="19">
                  <c:v>0.8</c:v>
                </c:pt>
                <c:pt idx="20">
                  <c:v>-0.9</c:v>
                </c:pt>
                <c:pt idx="21">
                  <c:v>1.1000000000000001</c:v>
                </c:pt>
                <c:pt idx="22">
                  <c:v>1.2</c:v>
                </c:pt>
                <c:pt idx="23">
                  <c:v>1.8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859-4262-A842-04E378D3423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6"/>
        <c:axId val="271374208"/>
        <c:axId val="271375744"/>
      </c:barChart>
      <c:lineChart>
        <c:grouping val="standard"/>
        <c:varyColors val="0"/>
        <c:ser>
          <c:idx val="1"/>
          <c:order val="1"/>
          <c:tx>
            <c:strRef>
              <c:f>'Ceny 4'!$D$5</c:f>
              <c:strCache>
                <c:ptCount val="1"/>
                <c:pt idx="0">
                  <c:v>Těžba a dobývání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'Ceny 4'!$A$10:$B$33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2019</c:v>
                  </c:pt>
                  <c:pt idx="4">
                    <c:v>2020</c:v>
                  </c:pt>
                  <c:pt idx="8">
                    <c:v>2021</c:v>
                  </c:pt>
                  <c:pt idx="12">
                    <c:v>2022</c:v>
                  </c:pt>
                  <c:pt idx="16">
                    <c:v>2023</c:v>
                  </c:pt>
                  <c:pt idx="20">
                    <c:v>2024</c:v>
                  </c:pt>
                </c:lvl>
              </c:multiLvlStrCache>
            </c:multiLvlStrRef>
          </c:cat>
          <c:val>
            <c:numRef>
              <c:f>'Ceny 4'!$D$10:$D$33</c:f>
              <c:numCache>
                <c:formatCode>General</c:formatCode>
                <c:ptCount val="24"/>
                <c:pt idx="0">
                  <c:v>7.7000000000000028</c:v>
                </c:pt>
                <c:pt idx="1">
                  <c:v>7.7000000000000028</c:v>
                </c:pt>
                <c:pt idx="2">
                  <c:v>6.7000000000000028</c:v>
                </c:pt>
                <c:pt idx="3">
                  <c:v>3.7000000000000028</c:v>
                </c:pt>
                <c:pt idx="4">
                  <c:v>-2.0999999999999943</c:v>
                </c:pt>
                <c:pt idx="5">
                  <c:v>-3.5</c:v>
                </c:pt>
                <c:pt idx="6">
                  <c:v>-3.5999999999999943</c:v>
                </c:pt>
                <c:pt idx="7">
                  <c:v>-2</c:v>
                </c:pt>
                <c:pt idx="8">
                  <c:v>-0.5</c:v>
                </c:pt>
                <c:pt idx="9">
                  <c:v>0.79999999999999716</c:v>
                </c:pt>
                <c:pt idx="10">
                  <c:v>3.2999999999999972</c:v>
                </c:pt>
                <c:pt idx="11">
                  <c:v>13.799999999999997</c:v>
                </c:pt>
                <c:pt idx="12">
                  <c:v>25.200000000000003</c:v>
                </c:pt>
                <c:pt idx="13">
                  <c:v>31.900000000000006</c:v>
                </c:pt>
                <c:pt idx="14">
                  <c:v>30.199999999999989</c:v>
                </c:pt>
                <c:pt idx="15">
                  <c:v>23.299999999999997</c:v>
                </c:pt>
                <c:pt idx="16">
                  <c:v>54</c:v>
                </c:pt>
                <c:pt idx="17">
                  <c:v>47.599999999999994</c:v>
                </c:pt>
                <c:pt idx="18">
                  <c:v>44.5</c:v>
                </c:pt>
                <c:pt idx="19">
                  <c:v>40.200000000000003</c:v>
                </c:pt>
                <c:pt idx="20">
                  <c:v>-1.2</c:v>
                </c:pt>
                <c:pt idx="21">
                  <c:v>-1.7</c:v>
                </c:pt>
                <c:pt idx="22">
                  <c:v>-0.5</c:v>
                </c:pt>
                <c:pt idx="23">
                  <c:v>-1.8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D859-4262-A842-04E378D34237}"/>
            </c:ext>
          </c:extLst>
        </c:ser>
        <c:ser>
          <c:idx val="2"/>
          <c:order val="2"/>
          <c:tx>
            <c:strRef>
              <c:f>'Ceny 4'!$E$5</c:f>
              <c:strCache>
                <c:ptCount val="1"/>
                <c:pt idx="0">
                  <c:v>Zpracovatelský průmysl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'Ceny 4'!$A$10:$B$33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2019</c:v>
                  </c:pt>
                  <c:pt idx="4">
                    <c:v>2020</c:v>
                  </c:pt>
                  <c:pt idx="8">
                    <c:v>2021</c:v>
                  </c:pt>
                  <c:pt idx="12">
                    <c:v>2022</c:v>
                  </c:pt>
                  <c:pt idx="16">
                    <c:v>2023</c:v>
                  </c:pt>
                  <c:pt idx="20">
                    <c:v>2024</c:v>
                  </c:pt>
                </c:lvl>
              </c:multiLvlStrCache>
            </c:multiLvlStrRef>
          </c:cat>
          <c:val>
            <c:numRef>
              <c:f>'Ceny 4'!$E$10:$E$33</c:f>
              <c:numCache>
                <c:formatCode>General</c:formatCode>
                <c:ptCount val="24"/>
                <c:pt idx="0">
                  <c:v>2.5999999999999943</c:v>
                </c:pt>
                <c:pt idx="1">
                  <c:v>2.5999999999999943</c:v>
                </c:pt>
                <c:pt idx="2">
                  <c:v>0.79999999999999716</c:v>
                </c:pt>
                <c:pt idx="3">
                  <c:v>-9.9999999999994316E-2</c:v>
                </c:pt>
                <c:pt idx="4">
                  <c:v>0</c:v>
                </c:pt>
                <c:pt idx="5">
                  <c:v>-2.2999999999999972</c:v>
                </c:pt>
                <c:pt idx="6">
                  <c:v>-1.7999999999999972</c:v>
                </c:pt>
                <c:pt idx="7">
                  <c:v>-1.2000000000000028</c:v>
                </c:pt>
                <c:pt idx="8">
                  <c:v>1.7999999999999972</c:v>
                </c:pt>
                <c:pt idx="9">
                  <c:v>6.5</c:v>
                </c:pt>
                <c:pt idx="10">
                  <c:v>11</c:v>
                </c:pt>
                <c:pt idx="11">
                  <c:v>14.5</c:v>
                </c:pt>
                <c:pt idx="12">
                  <c:v>17.5</c:v>
                </c:pt>
                <c:pt idx="13">
                  <c:v>24.200000000000003</c:v>
                </c:pt>
                <c:pt idx="14">
                  <c:v>20.5</c:v>
                </c:pt>
                <c:pt idx="15">
                  <c:v>16</c:v>
                </c:pt>
                <c:pt idx="16">
                  <c:v>10.299999999999997</c:v>
                </c:pt>
                <c:pt idx="17">
                  <c:v>-0.90000000000000568</c:v>
                </c:pt>
                <c:pt idx="18">
                  <c:v>-2.4</c:v>
                </c:pt>
                <c:pt idx="19">
                  <c:v>-2.2999999999999998</c:v>
                </c:pt>
                <c:pt idx="20">
                  <c:v>-1.7</c:v>
                </c:pt>
                <c:pt idx="21">
                  <c:v>0.1</c:v>
                </c:pt>
                <c:pt idx="22">
                  <c:v>0.2</c:v>
                </c:pt>
                <c:pt idx="23">
                  <c:v>0.4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D859-4262-A842-04E378D34237}"/>
            </c:ext>
          </c:extLst>
        </c:ser>
        <c:ser>
          <c:idx val="3"/>
          <c:order val="3"/>
          <c:tx>
            <c:strRef>
              <c:f>'Ceny 4'!$F$5</c:f>
              <c:strCache>
                <c:ptCount val="1"/>
                <c:pt idx="0">
                  <c:v>Elektřina, plyn, pára a klim. vzduch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multiLvlStrRef>
              <c:f>'Ceny 4'!$A$10:$B$33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2019</c:v>
                  </c:pt>
                  <c:pt idx="4">
                    <c:v>2020</c:v>
                  </c:pt>
                  <c:pt idx="8">
                    <c:v>2021</c:v>
                  </c:pt>
                  <c:pt idx="12">
                    <c:v>2022</c:v>
                  </c:pt>
                  <c:pt idx="16">
                    <c:v>2023</c:v>
                  </c:pt>
                  <c:pt idx="20">
                    <c:v>2024</c:v>
                  </c:pt>
                </c:lvl>
              </c:multiLvlStrCache>
            </c:multiLvlStrRef>
          </c:cat>
          <c:val>
            <c:numRef>
              <c:f>'Ceny 4'!$F$10:$F$33</c:f>
              <c:numCache>
                <c:formatCode>General</c:formatCode>
                <c:ptCount val="24"/>
                <c:pt idx="0">
                  <c:v>7.7000000000000028</c:v>
                </c:pt>
                <c:pt idx="1">
                  <c:v>8.2999999999999972</c:v>
                </c:pt>
                <c:pt idx="2">
                  <c:v>7.7999999999999972</c:v>
                </c:pt>
                <c:pt idx="3">
                  <c:v>8.2999999999999972</c:v>
                </c:pt>
                <c:pt idx="4">
                  <c:v>8.9000000000000057</c:v>
                </c:pt>
                <c:pt idx="5">
                  <c:v>8.2000000000000028</c:v>
                </c:pt>
                <c:pt idx="6">
                  <c:v>7.7999999999999972</c:v>
                </c:pt>
                <c:pt idx="7">
                  <c:v>6.0999999999999943</c:v>
                </c:pt>
                <c:pt idx="8">
                  <c:v>0.29999999999999716</c:v>
                </c:pt>
                <c:pt idx="9">
                  <c:v>9.9999999999994316E-2</c:v>
                </c:pt>
                <c:pt idx="10">
                  <c:v>0.79999999999999716</c:v>
                </c:pt>
                <c:pt idx="11">
                  <c:v>5.5</c:v>
                </c:pt>
                <c:pt idx="12">
                  <c:v>45</c:v>
                </c:pt>
                <c:pt idx="13">
                  <c:v>47.199999999999989</c:v>
                </c:pt>
                <c:pt idx="14">
                  <c:v>56</c:v>
                </c:pt>
                <c:pt idx="15">
                  <c:v>54.300000000000011</c:v>
                </c:pt>
                <c:pt idx="16">
                  <c:v>28.400000000000006</c:v>
                </c:pt>
                <c:pt idx="17">
                  <c:v>18.400000000000006</c:v>
                </c:pt>
                <c:pt idx="18">
                  <c:v>10.5</c:v>
                </c:pt>
                <c:pt idx="19">
                  <c:v>7.1</c:v>
                </c:pt>
                <c:pt idx="20">
                  <c:v>0.8</c:v>
                </c:pt>
                <c:pt idx="21">
                  <c:v>4.5</c:v>
                </c:pt>
                <c:pt idx="22">
                  <c:v>4.2</c:v>
                </c:pt>
                <c:pt idx="23">
                  <c:v>6.7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D859-4262-A842-04E378D34237}"/>
            </c:ext>
          </c:extLst>
        </c:ser>
        <c:ser>
          <c:idx val="4"/>
          <c:order val="4"/>
          <c:tx>
            <c:strRef>
              <c:f>'Ceny 4'!$G$5</c:f>
              <c:strCache>
                <c:ptCount val="1"/>
                <c:pt idx="0">
                  <c:v>Zás. vodou; odpadní vody</c:v>
                </c:pt>
              </c:strCache>
            </c:strRef>
          </c:tx>
          <c:spPr>
            <a:ln w="19050">
              <a:solidFill>
                <a:schemeClr val="accent1"/>
              </a:solidFill>
            </a:ln>
          </c:spPr>
          <c:marker>
            <c:symbol val="none"/>
          </c:marker>
          <c:cat>
            <c:multiLvlStrRef>
              <c:f>'Ceny 4'!$A$10:$B$33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2019</c:v>
                  </c:pt>
                  <c:pt idx="4">
                    <c:v>2020</c:v>
                  </c:pt>
                  <c:pt idx="8">
                    <c:v>2021</c:v>
                  </c:pt>
                  <c:pt idx="12">
                    <c:v>2022</c:v>
                  </c:pt>
                  <c:pt idx="16">
                    <c:v>2023</c:v>
                  </c:pt>
                  <c:pt idx="20">
                    <c:v>2024</c:v>
                  </c:pt>
                </c:lvl>
              </c:multiLvlStrCache>
            </c:multiLvlStrRef>
          </c:cat>
          <c:val>
            <c:numRef>
              <c:f>'Ceny 4'!$G$10:$G$33</c:f>
              <c:numCache>
                <c:formatCode>General</c:formatCode>
                <c:ptCount val="24"/>
                <c:pt idx="0">
                  <c:v>2.9000000000000057</c:v>
                </c:pt>
                <c:pt idx="1">
                  <c:v>2.9000000000000057</c:v>
                </c:pt>
                <c:pt idx="2">
                  <c:v>2.9000000000000057</c:v>
                </c:pt>
                <c:pt idx="3">
                  <c:v>2.9000000000000057</c:v>
                </c:pt>
                <c:pt idx="4">
                  <c:v>5.4000000000000057</c:v>
                </c:pt>
                <c:pt idx="5">
                  <c:v>6.0999999999999943</c:v>
                </c:pt>
                <c:pt idx="6">
                  <c:v>6.4000000000000057</c:v>
                </c:pt>
                <c:pt idx="7">
                  <c:v>6.4000000000000057</c:v>
                </c:pt>
                <c:pt idx="8">
                  <c:v>6.9000000000000057</c:v>
                </c:pt>
                <c:pt idx="9">
                  <c:v>6.2000000000000028</c:v>
                </c:pt>
                <c:pt idx="10">
                  <c:v>5.9000000000000057</c:v>
                </c:pt>
                <c:pt idx="11">
                  <c:v>5.9000000000000057</c:v>
                </c:pt>
                <c:pt idx="12">
                  <c:v>5.2999999999999972</c:v>
                </c:pt>
                <c:pt idx="13">
                  <c:v>5.2999999999999972</c:v>
                </c:pt>
                <c:pt idx="14">
                  <c:v>5.2999999999999972</c:v>
                </c:pt>
                <c:pt idx="15">
                  <c:v>5.2999999999999972</c:v>
                </c:pt>
                <c:pt idx="16">
                  <c:v>16.299999999999997</c:v>
                </c:pt>
                <c:pt idx="17">
                  <c:v>16.299999999999997</c:v>
                </c:pt>
                <c:pt idx="18">
                  <c:v>16.3</c:v>
                </c:pt>
                <c:pt idx="19">
                  <c:v>16.3</c:v>
                </c:pt>
                <c:pt idx="20">
                  <c:v>9.1999999999999993</c:v>
                </c:pt>
                <c:pt idx="21">
                  <c:v>9.1999999999999993</c:v>
                </c:pt>
                <c:pt idx="22">
                  <c:v>9.1999999999999993</c:v>
                </c:pt>
                <c:pt idx="23">
                  <c:v>9.1999999999999993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D859-4262-A842-04E378D3423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1374208"/>
        <c:axId val="271375744"/>
      </c:lineChart>
      <c:catAx>
        <c:axId val="27137420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crossAx val="271375744"/>
        <c:crosses val="autoZero"/>
        <c:auto val="1"/>
        <c:lblAlgn val="ctr"/>
        <c:lblOffset val="100"/>
        <c:noMultiLvlLbl val="0"/>
      </c:catAx>
      <c:valAx>
        <c:axId val="271375744"/>
        <c:scaling>
          <c:orientation val="minMax"/>
          <c:min val="-5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71374208"/>
        <c:crosses val="autoZero"/>
        <c:crossBetween val="between"/>
        <c:majorUnit val="5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0756819693945444E-2"/>
          <c:y val="0.86223931272106069"/>
          <c:w val="0.91957268795741853"/>
          <c:h val="0.12109402425765226"/>
        </c:manualLayout>
      </c:layout>
      <c:overlay val="0"/>
      <c:spPr>
        <a:ln w="6350">
          <a:noFill/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204C7C21F48A488F44995C5F8FB06D" ma:contentTypeVersion="11" ma:contentTypeDescription="Vytvoří nový dokument" ma:contentTypeScope="" ma:versionID="1df8c39b067b5d25b5f5e865a8e6deb3">
  <xsd:schema xmlns:xsd="http://www.w3.org/2001/XMLSchema" xmlns:xs="http://www.w3.org/2001/XMLSchema" xmlns:p="http://schemas.microsoft.com/office/2006/metadata/properties" xmlns:ns3="b8c0c86d-151e-4fca-b0d5-747e6692fa1d" targetNamespace="http://schemas.microsoft.com/office/2006/metadata/properties" ma:root="true" ma:fieldsID="0a1e36cc980726b26aea9439dfb6e5b7" ns3:_="">
    <xsd:import namespace="b8c0c86d-151e-4fca-b0d5-747e6692fa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0c86d-151e-4fca-b0d5-747e6692fa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8A1E1-1E99-4B4F-B9B5-70567730AA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7681AD-41B0-431A-9D34-CF6700A12FAC}">
  <ds:schemaRefs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b8c0c86d-151e-4fca-b0d5-747e6692fa1d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D187BB0-665D-4788-984B-3D69493B51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c0c86d-151e-4fca-b0d5-747e6692fa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39A63F-8E34-4598-A42F-6BF8F4451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3061</Words>
  <Characters>18062</Characters>
  <Application>Microsoft Office Word</Application>
  <DocSecurity>0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21081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Kučerová Jana</dc:creator>
  <cp:keywords/>
  <cp:lastModifiedBy>Zábojníková Karolína</cp:lastModifiedBy>
  <cp:revision>4</cp:revision>
  <cp:lastPrinted>2014-07-17T14:07:00Z</cp:lastPrinted>
  <dcterms:created xsi:type="dcterms:W3CDTF">2025-03-20T11:47:00Z</dcterms:created>
  <dcterms:modified xsi:type="dcterms:W3CDTF">2025-03-20T12:03:00Z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0x01010070204C7C21F48A488F44995C5F8FB06D</vt:lpwstr>
  </property>
  <property fmtid="{D5CDD505-2E9C-101B-9397-08002B2CF9AE}" pid="3" name="Názevformuláře">
    <vt:lpwstr>Publikace CZ barevné - vícetematické analýzy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2018-04-17T07:00:00Z</vt:filetime>
  </property>
  <property fmtid="{D5CDD505-2E9C-101B-9397-08002B2CF9AE}" pid="8" name="Označení">
    <vt:lpwstr>Form_c444</vt:lpwstr>
  </property>
  <property fmtid="{D5CDD505-2E9C-101B-9397-08002B2CF9AE}" pid="9" name="MediaServiceImageTags">
    <vt:lpwstr/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xd_Signature">
    <vt:bool>false</vt:bool>
  </property>
</Properties>
</file>