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2C4E0" w14:textId="77777777" w:rsidR="00AD4F16" w:rsidRDefault="00AD4F16" w:rsidP="00AD4F16">
      <w:pPr>
        <w:pStyle w:val="Nadpis1"/>
      </w:pPr>
      <w:bookmarkStart w:id="0" w:name="_Toc511215218"/>
      <w:bookmarkStart w:id="1" w:name="_Toc193366672"/>
      <w:r>
        <w:t>1. Shrnutí</w:t>
      </w:r>
      <w:bookmarkEnd w:id="1"/>
    </w:p>
    <w:p w14:paraId="797C7CBA" w14:textId="7B735E16" w:rsidR="004607BF" w:rsidRPr="00A4206C" w:rsidRDefault="004607BF" w:rsidP="004607BF">
      <w:pPr>
        <w:pStyle w:val="Normalodrka"/>
        <w:numPr>
          <w:ilvl w:val="0"/>
          <w:numId w:val="20"/>
        </w:numPr>
        <w:ind w:left="357" w:hanging="357"/>
      </w:pPr>
      <w:r w:rsidRPr="00A4206C">
        <w:t>Hrubý domácí produkt (HDP) v</w:t>
      </w:r>
      <w:r>
        <w:t> roce 2024 vzrostl celkem o 1,0 %</w:t>
      </w:r>
      <w:r w:rsidRPr="00A4206C">
        <w:rPr>
          <w:rStyle w:val="Znakapoznpodarou"/>
          <w:spacing w:val="-4"/>
        </w:rPr>
        <w:footnoteReference w:id="1"/>
      </w:r>
      <w:r w:rsidRPr="00A4206C">
        <w:t xml:space="preserve">. </w:t>
      </w:r>
      <w:r>
        <w:t xml:space="preserve">Posilovala zejména spotřeba, a naopak klesala investiční aktivita. Ve 4. čtvrtletí posílil meziroční přírůstek HDP na 1,8 % a mezičtvrtletně ekonomika vzrostla o 0,7 %. </w:t>
      </w:r>
      <w:r w:rsidRPr="00A4206C">
        <w:t xml:space="preserve">Pokračovalo oživení domácí spotřeby a pozitivně působila změna zásob. </w:t>
      </w:r>
      <w:r>
        <w:t xml:space="preserve">Meziroční i mezičtvrtletní růst ale </w:t>
      </w:r>
      <w:r w:rsidRPr="00A4206C">
        <w:t xml:space="preserve">brzdila investiční aktivita a </w:t>
      </w:r>
      <w:r>
        <w:t xml:space="preserve">meziročně značně negativně působila také </w:t>
      </w:r>
      <w:r w:rsidRPr="00A4206C">
        <w:t xml:space="preserve">zahraniční poptávka. Hrubý domácí </w:t>
      </w:r>
      <w:r>
        <w:t>produkt v EU v roce 2024 vzrostl o 1,0 %. Ve 4</w:t>
      </w:r>
      <w:r w:rsidRPr="00A4206C">
        <w:t>. čtvrtletí</w:t>
      </w:r>
      <w:r>
        <w:t xml:space="preserve"> HDP v EU meziročně rostl o 1,4 % a mezičtvrtletně o 0,4</w:t>
      </w:r>
      <w:r w:rsidRPr="00A4206C">
        <w:t xml:space="preserve"> %. </w:t>
      </w:r>
      <w:r>
        <w:t>Nadále se propadala německá ekonomika, která meziročně klesá již šest čtvrtletí. Naopak v rámci střední Evropy silně rostlo Polsko. Česká ekonomika po delší době roste rychleji než průměr EU.</w:t>
      </w:r>
    </w:p>
    <w:p w14:paraId="37C9F344" w14:textId="77777777" w:rsidR="004607BF" w:rsidRPr="005C6CF0" w:rsidRDefault="004607BF" w:rsidP="004607BF">
      <w:pPr>
        <w:pStyle w:val="Normalodrka"/>
        <w:numPr>
          <w:ilvl w:val="0"/>
          <w:numId w:val="20"/>
        </w:numPr>
        <w:ind w:left="357" w:hanging="357"/>
      </w:pPr>
      <w:r w:rsidRPr="005C6CF0">
        <w:t>Hrubá přidaná hodnota (HPH) se v</w:t>
      </w:r>
      <w:r>
        <w:t> roce 2024 z</w:t>
      </w:r>
      <w:r w:rsidRPr="005C6CF0">
        <w:t xml:space="preserve">výšila o </w:t>
      </w:r>
      <w:r>
        <w:t>0,3</w:t>
      </w:r>
      <w:r w:rsidRPr="005C6CF0">
        <w:t xml:space="preserve"> %</w:t>
      </w:r>
      <w:r>
        <w:t>.</w:t>
      </w:r>
      <w:r w:rsidRPr="005C6CF0">
        <w:t xml:space="preserve"> </w:t>
      </w:r>
      <w:r>
        <w:t xml:space="preserve">Vývoj po celý rok byl charakteristický slabým výkonem ve zpracovatelském průmyslu, kde HPH klesla o 1,6 %. Ten kompenzovala odvětví služeb povzbuzená oživenou spotřební poptávkou. Ve 4. čtvrtletí se HPH meziročně zvýšila o 1,1 %. Nejvíce rostlo peněžnictví a pojišťovnictví, ostatní činnosti, uskupení obchod, doprava, ubytování a pohostinství a informační a komunikační činnosti. Naopak o 2,2 % se propadla HPH v průmyslu. </w:t>
      </w:r>
      <w:r w:rsidRPr="005C6CF0">
        <w:t>Mezičtvrtletn</w:t>
      </w:r>
      <w:r>
        <w:t>ě HPH ve 4. čtvrtletí stagnovala. Ačkoli zpracovatelský průmysl zaznamenal mezičtvrtletní oživení, HPH se propadla v průmyslu jako celku. R</w:t>
      </w:r>
      <w:r w:rsidRPr="005C6CF0">
        <w:t>ůst byl</w:t>
      </w:r>
      <w:r>
        <w:t xml:space="preserve"> naopak </w:t>
      </w:r>
      <w:r w:rsidRPr="005C6CF0">
        <w:t xml:space="preserve">zaznamenán v </w:t>
      </w:r>
      <w:r>
        <w:t>činnostech v oblasti nemovitostí, v ostatních činnostech nebo v uskupení obchod, doprava, ubytování a pohostinství.</w:t>
      </w:r>
    </w:p>
    <w:p w14:paraId="59864FBE" w14:textId="77777777" w:rsidR="004607BF" w:rsidRPr="00E920F4" w:rsidRDefault="004607BF" w:rsidP="004607BF">
      <w:pPr>
        <w:pStyle w:val="Normalodrka"/>
        <w:numPr>
          <w:ilvl w:val="0"/>
          <w:numId w:val="20"/>
        </w:numPr>
        <w:ind w:left="357" w:hanging="357"/>
      </w:pPr>
      <w:r w:rsidRPr="00E920F4">
        <w:t xml:space="preserve">Vývoz zboží a služeb </w:t>
      </w:r>
      <w:r>
        <w:t>se loni zvýšil o 1,5 %</w:t>
      </w:r>
      <w:r w:rsidRPr="00E920F4">
        <w:rPr>
          <w:rStyle w:val="Znakapoznpodarou"/>
          <w:spacing w:val="-4"/>
        </w:rPr>
        <w:footnoteReference w:id="2"/>
      </w:r>
      <w:r>
        <w:t xml:space="preserve"> a dovoz o 0,7 %. </w:t>
      </w:r>
      <w:r w:rsidRPr="00E920F4">
        <w:t>Bilance zahraničního obchodu se zbožím a</w:t>
      </w:r>
      <w:r>
        <w:t> </w:t>
      </w:r>
      <w:r w:rsidRPr="00E920F4">
        <w:t xml:space="preserve">službami v běžných cenách </w:t>
      </w:r>
      <w:r>
        <w:t>celkově dosáhla přebytku 525,6</w:t>
      </w:r>
      <w:r w:rsidRPr="00E920F4">
        <w:t xml:space="preserve"> mld. korun a ten se tak meziročně zvýšil o</w:t>
      </w:r>
      <w:r>
        <w:t xml:space="preserve"> 141,2 </w:t>
      </w:r>
      <w:r w:rsidRPr="00E920F4">
        <w:t>mld., zejména vlivem zvýšení přebytku obchodu se zbožím. K tomuto zlepšení nejvíce přis</w:t>
      </w:r>
      <w:r>
        <w:t xml:space="preserve">pěl obchod s motorovými vozidly, elektrickými zařízeními a ropou a zemním plynem. Zhoršovala se naopak </w:t>
      </w:r>
      <w:r w:rsidRPr="00E920F4">
        <w:rPr>
          <w:lang w:eastAsia="en-US"/>
        </w:rPr>
        <w:t xml:space="preserve">bilance obchodu </w:t>
      </w:r>
      <w:r>
        <w:rPr>
          <w:lang w:eastAsia="en-US"/>
        </w:rPr>
        <w:t>s koksem a rafinovanými ropnými výrobky a s</w:t>
      </w:r>
      <w:r w:rsidRPr="00E920F4">
        <w:rPr>
          <w:lang w:eastAsia="en-US"/>
        </w:rPr>
        <w:t>e základními kovy.</w:t>
      </w:r>
    </w:p>
    <w:p w14:paraId="10AE1646" w14:textId="77777777" w:rsidR="004607BF" w:rsidRPr="00D567C6" w:rsidRDefault="004607BF" w:rsidP="004607BF">
      <w:pPr>
        <w:pStyle w:val="Normalodrka"/>
        <w:numPr>
          <w:ilvl w:val="0"/>
          <w:numId w:val="20"/>
        </w:numPr>
        <w:ind w:left="357" w:hanging="357"/>
      </w:pPr>
      <w:r w:rsidRPr="00D567C6">
        <w:t>Celková cenová hladina (podle deflátoru HDP) v</w:t>
      </w:r>
      <w:r>
        <w:t> roce 2024 vzrostla o 3,9 %. Ve 4. čtvrtletí se meziročně zvýšila o 3,7 % a mezičtvrtletně o 0,3</w:t>
      </w:r>
      <w:r w:rsidRPr="00D567C6">
        <w:t xml:space="preserve"> %. Spotřebitelské ceny byly </w:t>
      </w:r>
      <w:r>
        <w:t xml:space="preserve">loni </w:t>
      </w:r>
      <w:r w:rsidRPr="00D567C6">
        <w:t>vyšší o 2,</w:t>
      </w:r>
      <w:r>
        <w:t>4</w:t>
      </w:r>
      <w:r w:rsidRPr="00D567C6">
        <w:t xml:space="preserve"> %</w:t>
      </w:r>
      <w:r>
        <w:t>. Ve 4. čtvrtletí jejich meziroční přírůstek zrychlil na 2,9 % a mezičtvrtletně vzrostly o 0,1</w:t>
      </w:r>
      <w:r w:rsidRPr="00D567C6">
        <w:t xml:space="preserve"> %. </w:t>
      </w:r>
      <w:r>
        <w:t>Meziročně začaly růst ceny potravin a posílil růst cen bydlení a energií. Méně rostly ceny dopravy. P</w:t>
      </w:r>
      <w:r w:rsidRPr="00D567C6">
        <w:rPr>
          <w:lang w:eastAsia="en-US"/>
        </w:rPr>
        <w:t xml:space="preserve">osílil růst nabídkových i realizovaných cen bytů. </w:t>
      </w:r>
      <w:r w:rsidRPr="00D567C6">
        <w:t xml:space="preserve">Ceny průmyslových výrobců </w:t>
      </w:r>
      <w:r>
        <w:t xml:space="preserve">v roce 2024 </w:t>
      </w:r>
      <w:r w:rsidRPr="00D567C6">
        <w:t xml:space="preserve">vzrostly o </w:t>
      </w:r>
      <w:r>
        <w:t>0,8</w:t>
      </w:r>
      <w:r w:rsidRPr="00D567C6">
        <w:t xml:space="preserve"> %. </w:t>
      </w:r>
      <w:r>
        <w:t>C</w:t>
      </w:r>
      <w:r w:rsidRPr="00D567C6">
        <w:t>en</w:t>
      </w:r>
      <w:r>
        <w:t>y</w:t>
      </w:r>
      <w:r w:rsidRPr="00D567C6">
        <w:t xml:space="preserve"> zemědělských výrobců</w:t>
      </w:r>
      <w:r>
        <w:t xml:space="preserve"> loni klesly o 5,9 %, ve 4. čtvrtletí ale poprvé od 1. čtvrtletí 2023 meziročně vzrostly, a to o 5,0 %.</w:t>
      </w:r>
      <w:r w:rsidRPr="00D567C6">
        <w:t xml:space="preserve"> </w:t>
      </w:r>
    </w:p>
    <w:p w14:paraId="019944A4" w14:textId="77777777" w:rsidR="004607BF" w:rsidRPr="00DF5908" w:rsidRDefault="004607BF" w:rsidP="004607BF">
      <w:pPr>
        <w:pStyle w:val="Normalodrka"/>
        <w:numPr>
          <w:ilvl w:val="0"/>
          <w:numId w:val="20"/>
        </w:numPr>
        <w:ind w:left="357" w:hanging="357"/>
      </w:pPr>
      <w:r w:rsidRPr="00DF5908">
        <w:t>Základní měnověpoli</w:t>
      </w:r>
      <w:r>
        <w:t>tické úrokové sazby v průběhu roky výrazně klesly. S</w:t>
      </w:r>
      <w:r w:rsidRPr="00DF5908">
        <w:t xml:space="preserve">polu s nimi </w:t>
      </w:r>
      <w:r>
        <w:t xml:space="preserve">se snižovaly </w:t>
      </w:r>
      <w:r w:rsidRPr="00DF5908">
        <w:t>také úrokové sazby u většiny druhů klientských vkladů</w:t>
      </w:r>
      <w:r>
        <w:t xml:space="preserve">. </w:t>
      </w:r>
      <w:r w:rsidRPr="00DF5908">
        <w:rPr>
          <w:lang w:eastAsia="en-US"/>
        </w:rPr>
        <w:t xml:space="preserve">Dynamika objemu poskytnutých úvěrů </w:t>
      </w:r>
      <w:r>
        <w:rPr>
          <w:lang w:eastAsia="en-US"/>
        </w:rPr>
        <w:t>v závěru roku posílila.</w:t>
      </w:r>
      <w:r w:rsidRPr="00DF5908">
        <w:rPr>
          <w:lang w:eastAsia="en-US"/>
        </w:rPr>
        <w:t xml:space="preserve"> V nových hypotečních smlouvách tvořila většinu </w:t>
      </w:r>
      <w:r w:rsidRPr="00DF5908">
        <w:t>dojednávání nových podmínek existujících smluv.</w:t>
      </w:r>
    </w:p>
    <w:p w14:paraId="6FEAE672" w14:textId="11889C87" w:rsidR="004607BF" w:rsidRPr="00DC1E84" w:rsidRDefault="004607BF" w:rsidP="004607BF">
      <w:pPr>
        <w:pStyle w:val="Normalodrka"/>
        <w:numPr>
          <w:ilvl w:val="0"/>
          <w:numId w:val="20"/>
        </w:numPr>
        <w:ind w:left="357" w:hanging="357"/>
      </w:pPr>
      <w:r w:rsidRPr="00DC1E84">
        <w:t>Celková zaměstnanost</w:t>
      </w:r>
      <w:r w:rsidRPr="00DC1E84">
        <w:rPr>
          <w:rStyle w:val="Znakapoznpodarou"/>
        </w:rPr>
        <w:footnoteReference w:id="3"/>
      </w:r>
      <w:r w:rsidRPr="00DC1E84">
        <w:t xml:space="preserve"> </w:t>
      </w:r>
      <w:r>
        <w:t>loni vzrostla o 0,3 %. Ve 4</w:t>
      </w:r>
      <w:r w:rsidRPr="00DC1E84">
        <w:t>. čtvr</w:t>
      </w:r>
      <w:r>
        <w:t>tletí byla meziročně vyšší o 0,2</w:t>
      </w:r>
      <w:r w:rsidRPr="00DC1E84">
        <w:t xml:space="preserve"> % a mezičtvrtletně se </w:t>
      </w:r>
      <w:r>
        <w:t>snížila o 0,1 %.</w:t>
      </w:r>
      <w:r w:rsidRPr="00DC1E84">
        <w:t xml:space="preserve"> Celková míra nezaměstnanosti </w:t>
      </w:r>
      <w:r>
        <w:t>po většinu roku 2024</w:t>
      </w:r>
      <w:r w:rsidRPr="00DC1E84">
        <w:t xml:space="preserve"> kolís</w:t>
      </w:r>
      <w:r>
        <w:t xml:space="preserve">ala pod 3 %. </w:t>
      </w:r>
      <w:r w:rsidRPr="004E1288">
        <w:rPr>
          <w:bCs/>
        </w:rPr>
        <w:t>V roce 2024</w:t>
      </w:r>
      <w:r w:rsidRPr="004E1288">
        <w:t> </w:t>
      </w:r>
      <w:r>
        <w:t>dosáhla p</w:t>
      </w:r>
      <w:r w:rsidRPr="00DC1E84">
        <w:t>růměrná hrubá měsíční nominální mzda</w:t>
      </w:r>
      <w:r>
        <w:t xml:space="preserve"> 46 165 Kč a vzrostla nominálně o 7,1 % a reálně o </w:t>
      </w:r>
      <w:r w:rsidRPr="004E1288">
        <w:t>4,6 %.</w:t>
      </w:r>
      <w:r w:rsidRPr="00DC1E84">
        <w:t xml:space="preserve"> </w:t>
      </w:r>
      <w:r>
        <w:t>V</w:t>
      </w:r>
      <w:r w:rsidRPr="00DC1E84">
        <w:t xml:space="preserve">e </w:t>
      </w:r>
      <w:r>
        <w:t>4</w:t>
      </w:r>
      <w:r w:rsidRPr="00DC1E84">
        <w:t xml:space="preserve">. čtvrtletí </w:t>
      </w:r>
      <w:r>
        <w:t xml:space="preserve">průměrná mzda </w:t>
      </w:r>
      <w:r w:rsidRPr="00DC1E84">
        <w:t xml:space="preserve">meziročně vzrostla o </w:t>
      </w:r>
      <w:r>
        <w:t>7,2</w:t>
      </w:r>
      <w:r w:rsidRPr="00DC1E84">
        <w:t xml:space="preserve"> % a dosáhla 4</w:t>
      </w:r>
      <w:r>
        <w:t>9 229</w:t>
      </w:r>
      <w:r w:rsidRPr="00DC1E84">
        <w:t xml:space="preserve"> korun. Reálně </w:t>
      </w:r>
      <w:r w:rsidRPr="004E1288">
        <w:t xml:space="preserve">průměrná mzda posílila o 4,2 %. Mezičtvrtletní nominální navýšení průměrné mzdy činilo 1,7 %. </w:t>
      </w:r>
    </w:p>
    <w:p w14:paraId="21979D53" w14:textId="77777777" w:rsidR="004607BF" w:rsidRPr="00DC1E84" w:rsidRDefault="004607BF" w:rsidP="004607BF">
      <w:pPr>
        <w:pStyle w:val="Normalodrka"/>
        <w:numPr>
          <w:ilvl w:val="0"/>
          <w:numId w:val="20"/>
        </w:numPr>
        <w:spacing w:after="0"/>
        <w:ind w:left="357" w:hanging="357"/>
      </w:pPr>
      <w:r>
        <w:rPr>
          <w:spacing w:val="-4"/>
        </w:rPr>
        <w:t xml:space="preserve">Hospodaření státního rozpočtu skončilo vloni se schodkem 271,4 mld. korun. Deficit se oproti roku 2023 snížil o 17,1 mld. korun. Zmírnil se především růst výdajů. Postupně </w:t>
      </w:r>
      <w:r>
        <w:rPr>
          <w:spacing w:val="-5"/>
        </w:rPr>
        <w:t>odeznívala potřeba</w:t>
      </w:r>
      <w:r w:rsidRPr="00B72A69">
        <w:rPr>
          <w:spacing w:val="-5"/>
        </w:rPr>
        <w:t xml:space="preserve"> mimořádných výdajů domácnostem i firmám zasaženým dopady vysoké</w:t>
      </w:r>
      <w:r>
        <w:rPr>
          <w:spacing w:val="-4"/>
        </w:rPr>
        <w:t xml:space="preserve"> inflace a projevoval se dříve schválený konsolidační balíček</w:t>
      </w:r>
      <w:r w:rsidRPr="00DC1E84">
        <w:rPr>
          <w:spacing w:val="-5"/>
        </w:rPr>
        <w:t xml:space="preserve"> </w:t>
      </w:r>
      <w:r>
        <w:rPr>
          <w:spacing w:val="-5"/>
        </w:rPr>
        <w:t xml:space="preserve">i </w:t>
      </w:r>
      <w:r w:rsidRPr="009E7F3F">
        <w:rPr>
          <w:spacing w:val="-5"/>
        </w:rPr>
        <w:t>změny rozpočtového určení daní</w:t>
      </w:r>
      <w:r>
        <w:rPr>
          <w:spacing w:val="-4"/>
        </w:rPr>
        <w:t>. Na druhé straně přetrvávající slabý hospodářský růst tlumil příjmovou stranu rozpočtu.</w:t>
      </w:r>
    </w:p>
    <w:p w14:paraId="181E4D16" w14:textId="04B88F29" w:rsidR="00603FF5" w:rsidRDefault="006B173A" w:rsidP="0083516C">
      <w:pPr>
        <w:pStyle w:val="Normalodrka"/>
        <w:numPr>
          <w:ilvl w:val="0"/>
          <w:numId w:val="0"/>
        </w:numPr>
        <w:spacing w:after="0"/>
        <w:jc w:val="center"/>
      </w:pPr>
      <w:bookmarkStart w:id="2" w:name="_Toc145318531"/>
      <w:bookmarkStart w:id="3" w:name="_Toc153531174"/>
      <w:bookmarkStart w:id="4" w:name="_Toc169258114"/>
      <w:bookmarkStart w:id="5" w:name="_Toc137233026"/>
      <w:bookmarkStart w:id="6" w:name="_Toc130286019"/>
      <w:bookmarkStart w:id="7" w:name="_Toc114134050"/>
      <w:bookmarkStart w:id="8" w:name="_Toc145318534"/>
      <w:bookmarkStart w:id="9" w:name="_Toc153531177"/>
      <w:bookmarkStart w:id="10" w:name="_Toc121993822"/>
      <w:bookmarkStart w:id="11" w:name="_Toc137233031"/>
      <w:bookmarkEnd w:id="0"/>
      <w:r w:rsidRPr="006B173A">
        <w:rPr>
          <w:noProof/>
        </w:rPr>
        <w:lastRenderedPageBreak/>
        <w:drawing>
          <wp:inline distT="0" distB="0" distL="0" distR="0" wp14:anchorId="3758BAAA" wp14:editId="46E9F4F8">
            <wp:extent cx="6120130" cy="8982075"/>
            <wp:effectExtent l="0" t="0" r="0" b="952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98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2" w:name="_GoBack"/>
      <w:bookmarkEnd w:id="12"/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sectPr w:rsidR="00603FF5" w:rsidSect="007F2F29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2EF3C" w14:textId="77777777" w:rsidR="002B48B4" w:rsidRDefault="002B48B4" w:rsidP="00E71A58">
      <w:r>
        <w:separator/>
      </w:r>
    </w:p>
  </w:endnote>
  <w:endnote w:type="continuationSeparator" w:id="0">
    <w:p w14:paraId="70B7E2B6" w14:textId="77777777" w:rsidR="002B48B4" w:rsidRDefault="002B48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8" w14:textId="0EDCE435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F2F29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1D86256D" w:rsidR="002B48B4" w:rsidRPr="00932443" w:rsidRDefault="002B48B4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rok 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F2F29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0D8F6" w14:textId="77777777" w:rsidR="002B48B4" w:rsidRDefault="002B48B4" w:rsidP="00EA4302">
      <w:pPr>
        <w:spacing w:after="0"/>
      </w:pPr>
      <w:r>
        <w:separator/>
      </w:r>
    </w:p>
  </w:footnote>
  <w:footnote w:type="continuationSeparator" w:id="0">
    <w:p w14:paraId="70CDBF0C" w14:textId="77777777" w:rsidR="002B48B4" w:rsidRDefault="002B48B4" w:rsidP="00E71A58">
      <w:r>
        <w:continuationSeparator/>
      </w:r>
    </w:p>
  </w:footnote>
  <w:footnote w:id="1">
    <w:p w14:paraId="507B4C8C" w14:textId="77777777" w:rsidR="002B48B4" w:rsidRDefault="002B48B4" w:rsidP="004607BF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jejích složkách jsou vyjádřena ve stálých cenách a v očištění o sezónní a kalendářní vlivy.</w:t>
      </w:r>
    </w:p>
  </w:footnote>
  <w:footnote w:id="2">
    <w:p w14:paraId="25347712" w14:textId="77777777" w:rsidR="002B48B4" w:rsidRDefault="002B48B4" w:rsidP="004607BF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68C8A9B4" w14:textId="77777777" w:rsidR="002B48B4" w:rsidRDefault="002B48B4" w:rsidP="004607BF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2B48B4" w:rsidRPr="00C27E4F" w:rsidRDefault="002B48B4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2B48B4" w:rsidRPr="006F5416" w:rsidRDefault="002B48B4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6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51B2D"/>
    <w:multiLevelType w:val="hybridMultilevel"/>
    <w:tmpl w:val="054EEC40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9"/>
  </w:num>
  <w:num w:numId="14">
    <w:abstractNumId w:val="14"/>
  </w:num>
  <w:num w:numId="15">
    <w:abstractNumId w:val="20"/>
  </w:num>
  <w:num w:numId="16">
    <w:abstractNumId w:val="16"/>
  </w:num>
  <w:num w:numId="17">
    <w:abstractNumId w:val="30"/>
  </w:num>
  <w:num w:numId="18">
    <w:abstractNumId w:val="21"/>
  </w:num>
  <w:num w:numId="19">
    <w:abstractNumId w:val="32"/>
  </w:num>
  <w:num w:numId="20">
    <w:abstractNumId w:val="37"/>
  </w:num>
  <w:num w:numId="21">
    <w:abstractNumId w:val="28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36"/>
  </w:num>
  <w:num w:numId="27">
    <w:abstractNumId w:val="37"/>
  </w:num>
  <w:num w:numId="28">
    <w:abstractNumId w:val="13"/>
  </w:num>
  <w:num w:numId="29">
    <w:abstractNumId w:val="23"/>
  </w:num>
  <w:num w:numId="30">
    <w:abstractNumId w:val="22"/>
  </w:num>
  <w:num w:numId="31">
    <w:abstractNumId w:val="10"/>
  </w:num>
  <w:num w:numId="32">
    <w:abstractNumId w:val="24"/>
  </w:num>
  <w:num w:numId="33">
    <w:abstractNumId w:val="12"/>
  </w:num>
  <w:num w:numId="34">
    <w:abstractNumId w:val="39"/>
  </w:num>
  <w:num w:numId="35">
    <w:abstractNumId w:val="11"/>
  </w:num>
  <w:num w:numId="36">
    <w:abstractNumId w:val="31"/>
  </w:num>
  <w:num w:numId="37">
    <w:abstractNumId w:val="26"/>
  </w:num>
  <w:num w:numId="38">
    <w:abstractNumId w:val="25"/>
  </w:num>
  <w:num w:numId="39">
    <w:abstractNumId w:val="33"/>
  </w:num>
  <w:num w:numId="40">
    <w:abstractNumId w:val="38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3408"/>
    <w:rsid w:val="000C6AFD"/>
    <w:rsid w:val="000D5637"/>
    <w:rsid w:val="000E6FBD"/>
    <w:rsid w:val="00100F5C"/>
    <w:rsid w:val="00101CDA"/>
    <w:rsid w:val="00102C41"/>
    <w:rsid w:val="00104C4C"/>
    <w:rsid w:val="00117623"/>
    <w:rsid w:val="0012192F"/>
    <w:rsid w:val="001224E5"/>
    <w:rsid w:val="00124940"/>
    <w:rsid w:val="00125D69"/>
    <w:rsid w:val="001405FA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B2CA9"/>
    <w:rsid w:val="001B3110"/>
    <w:rsid w:val="001B4729"/>
    <w:rsid w:val="001B6310"/>
    <w:rsid w:val="001B6C09"/>
    <w:rsid w:val="001C05CD"/>
    <w:rsid w:val="001C3924"/>
    <w:rsid w:val="001D40D7"/>
    <w:rsid w:val="001D48D4"/>
    <w:rsid w:val="001D68B2"/>
    <w:rsid w:val="001E1C2E"/>
    <w:rsid w:val="001E504C"/>
    <w:rsid w:val="001E6062"/>
    <w:rsid w:val="001F4597"/>
    <w:rsid w:val="00203DA4"/>
    <w:rsid w:val="002118B9"/>
    <w:rsid w:val="00213E46"/>
    <w:rsid w:val="00214CF7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71465"/>
    <w:rsid w:val="0028207A"/>
    <w:rsid w:val="00285412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D0E59"/>
    <w:rsid w:val="002E02A1"/>
    <w:rsid w:val="002E42AC"/>
    <w:rsid w:val="002E4E4C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C3490"/>
    <w:rsid w:val="003C6550"/>
    <w:rsid w:val="003C7E62"/>
    <w:rsid w:val="003D6920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CD0"/>
    <w:rsid w:val="004C70DC"/>
    <w:rsid w:val="004D0211"/>
    <w:rsid w:val="004D0794"/>
    <w:rsid w:val="004D5C93"/>
    <w:rsid w:val="004E1288"/>
    <w:rsid w:val="004E7C6B"/>
    <w:rsid w:val="004F06F5"/>
    <w:rsid w:val="004F33A0"/>
    <w:rsid w:val="0050689D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B0F92"/>
    <w:rsid w:val="006B173A"/>
    <w:rsid w:val="006B344A"/>
    <w:rsid w:val="006B78D8"/>
    <w:rsid w:val="006C113F"/>
    <w:rsid w:val="006C123E"/>
    <w:rsid w:val="006C1752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211F5"/>
    <w:rsid w:val="00723946"/>
    <w:rsid w:val="007240E2"/>
    <w:rsid w:val="00725BB5"/>
    <w:rsid w:val="00730AE8"/>
    <w:rsid w:val="00730F1B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80EF1"/>
    <w:rsid w:val="00790711"/>
    <w:rsid w:val="00790764"/>
    <w:rsid w:val="0079124F"/>
    <w:rsid w:val="0079453C"/>
    <w:rsid w:val="00794677"/>
    <w:rsid w:val="00797445"/>
    <w:rsid w:val="007A516D"/>
    <w:rsid w:val="007B6689"/>
    <w:rsid w:val="007C6BBD"/>
    <w:rsid w:val="007D40DF"/>
    <w:rsid w:val="007E29B4"/>
    <w:rsid w:val="007E435A"/>
    <w:rsid w:val="007E7E61"/>
    <w:rsid w:val="007E7FCE"/>
    <w:rsid w:val="007F0845"/>
    <w:rsid w:val="007F2F29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59C"/>
    <w:rsid w:val="009721DB"/>
    <w:rsid w:val="0097239B"/>
    <w:rsid w:val="00974923"/>
    <w:rsid w:val="009808F7"/>
    <w:rsid w:val="00980D3D"/>
    <w:rsid w:val="009855E1"/>
    <w:rsid w:val="00987A30"/>
    <w:rsid w:val="00992CF3"/>
    <w:rsid w:val="00994868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3ACD"/>
    <w:rsid w:val="009E5273"/>
    <w:rsid w:val="009E5DDB"/>
    <w:rsid w:val="009F4CA7"/>
    <w:rsid w:val="00A10D66"/>
    <w:rsid w:val="00A14114"/>
    <w:rsid w:val="00A1537C"/>
    <w:rsid w:val="00A16413"/>
    <w:rsid w:val="00A16E1D"/>
    <w:rsid w:val="00A17D5B"/>
    <w:rsid w:val="00A17EB2"/>
    <w:rsid w:val="00A23E43"/>
    <w:rsid w:val="00A25216"/>
    <w:rsid w:val="00A30F65"/>
    <w:rsid w:val="00A33A89"/>
    <w:rsid w:val="00A40EAC"/>
    <w:rsid w:val="00A40EDD"/>
    <w:rsid w:val="00A418BC"/>
    <w:rsid w:val="00A4206C"/>
    <w:rsid w:val="00A46DE0"/>
    <w:rsid w:val="00A47FCA"/>
    <w:rsid w:val="00A50D73"/>
    <w:rsid w:val="00A52CAD"/>
    <w:rsid w:val="00A53FC7"/>
    <w:rsid w:val="00A62CE1"/>
    <w:rsid w:val="00A668A3"/>
    <w:rsid w:val="00A6741E"/>
    <w:rsid w:val="00A75E40"/>
    <w:rsid w:val="00A77D1D"/>
    <w:rsid w:val="00A84A6A"/>
    <w:rsid w:val="00A857C0"/>
    <w:rsid w:val="00A90FED"/>
    <w:rsid w:val="00AA2996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9FB"/>
    <w:rsid w:val="00B71EF7"/>
    <w:rsid w:val="00B76D1E"/>
    <w:rsid w:val="00B8028A"/>
    <w:rsid w:val="00B80EC6"/>
    <w:rsid w:val="00B84CF6"/>
    <w:rsid w:val="00B92D1D"/>
    <w:rsid w:val="00B938C5"/>
    <w:rsid w:val="00B95940"/>
    <w:rsid w:val="00BA6C2B"/>
    <w:rsid w:val="00BB46F3"/>
    <w:rsid w:val="00BB4CB1"/>
    <w:rsid w:val="00BB4F98"/>
    <w:rsid w:val="00BC5C12"/>
    <w:rsid w:val="00BC7154"/>
    <w:rsid w:val="00BC731E"/>
    <w:rsid w:val="00BD366B"/>
    <w:rsid w:val="00BD6D50"/>
    <w:rsid w:val="00BE18B9"/>
    <w:rsid w:val="00BE2495"/>
    <w:rsid w:val="00BF1578"/>
    <w:rsid w:val="00BF723F"/>
    <w:rsid w:val="00C21F94"/>
    <w:rsid w:val="00C27913"/>
    <w:rsid w:val="00C27E4F"/>
    <w:rsid w:val="00C32964"/>
    <w:rsid w:val="00C33B68"/>
    <w:rsid w:val="00C36A79"/>
    <w:rsid w:val="00C401D2"/>
    <w:rsid w:val="00C405D4"/>
    <w:rsid w:val="00C4431F"/>
    <w:rsid w:val="00C4513B"/>
    <w:rsid w:val="00C5390B"/>
    <w:rsid w:val="00C54697"/>
    <w:rsid w:val="00C65535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B4930"/>
    <w:rsid w:val="00CC2E7D"/>
    <w:rsid w:val="00CD10A5"/>
    <w:rsid w:val="00CD2076"/>
    <w:rsid w:val="00CD29B5"/>
    <w:rsid w:val="00CD6331"/>
    <w:rsid w:val="00CE670B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94"/>
    <w:rsid w:val="00E063CE"/>
    <w:rsid w:val="00E12B1E"/>
    <w:rsid w:val="00E17262"/>
    <w:rsid w:val="00E253A2"/>
    <w:rsid w:val="00E3309D"/>
    <w:rsid w:val="00E43C1C"/>
    <w:rsid w:val="00E47EBA"/>
    <w:rsid w:val="00E50156"/>
    <w:rsid w:val="00E51643"/>
    <w:rsid w:val="00E53470"/>
    <w:rsid w:val="00E53874"/>
    <w:rsid w:val="00E539F6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274CEEB"/>
    <w:rsid w:val="11D0C0D9"/>
    <w:rsid w:val="1C7F89FF"/>
    <w:rsid w:val="304DB734"/>
    <w:rsid w:val="30D0B3BE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7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b8c0c86d-151e-4fca-b0d5-747e6692fa1d"/>
  </ds:schemaRefs>
</ds:datastoreItem>
</file>

<file path=customXml/itemProps3.xml><?xml version="1.0" encoding="utf-8"?>
<ds:datastoreItem xmlns:ds="http://schemas.openxmlformats.org/officeDocument/2006/customXml" ds:itemID="{0D187BB0-665D-4788-984B-3D69493B5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C1C75-F512-4577-9EEE-703A5EEC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4</cp:revision>
  <cp:lastPrinted>2014-07-17T14:07:00Z</cp:lastPrinted>
  <dcterms:created xsi:type="dcterms:W3CDTF">2025-03-20T11:47:00Z</dcterms:created>
  <dcterms:modified xsi:type="dcterms:W3CDTF">2025-03-20T11:57:00Z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