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EB4A3" w14:textId="77777777" w:rsidR="00E551F6" w:rsidRPr="001A0A01" w:rsidRDefault="00E551F6" w:rsidP="00E551F6">
      <w:pPr>
        <w:pStyle w:val="Nadpis1"/>
        <w:rPr>
          <w:lang w:val="en-GB"/>
        </w:rPr>
      </w:pPr>
      <w:bookmarkStart w:id="0" w:name="_Toc179774107"/>
      <w:bookmarkStart w:id="1" w:name="_Toc153531176"/>
      <w:bookmarkStart w:id="2" w:name="_Toc169258116"/>
      <w:bookmarkStart w:id="3" w:name="_GoBack"/>
      <w:bookmarkEnd w:id="3"/>
      <w:r w:rsidRPr="001A0A01">
        <w:rPr>
          <w:szCs w:val="32"/>
          <w:lang w:val="en-GB"/>
        </w:rPr>
        <w:t>3</w:t>
      </w:r>
      <w:r w:rsidRPr="001A0A01">
        <w:rPr>
          <w:lang w:val="en-GB"/>
        </w:rPr>
        <w:t>. Branches Performance</w:t>
      </w:r>
      <w:bookmarkEnd w:id="0"/>
    </w:p>
    <w:tbl>
      <w:tblPr>
        <w:tblW w:w="9639" w:type="dxa"/>
        <w:tblInd w:w="-20" w:type="dxa"/>
        <w:tblLayout w:type="fixed"/>
        <w:tblCellMar>
          <w:left w:w="0" w:type="dxa"/>
          <w:right w:w="0" w:type="dxa"/>
        </w:tblCellMar>
        <w:tblLook w:val="00A0" w:firstRow="1" w:lastRow="0" w:firstColumn="1" w:lastColumn="0" w:noHBand="0" w:noVBand="0"/>
      </w:tblPr>
      <w:tblGrid>
        <w:gridCol w:w="1814"/>
        <w:gridCol w:w="229"/>
        <w:gridCol w:w="7596"/>
      </w:tblGrid>
      <w:tr w:rsidR="00E551F6" w:rsidRPr="001A0A01" w14:paraId="7EFB6EB9" w14:textId="77777777" w:rsidTr="00E551F6">
        <w:trPr>
          <w:trHeight w:val="145"/>
        </w:trPr>
        <w:tc>
          <w:tcPr>
            <w:tcW w:w="1814" w:type="dxa"/>
            <w:shd w:val="clear" w:color="auto" w:fill="auto"/>
            <w:tcMar>
              <w:left w:w="0" w:type="dxa"/>
            </w:tcMar>
          </w:tcPr>
          <w:p w14:paraId="4E84CCFF" w14:textId="77777777" w:rsidR="00E551F6" w:rsidRPr="001A0A01" w:rsidRDefault="00E551F6" w:rsidP="00E551F6">
            <w:pPr>
              <w:pStyle w:val="Marginlie"/>
              <w:rPr>
                <w:lang w:val="en-GB"/>
              </w:rPr>
            </w:pPr>
            <w:r w:rsidRPr="001A0A01">
              <w:rPr>
                <w:lang w:val="en-GB"/>
              </w:rPr>
              <w:t>The quarter-on-quarter decrease of GVA ceased in Q2. Services thrived, benefiting from stronger domestic demand. On the contrary, weak external demand continued to keep industry in recession.</w:t>
            </w:r>
          </w:p>
        </w:tc>
        <w:tc>
          <w:tcPr>
            <w:tcW w:w="229" w:type="dxa"/>
            <w:shd w:val="clear" w:color="auto" w:fill="auto"/>
            <w:tcMar>
              <w:left w:w="0" w:type="dxa"/>
            </w:tcMar>
          </w:tcPr>
          <w:p w14:paraId="57B92F2C" w14:textId="77777777" w:rsidR="00E551F6" w:rsidRPr="001A0A01" w:rsidRDefault="00E551F6" w:rsidP="00E551F6">
            <w:pPr>
              <w:pStyle w:val="Textpoznpodarou"/>
              <w:jc w:val="both"/>
              <w:rPr>
                <w:spacing w:val="-4"/>
                <w:lang w:val="en-GB"/>
              </w:rPr>
            </w:pPr>
          </w:p>
        </w:tc>
        <w:tc>
          <w:tcPr>
            <w:tcW w:w="7596" w:type="dxa"/>
            <w:shd w:val="clear" w:color="auto" w:fill="auto"/>
            <w:tcMar>
              <w:left w:w="0" w:type="dxa"/>
            </w:tcMar>
          </w:tcPr>
          <w:p w14:paraId="76539155" w14:textId="7EA8051A" w:rsidR="00E551F6" w:rsidRPr="001A0A01" w:rsidRDefault="00E551F6" w:rsidP="00E551F6">
            <w:pPr>
              <w:rPr>
                <w:color w:val="0D0D0D" w:themeColor="text1" w:themeTint="F2"/>
                <w:spacing w:val="-4"/>
                <w:lang w:val="en-GB"/>
              </w:rPr>
            </w:pPr>
            <w:r w:rsidRPr="001A0A01">
              <w:rPr>
                <w:color w:val="0D0D0D" w:themeColor="text1" w:themeTint="F2"/>
                <w:spacing w:val="-4"/>
                <w:lang w:val="en-GB"/>
              </w:rPr>
              <w:t>The total performance of the branches of the national economy captured by the created Gross value added (GVA)</w:t>
            </w:r>
            <w:r w:rsidRPr="001A0A01">
              <w:rPr>
                <w:rStyle w:val="Znakapoznpodarou"/>
                <w:color w:val="0D0D0D" w:themeColor="text1" w:themeTint="F2"/>
                <w:spacing w:val="-5"/>
                <w:lang w:val="en-GB"/>
              </w:rPr>
              <w:footnoteReference w:id="2"/>
            </w:r>
            <w:r w:rsidRPr="001A0A01">
              <w:rPr>
                <w:color w:val="0D0D0D" w:themeColor="text1" w:themeTint="F2"/>
                <w:spacing w:val="-4"/>
                <w:lang w:val="en-GB"/>
              </w:rPr>
              <w:t xml:space="preserve"> continued to decline slightly, quarter-on-quarter, at the beginning of this year and thus followed in the last year's unfavourable development. It was only in Q2 2024 that there was a slight recovery (+0.5%</w:t>
            </w:r>
            <w:r w:rsidRPr="001A0A01">
              <w:rPr>
                <w:rStyle w:val="Znakapoznpodarou"/>
                <w:color w:val="0D0D0D" w:themeColor="text1" w:themeTint="F2"/>
                <w:spacing w:val="-4"/>
                <w:lang w:val="en-GB"/>
              </w:rPr>
              <w:footnoteReference w:id="3"/>
            </w:r>
            <w:r w:rsidRPr="001A0A01">
              <w:rPr>
                <w:color w:val="0D0D0D" w:themeColor="text1" w:themeTint="F2"/>
                <w:spacing w:val="-4"/>
                <w:lang w:val="en-GB"/>
              </w:rPr>
              <w:t>), to which, however, only the services sector contributed</w:t>
            </w:r>
            <w:r w:rsidRPr="001A0A01">
              <w:rPr>
                <w:rStyle w:val="Znakapoznpodarou"/>
                <w:color w:val="0D0D0D" w:themeColor="text1" w:themeTint="F2"/>
                <w:spacing w:val="-4"/>
                <w:lang w:val="en-GB"/>
              </w:rPr>
              <w:footnoteReference w:id="4"/>
            </w:r>
            <w:r w:rsidRPr="001A0A01">
              <w:rPr>
                <w:color w:val="0D0D0D" w:themeColor="text1" w:themeTint="F2"/>
                <w:spacing w:val="-4"/>
                <w:lang w:val="en-GB"/>
              </w:rPr>
              <w:t>. It benefited from higher consumption expenditures of both households and government institutions or from the ongoing development of inbound tourism. For the entire H1</w:t>
            </w:r>
            <w:r w:rsidR="00793CA9">
              <w:rPr>
                <w:color w:val="0D0D0D" w:themeColor="text1" w:themeTint="F2"/>
                <w:spacing w:val="-4"/>
                <w:lang w:val="en-GB"/>
              </w:rPr>
              <w:t xml:space="preserve"> 2024</w:t>
            </w:r>
            <w:r w:rsidRPr="001A0A01">
              <w:rPr>
                <w:color w:val="0D0D0D" w:themeColor="text1" w:themeTint="F2"/>
                <w:spacing w:val="-4"/>
                <w:lang w:val="en-GB"/>
              </w:rPr>
              <w:t>, the GVA decreased by 0.3%, year-on-year (at the same time the last half-yearly decline occurred in 2020). The sectoral profile of development is again similar – industry contributed the most to the lower output (−0.7 p.p.), where the recession con</w:t>
            </w:r>
            <w:r w:rsidR="00793CA9">
              <w:rPr>
                <w:color w:val="0D0D0D" w:themeColor="text1" w:themeTint="F2"/>
                <w:spacing w:val="-4"/>
                <w:lang w:val="en-GB"/>
              </w:rPr>
              <w:t>tinued in manufacturing</w:t>
            </w:r>
            <w:r w:rsidRPr="001A0A01">
              <w:rPr>
                <w:color w:val="0D0D0D" w:themeColor="text1" w:themeTint="F2"/>
                <w:spacing w:val="-4"/>
                <w:lang w:val="en-GB"/>
              </w:rPr>
              <w:t xml:space="preserve"> and in total also in mining and energy industries. The weight-dominant group of services – trade, transport, accommodation, and food service activities (+0.4 p.p.) had an opposite effect (as for most of the previous year).  </w:t>
            </w:r>
          </w:p>
        </w:tc>
      </w:tr>
      <w:tr w:rsidR="00E551F6" w:rsidRPr="001A0A01" w14:paraId="44EB3FD0" w14:textId="77777777" w:rsidTr="00E551F6">
        <w:trPr>
          <w:trHeight w:val="145"/>
        </w:trPr>
        <w:tc>
          <w:tcPr>
            <w:tcW w:w="1814" w:type="dxa"/>
            <w:shd w:val="clear" w:color="auto" w:fill="auto"/>
            <w:tcMar>
              <w:left w:w="0" w:type="dxa"/>
            </w:tcMar>
          </w:tcPr>
          <w:p w14:paraId="0ED3B15C" w14:textId="5C87EEB7" w:rsidR="00E551F6" w:rsidRPr="001A0A01" w:rsidRDefault="00E551F6" w:rsidP="00E551F6">
            <w:pPr>
              <w:pStyle w:val="Marginlie"/>
              <w:spacing w:after="240"/>
              <w:rPr>
                <w:color w:val="0D0D0D" w:themeColor="text1" w:themeTint="F2"/>
                <w:spacing w:val="-4"/>
                <w:lang w:val="en-GB"/>
              </w:rPr>
            </w:pPr>
            <w:r w:rsidRPr="001A0A01">
              <w:rPr>
                <w:color w:val="0D0D0D" w:themeColor="text1" w:themeTint="F2"/>
                <w:spacing w:val="-4"/>
                <w:lang w:val="en-GB"/>
              </w:rPr>
              <w:t>This year's anticipated harvest of</w:t>
            </w:r>
            <w:r w:rsidR="00E62166">
              <w:rPr>
                <w:color w:val="0D0D0D" w:themeColor="text1" w:themeTint="F2"/>
                <w:spacing w:val="-4"/>
                <w:lang w:val="en-GB"/>
              </w:rPr>
              <w:t xml:space="preserve"> both basic cereals and rapeseed</w:t>
            </w:r>
            <w:r w:rsidRPr="001A0A01">
              <w:rPr>
                <w:color w:val="0D0D0D" w:themeColor="text1" w:themeTint="F2"/>
                <w:spacing w:val="-4"/>
                <w:lang w:val="en-GB"/>
              </w:rPr>
              <w:t xml:space="preserve"> is lower in a year-on-year but also in the long term comparison. The decrease in sowing areas and sharp weather fluctuations at the beginning of Spring had a significant impact.</w:t>
            </w:r>
          </w:p>
        </w:tc>
        <w:tc>
          <w:tcPr>
            <w:tcW w:w="229" w:type="dxa"/>
            <w:shd w:val="clear" w:color="auto" w:fill="auto"/>
            <w:tcMar>
              <w:left w:w="0" w:type="dxa"/>
            </w:tcMar>
          </w:tcPr>
          <w:p w14:paraId="6A47DD87" w14:textId="77777777" w:rsidR="00E551F6" w:rsidRPr="001A0A01" w:rsidRDefault="00E551F6" w:rsidP="00E551F6">
            <w:pPr>
              <w:pStyle w:val="Textpoznpodarou"/>
              <w:spacing w:after="240"/>
              <w:jc w:val="both"/>
              <w:rPr>
                <w:color w:val="0D0D0D" w:themeColor="text1" w:themeTint="F2"/>
                <w:spacing w:val="-4"/>
                <w:lang w:val="en-GB"/>
              </w:rPr>
            </w:pPr>
          </w:p>
        </w:tc>
        <w:tc>
          <w:tcPr>
            <w:tcW w:w="7596" w:type="dxa"/>
            <w:shd w:val="clear" w:color="auto" w:fill="auto"/>
            <w:tcMar>
              <w:left w:w="0" w:type="dxa"/>
            </w:tcMar>
          </w:tcPr>
          <w:p w14:paraId="620A6C57" w14:textId="6EED0A14" w:rsidR="00E551F6" w:rsidRPr="001A0A01" w:rsidRDefault="00E551F6" w:rsidP="00E551F6">
            <w:pPr>
              <w:rPr>
                <w:color w:val="0D0D0D" w:themeColor="text1" w:themeTint="F2"/>
                <w:spacing w:val="-5"/>
                <w:lang w:val="en-GB"/>
              </w:rPr>
            </w:pPr>
            <w:r w:rsidRPr="001A0A01">
              <w:rPr>
                <w:color w:val="0D0D0D" w:themeColor="text1" w:themeTint="F2"/>
                <w:spacing w:val="-5"/>
                <w:lang w:val="en-GB"/>
              </w:rPr>
              <w:t xml:space="preserve">The above summary view is further developed by much more detailed business statistics. According to this year's 3rd harvest estimate (as of 15. 8.), the harvest of basic cereals is expected to be 6,835 thousand tonnes and oilseed rape 940 thousand tonnes. The estimate of the cereal harvest is by 8.6% lower, year-on-year, and lags behind the average of the last five-year period by 6.6% (it presents the second lowest harvest in the last decade). The rapeseed harvest is down by 28.3%, year-on-year, and is one fifth </w:t>
            </w:r>
            <w:r w:rsidR="00E62166">
              <w:rPr>
                <w:color w:val="0D0D0D" w:themeColor="text1" w:themeTint="F2"/>
                <w:spacing w:val="-5"/>
                <w:lang w:val="en-GB"/>
              </w:rPr>
              <w:t>behind the last five-year average</w:t>
            </w:r>
            <w:r w:rsidRPr="001A0A01">
              <w:rPr>
                <w:color w:val="0D0D0D" w:themeColor="text1" w:themeTint="F2"/>
                <w:spacing w:val="-5"/>
                <w:lang w:val="en-GB"/>
              </w:rPr>
              <w:t xml:space="preserve"> (the harvest is the lowest since 2006). Weaker yields per hectare play a key role in both cases this year, nevertheless the decrease in the sowing area also had a significant impact. The harvest of wheat, rye and winter barley is weaker, year-on-year. On the contrary, due to sufficient rainfall throughout the growing season, a larger harvest is expected for spring cereals (spring barley, oats, and triticale). With respect to the other crops, grain maize (+15.3%), potatoes (+11.1%, mainly thanks to the enlargement of the sowing area), soybean (+10.9%), sugar beet (+13.5%) and green maize (+16.4%) should also be harvested more, year-on-year. In contrast, a decrease is expected for instance for the sunflower for seed (−10.7%) or lucerne (−7.7%). In general, the April frosts had a considerable effect on this year's harvest. In addition to rapeseed, they also substantially afflicted the harvest of fruit and some types of vegetables. </w:t>
            </w:r>
          </w:p>
        </w:tc>
      </w:tr>
      <w:tr w:rsidR="00E551F6" w:rsidRPr="001A0A01" w14:paraId="35FE04E4" w14:textId="77777777" w:rsidTr="00E551F6">
        <w:trPr>
          <w:trHeight w:val="145"/>
        </w:trPr>
        <w:tc>
          <w:tcPr>
            <w:tcW w:w="1814" w:type="dxa"/>
            <w:shd w:val="clear" w:color="auto" w:fill="auto"/>
            <w:tcMar>
              <w:left w:w="0" w:type="dxa"/>
            </w:tcMar>
          </w:tcPr>
          <w:p w14:paraId="0FFBF238" w14:textId="77777777" w:rsidR="00E551F6" w:rsidRPr="001A0A01" w:rsidRDefault="00E551F6" w:rsidP="00E551F6">
            <w:pPr>
              <w:pStyle w:val="Marginlie"/>
              <w:rPr>
                <w:color w:val="0D0D0D" w:themeColor="text1" w:themeTint="F2"/>
                <w:spacing w:val="-4"/>
                <w:lang w:val="en-GB"/>
              </w:rPr>
            </w:pPr>
            <w:r w:rsidRPr="001A0A01">
              <w:rPr>
                <w:color w:val="0D0D0D" w:themeColor="text1" w:themeTint="F2"/>
                <w:spacing w:val="-4"/>
                <w:lang w:val="en-GB"/>
              </w:rPr>
              <w:t>Gross domestic meat production increased, year-on-year, mainly due to a recovery in pork production.</w:t>
            </w:r>
          </w:p>
          <w:p w14:paraId="4F881826" w14:textId="77777777" w:rsidR="00E551F6" w:rsidRPr="001A0A01" w:rsidRDefault="00E551F6" w:rsidP="00E551F6">
            <w:pPr>
              <w:pStyle w:val="Marginlie"/>
              <w:rPr>
                <w:color w:val="0D0D0D" w:themeColor="text1" w:themeTint="F2"/>
                <w:spacing w:val="-4"/>
                <w:lang w:val="en-GB"/>
              </w:rPr>
            </w:pPr>
          </w:p>
          <w:p w14:paraId="3313406C" w14:textId="77777777" w:rsidR="00E551F6" w:rsidRPr="001A0A01" w:rsidRDefault="00E551F6" w:rsidP="00E551F6">
            <w:pPr>
              <w:pStyle w:val="Marginlie"/>
              <w:rPr>
                <w:color w:val="0D0D0D" w:themeColor="text1" w:themeTint="F2"/>
                <w:spacing w:val="-4"/>
                <w:lang w:val="en-GB"/>
              </w:rPr>
            </w:pPr>
          </w:p>
          <w:p w14:paraId="049B482E" w14:textId="77777777" w:rsidR="00E551F6" w:rsidRPr="001A0A01" w:rsidRDefault="00E551F6" w:rsidP="00E551F6">
            <w:pPr>
              <w:pStyle w:val="Marginlie"/>
              <w:rPr>
                <w:color w:val="0D0D0D" w:themeColor="text1" w:themeTint="F2"/>
                <w:spacing w:val="-4"/>
                <w:lang w:val="en-GB"/>
              </w:rPr>
            </w:pPr>
          </w:p>
          <w:p w14:paraId="542CB120" w14:textId="58775E27" w:rsidR="00E551F6" w:rsidRDefault="00E551F6" w:rsidP="00E551F6">
            <w:pPr>
              <w:pStyle w:val="Marginlie"/>
              <w:rPr>
                <w:color w:val="0D0D0D" w:themeColor="text1" w:themeTint="F2"/>
                <w:spacing w:val="-4"/>
                <w:lang w:val="en-GB"/>
              </w:rPr>
            </w:pPr>
          </w:p>
          <w:p w14:paraId="7663DE86" w14:textId="77777777" w:rsidR="00C050C9" w:rsidRPr="001A0A01" w:rsidRDefault="00C050C9" w:rsidP="00E551F6">
            <w:pPr>
              <w:pStyle w:val="Marginlie"/>
              <w:rPr>
                <w:color w:val="0D0D0D" w:themeColor="text1" w:themeTint="F2"/>
                <w:spacing w:val="-4"/>
                <w:lang w:val="en-GB"/>
              </w:rPr>
            </w:pPr>
          </w:p>
          <w:p w14:paraId="5193FD1A" w14:textId="77777777" w:rsidR="00E551F6" w:rsidRPr="001A0A01" w:rsidRDefault="00E551F6" w:rsidP="00E551F6">
            <w:pPr>
              <w:pStyle w:val="Marginlie"/>
              <w:rPr>
                <w:color w:val="0D0D0D" w:themeColor="text1" w:themeTint="F2"/>
                <w:spacing w:val="-4"/>
                <w:lang w:val="en-GB"/>
              </w:rPr>
            </w:pPr>
          </w:p>
          <w:p w14:paraId="3561BE8A" w14:textId="19EC36C0" w:rsidR="00E551F6" w:rsidRPr="001A0A01" w:rsidRDefault="00E551F6" w:rsidP="00E551F6">
            <w:pPr>
              <w:pStyle w:val="Marginlie"/>
              <w:rPr>
                <w:color w:val="0D0D0D" w:themeColor="text1" w:themeTint="F2"/>
                <w:spacing w:val="-4"/>
                <w:lang w:val="en-GB"/>
              </w:rPr>
            </w:pPr>
            <w:r w:rsidRPr="001A0A01">
              <w:rPr>
                <w:color w:val="0D0D0D" w:themeColor="text1" w:themeTint="F2"/>
                <w:spacing w:val="-4"/>
                <w:lang w:val="en-GB"/>
              </w:rPr>
              <w:lastRenderedPageBreak/>
              <w:t>Consumption of al</w:t>
            </w:r>
            <w:r w:rsidR="00322607">
              <w:rPr>
                <w:color w:val="0D0D0D" w:themeColor="text1" w:themeTint="F2"/>
                <w:spacing w:val="-4"/>
                <w:lang w:val="en-GB"/>
              </w:rPr>
              <w:t>l major types of meat grew, mainly</w:t>
            </w:r>
            <w:r w:rsidRPr="001A0A01">
              <w:rPr>
                <w:color w:val="0D0D0D" w:themeColor="text1" w:themeTint="F2"/>
                <w:spacing w:val="-4"/>
                <w:lang w:val="en-GB"/>
              </w:rPr>
              <w:t xml:space="preserve"> </w:t>
            </w:r>
            <w:r w:rsidR="00322607">
              <w:rPr>
                <w:color w:val="0D0D0D" w:themeColor="text1" w:themeTint="F2"/>
                <w:spacing w:val="-4"/>
                <w:lang w:val="en-GB"/>
              </w:rPr>
              <w:t>due</w:t>
            </w:r>
            <w:r w:rsidRPr="001A0A01">
              <w:rPr>
                <w:color w:val="0D0D0D" w:themeColor="text1" w:themeTint="F2"/>
                <w:spacing w:val="-4"/>
                <w:lang w:val="en-GB"/>
              </w:rPr>
              <w:t xml:space="preserve"> to a strengthened import.</w:t>
            </w:r>
          </w:p>
          <w:p w14:paraId="01D783C9" w14:textId="77777777" w:rsidR="00E551F6" w:rsidRPr="001A0A01" w:rsidRDefault="00E551F6" w:rsidP="00E551F6">
            <w:pPr>
              <w:pStyle w:val="Marginlie"/>
              <w:spacing w:after="240"/>
              <w:rPr>
                <w:color w:val="0D0D0D" w:themeColor="text1" w:themeTint="F2"/>
                <w:spacing w:val="-4"/>
                <w:lang w:val="en-GB"/>
              </w:rPr>
            </w:pPr>
          </w:p>
        </w:tc>
        <w:tc>
          <w:tcPr>
            <w:tcW w:w="229" w:type="dxa"/>
            <w:shd w:val="clear" w:color="auto" w:fill="auto"/>
            <w:tcMar>
              <w:left w:w="0" w:type="dxa"/>
            </w:tcMar>
          </w:tcPr>
          <w:p w14:paraId="43E76CB8" w14:textId="77777777" w:rsidR="00E551F6" w:rsidRPr="001A0A01" w:rsidRDefault="00E551F6" w:rsidP="00E551F6">
            <w:pPr>
              <w:pStyle w:val="Textpoznpodarou"/>
              <w:spacing w:after="240"/>
              <w:jc w:val="both"/>
              <w:rPr>
                <w:color w:val="0D0D0D" w:themeColor="text1" w:themeTint="F2"/>
                <w:spacing w:val="-4"/>
                <w:lang w:val="en-GB"/>
              </w:rPr>
            </w:pPr>
          </w:p>
        </w:tc>
        <w:tc>
          <w:tcPr>
            <w:tcW w:w="7596" w:type="dxa"/>
            <w:shd w:val="clear" w:color="auto" w:fill="auto"/>
            <w:tcMar>
              <w:left w:w="0" w:type="dxa"/>
            </w:tcMar>
          </w:tcPr>
          <w:p w14:paraId="20429941" w14:textId="5D3647E4" w:rsidR="00E551F6" w:rsidRPr="001A0A01" w:rsidRDefault="00E551F6" w:rsidP="00E551F6">
            <w:pPr>
              <w:rPr>
                <w:color w:val="0D0D0D" w:themeColor="text1" w:themeTint="F2"/>
                <w:spacing w:val="-4"/>
                <w:lang w:val="en-GB"/>
              </w:rPr>
            </w:pPr>
            <w:r w:rsidRPr="001A0A01">
              <w:rPr>
                <w:color w:val="0D0D0D" w:themeColor="text1" w:themeTint="F2"/>
                <w:spacing w:val="-4"/>
                <w:lang w:val="en-GB"/>
              </w:rPr>
              <w:t xml:space="preserve">The two-year-long year-on-year decrease of the physical volume of meat production in slaughterhouses in the Czech Republic halted in Q4 last year and this year‘s development confirmed this turn so far. The mild growth of production thus continued in Q2 </w:t>
            </w:r>
            <w:r w:rsidR="00322607">
              <w:rPr>
                <w:color w:val="0D0D0D" w:themeColor="text1" w:themeTint="F2"/>
                <w:spacing w:val="-4"/>
                <w:lang w:val="en-GB"/>
              </w:rPr>
              <w:t xml:space="preserve">2024 </w:t>
            </w:r>
            <w:r w:rsidRPr="001A0A01">
              <w:rPr>
                <w:color w:val="0D0D0D" w:themeColor="text1" w:themeTint="F2"/>
                <w:spacing w:val="-4"/>
                <w:lang w:val="en-GB"/>
              </w:rPr>
              <w:t>(+1.9%). It was driven (s</w:t>
            </w:r>
            <w:r w:rsidR="00322607">
              <w:rPr>
                <w:color w:val="0D0D0D" w:themeColor="text1" w:themeTint="F2"/>
                <w:spacing w:val="-4"/>
                <w:lang w:val="en-GB"/>
              </w:rPr>
              <w:t>imilarly to the beginning of this</w:t>
            </w:r>
            <w:r w:rsidRPr="001A0A01">
              <w:rPr>
                <w:color w:val="0D0D0D" w:themeColor="text1" w:themeTint="F2"/>
                <w:spacing w:val="-4"/>
                <w:lang w:val="en-GB"/>
              </w:rPr>
              <w:t xml:space="preserve"> year) by the recovery of the weight-dominant pork meat segment (+5.6%, nevertheless the production was almost 4% lower compared to 2021). However, there was a decrease in beef (−4.6%</w:t>
            </w:r>
            <w:r w:rsidRPr="001A0A01">
              <w:rPr>
                <w:rStyle w:val="Znakapoznpodarou"/>
                <w:color w:val="0D0D0D" w:themeColor="text1" w:themeTint="F2"/>
                <w:spacing w:val="-4"/>
                <w:lang w:val="en-GB"/>
              </w:rPr>
              <w:footnoteReference w:id="5"/>
            </w:r>
            <w:r w:rsidR="00322607">
              <w:rPr>
                <w:color w:val="0D0D0D" w:themeColor="text1" w:themeTint="F2"/>
                <w:spacing w:val="-4"/>
                <w:lang w:val="en-GB"/>
              </w:rPr>
              <w:t>) and its production t</w:t>
            </w:r>
            <w:r w:rsidRPr="001A0A01">
              <w:rPr>
                <w:color w:val="0D0D0D" w:themeColor="text1" w:themeTint="F2"/>
                <w:spacing w:val="-4"/>
                <w:lang w:val="en-GB"/>
              </w:rPr>
              <w:t>his year is at a seven-year low</w:t>
            </w:r>
            <w:r w:rsidR="00322607">
              <w:rPr>
                <w:color w:val="0D0D0D" w:themeColor="text1" w:themeTint="F2"/>
                <w:spacing w:val="-4"/>
                <w:lang w:val="en-GB"/>
              </w:rPr>
              <w:t xml:space="preserve"> so far</w:t>
            </w:r>
            <w:r w:rsidRPr="001A0A01">
              <w:rPr>
                <w:color w:val="0D0D0D" w:themeColor="text1" w:themeTint="F2"/>
                <w:spacing w:val="-4"/>
                <w:lang w:val="en-GB"/>
              </w:rPr>
              <w:t xml:space="preserve">. Poultry production stagnated but grows in the longer-term view. An even more pronounced growth trend is evident in the dairy sector. The direct milk purchases from domestic producers increased by 3.7%, year-on-year, and grew twice as </w:t>
            </w:r>
            <w:r w:rsidRPr="001A0A01">
              <w:rPr>
                <w:color w:val="0D0D0D" w:themeColor="text1" w:themeTint="F2"/>
                <w:spacing w:val="-4"/>
                <w:lang w:val="en-GB"/>
              </w:rPr>
              <w:lastRenderedPageBreak/>
              <w:t>fast as in the same period of the last year. Including the balance of meat imports and exports, the preliminarily calculated meat consumption expanded, year-on-year, for all three types in the CR in Q2</w:t>
            </w:r>
            <w:r w:rsidR="006C4AC1">
              <w:rPr>
                <w:color w:val="0D0D0D" w:themeColor="text1" w:themeTint="F2"/>
                <w:spacing w:val="-4"/>
                <w:lang w:val="en-GB"/>
              </w:rPr>
              <w:t xml:space="preserve"> 2024</w:t>
            </w:r>
            <w:r w:rsidRPr="001A0A01">
              <w:rPr>
                <w:color w:val="0D0D0D" w:themeColor="text1" w:themeTint="F2"/>
                <w:spacing w:val="-4"/>
                <w:lang w:val="en-GB"/>
              </w:rPr>
              <w:t xml:space="preserve">: beef (+2.5%), pork (+2.0%) and poultry (+5.2%). It was also affected by more than one tenth higher imports – both of beef and poultry. Meat consumption is also influenced by the long-term preferences of domestic consumers as well as shorter-term fluctuations due to, for instance, reaction of households on the development of consumer prices of these goods. </w:t>
            </w:r>
          </w:p>
        </w:tc>
      </w:tr>
      <w:tr w:rsidR="00E551F6" w:rsidRPr="001A0A01" w14:paraId="757FF270" w14:textId="77777777" w:rsidTr="00E551F6">
        <w:trPr>
          <w:trHeight w:val="145"/>
        </w:trPr>
        <w:tc>
          <w:tcPr>
            <w:tcW w:w="1814" w:type="dxa"/>
            <w:shd w:val="clear" w:color="auto" w:fill="auto"/>
            <w:tcMar>
              <w:left w:w="0" w:type="dxa"/>
            </w:tcMar>
          </w:tcPr>
          <w:p w14:paraId="6D0E7418" w14:textId="77777777" w:rsidR="00E551F6" w:rsidRPr="001A0A01" w:rsidRDefault="00E551F6" w:rsidP="00E551F6">
            <w:pPr>
              <w:pStyle w:val="Marginlie"/>
              <w:spacing w:after="240"/>
              <w:rPr>
                <w:color w:val="0D0D0D" w:themeColor="text1" w:themeTint="F2"/>
                <w:spacing w:val="-4"/>
                <w:lang w:val="en-GB"/>
              </w:rPr>
            </w:pPr>
            <w:r w:rsidRPr="001A0A01">
              <w:rPr>
                <w:color w:val="0D0D0D" w:themeColor="text1" w:themeTint="F2"/>
                <w:spacing w:val="-4"/>
                <w:lang w:val="en-GB"/>
              </w:rPr>
              <w:lastRenderedPageBreak/>
              <w:t>Industrial production has been falling, quarter-on-quarter, this year. Weak demand and the subsiding effect of heightened production costs from the energy crisis are evident.</w:t>
            </w:r>
          </w:p>
        </w:tc>
        <w:tc>
          <w:tcPr>
            <w:tcW w:w="229" w:type="dxa"/>
            <w:shd w:val="clear" w:color="auto" w:fill="auto"/>
            <w:tcMar>
              <w:left w:w="0" w:type="dxa"/>
            </w:tcMar>
          </w:tcPr>
          <w:p w14:paraId="5E88B1AE" w14:textId="77777777" w:rsidR="00E551F6" w:rsidRPr="001A0A01" w:rsidRDefault="00E551F6" w:rsidP="00E551F6">
            <w:pPr>
              <w:pStyle w:val="Textpoznpodarou"/>
              <w:spacing w:after="240"/>
              <w:jc w:val="both"/>
              <w:rPr>
                <w:spacing w:val="-4"/>
                <w:lang w:val="en-GB"/>
              </w:rPr>
            </w:pPr>
          </w:p>
        </w:tc>
        <w:tc>
          <w:tcPr>
            <w:tcW w:w="7596" w:type="dxa"/>
            <w:shd w:val="clear" w:color="auto" w:fill="auto"/>
            <w:tcMar>
              <w:left w:w="0" w:type="dxa"/>
            </w:tcMar>
          </w:tcPr>
          <w:p w14:paraId="3D154EE1" w14:textId="6B34C159" w:rsidR="00E551F6" w:rsidRPr="001A0A01" w:rsidRDefault="00E551F6" w:rsidP="00E551F6">
            <w:pPr>
              <w:rPr>
                <w:color w:val="0D0D0D" w:themeColor="text1" w:themeTint="F2"/>
                <w:spacing w:val="-4"/>
                <w:lang w:val="en-GB"/>
              </w:rPr>
            </w:pPr>
            <w:r w:rsidRPr="001A0A01">
              <w:rPr>
                <w:color w:val="0D0D0D" w:themeColor="text1" w:themeTint="F2"/>
                <w:spacing w:val="-4"/>
                <w:lang w:val="en-GB"/>
              </w:rPr>
              <w:t>The domestic industry was in recession in H1 2024, weighed down mainly by the persisting weak external demand. The economies of the Czech Republic's key trading partners in the euro area (especially Germany, France, Italy, the Netherlands, or Austria) faced cyclical as well as structural difficulties. These are also reflected in the Czech Republic. Most energy-intens</w:t>
            </w:r>
            <w:r w:rsidR="000E5D6A">
              <w:rPr>
                <w:color w:val="0D0D0D" w:themeColor="text1" w:themeTint="F2"/>
                <w:spacing w:val="-4"/>
                <w:lang w:val="en-GB"/>
              </w:rPr>
              <w:t>ive industries are still facing</w:t>
            </w:r>
            <w:r w:rsidRPr="001A0A01">
              <w:rPr>
                <w:color w:val="0D0D0D" w:themeColor="text1" w:themeTint="F2"/>
                <w:spacing w:val="-4"/>
                <w:lang w:val="en-GB"/>
              </w:rPr>
              <w:t xml:space="preserve"> the effects of raised input prices. A reduction in the total investment activity related to the continued weakened business as well as consumer confidence in the economy or the worsened possibilities of credit financing of investments is also having a negative effect. After a short-term revival at the end of 2023, which was primarily driven by the production of transport equipment, the industrial production</w:t>
            </w:r>
            <w:r w:rsidRPr="001A0A01">
              <w:rPr>
                <w:rStyle w:val="Znakapoznpodarou"/>
                <w:color w:val="0D0D0D" w:themeColor="text1" w:themeTint="F2"/>
                <w:spacing w:val="-4"/>
                <w:lang w:val="en-GB"/>
              </w:rPr>
              <w:footnoteReference w:id="6"/>
            </w:r>
            <w:r w:rsidRPr="001A0A01">
              <w:rPr>
                <w:color w:val="0D0D0D" w:themeColor="text1" w:themeTint="F2"/>
                <w:spacing w:val="-4"/>
                <w:lang w:val="en-GB"/>
              </w:rPr>
              <w:t xml:space="preserve"> decreased by 0.7%, quarter-on-quarter, in Czechia in Q1 2024. Its decrease deepened (to −1.0%) in the subsequent period, since the downturn affected the key investment-oriented branches (engineering, manufacture of motor vehicles) and also a part of areas specialised in the manufacturing of intermediate products (electrical engineering, metallurgy and foundry). The above-mentioned factors led to the production of total industry lagging slightly behind its peak from the pre-pandemic boom (Q2 2019) in Q2 this year (by 2.7%)</w:t>
            </w:r>
            <w:r w:rsidRPr="001A0A01">
              <w:rPr>
                <w:rStyle w:val="Znakapoznpodarou"/>
                <w:color w:val="0D0D0D" w:themeColor="text1" w:themeTint="F2"/>
                <w:spacing w:val="-6"/>
                <w:lang w:val="en-GB"/>
              </w:rPr>
              <w:footnoteReference w:id="7"/>
            </w:r>
            <w:r w:rsidRPr="001A0A01">
              <w:rPr>
                <w:color w:val="0D0D0D" w:themeColor="text1" w:themeTint="F2"/>
                <w:spacing w:val="-6"/>
                <w:lang w:val="en-GB"/>
              </w:rPr>
              <w:t>.</w:t>
            </w:r>
          </w:p>
        </w:tc>
      </w:tr>
      <w:tr w:rsidR="00E551F6" w:rsidRPr="001A0A01" w14:paraId="0EBE9378" w14:textId="77777777" w:rsidTr="00E551F6">
        <w:trPr>
          <w:trHeight w:val="145"/>
        </w:trPr>
        <w:tc>
          <w:tcPr>
            <w:tcW w:w="1814" w:type="dxa"/>
            <w:shd w:val="clear" w:color="auto" w:fill="auto"/>
            <w:tcMar>
              <w:left w:w="0" w:type="dxa"/>
            </w:tcMar>
          </w:tcPr>
          <w:p w14:paraId="4884B7AF" w14:textId="77777777" w:rsidR="00E551F6" w:rsidRPr="001A0A01" w:rsidRDefault="00E551F6" w:rsidP="00E551F6">
            <w:pPr>
              <w:pStyle w:val="Marginlie"/>
              <w:spacing w:after="240"/>
              <w:rPr>
                <w:color w:val="0D0D0D" w:themeColor="text1" w:themeTint="F2"/>
                <w:spacing w:val="-4"/>
                <w:lang w:val="en-GB"/>
              </w:rPr>
            </w:pPr>
            <w:r w:rsidRPr="001A0A01">
              <w:rPr>
                <w:color w:val="0D0D0D" w:themeColor="text1" w:themeTint="F2"/>
                <w:spacing w:val="-4"/>
                <w:lang w:val="en-GB"/>
              </w:rPr>
              <w:t xml:space="preserve">The year-on-year decline in industry was mainly due to engineering, where the problem of weak demand deepened.  </w:t>
            </w:r>
          </w:p>
          <w:p w14:paraId="26879E4D" w14:textId="77777777" w:rsidR="00E551F6" w:rsidRPr="001A0A01" w:rsidRDefault="00E551F6" w:rsidP="00E551F6">
            <w:pPr>
              <w:pStyle w:val="Marginlie"/>
              <w:spacing w:after="240"/>
              <w:rPr>
                <w:color w:val="0D0D0D" w:themeColor="text1" w:themeTint="F2"/>
                <w:spacing w:val="-4"/>
                <w:lang w:val="en-GB"/>
              </w:rPr>
            </w:pPr>
            <w:r w:rsidRPr="001A0A01">
              <w:rPr>
                <w:color w:val="0D0D0D" w:themeColor="text1" w:themeTint="F2"/>
                <w:spacing w:val="-4"/>
                <w:lang w:val="en-GB"/>
              </w:rPr>
              <w:t xml:space="preserve">  </w:t>
            </w:r>
          </w:p>
          <w:p w14:paraId="3BD0AEC3" w14:textId="77777777" w:rsidR="00E551F6" w:rsidRPr="001A0A01" w:rsidRDefault="00E551F6" w:rsidP="00E551F6">
            <w:pPr>
              <w:pStyle w:val="Marginlie"/>
              <w:spacing w:after="240"/>
              <w:rPr>
                <w:color w:val="0D0D0D" w:themeColor="text1" w:themeTint="F2"/>
                <w:spacing w:val="-4"/>
                <w:lang w:val="en-GB"/>
              </w:rPr>
            </w:pPr>
            <w:r w:rsidRPr="001A0A01">
              <w:rPr>
                <w:color w:val="0D0D0D" w:themeColor="text1" w:themeTint="F2"/>
                <w:spacing w:val="-4"/>
                <w:lang w:val="en-GB"/>
              </w:rPr>
              <w:t xml:space="preserve">The manufacturing of motor vehicles did not maintain the high pace of production from previous years, which also had an impact on the nearest subcontractors. </w:t>
            </w:r>
          </w:p>
        </w:tc>
        <w:tc>
          <w:tcPr>
            <w:tcW w:w="229" w:type="dxa"/>
            <w:shd w:val="clear" w:color="auto" w:fill="auto"/>
            <w:tcMar>
              <w:left w:w="0" w:type="dxa"/>
            </w:tcMar>
          </w:tcPr>
          <w:p w14:paraId="4FCD50EC" w14:textId="77777777" w:rsidR="00E551F6" w:rsidRPr="001A0A01" w:rsidRDefault="00E551F6" w:rsidP="00E551F6">
            <w:pPr>
              <w:pStyle w:val="Textpoznpodarou"/>
              <w:spacing w:after="240"/>
              <w:jc w:val="both"/>
              <w:rPr>
                <w:spacing w:val="-4"/>
                <w:lang w:val="en-GB"/>
              </w:rPr>
            </w:pPr>
          </w:p>
        </w:tc>
        <w:tc>
          <w:tcPr>
            <w:tcW w:w="7596" w:type="dxa"/>
            <w:shd w:val="clear" w:color="auto" w:fill="auto"/>
            <w:tcMar>
              <w:left w:w="0" w:type="dxa"/>
            </w:tcMar>
          </w:tcPr>
          <w:p w14:paraId="12A63EA9" w14:textId="3E879DB2" w:rsidR="00E551F6" w:rsidRPr="001A0A01" w:rsidRDefault="00E551F6" w:rsidP="00E551F6">
            <w:pPr>
              <w:rPr>
                <w:color w:val="0D0D0D" w:themeColor="text1" w:themeTint="F2"/>
                <w:spacing w:val="-4"/>
                <w:lang w:val="en-GB"/>
              </w:rPr>
            </w:pPr>
            <w:r w:rsidRPr="001A0A01">
              <w:rPr>
                <w:color w:val="0D0D0D" w:themeColor="text1" w:themeTint="F2"/>
                <w:spacing w:val="-4"/>
                <w:lang w:val="en-GB"/>
              </w:rPr>
              <w:t>The industrial production has been slightly decreasing, year-on-year, already since the middle of the last year. It thus fell by 1.6% in H1 2024</w:t>
            </w:r>
            <w:r w:rsidRPr="001A0A01">
              <w:rPr>
                <w:rStyle w:val="Znakapoznpodarou"/>
                <w:color w:val="0D0D0D" w:themeColor="text1" w:themeTint="F2"/>
                <w:spacing w:val="-4"/>
                <w:lang w:val="en-GB"/>
              </w:rPr>
              <w:footnoteReference w:id="8"/>
            </w:r>
            <w:r w:rsidRPr="001A0A01">
              <w:rPr>
                <w:color w:val="0D0D0D" w:themeColor="text1" w:themeTint="F2"/>
                <w:spacing w:val="-4"/>
                <w:lang w:val="en-GB"/>
              </w:rPr>
              <w:t>. This was mainly due to a deepening output decrease of the important engineering sector (a decrease of production by 12.9%, a contribution to the development of the entire industry of −1.1 p.p.) caused by weak demand, especially from abroad. The downturn concerns, for instance, the production of pumps, agricultural or metalworking machinery here, nevertheless lower production can be traced across the entire branch. The manufacturing of motor vehicles also had a considerable effect on the recession of the total industry this year (contribution −0.3 p. p., a decrease by 1.6%). It no longer m</w:t>
            </w:r>
            <w:r w:rsidR="00771C27">
              <w:rPr>
                <w:color w:val="0D0D0D" w:themeColor="text1" w:themeTint="F2"/>
                <w:spacing w:val="-4"/>
                <w:lang w:val="en-GB"/>
              </w:rPr>
              <w:t xml:space="preserve">aintained the very high production pace of </w:t>
            </w:r>
            <w:r w:rsidRPr="001A0A01">
              <w:rPr>
                <w:color w:val="0D0D0D" w:themeColor="text1" w:themeTint="F2"/>
                <w:spacing w:val="-4"/>
                <w:lang w:val="en-GB"/>
              </w:rPr>
              <w:t>the previous two years, which stemmed in part from the finalization of a larger volum</w:t>
            </w:r>
            <w:r w:rsidR="00771C27">
              <w:rPr>
                <w:color w:val="0D0D0D" w:themeColor="text1" w:themeTint="F2"/>
                <w:spacing w:val="-4"/>
                <w:lang w:val="en-GB"/>
              </w:rPr>
              <w:t>e of orders accumulated from a</w:t>
            </w:r>
            <w:r w:rsidRPr="001A0A01">
              <w:rPr>
                <w:color w:val="0D0D0D" w:themeColor="text1" w:themeTint="F2"/>
                <w:spacing w:val="-4"/>
                <w:lang w:val="en-GB"/>
              </w:rPr>
              <w:t xml:space="preserve"> period affected by the supply chain disruptions. This was also reflected in the subdued results of the closest related industries this year – especially manufacturing of electrical equipment (−0.9%). The production capacity utilisation fell below 90% in the motor vehicle manufacturing alone at the beginning of Q3 2024 (the lowest </w:t>
            </w:r>
            <w:r w:rsidR="00771C27" w:rsidRPr="00771C27">
              <w:rPr>
                <w:color w:val="0D0D0D" w:themeColor="text1" w:themeTint="F2"/>
                <w:spacing w:val="-4"/>
                <w:lang w:val="en-GB"/>
              </w:rPr>
              <w:t>for the last year and a half</w:t>
            </w:r>
            <w:r w:rsidRPr="001A0A01">
              <w:rPr>
                <w:color w:val="0D0D0D" w:themeColor="text1" w:themeTint="F2"/>
                <w:spacing w:val="-4"/>
                <w:lang w:val="en-GB"/>
              </w:rPr>
              <w:t>). However, it was still relatively high compared to the majority of industrial branches</w:t>
            </w:r>
            <w:r w:rsidRPr="001A0A01">
              <w:rPr>
                <w:rStyle w:val="Znakapoznpodarou"/>
                <w:color w:val="0D0D0D" w:themeColor="text1" w:themeTint="F2"/>
                <w:spacing w:val="-4"/>
                <w:lang w:val="en-GB"/>
              </w:rPr>
              <w:footnoteReference w:id="9"/>
            </w:r>
            <w:r w:rsidRPr="001A0A01">
              <w:rPr>
                <w:color w:val="0D0D0D" w:themeColor="text1" w:themeTint="F2"/>
                <w:spacing w:val="-4"/>
                <w:lang w:val="en-GB"/>
              </w:rPr>
              <w:t>. Manufacturers of motor vehicles still benefited from the robust growth of domestic as well as external demand</w:t>
            </w:r>
            <w:r w:rsidRPr="001A0A01">
              <w:rPr>
                <w:rStyle w:val="Znakapoznpodarou"/>
                <w:color w:val="0D0D0D" w:themeColor="text1" w:themeTint="F2"/>
                <w:spacing w:val="-4"/>
                <w:lang w:val="en-GB"/>
              </w:rPr>
              <w:footnoteReference w:id="10"/>
            </w:r>
            <w:r w:rsidRPr="001A0A01">
              <w:rPr>
                <w:color w:val="0D0D0D" w:themeColor="text1" w:themeTint="F2"/>
                <w:spacing w:val="-4"/>
                <w:lang w:val="en-GB"/>
              </w:rPr>
              <w:t xml:space="preserve">. The production of other (especially rail) transport equipment was also in good condition despite the current lowered performance. </w:t>
            </w:r>
            <w:bookmarkStart w:id="8" w:name="_Hlk178294138"/>
            <w:r w:rsidRPr="001A0A01">
              <w:rPr>
                <w:color w:val="0D0D0D" w:themeColor="text1" w:themeTint="F2"/>
                <w:spacing w:val="-4"/>
                <w:lang w:val="en-GB"/>
              </w:rPr>
              <w:t>The output dropped due to the high comparative basis here, year-on-year, this year (−4.6%), nevertheless it has traditionally featured quite a volatile character. The positive</w:t>
            </w:r>
            <w:r w:rsidR="009D73B5">
              <w:rPr>
                <w:color w:val="0D0D0D" w:themeColor="text1" w:themeTint="F2"/>
                <w:spacing w:val="-4"/>
                <w:lang w:val="en-GB"/>
              </w:rPr>
              <w:t xml:space="preserve"> outlooks of this branch stemms from</w:t>
            </w:r>
            <w:r w:rsidRPr="001A0A01">
              <w:rPr>
                <w:color w:val="0D0D0D" w:themeColor="text1" w:themeTint="F2"/>
                <w:spacing w:val="-4"/>
                <w:lang w:val="en-GB"/>
              </w:rPr>
              <w:t xml:space="preserve"> the strong domestic demand associated with the development of transport infrastructure as well as the upgrade of the army. </w:t>
            </w:r>
            <w:bookmarkEnd w:id="8"/>
          </w:p>
        </w:tc>
      </w:tr>
      <w:tr w:rsidR="00E551F6" w:rsidRPr="001A0A01" w14:paraId="5D5CCFD5" w14:textId="77777777" w:rsidTr="00E551F6">
        <w:trPr>
          <w:trHeight w:val="170"/>
        </w:trPr>
        <w:tc>
          <w:tcPr>
            <w:tcW w:w="1814" w:type="dxa"/>
            <w:vMerge w:val="restart"/>
            <w:shd w:val="clear" w:color="auto" w:fill="auto"/>
            <w:tcMar>
              <w:left w:w="0" w:type="dxa"/>
            </w:tcMar>
          </w:tcPr>
          <w:p w14:paraId="3430CF66" w14:textId="77777777" w:rsidR="00E551F6" w:rsidRPr="001A0A01" w:rsidRDefault="00E551F6" w:rsidP="00E551F6">
            <w:pPr>
              <w:pStyle w:val="Marginlie"/>
              <w:rPr>
                <w:lang w:val="en-GB"/>
              </w:rPr>
            </w:pPr>
          </w:p>
        </w:tc>
        <w:tc>
          <w:tcPr>
            <w:tcW w:w="229" w:type="dxa"/>
            <w:vMerge w:val="restart"/>
            <w:shd w:val="clear" w:color="auto" w:fill="auto"/>
            <w:tcMar>
              <w:left w:w="0" w:type="dxa"/>
            </w:tcMar>
          </w:tcPr>
          <w:p w14:paraId="4F9157D7" w14:textId="77777777" w:rsidR="00E551F6" w:rsidRPr="001A0A01" w:rsidRDefault="00E551F6" w:rsidP="00E551F6">
            <w:pPr>
              <w:pStyle w:val="Textpoznpodarou"/>
              <w:jc w:val="both"/>
              <w:rPr>
                <w:spacing w:val="-4"/>
                <w:lang w:val="en-GB"/>
              </w:rPr>
            </w:pPr>
          </w:p>
        </w:tc>
        <w:tc>
          <w:tcPr>
            <w:tcW w:w="7596" w:type="dxa"/>
            <w:shd w:val="clear" w:color="auto" w:fill="auto"/>
            <w:tcMar>
              <w:left w:w="0" w:type="dxa"/>
            </w:tcMar>
          </w:tcPr>
          <w:p w14:paraId="15E3C081" w14:textId="71EE1A94" w:rsidR="00E551F6" w:rsidRPr="001A0A01" w:rsidRDefault="00E551F6" w:rsidP="00E551F6">
            <w:pPr>
              <w:spacing w:after="0"/>
              <w:rPr>
                <w:spacing w:val="-2"/>
                <w:lang w:val="en-GB"/>
              </w:rPr>
            </w:pPr>
            <w:r w:rsidRPr="001A0A01">
              <w:rPr>
                <w:rFonts w:cs="Arial"/>
                <w:b/>
                <w:bCs/>
                <w:color w:val="000000"/>
                <w:spacing w:val="-2"/>
                <w:szCs w:val="20"/>
                <w:lang w:val="en-GB"/>
              </w:rPr>
              <w:t xml:space="preserve">Chart 4 </w:t>
            </w:r>
            <w:r w:rsidR="003D4488">
              <w:rPr>
                <w:b/>
                <w:spacing w:val="-2"/>
                <w:lang w:val="en-GB"/>
              </w:rPr>
              <w:t xml:space="preserve">Contributions of </w:t>
            </w:r>
            <w:r w:rsidR="003D1AE0">
              <w:rPr>
                <w:b/>
                <w:spacing w:val="-2"/>
                <w:lang w:val="en-GB"/>
              </w:rPr>
              <w:t>sub-</w:t>
            </w:r>
            <w:r w:rsidRPr="001A0A01">
              <w:rPr>
                <w:b/>
                <w:spacing w:val="-2"/>
                <w:lang w:val="en-GB"/>
              </w:rPr>
              <w:t>br</w:t>
            </w:r>
            <w:r w:rsidR="00316A85">
              <w:rPr>
                <w:b/>
                <w:spacing w:val="-2"/>
                <w:lang w:val="en-GB"/>
              </w:rPr>
              <w:t>anches to the year-on-year growth</w:t>
            </w:r>
            <w:r w:rsidRPr="001A0A01">
              <w:rPr>
                <w:b/>
                <w:spacing w:val="-2"/>
                <w:lang w:val="en-GB"/>
              </w:rPr>
              <w:t xml:space="preserve"> of the industrial production in the CR </w:t>
            </w:r>
            <w:r w:rsidRPr="001A0A01">
              <w:rPr>
                <w:spacing w:val="-2"/>
                <w:lang w:val="en-GB"/>
              </w:rPr>
              <w:t>(adjusted for c</w:t>
            </w:r>
            <w:r w:rsidR="00B67298">
              <w:rPr>
                <w:spacing w:val="-2"/>
                <w:lang w:val="en-GB"/>
              </w:rPr>
              <w:t>alendar effects, real, in p.p.),</w:t>
            </w:r>
            <w:r w:rsidRPr="004C697D">
              <w:rPr>
                <w:b/>
                <w:bCs/>
                <w:spacing w:val="-2"/>
                <w:lang w:val="en-GB"/>
              </w:rPr>
              <w:t xml:space="preserve"> </w:t>
            </w:r>
            <w:r w:rsidRPr="001A0A01">
              <w:rPr>
                <w:b/>
                <w:bCs/>
                <w:spacing w:val="-2"/>
                <w:lang w:val="en-GB"/>
              </w:rPr>
              <w:t xml:space="preserve">production </w:t>
            </w:r>
            <w:r w:rsidR="00B67298">
              <w:rPr>
                <w:b/>
                <w:bCs/>
                <w:spacing w:val="-2"/>
                <w:lang w:val="en-GB"/>
              </w:rPr>
              <w:t xml:space="preserve">(output) </w:t>
            </w:r>
            <w:r w:rsidRPr="00B67298">
              <w:rPr>
                <w:b/>
                <w:bCs/>
                <w:spacing w:val="-6"/>
                <w:lang w:val="en-GB"/>
              </w:rPr>
              <w:t>in the whole industry of CR, Germany and E</w:t>
            </w:r>
            <w:r w:rsidRPr="00B67298">
              <w:rPr>
                <w:b/>
                <w:spacing w:val="-6"/>
                <w:lang w:val="en-GB"/>
              </w:rPr>
              <w:t xml:space="preserve">U27 </w:t>
            </w:r>
            <w:r w:rsidR="001443DB" w:rsidRPr="00B67298">
              <w:rPr>
                <w:spacing w:val="-6"/>
                <w:lang w:val="en-GB"/>
              </w:rPr>
              <w:t xml:space="preserve">(seasonally adj., </w:t>
            </w:r>
            <w:r w:rsidR="004C697D" w:rsidRPr="00B67298">
              <w:rPr>
                <w:spacing w:val="-6"/>
                <w:lang w:val="en-GB"/>
              </w:rPr>
              <w:t xml:space="preserve">real, </w:t>
            </w:r>
            <w:r w:rsidR="001443DB" w:rsidRPr="00B67298">
              <w:rPr>
                <w:spacing w:val="-6"/>
                <w:lang w:val="en-GB"/>
              </w:rPr>
              <w:t>base of 2021=100</w:t>
            </w:r>
            <w:r w:rsidRPr="00B67298">
              <w:rPr>
                <w:spacing w:val="-6"/>
                <w:lang w:val="en-GB"/>
              </w:rPr>
              <w:t>)</w:t>
            </w:r>
          </w:p>
        </w:tc>
      </w:tr>
      <w:tr w:rsidR="00E551F6" w:rsidRPr="001A0A01" w14:paraId="22E2FFA0" w14:textId="77777777" w:rsidTr="00B67298">
        <w:tblPrEx>
          <w:tblCellMar>
            <w:left w:w="70" w:type="dxa"/>
            <w:right w:w="70" w:type="dxa"/>
          </w:tblCellMar>
        </w:tblPrEx>
        <w:trPr>
          <w:trHeight w:val="170"/>
        </w:trPr>
        <w:tc>
          <w:tcPr>
            <w:tcW w:w="1814" w:type="dxa"/>
            <w:vMerge/>
            <w:shd w:val="clear" w:color="auto" w:fill="auto"/>
          </w:tcPr>
          <w:p w14:paraId="4C9DF658" w14:textId="77777777" w:rsidR="00E551F6" w:rsidRPr="001A0A01" w:rsidRDefault="00E551F6" w:rsidP="00E551F6">
            <w:pPr>
              <w:pStyle w:val="Marginlie"/>
              <w:rPr>
                <w:lang w:val="en-GB"/>
              </w:rPr>
            </w:pPr>
          </w:p>
        </w:tc>
        <w:tc>
          <w:tcPr>
            <w:tcW w:w="229" w:type="dxa"/>
            <w:vMerge/>
            <w:shd w:val="clear" w:color="auto" w:fill="auto"/>
          </w:tcPr>
          <w:p w14:paraId="6300713F" w14:textId="77777777" w:rsidR="00E551F6" w:rsidRPr="001A0A01" w:rsidRDefault="00E551F6" w:rsidP="00E551F6">
            <w:pPr>
              <w:pStyle w:val="Textpoznpodarou"/>
              <w:jc w:val="both"/>
              <w:rPr>
                <w:spacing w:val="-4"/>
                <w:lang w:val="en-GB"/>
              </w:rPr>
            </w:pPr>
          </w:p>
        </w:tc>
        <w:tc>
          <w:tcPr>
            <w:tcW w:w="7596" w:type="dxa"/>
            <w:shd w:val="clear" w:color="auto" w:fill="auto"/>
          </w:tcPr>
          <w:p w14:paraId="23057194" w14:textId="4CDFF0EB" w:rsidR="00E551F6" w:rsidRPr="001A0A01" w:rsidRDefault="00B67298" w:rsidP="008A7D9B">
            <w:pPr>
              <w:spacing w:before="40" w:after="0"/>
              <w:rPr>
                <w:spacing w:val="-6"/>
                <w:lang w:val="en-GB"/>
              </w:rPr>
            </w:pPr>
            <w:r>
              <w:rPr>
                <w:noProof/>
              </w:rPr>
              <w:drawing>
                <wp:inline distT="0" distB="0" distL="0" distR="0" wp14:anchorId="462A458E" wp14:editId="26121320">
                  <wp:extent cx="4707172" cy="3686810"/>
                  <wp:effectExtent l="0" t="0" r="0" b="889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E551F6" w:rsidRPr="001A0A01" w14:paraId="470B01AD" w14:textId="77777777" w:rsidTr="00E551F6">
        <w:trPr>
          <w:trHeight w:val="170"/>
        </w:trPr>
        <w:tc>
          <w:tcPr>
            <w:tcW w:w="1814" w:type="dxa"/>
            <w:vMerge/>
            <w:shd w:val="clear" w:color="auto" w:fill="auto"/>
            <w:tcMar>
              <w:left w:w="0" w:type="dxa"/>
            </w:tcMar>
          </w:tcPr>
          <w:p w14:paraId="79757430" w14:textId="77777777" w:rsidR="00E551F6" w:rsidRPr="001A0A01" w:rsidRDefault="00E551F6" w:rsidP="00E551F6">
            <w:pPr>
              <w:pStyle w:val="Marginlie"/>
              <w:rPr>
                <w:lang w:val="en-GB"/>
              </w:rPr>
            </w:pPr>
            <w:bookmarkStart w:id="9" w:name="_Hlk178374074"/>
          </w:p>
        </w:tc>
        <w:tc>
          <w:tcPr>
            <w:tcW w:w="229" w:type="dxa"/>
            <w:vMerge/>
            <w:shd w:val="clear" w:color="auto" w:fill="auto"/>
            <w:tcMar>
              <w:left w:w="0" w:type="dxa"/>
            </w:tcMar>
          </w:tcPr>
          <w:p w14:paraId="29F75830" w14:textId="77777777" w:rsidR="00E551F6" w:rsidRPr="001A0A01" w:rsidRDefault="00E551F6" w:rsidP="00E551F6">
            <w:pPr>
              <w:pStyle w:val="Textpoznpodarou"/>
              <w:jc w:val="both"/>
              <w:rPr>
                <w:spacing w:val="-4"/>
                <w:lang w:val="en-GB"/>
              </w:rPr>
            </w:pPr>
          </w:p>
        </w:tc>
        <w:tc>
          <w:tcPr>
            <w:tcW w:w="7596" w:type="dxa"/>
            <w:shd w:val="clear" w:color="auto" w:fill="auto"/>
            <w:tcMar>
              <w:left w:w="0" w:type="dxa"/>
            </w:tcMar>
          </w:tcPr>
          <w:p w14:paraId="21F9CECB" w14:textId="5E993B92" w:rsidR="00E551F6" w:rsidRPr="00B67298" w:rsidRDefault="00E551F6" w:rsidP="00E551F6">
            <w:pPr>
              <w:tabs>
                <w:tab w:val="right" w:pos="7683"/>
              </w:tabs>
              <w:spacing w:after="0" w:line="240" w:lineRule="auto"/>
              <w:jc w:val="left"/>
              <w:rPr>
                <w:rFonts w:cs="Arial"/>
                <w:sz w:val="14"/>
                <w:szCs w:val="14"/>
                <w:lang w:val="en-GB"/>
              </w:rPr>
            </w:pPr>
            <w:r w:rsidRPr="001A0A01">
              <w:rPr>
                <w:rFonts w:cs="Arial"/>
                <w:spacing w:val="-2"/>
                <w:sz w:val="14"/>
                <w:szCs w:val="14"/>
                <w:lang w:val="en-GB"/>
              </w:rPr>
              <w:t xml:space="preserve">*Contribution of the remaining manufacturing industry also includes the effect of the total methodical discrepancy stemming </w:t>
            </w:r>
            <w:r w:rsidR="008A7D9B">
              <w:rPr>
                <w:rFonts w:cs="Arial"/>
                <w:spacing w:val="-2"/>
                <w:sz w:val="14"/>
                <w:szCs w:val="14"/>
                <w:lang w:val="en-GB"/>
              </w:rPr>
              <w:t>from the change of the weights in 2023.</w:t>
            </w:r>
          </w:p>
          <w:p w14:paraId="120438FD" w14:textId="113B66D2" w:rsidR="00E551F6" w:rsidRPr="00D54978" w:rsidRDefault="00E551F6" w:rsidP="00D54978">
            <w:pPr>
              <w:tabs>
                <w:tab w:val="right" w:pos="7683"/>
              </w:tabs>
              <w:spacing w:line="240" w:lineRule="auto"/>
              <w:jc w:val="left"/>
              <w:rPr>
                <w:rFonts w:cs="Arial"/>
                <w:sz w:val="14"/>
                <w:szCs w:val="14"/>
                <w:lang w:val="en-GB"/>
              </w:rPr>
            </w:pPr>
            <w:r w:rsidRPr="001A0A01">
              <w:rPr>
                <w:rFonts w:cs="Arial"/>
                <w:sz w:val="14"/>
                <w:szCs w:val="14"/>
                <w:lang w:val="en-GB"/>
              </w:rPr>
              <w:t>Source: CZSO, Eurostat</w:t>
            </w:r>
          </w:p>
        </w:tc>
      </w:tr>
      <w:tr w:rsidR="004018AC" w:rsidRPr="001A0A01" w14:paraId="3079AADE" w14:textId="77777777" w:rsidTr="00E551F6">
        <w:trPr>
          <w:trHeight w:val="134"/>
        </w:trPr>
        <w:tc>
          <w:tcPr>
            <w:tcW w:w="1814" w:type="dxa"/>
            <w:shd w:val="clear" w:color="auto" w:fill="auto"/>
            <w:tcMar>
              <w:left w:w="0" w:type="dxa"/>
            </w:tcMar>
          </w:tcPr>
          <w:p w14:paraId="05513BCB" w14:textId="0F06E7C5" w:rsidR="004018AC" w:rsidRPr="001A0A01" w:rsidRDefault="000674C7" w:rsidP="008602EC">
            <w:pPr>
              <w:jc w:val="left"/>
              <w:rPr>
                <w:color w:val="0D0D0D" w:themeColor="text1" w:themeTint="F2"/>
                <w:spacing w:val="-4"/>
                <w:sz w:val="16"/>
                <w:szCs w:val="16"/>
                <w:lang w:val="en-GB"/>
              </w:rPr>
            </w:pPr>
            <w:r w:rsidRPr="000674C7">
              <w:rPr>
                <w:color w:val="0D0D0D" w:themeColor="text1" w:themeTint="F2"/>
                <w:spacing w:val="-4"/>
                <w:sz w:val="16"/>
                <w:szCs w:val="16"/>
                <w:lang w:val="en-GB"/>
              </w:rPr>
              <w:t>Deep slump of production continued in metallurgy. Difficulties persisted in most other energy-intensive industries as well. However, the chemical industry recorded a positive turnaround, caused by a recovery in domestic demand.</w:t>
            </w:r>
          </w:p>
        </w:tc>
        <w:tc>
          <w:tcPr>
            <w:tcW w:w="229" w:type="dxa"/>
            <w:shd w:val="clear" w:color="auto" w:fill="auto"/>
            <w:tcMar>
              <w:left w:w="0" w:type="dxa"/>
            </w:tcMar>
          </w:tcPr>
          <w:p w14:paraId="186F938B" w14:textId="77777777" w:rsidR="004018AC" w:rsidRPr="001A0A01" w:rsidRDefault="004018AC" w:rsidP="008602EC">
            <w:pPr>
              <w:pStyle w:val="Textpoznpodarou"/>
              <w:jc w:val="both"/>
              <w:rPr>
                <w:spacing w:val="-4"/>
                <w:lang w:val="en-GB"/>
              </w:rPr>
            </w:pPr>
          </w:p>
        </w:tc>
        <w:tc>
          <w:tcPr>
            <w:tcW w:w="7596" w:type="dxa"/>
            <w:shd w:val="clear" w:color="auto" w:fill="auto"/>
            <w:tcMar>
              <w:left w:w="0" w:type="dxa"/>
            </w:tcMar>
          </w:tcPr>
          <w:p w14:paraId="0B7C0933" w14:textId="4EB625F7" w:rsidR="004018AC" w:rsidRPr="001A0A01" w:rsidRDefault="000674C7" w:rsidP="008602EC">
            <w:pPr>
              <w:rPr>
                <w:color w:val="0D0D0D" w:themeColor="text1" w:themeTint="F2"/>
                <w:spacing w:val="-4"/>
                <w:lang w:val="en-GB"/>
              </w:rPr>
            </w:pPr>
            <w:r w:rsidRPr="001A0A01">
              <w:rPr>
                <w:color w:val="0D0D0D" w:themeColor="text1" w:themeTint="F2"/>
                <w:spacing w:val="-4"/>
                <w:lang w:val="en-GB"/>
              </w:rPr>
              <w:t>Most energy-intensive industries faced weak demand and still raised production costs (in relation to both 2020 and 2021) also at the beginning of this year. In basic metal production, metallurgy and foundry, the output decreased for the third year in a row, year-on-year, falling by 8.5% in H1 2024</w:t>
            </w:r>
            <w:r w:rsidRPr="001A0A01">
              <w:rPr>
                <w:rStyle w:val="Znakapoznpodarou"/>
                <w:color w:val="0D0D0D" w:themeColor="text1" w:themeTint="F2"/>
                <w:spacing w:val="-4"/>
                <w:lang w:val="en-GB"/>
              </w:rPr>
              <w:footnoteReference w:id="11"/>
            </w:r>
            <w:r w:rsidRPr="001A0A01">
              <w:rPr>
                <w:color w:val="0D0D0D" w:themeColor="text1" w:themeTint="F2"/>
                <w:spacing w:val="-4"/>
                <w:lang w:val="en-GB"/>
              </w:rPr>
              <w:t xml:space="preserve">. Even the development of </w:t>
            </w:r>
            <w:r>
              <w:rPr>
                <w:color w:val="0D0D0D" w:themeColor="text1" w:themeTint="F2"/>
                <w:spacing w:val="-4"/>
                <w:lang w:val="en-GB"/>
              </w:rPr>
              <w:t xml:space="preserve">new </w:t>
            </w:r>
            <w:r w:rsidRPr="001A0A01">
              <w:rPr>
                <w:color w:val="0D0D0D" w:themeColor="text1" w:themeTint="F2"/>
                <w:spacing w:val="-4"/>
                <w:lang w:val="en-GB"/>
              </w:rPr>
              <w:t>orders in this field does not yet indicate any sign of a positive turnaround. Companies lack the external demand the most, which is related to the unfavourable development of metallurgy throughout the EU</w:t>
            </w:r>
            <w:r w:rsidRPr="001A0A01">
              <w:rPr>
                <w:rStyle w:val="Znakapoznpodarou"/>
                <w:color w:val="0D0D0D" w:themeColor="text1" w:themeTint="F2"/>
                <w:spacing w:val="-4"/>
                <w:lang w:val="en-GB"/>
              </w:rPr>
              <w:footnoteReference w:id="12"/>
            </w:r>
            <w:r w:rsidRPr="001A0A01">
              <w:rPr>
                <w:color w:val="0D0D0D" w:themeColor="text1" w:themeTint="F2"/>
                <w:spacing w:val="-4"/>
                <w:lang w:val="en-GB"/>
              </w:rPr>
              <w:t>. There has been a decline in demand for steel in the long term, especially from construction, manufacturing of motor vehicles or engineering. The persistent, but orders of magnitude smaller decline in production also afflicted the metalworking industry and the production of building materials. In both cases, it is currently mainly due to weaker domestic demand. On the contrary, in the energy-intensive chemical industry, the production strengthened by 3.7%, year-on-ye</w:t>
            </w:r>
            <w:r>
              <w:rPr>
                <w:color w:val="0D0D0D" w:themeColor="text1" w:themeTint="F2"/>
                <w:spacing w:val="-4"/>
                <w:lang w:val="en-GB"/>
              </w:rPr>
              <w:t>ar (</w:t>
            </w:r>
            <w:r w:rsidRPr="001A0A01">
              <w:rPr>
                <w:color w:val="0D0D0D" w:themeColor="text1" w:themeTint="F2"/>
                <w:spacing w:val="-4"/>
                <w:lang w:val="en-GB"/>
              </w:rPr>
              <w:t>after last year's slump</w:t>
            </w:r>
            <w:r>
              <w:rPr>
                <w:color w:val="0D0D0D" w:themeColor="text1" w:themeTint="F2"/>
                <w:spacing w:val="-4"/>
                <w:lang w:val="en-GB"/>
              </w:rPr>
              <w:t>)</w:t>
            </w:r>
            <w:r w:rsidRPr="001A0A01">
              <w:rPr>
                <w:color w:val="0D0D0D" w:themeColor="text1" w:themeTint="F2"/>
                <w:spacing w:val="-4"/>
                <w:lang w:val="en-GB"/>
              </w:rPr>
              <w:t xml:space="preserve"> thanks to the recovery on the</w:t>
            </w:r>
            <w:r>
              <w:rPr>
                <w:color w:val="0D0D0D" w:themeColor="text1" w:themeTint="F2"/>
                <w:spacing w:val="-4"/>
                <w:lang w:val="en-GB"/>
              </w:rPr>
              <w:t xml:space="preserve"> domestic market in H1 2024. Chemistry</w:t>
            </w:r>
            <w:r w:rsidRPr="001A0A01">
              <w:rPr>
                <w:color w:val="0D0D0D" w:themeColor="text1" w:themeTint="F2"/>
                <w:spacing w:val="-4"/>
                <w:lang w:val="en-GB"/>
              </w:rPr>
              <w:t xml:space="preserve"> together with the food industry, dampened the decline in the </w:t>
            </w:r>
            <w:r w:rsidRPr="00E61613">
              <w:rPr>
                <w:color w:val="0D0D0D" w:themeColor="text1" w:themeTint="F2"/>
                <w:spacing w:val="-6"/>
                <w:lang w:val="en-GB"/>
              </w:rPr>
              <w:t>performance of the total industry the most of all its branches (both branches in total +0.4 p.p.).</w:t>
            </w:r>
          </w:p>
        </w:tc>
      </w:tr>
      <w:bookmarkEnd w:id="9"/>
      <w:tr w:rsidR="008602EC" w:rsidRPr="001A0A01" w14:paraId="22B9259B" w14:textId="77777777" w:rsidTr="00E551F6">
        <w:trPr>
          <w:trHeight w:val="134"/>
        </w:trPr>
        <w:tc>
          <w:tcPr>
            <w:tcW w:w="1814" w:type="dxa"/>
            <w:shd w:val="clear" w:color="auto" w:fill="auto"/>
            <w:tcMar>
              <w:left w:w="0" w:type="dxa"/>
            </w:tcMar>
          </w:tcPr>
          <w:p w14:paraId="61A0F924" w14:textId="6EF79467" w:rsidR="008602EC" w:rsidRPr="001A0A01" w:rsidRDefault="008602EC" w:rsidP="008602EC">
            <w:pPr>
              <w:jc w:val="left"/>
              <w:rPr>
                <w:color w:val="0D0D0D" w:themeColor="text1" w:themeTint="F2"/>
                <w:spacing w:val="-4"/>
                <w:sz w:val="16"/>
                <w:szCs w:val="16"/>
                <w:lang w:val="en-GB"/>
              </w:rPr>
            </w:pPr>
            <w:r w:rsidRPr="001A0A01">
              <w:rPr>
                <w:color w:val="0D0D0D" w:themeColor="text1" w:themeTint="F2"/>
                <w:spacing w:val="-4"/>
                <w:sz w:val="16"/>
                <w:szCs w:val="16"/>
                <w:lang w:val="en-GB"/>
              </w:rPr>
              <w:t xml:space="preserve">The food and beverage industries benefited from the revived household consumption. However, for some items, people still tended to postpone consumption, which was reflected in the performance of the furniture industry. </w:t>
            </w:r>
          </w:p>
        </w:tc>
        <w:tc>
          <w:tcPr>
            <w:tcW w:w="229" w:type="dxa"/>
            <w:shd w:val="clear" w:color="auto" w:fill="auto"/>
            <w:tcMar>
              <w:left w:w="0" w:type="dxa"/>
            </w:tcMar>
          </w:tcPr>
          <w:p w14:paraId="7782C034" w14:textId="77777777" w:rsidR="008602EC" w:rsidRPr="001A0A01" w:rsidRDefault="008602EC" w:rsidP="008602EC">
            <w:pPr>
              <w:pStyle w:val="Textpoznpodarou"/>
              <w:jc w:val="both"/>
              <w:rPr>
                <w:spacing w:val="-4"/>
                <w:lang w:val="en-GB"/>
              </w:rPr>
            </w:pPr>
          </w:p>
        </w:tc>
        <w:tc>
          <w:tcPr>
            <w:tcW w:w="7596" w:type="dxa"/>
            <w:shd w:val="clear" w:color="auto" w:fill="auto"/>
            <w:tcMar>
              <w:left w:w="0" w:type="dxa"/>
            </w:tcMar>
          </w:tcPr>
          <w:p w14:paraId="6E147AD5" w14:textId="1B9C0C47" w:rsidR="008602EC" w:rsidRPr="001A0A01" w:rsidRDefault="008602EC" w:rsidP="008602EC">
            <w:pPr>
              <w:rPr>
                <w:color w:val="0D0D0D" w:themeColor="text1" w:themeTint="F2"/>
                <w:spacing w:val="-5"/>
                <w:lang w:val="en-GB"/>
              </w:rPr>
            </w:pPr>
            <w:r w:rsidRPr="001A0A01">
              <w:rPr>
                <w:color w:val="0D0D0D" w:themeColor="text1" w:themeTint="F2"/>
                <w:spacing w:val="-4"/>
                <w:lang w:val="en-GB"/>
              </w:rPr>
              <w:t>Majority of the smaller manufacturing branches revived this year following the last year's downturn. The output of paper industry strengthened by almost 8%</w:t>
            </w:r>
            <w:r w:rsidR="00C8030A">
              <w:rPr>
                <w:color w:val="0D0D0D" w:themeColor="text1" w:themeTint="F2"/>
                <w:spacing w:val="-4"/>
                <w:lang w:val="en-GB"/>
              </w:rPr>
              <w:t xml:space="preserve"> in H1 2024</w:t>
            </w:r>
            <w:r w:rsidRPr="001A0A01">
              <w:rPr>
                <w:color w:val="0D0D0D" w:themeColor="text1" w:themeTint="F2"/>
                <w:spacing w:val="-4"/>
                <w:lang w:val="en-GB"/>
              </w:rPr>
              <w:t>, and the diverse field of other manufacturing</w:t>
            </w:r>
            <w:r w:rsidRPr="001A0A01">
              <w:rPr>
                <w:rStyle w:val="Znakapoznpodarou"/>
                <w:color w:val="0D0D0D" w:themeColor="text1" w:themeTint="F2"/>
                <w:spacing w:val="-8"/>
                <w:lang w:val="en-GB"/>
              </w:rPr>
              <w:footnoteReference w:id="13"/>
            </w:r>
            <w:r w:rsidRPr="001A0A01">
              <w:rPr>
                <w:color w:val="0D0D0D" w:themeColor="text1" w:themeTint="F2"/>
                <w:spacing w:val="-4"/>
                <w:lang w:val="en-GB"/>
              </w:rPr>
              <w:t xml:space="preserve"> also achieved a similar growth. The recovery of consumption of the domestic households as well as the development of inbound tourism resulted in higher production of both the food industry (+4.6%) and manufacturing of beverages (+6.0%). The strengthening external demand contributed to the growth of the clothing industry (+5.3%). In contrast, thanks to the development of the domestic market, the long-term growth of the footwear and pharmaceutical industries continued this year. However, the textile industry (−2.0%) and manufacturing of furniture (−3.9%) still did not </w:t>
            </w:r>
            <w:r w:rsidRPr="00C8030A">
              <w:rPr>
                <w:color w:val="0D0D0D" w:themeColor="text1" w:themeTint="F2"/>
                <w:spacing w:val="-6"/>
                <w:lang w:val="en-GB"/>
              </w:rPr>
              <w:t>prosper, the year-on-year decline of production persisted for the eighth quarter in a row here.</w:t>
            </w:r>
            <w:r w:rsidRPr="001A0A01">
              <w:rPr>
                <w:color w:val="0D0D0D" w:themeColor="text1" w:themeTint="F2"/>
                <w:spacing w:val="-4"/>
                <w:lang w:val="en-GB"/>
              </w:rPr>
              <w:t xml:space="preserve"> These branches are plagued by weak domestic demand – in the case of textile production, especially from the related construction industry (technical textiles), and in the furniture industry then a persisting lower willingness of households to buy </w:t>
            </w:r>
            <w:r w:rsidR="00C8030A">
              <w:rPr>
                <w:color w:val="0D0D0D" w:themeColor="text1" w:themeTint="F2"/>
                <w:spacing w:val="-4"/>
                <w:lang w:val="en-GB"/>
              </w:rPr>
              <w:t>“</w:t>
            </w:r>
            <w:r w:rsidRPr="001A0A01">
              <w:rPr>
                <w:color w:val="0D0D0D" w:themeColor="text1" w:themeTint="F2"/>
                <w:spacing w:val="-4"/>
                <w:lang w:val="en-GB"/>
              </w:rPr>
              <w:t>non-essential</w:t>
            </w:r>
            <w:r w:rsidR="00C8030A">
              <w:rPr>
                <w:color w:val="0D0D0D" w:themeColor="text1" w:themeTint="F2"/>
                <w:spacing w:val="-4"/>
                <w:lang w:val="en-GB"/>
              </w:rPr>
              <w:t>”</w:t>
            </w:r>
            <w:r w:rsidRPr="001A0A01">
              <w:rPr>
                <w:color w:val="0D0D0D" w:themeColor="text1" w:themeTint="F2"/>
                <w:spacing w:val="-4"/>
                <w:lang w:val="en-GB"/>
              </w:rPr>
              <w:t xml:space="preserve"> goods.  </w:t>
            </w:r>
          </w:p>
        </w:tc>
      </w:tr>
      <w:tr w:rsidR="008602EC" w:rsidRPr="001A0A01" w14:paraId="7C82B24F" w14:textId="77777777" w:rsidTr="00E551F6">
        <w:trPr>
          <w:trHeight w:val="134"/>
        </w:trPr>
        <w:tc>
          <w:tcPr>
            <w:tcW w:w="1814" w:type="dxa"/>
            <w:shd w:val="clear" w:color="auto" w:fill="auto"/>
            <w:tcMar>
              <w:left w:w="0" w:type="dxa"/>
            </w:tcMar>
          </w:tcPr>
          <w:p w14:paraId="0C4C136E" w14:textId="0D7123FC" w:rsidR="008602EC" w:rsidRPr="000D0754" w:rsidRDefault="008602EC" w:rsidP="008602EC">
            <w:pPr>
              <w:jc w:val="left"/>
              <w:rPr>
                <w:color w:val="0D0D0D" w:themeColor="text1" w:themeTint="F2"/>
                <w:spacing w:val="-4"/>
                <w:sz w:val="16"/>
                <w:szCs w:val="16"/>
                <w:lang w:val="en-GB"/>
              </w:rPr>
            </w:pPr>
            <w:bookmarkStart w:id="10" w:name="_Hlk178373926"/>
            <w:r w:rsidRPr="001A0A01">
              <w:rPr>
                <w:color w:val="0D0D0D" w:themeColor="text1" w:themeTint="F2"/>
                <w:spacing w:val="-4"/>
                <w:sz w:val="16"/>
                <w:szCs w:val="16"/>
                <w:lang w:val="en-GB"/>
              </w:rPr>
              <w:t xml:space="preserve">The continuing downturn of demand in the energy sector was mainly related to the very warm winter, and to a lesser extent also to austerity measures by households and firms, as well as to weaker economic activity in both industry and construction. </w:t>
            </w:r>
          </w:p>
          <w:bookmarkEnd w:id="10"/>
          <w:p w14:paraId="5D9224AC" w14:textId="77777777" w:rsidR="008602EC" w:rsidRPr="001A0A01" w:rsidRDefault="008602EC" w:rsidP="008602EC">
            <w:pPr>
              <w:pStyle w:val="Marginlie"/>
              <w:rPr>
                <w:lang w:val="en-GB"/>
              </w:rPr>
            </w:pPr>
            <w:r w:rsidRPr="001A0A01">
              <w:rPr>
                <w:color w:val="0D0D0D" w:themeColor="text1" w:themeTint="F2"/>
                <w:spacing w:val="-4"/>
                <w:lang w:val="en-GB"/>
              </w:rPr>
              <w:t xml:space="preserve">The decrease of coal and building materials mining continued. </w:t>
            </w:r>
          </w:p>
        </w:tc>
        <w:tc>
          <w:tcPr>
            <w:tcW w:w="229" w:type="dxa"/>
            <w:shd w:val="clear" w:color="auto" w:fill="auto"/>
            <w:tcMar>
              <w:left w:w="0" w:type="dxa"/>
            </w:tcMar>
          </w:tcPr>
          <w:p w14:paraId="4A95BFC9" w14:textId="77777777" w:rsidR="008602EC" w:rsidRPr="001A0A01" w:rsidRDefault="008602EC" w:rsidP="008602EC">
            <w:pPr>
              <w:pStyle w:val="Textpoznpodarou"/>
              <w:jc w:val="both"/>
              <w:rPr>
                <w:spacing w:val="-4"/>
                <w:lang w:val="en-GB"/>
              </w:rPr>
            </w:pPr>
          </w:p>
        </w:tc>
        <w:tc>
          <w:tcPr>
            <w:tcW w:w="7596" w:type="dxa"/>
            <w:shd w:val="clear" w:color="auto" w:fill="auto"/>
            <w:tcMar>
              <w:left w:w="0" w:type="dxa"/>
            </w:tcMar>
          </w:tcPr>
          <w:p w14:paraId="6DEB7209" w14:textId="11829FA8" w:rsidR="008602EC" w:rsidRPr="001A0A01" w:rsidRDefault="008602EC" w:rsidP="008602EC">
            <w:pPr>
              <w:rPr>
                <w:color w:val="0D0D0D" w:themeColor="text1" w:themeTint="F2"/>
                <w:spacing w:val="-4"/>
                <w:lang w:val="en-GB"/>
              </w:rPr>
            </w:pPr>
            <w:bookmarkStart w:id="11" w:name="_Hlk178374097"/>
            <w:r w:rsidRPr="001A0A01">
              <w:rPr>
                <w:color w:val="0D0D0D" w:themeColor="text1" w:themeTint="F2"/>
                <w:spacing w:val="-5"/>
                <w:lang w:val="en-GB"/>
              </w:rPr>
              <w:t>Similarly to the whole last year, the performance of industry was significantly hampered by its non-manufacturing branches (−0.4 p.p.) also in H1 2024. Output fell by 3.1%, year-on-year, in the energy sector this year (it plunged by a record 11.1% for the whole last year). All key sources were responsible for lower electricity production this year</w:t>
            </w:r>
            <w:r w:rsidRPr="001A0A01">
              <w:rPr>
                <w:rStyle w:val="Znakapoznpodarou"/>
                <w:color w:val="0D0D0D" w:themeColor="text1" w:themeTint="F2"/>
                <w:spacing w:val="-5"/>
                <w:lang w:val="en-GB"/>
              </w:rPr>
              <w:footnoteReference w:id="14"/>
            </w:r>
            <w:r w:rsidRPr="001A0A01">
              <w:rPr>
                <w:color w:val="0D0D0D" w:themeColor="text1" w:themeTint="F2"/>
                <w:spacing w:val="-5"/>
                <w:lang w:val="en-GB"/>
              </w:rPr>
              <w:t>. Electricity</w:t>
            </w:r>
            <w:r w:rsidRPr="001A0A01">
              <w:rPr>
                <w:rStyle w:val="Znakapoznpodarou"/>
                <w:color w:val="0D0D0D" w:themeColor="text1" w:themeTint="F2"/>
                <w:spacing w:val="-5"/>
                <w:lang w:val="en-GB"/>
              </w:rPr>
              <w:footnoteReference w:id="15"/>
            </w:r>
            <w:r w:rsidRPr="001A0A01">
              <w:rPr>
                <w:color w:val="0D0D0D" w:themeColor="text1" w:themeTint="F2"/>
                <w:spacing w:val="-5"/>
                <w:lang w:val="en-GB"/>
              </w:rPr>
              <w:t xml:space="preserve"> and natural gas</w:t>
            </w:r>
            <w:r w:rsidRPr="001A0A01">
              <w:rPr>
                <w:rStyle w:val="Znakapoznpodarou"/>
                <w:color w:val="0D0D0D" w:themeColor="text1" w:themeTint="F2"/>
                <w:spacing w:val="-5"/>
                <w:lang w:val="en-GB"/>
              </w:rPr>
              <w:footnoteReference w:id="16"/>
            </w:r>
            <w:r w:rsidRPr="001A0A01">
              <w:rPr>
                <w:color w:val="0D0D0D" w:themeColor="text1" w:themeTint="F2"/>
                <w:spacing w:val="-5"/>
                <w:lang w:val="en-GB"/>
              </w:rPr>
              <w:t xml:space="preserve"> consumption also continued to decline, but unlike in the past, this was primarily caused by warmer weather during the heating season</w:t>
            </w:r>
            <w:r w:rsidRPr="001A0A01">
              <w:rPr>
                <w:rStyle w:val="Znakapoznpodarou"/>
                <w:color w:val="0D0D0D" w:themeColor="text1" w:themeTint="F2"/>
                <w:spacing w:val="-5"/>
                <w:lang w:val="en-GB"/>
              </w:rPr>
              <w:footnoteReference w:id="17"/>
            </w:r>
            <w:r w:rsidRPr="001A0A01">
              <w:rPr>
                <w:color w:val="0D0D0D" w:themeColor="text1" w:themeTint="F2"/>
                <w:spacing w:val="-5"/>
                <w:lang w:val="en-GB"/>
              </w:rPr>
              <w:t xml:space="preserve">. The fact that households and companies continued with their austerity measures was also evident. </w:t>
            </w:r>
            <w:bookmarkEnd w:id="11"/>
            <w:r w:rsidRPr="001A0A01">
              <w:rPr>
                <w:color w:val="0D0D0D" w:themeColor="text1" w:themeTint="F2"/>
                <w:spacing w:val="-5"/>
                <w:lang w:val="en-GB"/>
              </w:rPr>
              <w:t>Slowed economic activity in industry and construction also contributed to the lower consumption. The development</w:t>
            </w:r>
            <w:r w:rsidR="00C4293F">
              <w:rPr>
                <w:color w:val="0D0D0D" w:themeColor="text1" w:themeTint="F2"/>
                <w:spacing w:val="-5"/>
                <w:lang w:val="en-GB"/>
              </w:rPr>
              <w:t xml:space="preserve"> in the energy sector is</w:t>
            </w:r>
            <w:r w:rsidRPr="001A0A01">
              <w:rPr>
                <w:color w:val="0D0D0D" w:themeColor="text1" w:themeTint="F2"/>
                <w:spacing w:val="-5"/>
                <w:lang w:val="en-GB"/>
              </w:rPr>
              <w:t xml:space="preserve"> connected to the ongoing controlled downturn in the mining industry. The deep decline of production continued for the second year in a row here, amounting to 9.6%, year-on-year, in H1 2024. Mainly the slump in the increasingly unprofitable coal mining (−14.7%) has had a negative effect, but weak domestic demand </w:t>
            </w:r>
            <w:r w:rsidRPr="00C4293F">
              <w:rPr>
                <w:color w:val="0D0D0D" w:themeColor="text1" w:themeTint="F2"/>
                <w:spacing w:val="-8"/>
                <w:lang w:val="en-GB"/>
              </w:rPr>
              <w:t>has also limited the output in the mining of building materials (−4.0%) for more than two years.</w:t>
            </w:r>
            <w:r w:rsidRPr="001A0A01">
              <w:rPr>
                <w:color w:val="0D0D0D" w:themeColor="text1" w:themeTint="F2"/>
                <w:spacing w:val="-5"/>
                <w:lang w:val="en-GB"/>
              </w:rPr>
              <w:t xml:space="preserve"> </w:t>
            </w:r>
          </w:p>
        </w:tc>
      </w:tr>
      <w:tr w:rsidR="008602EC" w:rsidRPr="001A0A01" w14:paraId="6F6A9D27" w14:textId="77777777" w:rsidTr="00E551F6">
        <w:trPr>
          <w:trHeight w:val="134"/>
        </w:trPr>
        <w:tc>
          <w:tcPr>
            <w:tcW w:w="1814" w:type="dxa"/>
            <w:shd w:val="clear" w:color="auto" w:fill="auto"/>
            <w:tcMar>
              <w:left w:w="0" w:type="dxa"/>
            </w:tcMar>
          </w:tcPr>
          <w:p w14:paraId="3CFF8865" w14:textId="59F59EB0" w:rsidR="008602EC" w:rsidRPr="001A0A01" w:rsidRDefault="008602EC" w:rsidP="008602EC">
            <w:pPr>
              <w:pStyle w:val="Marginlie"/>
              <w:rPr>
                <w:lang w:val="en-GB"/>
              </w:rPr>
            </w:pPr>
            <w:r w:rsidRPr="001A0A01">
              <w:rPr>
                <w:lang w:val="en-GB"/>
              </w:rPr>
              <w:t xml:space="preserve">Value of </w:t>
            </w:r>
            <w:r w:rsidR="006E7124">
              <w:rPr>
                <w:lang w:val="en-GB"/>
              </w:rPr>
              <w:t xml:space="preserve">new </w:t>
            </w:r>
            <w:r w:rsidRPr="001A0A01">
              <w:rPr>
                <w:lang w:val="en-GB"/>
              </w:rPr>
              <w:t xml:space="preserve">orders in the manufacturing of transport equipment grew rapidly. </w:t>
            </w:r>
          </w:p>
          <w:p w14:paraId="322062BC" w14:textId="77777777" w:rsidR="008602EC" w:rsidRPr="001A0A01" w:rsidRDefault="008602EC" w:rsidP="008602EC">
            <w:pPr>
              <w:pStyle w:val="Marginlie"/>
              <w:rPr>
                <w:lang w:val="en-GB"/>
              </w:rPr>
            </w:pPr>
          </w:p>
          <w:p w14:paraId="1F788A2F" w14:textId="77777777" w:rsidR="008602EC" w:rsidRPr="001A0A01" w:rsidRDefault="008602EC" w:rsidP="008602EC">
            <w:pPr>
              <w:pStyle w:val="Marginlie"/>
              <w:rPr>
                <w:lang w:val="en-GB"/>
              </w:rPr>
            </w:pPr>
          </w:p>
          <w:p w14:paraId="6E59F647" w14:textId="77777777" w:rsidR="008602EC" w:rsidRPr="001A0A01" w:rsidRDefault="008602EC" w:rsidP="008602EC">
            <w:pPr>
              <w:pStyle w:val="Marginlie"/>
              <w:rPr>
                <w:lang w:val="en-GB"/>
              </w:rPr>
            </w:pPr>
          </w:p>
          <w:p w14:paraId="6BCF32CE" w14:textId="656C996F" w:rsidR="008602EC" w:rsidRPr="001A0A01" w:rsidRDefault="008602EC" w:rsidP="008602EC">
            <w:pPr>
              <w:pStyle w:val="Marginlie"/>
              <w:rPr>
                <w:lang w:val="en-GB"/>
              </w:rPr>
            </w:pPr>
            <w:bookmarkStart w:id="15" w:name="_Hlk178432787"/>
            <w:r w:rsidRPr="001A0A01">
              <w:rPr>
                <w:lang w:val="en-GB"/>
              </w:rPr>
              <w:t xml:space="preserve">Weak demand however persisted in metallurgy, engineering and metalworking industry. </w:t>
            </w:r>
            <w:bookmarkEnd w:id="15"/>
          </w:p>
        </w:tc>
        <w:tc>
          <w:tcPr>
            <w:tcW w:w="229" w:type="dxa"/>
            <w:shd w:val="clear" w:color="auto" w:fill="auto"/>
            <w:tcMar>
              <w:left w:w="0" w:type="dxa"/>
            </w:tcMar>
          </w:tcPr>
          <w:p w14:paraId="06DCFFC0" w14:textId="77777777" w:rsidR="008602EC" w:rsidRPr="001A0A01" w:rsidRDefault="008602EC" w:rsidP="008602EC">
            <w:pPr>
              <w:pStyle w:val="Textpoznpodarou"/>
              <w:jc w:val="both"/>
              <w:rPr>
                <w:spacing w:val="-4"/>
                <w:lang w:val="en-GB"/>
              </w:rPr>
            </w:pPr>
          </w:p>
        </w:tc>
        <w:tc>
          <w:tcPr>
            <w:tcW w:w="7596" w:type="dxa"/>
            <w:shd w:val="clear" w:color="auto" w:fill="auto"/>
            <w:tcMar>
              <w:left w:w="0" w:type="dxa"/>
            </w:tcMar>
          </w:tcPr>
          <w:p w14:paraId="674C266A" w14:textId="77777777" w:rsidR="008602EC" w:rsidRPr="001A0A01" w:rsidRDefault="008602EC" w:rsidP="008602EC">
            <w:pPr>
              <w:rPr>
                <w:color w:val="0D0D0D" w:themeColor="text1" w:themeTint="F2"/>
                <w:spacing w:val="-4"/>
                <w:lang w:val="en-GB"/>
              </w:rPr>
            </w:pPr>
            <w:bookmarkStart w:id="16" w:name="_Hlk178437441"/>
            <w:r w:rsidRPr="001A0A01">
              <w:rPr>
                <w:color w:val="0D0D0D" w:themeColor="text1" w:themeTint="F2"/>
                <w:spacing w:val="-4"/>
                <w:lang w:val="en-GB"/>
              </w:rPr>
              <w:t>The dynamics of new industrial orders have confirmed this year's slight recovery so far.  While the nominal value of orders in the monitored industrial branches</w:t>
            </w:r>
            <w:r w:rsidRPr="001A0A01">
              <w:rPr>
                <w:rStyle w:val="Znakapoznpodarou"/>
                <w:color w:val="0D0D0D" w:themeColor="text1" w:themeTint="F2"/>
                <w:spacing w:val="-4"/>
                <w:lang w:val="en-GB"/>
              </w:rPr>
              <w:footnoteReference w:id="18"/>
            </w:r>
            <w:r w:rsidRPr="001A0A01">
              <w:rPr>
                <w:color w:val="0D0D0D" w:themeColor="text1" w:themeTint="F2"/>
                <w:spacing w:val="-4"/>
                <w:lang w:val="en-GB"/>
              </w:rPr>
              <w:t xml:space="preserve"> was decreasing, year-on-year, for most of the last year, it increased by 3.4% in H1 2024 (it increased similarly in both quarters of this year). It can be seen with respect to the stagnation of industrial producer prices as an indication of a future moderate economic recovery in the entire sector. Both domestic orders (+2.6%) and foreign orders (+3.8%) signalled growth. The growth of total orders was mainly caused (similarly to the whole last year) by higher demand for motor vehicles (+10%), followed by near sub-branch of the manufacturing of electrical equipment (+5%). Thanks to the domestic demand, positive prospects were also evident in manufacturing of other transport vehicles or electronics. A further revival of some </w:t>
            </w:r>
            <w:r w:rsidRPr="006E7124">
              <w:rPr>
                <w:color w:val="0D0D0D" w:themeColor="text1" w:themeTint="F2"/>
                <w:spacing w:val="-6"/>
                <w:lang w:val="en-GB"/>
              </w:rPr>
              <w:t>smaller branches is heralded by higher contracted orders in the clothing and paper industries.</w:t>
            </w:r>
            <w:r w:rsidRPr="001A0A01">
              <w:rPr>
                <w:color w:val="0D0D0D" w:themeColor="text1" w:themeTint="F2"/>
                <w:spacing w:val="-4"/>
                <w:lang w:val="en-GB"/>
              </w:rPr>
              <w:t xml:space="preserve"> However, a number of key manufacturing branches were still limited by weak demand. It fell by 15%, year-on-year, in metallurgy, by 6% in engineering, and the number of total orders only stagnated due to the still weak domestic demand in the metalworking industry. </w:t>
            </w:r>
            <w:bookmarkEnd w:id="16"/>
          </w:p>
        </w:tc>
      </w:tr>
      <w:tr w:rsidR="008602EC" w:rsidRPr="001A0A01" w14:paraId="7C35AEAD" w14:textId="77777777" w:rsidTr="00E551F6">
        <w:trPr>
          <w:trHeight w:val="134"/>
        </w:trPr>
        <w:tc>
          <w:tcPr>
            <w:tcW w:w="1814" w:type="dxa"/>
            <w:vMerge w:val="restart"/>
            <w:shd w:val="clear" w:color="auto" w:fill="auto"/>
            <w:tcMar>
              <w:left w:w="0" w:type="dxa"/>
            </w:tcMar>
          </w:tcPr>
          <w:p w14:paraId="2CA3CC50" w14:textId="77777777" w:rsidR="008602EC" w:rsidRPr="001A0A01" w:rsidRDefault="008602EC" w:rsidP="008602EC">
            <w:pPr>
              <w:pStyle w:val="Marginlie"/>
              <w:rPr>
                <w:lang w:val="en-GB"/>
              </w:rPr>
            </w:pPr>
          </w:p>
        </w:tc>
        <w:tc>
          <w:tcPr>
            <w:tcW w:w="229" w:type="dxa"/>
            <w:vMerge w:val="restart"/>
            <w:shd w:val="clear" w:color="auto" w:fill="auto"/>
            <w:tcMar>
              <w:left w:w="0" w:type="dxa"/>
            </w:tcMar>
          </w:tcPr>
          <w:p w14:paraId="22E1EDCF" w14:textId="77777777" w:rsidR="008602EC" w:rsidRPr="001A0A01" w:rsidRDefault="008602EC" w:rsidP="008602EC">
            <w:pPr>
              <w:pStyle w:val="Textpoznpodarou"/>
              <w:jc w:val="both"/>
              <w:rPr>
                <w:spacing w:val="-4"/>
                <w:lang w:val="en-GB"/>
              </w:rPr>
            </w:pPr>
          </w:p>
        </w:tc>
        <w:tc>
          <w:tcPr>
            <w:tcW w:w="7596" w:type="dxa"/>
            <w:shd w:val="clear" w:color="auto" w:fill="auto"/>
            <w:tcMar>
              <w:left w:w="0" w:type="dxa"/>
            </w:tcMar>
          </w:tcPr>
          <w:p w14:paraId="506CE262" w14:textId="5CF56B42" w:rsidR="008602EC" w:rsidRPr="001A0A01" w:rsidRDefault="008602EC" w:rsidP="008602EC">
            <w:pPr>
              <w:spacing w:after="0"/>
              <w:rPr>
                <w:color w:val="0D0D0D" w:themeColor="text1" w:themeTint="F2"/>
                <w:spacing w:val="-5"/>
                <w:lang w:val="en-GB"/>
              </w:rPr>
            </w:pPr>
            <w:r w:rsidRPr="001A0A01">
              <w:rPr>
                <w:b/>
                <w:spacing w:val="-2"/>
                <w:lang w:val="en-GB"/>
              </w:rPr>
              <w:t xml:space="preserve">Chart 5  </w:t>
            </w:r>
            <w:r w:rsidRPr="001A0A01">
              <w:rPr>
                <w:b/>
                <w:lang w:val="en-GB"/>
              </w:rPr>
              <w:t xml:space="preserve">New orders in industry </w:t>
            </w:r>
            <w:r w:rsidRPr="001A0A01">
              <w:rPr>
                <w:bCs/>
                <w:lang w:val="en-GB"/>
              </w:rPr>
              <w:t xml:space="preserve">(nominal, year-on-year change in %), </w:t>
            </w:r>
            <w:r w:rsidRPr="001A0A01">
              <w:rPr>
                <w:b/>
                <w:lang w:val="en-GB"/>
              </w:rPr>
              <w:t>utilisation of production capacities in industry, selected growth barriers*</w:t>
            </w:r>
            <w:r w:rsidR="001443DB">
              <w:rPr>
                <w:lang w:val="en-GB"/>
              </w:rPr>
              <w:t xml:space="preserve"> (in %</w:t>
            </w:r>
            <w:r w:rsidRPr="001A0A01">
              <w:rPr>
                <w:lang w:val="en-GB"/>
              </w:rPr>
              <w:t xml:space="preserve">) </w:t>
            </w:r>
            <w:r w:rsidRPr="001A0A01">
              <w:rPr>
                <w:b/>
                <w:bCs/>
                <w:lang w:val="en-GB"/>
              </w:rPr>
              <w:t>and balance of business confidence indicator in industry*</w:t>
            </w:r>
            <w:r w:rsidR="001443DB">
              <w:rPr>
                <w:lang w:val="en-GB"/>
              </w:rPr>
              <w:t xml:space="preserve"> (in p.p.</w:t>
            </w:r>
            <w:r w:rsidRPr="001A0A01">
              <w:rPr>
                <w:lang w:val="en-GB"/>
              </w:rPr>
              <w:t xml:space="preserve">) </w:t>
            </w:r>
          </w:p>
        </w:tc>
      </w:tr>
      <w:tr w:rsidR="008602EC" w:rsidRPr="001A0A01" w14:paraId="3DBF664D" w14:textId="77777777" w:rsidTr="00316A85">
        <w:tblPrEx>
          <w:tblCellMar>
            <w:left w:w="70" w:type="dxa"/>
            <w:right w:w="70" w:type="dxa"/>
          </w:tblCellMar>
        </w:tblPrEx>
        <w:trPr>
          <w:trHeight w:val="133"/>
        </w:trPr>
        <w:tc>
          <w:tcPr>
            <w:tcW w:w="1814" w:type="dxa"/>
            <w:vMerge/>
            <w:shd w:val="clear" w:color="auto" w:fill="auto"/>
          </w:tcPr>
          <w:p w14:paraId="327B2453" w14:textId="77777777" w:rsidR="008602EC" w:rsidRPr="001A0A01" w:rsidRDefault="008602EC" w:rsidP="008602EC">
            <w:pPr>
              <w:pStyle w:val="Marginlie"/>
              <w:rPr>
                <w:lang w:val="en-GB"/>
              </w:rPr>
            </w:pPr>
          </w:p>
        </w:tc>
        <w:tc>
          <w:tcPr>
            <w:tcW w:w="229" w:type="dxa"/>
            <w:vMerge/>
            <w:shd w:val="clear" w:color="auto" w:fill="auto"/>
          </w:tcPr>
          <w:p w14:paraId="392D5932" w14:textId="77777777" w:rsidR="008602EC" w:rsidRPr="001A0A01" w:rsidRDefault="008602EC" w:rsidP="008602EC">
            <w:pPr>
              <w:pStyle w:val="Textpoznpodarou"/>
              <w:jc w:val="both"/>
              <w:rPr>
                <w:spacing w:val="-4"/>
                <w:lang w:val="en-GB"/>
              </w:rPr>
            </w:pPr>
          </w:p>
        </w:tc>
        <w:tc>
          <w:tcPr>
            <w:tcW w:w="7596" w:type="dxa"/>
            <w:shd w:val="clear" w:color="auto" w:fill="auto"/>
          </w:tcPr>
          <w:p w14:paraId="1BC3B33A" w14:textId="63763FBA" w:rsidR="008602EC" w:rsidRPr="001A0A01" w:rsidRDefault="00316A85" w:rsidP="008602EC">
            <w:pPr>
              <w:spacing w:before="40" w:after="0"/>
              <w:rPr>
                <w:color w:val="0D0D0D" w:themeColor="text1" w:themeTint="F2"/>
                <w:spacing w:val="-5"/>
                <w:lang w:val="en-GB"/>
              </w:rPr>
            </w:pPr>
            <w:r>
              <w:rPr>
                <w:noProof/>
              </w:rPr>
              <w:drawing>
                <wp:inline distT="0" distB="0" distL="0" distR="0" wp14:anchorId="4A779FDB" wp14:editId="7FA7710E">
                  <wp:extent cx="4658995" cy="3636645"/>
                  <wp:effectExtent l="0" t="0" r="8255" b="1905"/>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8602EC" w:rsidRPr="001A0A01" w14:paraId="5482711B" w14:textId="77777777" w:rsidTr="00E551F6">
        <w:trPr>
          <w:trHeight w:val="133"/>
        </w:trPr>
        <w:tc>
          <w:tcPr>
            <w:tcW w:w="1814" w:type="dxa"/>
            <w:vMerge/>
            <w:shd w:val="clear" w:color="auto" w:fill="auto"/>
            <w:tcMar>
              <w:left w:w="0" w:type="dxa"/>
            </w:tcMar>
          </w:tcPr>
          <w:p w14:paraId="72C47495" w14:textId="77777777" w:rsidR="008602EC" w:rsidRPr="001A0A01" w:rsidRDefault="008602EC" w:rsidP="008602EC">
            <w:pPr>
              <w:pStyle w:val="Marginlie"/>
              <w:rPr>
                <w:lang w:val="en-GB"/>
              </w:rPr>
            </w:pPr>
          </w:p>
        </w:tc>
        <w:tc>
          <w:tcPr>
            <w:tcW w:w="229" w:type="dxa"/>
            <w:vMerge/>
            <w:shd w:val="clear" w:color="auto" w:fill="auto"/>
            <w:tcMar>
              <w:left w:w="0" w:type="dxa"/>
            </w:tcMar>
          </w:tcPr>
          <w:p w14:paraId="75B96572" w14:textId="77777777" w:rsidR="008602EC" w:rsidRPr="001A0A01" w:rsidRDefault="008602EC" w:rsidP="008602EC">
            <w:pPr>
              <w:pStyle w:val="Textpoznpodarou"/>
              <w:jc w:val="both"/>
              <w:rPr>
                <w:spacing w:val="-4"/>
                <w:lang w:val="en-GB"/>
              </w:rPr>
            </w:pPr>
          </w:p>
        </w:tc>
        <w:tc>
          <w:tcPr>
            <w:tcW w:w="7596" w:type="dxa"/>
            <w:shd w:val="clear" w:color="auto" w:fill="auto"/>
            <w:tcMar>
              <w:left w:w="0" w:type="dxa"/>
            </w:tcMar>
          </w:tcPr>
          <w:p w14:paraId="3538863C" w14:textId="6F3F7E04" w:rsidR="008602EC" w:rsidRPr="008A7D9B" w:rsidRDefault="008602EC" w:rsidP="008602EC">
            <w:pPr>
              <w:spacing w:line="240" w:lineRule="auto"/>
              <w:jc w:val="left"/>
              <w:rPr>
                <w:rFonts w:cs="Arial"/>
                <w:sz w:val="14"/>
                <w:szCs w:val="14"/>
                <w:lang w:val="en-GB"/>
              </w:rPr>
            </w:pPr>
            <w:r w:rsidRPr="001A0A01">
              <w:rPr>
                <w:color w:val="0D0D0D" w:themeColor="text1" w:themeTint="F2"/>
                <w:spacing w:val="-5"/>
                <w:sz w:val="14"/>
                <w:szCs w:val="14"/>
                <w:lang w:val="en-GB"/>
              </w:rPr>
              <w:t>*</w:t>
            </w:r>
            <w:r w:rsidRPr="001A0A01">
              <w:rPr>
                <w:lang w:val="en-GB"/>
              </w:rPr>
              <w:t xml:space="preserve"> </w:t>
            </w:r>
            <w:r w:rsidRPr="001A0A01">
              <w:rPr>
                <w:color w:val="0D0D0D" w:themeColor="text1" w:themeTint="F2"/>
                <w:spacing w:val="-5"/>
                <w:sz w:val="14"/>
                <w:szCs w:val="14"/>
                <w:lang w:val="en-GB"/>
              </w:rPr>
              <w:t xml:space="preserve">Both utilisation of production capacities and growth barriers express the level in the first month of the given quarter, business confidence balance relates to the second month in the quarter. Orders are adjusted for calendar effects; other indicators are seasonally adjusted. Businesses could have indicated more key growth barriers simultaneously.                          </w:t>
            </w:r>
            <w:r w:rsidRPr="001A0A01">
              <w:rPr>
                <w:rFonts w:cs="Arial"/>
                <w:sz w:val="14"/>
                <w:szCs w:val="14"/>
                <w:lang w:val="en-GB"/>
              </w:rPr>
              <w:t xml:space="preserve">                                                    </w:t>
            </w:r>
            <w:r>
              <w:rPr>
                <w:rFonts w:cs="Arial"/>
                <w:sz w:val="14"/>
                <w:szCs w:val="14"/>
                <w:lang w:val="en-GB"/>
              </w:rPr>
              <w:t xml:space="preserve">         Source: CZSO, Eurostat</w:t>
            </w:r>
          </w:p>
        </w:tc>
      </w:tr>
      <w:tr w:rsidR="00E97D7E" w:rsidRPr="001A0A01" w14:paraId="15EC8021" w14:textId="77777777" w:rsidTr="00E551F6">
        <w:trPr>
          <w:trHeight w:val="170"/>
        </w:trPr>
        <w:tc>
          <w:tcPr>
            <w:tcW w:w="1814" w:type="dxa"/>
            <w:shd w:val="clear" w:color="auto" w:fill="auto"/>
            <w:tcMar>
              <w:left w:w="0" w:type="dxa"/>
            </w:tcMar>
          </w:tcPr>
          <w:p w14:paraId="15F4DF2A" w14:textId="77777777" w:rsidR="00E97D7E" w:rsidRPr="001A0A01" w:rsidRDefault="00E97D7E" w:rsidP="00E97D7E">
            <w:pPr>
              <w:jc w:val="left"/>
              <w:rPr>
                <w:color w:val="0D0D0D" w:themeColor="text1" w:themeTint="F2"/>
                <w:lang w:val="en-GB"/>
              </w:rPr>
            </w:pPr>
            <w:r w:rsidRPr="001A0A01">
              <w:rPr>
                <w:color w:val="0D0D0D" w:themeColor="text1" w:themeTint="F2"/>
                <w:spacing w:val="-2"/>
                <w:sz w:val="16"/>
                <w:szCs w:val="16"/>
                <w:lang w:val="en-GB"/>
              </w:rPr>
              <w:t xml:space="preserve">Business confidence in industry stayed low. Growing number of companies suffer from insufficient demand. Current as well as expected employment development remains unfavourable. </w:t>
            </w:r>
          </w:p>
          <w:p w14:paraId="6E221E94" w14:textId="3EA7D034" w:rsidR="00E97D7E" w:rsidRDefault="00E97D7E" w:rsidP="00E97D7E">
            <w:pPr>
              <w:pStyle w:val="Marginlie"/>
              <w:rPr>
                <w:color w:val="0D0D0D" w:themeColor="text1" w:themeTint="F2"/>
                <w:lang w:val="en-GB"/>
              </w:rPr>
            </w:pPr>
          </w:p>
          <w:p w14:paraId="46EB2465" w14:textId="231C56D0" w:rsidR="00B67298" w:rsidRDefault="00B67298" w:rsidP="00E97D7E">
            <w:pPr>
              <w:pStyle w:val="Marginlie"/>
              <w:rPr>
                <w:color w:val="0D0D0D" w:themeColor="text1" w:themeTint="F2"/>
                <w:lang w:val="en-GB"/>
              </w:rPr>
            </w:pPr>
          </w:p>
          <w:p w14:paraId="113B3AF0" w14:textId="77777777" w:rsidR="00B67298" w:rsidRPr="001A0A01" w:rsidRDefault="00B67298" w:rsidP="00E97D7E">
            <w:pPr>
              <w:pStyle w:val="Marginlie"/>
              <w:rPr>
                <w:color w:val="0D0D0D" w:themeColor="text1" w:themeTint="F2"/>
                <w:lang w:val="en-GB"/>
              </w:rPr>
            </w:pPr>
          </w:p>
          <w:p w14:paraId="4C53F0C5" w14:textId="10AE1CAC" w:rsidR="00E97D7E" w:rsidRPr="001A0A01" w:rsidRDefault="00E97D7E" w:rsidP="00E97D7E">
            <w:pPr>
              <w:jc w:val="left"/>
              <w:rPr>
                <w:color w:val="0D0D0D" w:themeColor="text1" w:themeTint="F2"/>
                <w:spacing w:val="-4"/>
                <w:sz w:val="16"/>
                <w:szCs w:val="16"/>
                <w:lang w:val="en-GB"/>
              </w:rPr>
            </w:pPr>
            <w:r w:rsidRPr="001A0A01">
              <w:rPr>
                <w:color w:val="0D0D0D" w:themeColor="text1" w:themeTint="F2"/>
                <w:spacing w:val="-2"/>
                <w:sz w:val="16"/>
                <w:szCs w:val="16"/>
                <w:lang w:val="en-GB"/>
              </w:rPr>
              <w:t xml:space="preserve">Cautious optimism prevailed in terms of expectations in the area of production and own economic situation </w:t>
            </w:r>
            <w:r>
              <w:rPr>
                <w:color w:val="0D0D0D" w:themeColor="text1" w:themeTint="F2"/>
                <w:spacing w:val="-2"/>
                <w:sz w:val="16"/>
                <w:szCs w:val="16"/>
                <w:lang w:val="en-GB"/>
              </w:rPr>
              <w:t xml:space="preserve">of </w:t>
            </w:r>
            <w:r w:rsidR="007E3731">
              <w:rPr>
                <w:color w:val="0D0D0D" w:themeColor="text1" w:themeTint="F2"/>
                <w:spacing w:val="-2"/>
                <w:sz w:val="16"/>
                <w:szCs w:val="16"/>
                <w:lang w:val="en-GB"/>
              </w:rPr>
              <w:t>companies</w:t>
            </w:r>
            <w:r>
              <w:rPr>
                <w:color w:val="0D0D0D" w:themeColor="text1" w:themeTint="F2"/>
                <w:spacing w:val="-2"/>
                <w:sz w:val="16"/>
                <w:szCs w:val="16"/>
                <w:lang w:val="en-GB"/>
              </w:rPr>
              <w:t xml:space="preserve"> in </w:t>
            </w:r>
            <w:r w:rsidRPr="001A0A01">
              <w:rPr>
                <w:color w:val="0D0D0D" w:themeColor="text1" w:themeTint="F2"/>
                <w:spacing w:val="-2"/>
                <w:sz w:val="16"/>
                <w:szCs w:val="16"/>
                <w:lang w:val="en-GB"/>
              </w:rPr>
              <w:t>August</w:t>
            </w:r>
            <w:r>
              <w:rPr>
                <w:color w:val="0D0D0D" w:themeColor="text1" w:themeTint="F2"/>
                <w:spacing w:val="-2"/>
                <w:sz w:val="16"/>
                <w:szCs w:val="16"/>
                <w:lang w:val="en-GB"/>
              </w:rPr>
              <w:t xml:space="preserve"> 2024</w:t>
            </w:r>
            <w:r w:rsidRPr="001A0A01">
              <w:rPr>
                <w:color w:val="0D0D0D" w:themeColor="text1" w:themeTint="F2"/>
                <w:spacing w:val="-2"/>
                <w:sz w:val="16"/>
                <w:szCs w:val="16"/>
                <w:lang w:val="en-GB"/>
              </w:rPr>
              <w:t>.</w:t>
            </w:r>
          </w:p>
        </w:tc>
        <w:tc>
          <w:tcPr>
            <w:tcW w:w="229" w:type="dxa"/>
            <w:shd w:val="clear" w:color="auto" w:fill="auto"/>
            <w:tcMar>
              <w:left w:w="0" w:type="dxa"/>
            </w:tcMar>
          </w:tcPr>
          <w:p w14:paraId="4B4895D9"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3AA98F55" w14:textId="38F8F577" w:rsidR="00E97D7E" w:rsidRPr="001A0A01" w:rsidRDefault="00E97D7E" w:rsidP="00E97D7E">
            <w:pPr>
              <w:rPr>
                <w:color w:val="0D0D0D" w:themeColor="text1" w:themeTint="F2"/>
                <w:spacing w:val="-6"/>
                <w:lang w:val="en-GB"/>
              </w:rPr>
            </w:pPr>
            <w:r w:rsidRPr="001A0A01">
              <w:rPr>
                <w:color w:val="0D0D0D" w:themeColor="text1" w:themeTint="F2"/>
                <w:spacing w:val="-3"/>
                <w:lang w:val="en-GB"/>
              </w:rPr>
              <w:t>Business confidence in industry has remained in the negative band for nearly two years already. In February this year, it dropped almost to the lowest level since the anti-pandemic shutdowns of production (in the Spring of 2020). There was a slight recovery subsequently, nevertheless the confidence remained notably below its long-term average (by 8.5 percentage points) still in August and remained virtually unchanged in the year-on-year view. Even though the cost pressures have stabilised (already only a sixth of companies plan to raise the prices of their production in the short-term horizon) and the volume of inventories has also returned to normal, companies across most branches are still limited by insufficient demand. Its role as a key growth barrier has been rising since the middle of last year (it currently limits already 52% of companies</w:t>
            </w:r>
            <w:r w:rsidRPr="001A0A01">
              <w:rPr>
                <w:rStyle w:val="Znakapoznpodarou"/>
                <w:color w:val="0D0D0D" w:themeColor="text1" w:themeTint="F2"/>
                <w:spacing w:val="-3"/>
                <w:lang w:val="en-GB"/>
              </w:rPr>
              <w:footnoteReference w:id="19"/>
            </w:r>
            <w:r w:rsidRPr="001A0A01">
              <w:rPr>
                <w:color w:val="0D0D0D" w:themeColor="text1" w:themeTint="F2"/>
                <w:spacing w:val="-3"/>
                <w:lang w:val="en-GB"/>
              </w:rPr>
              <w:t>).  On the contrary, a lack of employees troubled one eighth of companies (the least in the last four years</w:t>
            </w:r>
            <w:r w:rsidRPr="001A0A01">
              <w:rPr>
                <w:rStyle w:val="Znakapoznpodarou"/>
                <w:color w:val="0D0D0D" w:themeColor="text1" w:themeTint="F2"/>
                <w:spacing w:val="-3"/>
                <w:lang w:val="en-GB"/>
              </w:rPr>
              <w:footnoteReference w:id="20"/>
            </w:r>
            <w:r w:rsidRPr="001A0A01">
              <w:rPr>
                <w:color w:val="0D0D0D" w:themeColor="text1" w:themeTint="F2"/>
                <w:spacing w:val="-3"/>
                <w:lang w:val="en-GB"/>
              </w:rPr>
              <w:t xml:space="preserve">). In addition, companies plan to lay off people (16%) rather than hire (6%) in the nearest quarter, which also corresponds to the real development in recent months (the registered number of employees in industry decreased by 2%, year-on-year, in H1 2024). Nevertheless, a very slight optimism in the short-term expectations of production as well as own overall economic situation set in among companies in August (unlike at the beginning of the year). </w:t>
            </w:r>
          </w:p>
        </w:tc>
      </w:tr>
      <w:tr w:rsidR="00E97D7E" w:rsidRPr="001A0A01" w14:paraId="2EABC48B" w14:textId="77777777" w:rsidTr="00E551F6">
        <w:trPr>
          <w:trHeight w:val="170"/>
        </w:trPr>
        <w:tc>
          <w:tcPr>
            <w:tcW w:w="1814" w:type="dxa"/>
            <w:shd w:val="clear" w:color="auto" w:fill="auto"/>
            <w:tcMar>
              <w:left w:w="0" w:type="dxa"/>
            </w:tcMar>
          </w:tcPr>
          <w:p w14:paraId="69387ACF" w14:textId="45E24FAE" w:rsidR="00E97D7E" w:rsidRPr="00DB2A7E" w:rsidRDefault="00E97D7E" w:rsidP="00DB2A7E">
            <w:pPr>
              <w:pStyle w:val="Marginlie"/>
              <w:rPr>
                <w:color w:val="0D0D0D" w:themeColor="text1" w:themeTint="F2"/>
                <w:spacing w:val="-4"/>
                <w:lang w:val="en-GB"/>
              </w:rPr>
            </w:pPr>
            <w:bookmarkStart w:id="17" w:name="_Hlk178445781"/>
            <w:r w:rsidRPr="001A0A01">
              <w:rPr>
                <w:color w:val="0D0D0D" w:themeColor="text1" w:themeTint="F2"/>
                <w:spacing w:val="-4"/>
                <w:lang w:val="en-GB"/>
              </w:rPr>
              <w:t xml:space="preserve">Considerable cost pressures as well as weaker private investment activity still affected the construction output. </w:t>
            </w:r>
            <w:bookmarkEnd w:id="17"/>
          </w:p>
        </w:tc>
        <w:tc>
          <w:tcPr>
            <w:tcW w:w="229" w:type="dxa"/>
            <w:shd w:val="clear" w:color="auto" w:fill="auto"/>
            <w:tcMar>
              <w:left w:w="0" w:type="dxa"/>
            </w:tcMar>
          </w:tcPr>
          <w:p w14:paraId="36CC583A"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58617AAB" w14:textId="77777777" w:rsidR="00E97D7E" w:rsidRPr="001A0A01" w:rsidRDefault="00E97D7E" w:rsidP="00E97D7E">
            <w:pPr>
              <w:rPr>
                <w:color w:val="0D0D0D" w:themeColor="text1" w:themeTint="F2"/>
                <w:spacing w:val="-6"/>
                <w:lang w:val="en-GB"/>
              </w:rPr>
            </w:pPr>
            <w:r w:rsidRPr="001A0A01">
              <w:rPr>
                <w:color w:val="0D0D0D" w:themeColor="text1" w:themeTint="F2"/>
                <w:spacing w:val="-6"/>
                <w:lang w:val="en-GB"/>
              </w:rPr>
              <w:t>The construction industry was affected by weak demand as well as persistent price pressures at the beginning of this year. Although the prices of building materials have started to fall slightly, year-on-year, after a three-year increase since last autumn, the reduction of both realised and expected prices of construction production</w:t>
            </w:r>
            <w:r w:rsidRPr="001A0A01">
              <w:rPr>
                <w:rStyle w:val="Znakapoznpodarou"/>
                <w:color w:val="0D0D0D" w:themeColor="text1" w:themeTint="F2"/>
                <w:spacing w:val="-6"/>
                <w:lang w:val="en-GB"/>
              </w:rPr>
              <w:footnoteReference w:id="21"/>
            </w:r>
            <w:r w:rsidRPr="001A0A01">
              <w:rPr>
                <w:color w:val="0D0D0D" w:themeColor="text1" w:themeTint="F2"/>
                <w:spacing w:val="-6"/>
                <w:lang w:val="en-GB"/>
              </w:rPr>
              <w:t xml:space="preserve"> was hindered by rapid growth in labour costs influenced by a chronic shortage mainly of skilled labour force. Subdued investment activity in the private sector was also still reflected owing to weaker confidence of firms and households in the economy and worsened access to credit financing of investments. This was compounded by an expected decrease of public investment related to the transition to the new EU programming period</w:t>
            </w:r>
            <w:r w:rsidRPr="001A0A01">
              <w:rPr>
                <w:rStyle w:val="Znakapoznpodarou"/>
                <w:color w:val="0D0D0D" w:themeColor="text1" w:themeTint="F2"/>
                <w:spacing w:val="-6"/>
                <w:lang w:val="en-GB"/>
              </w:rPr>
              <w:footnoteReference w:id="22"/>
            </w:r>
            <w:r w:rsidRPr="001A0A01">
              <w:rPr>
                <w:color w:val="0D0D0D" w:themeColor="text1" w:themeTint="F2"/>
                <w:spacing w:val="-6"/>
                <w:lang w:val="en-GB"/>
              </w:rPr>
              <w:t>.</w:t>
            </w:r>
          </w:p>
        </w:tc>
      </w:tr>
      <w:tr w:rsidR="00E97D7E" w:rsidRPr="001A0A01" w14:paraId="53328301" w14:textId="77777777" w:rsidTr="00E551F6">
        <w:trPr>
          <w:trHeight w:val="170"/>
        </w:trPr>
        <w:tc>
          <w:tcPr>
            <w:tcW w:w="1814" w:type="dxa"/>
            <w:shd w:val="clear" w:color="auto" w:fill="auto"/>
            <w:tcMar>
              <w:left w:w="0" w:type="dxa"/>
            </w:tcMar>
          </w:tcPr>
          <w:p w14:paraId="0E9FDAD8" w14:textId="77777777" w:rsidR="00E97D7E" w:rsidRPr="001A0A01" w:rsidRDefault="00E97D7E" w:rsidP="00E97D7E">
            <w:pPr>
              <w:pStyle w:val="Marginlie"/>
              <w:rPr>
                <w:color w:val="0D0D0D" w:themeColor="text1" w:themeTint="F2"/>
                <w:spacing w:val="-4"/>
                <w:lang w:val="en-GB"/>
              </w:rPr>
            </w:pPr>
            <w:bookmarkStart w:id="20" w:name="_Hlk178448628"/>
            <w:r w:rsidRPr="001A0A01">
              <w:rPr>
                <w:color w:val="0D0D0D" w:themeColor="text1" w:themeTint="F2"/>
                <w:spacing w:val="-4"/>
                <w:lang w:val="en-GB"/>
              </w:rPr>
              <w:t xml:space="preserve">The year-on-year decline in construction output deepened this year. The biggest decrease affected the specialized construction activities. </w:t>
            </w:r>
            <w:bookmarkEnd w:id="20"/>
          </w:p>
        </w:tc>
        <w:tc>
          <w:tcPr>
            <w:tcW w:w="229" w:type="dxa"/>
            <w:shd w:val="clear" w:color="auto" w:fill="auto"/>
            <w:tcMar>
              <w:left w:w="0" w:type="dxa"/>
            </w:tcMar>
          </w:tcPr>
          <w:p w14:paraId="259B5BD9"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541F6354" w14:textId="3F115351" w:rsidR="00E97D7E" w:rsidRPr="001A0A01" w:rsidRDefault="00E97D7E" w:rsidP="00DB2A7E">
            <w:pPr>
              <w:rPr>
                <w:rStyle w:val="normaltextrun"/>
                <w:color w:val="0D0D0D" w:themeColor="text1" w:themeTint="F2"/>
                <w:spacing w:val="-5"/>
                <w:lang w:val="en-GB"/>
              </w:rPr>
            </w:pPr>
            <w:bookmarkStart w:id="21" w:name="_Hlk178448654"/>
            <w:r w:rsidRPr="001A0A01">
              <w:rPr>
                <w:color w:val="0D0D0D" w:themeColor="text1" w:themeTint="F2"/>
                <w:spacing w:val="-5"/>
                <w:lang w:val="en-GB"/>
              </w:rPr>
              <w:t>Construction output</w:t>
            </w:r>
            <w:r w:rsidRPr="001A0A01">
              <w:rPr>
                <w:rStyle w:val="Znakapoznpodarou"/>
                <w:color w:val="0D0D0D" w:themeColor="text1" w:themeTint="F2"/>
                <w:spacing w:val="-5"/>
                <w:lang w:val="en-GB"/>
              </w:rPr>
              <w:footnoteReference w:id="23"/>
            </w:r>
            <w:r w:rsidRPr="001A0A01">
              <w:rPr>
                <w:color w:val="0D0D0D" w:themeColor="text1" w:themeTint="F2"/>
                <w:spacing w:val="-5"/>
                <w:lang w:val="en-GB"/>
              </w:rPr>
              <w:t xml:space="preserve"> increased by 0.8%, quarter-on-quarter, at the beginning of 2024 and thus halted the decline that filled most of the </w:t>
            </w:r>
            <w:r w:rsidR="00DB2A7E">
              <w:rPr>
                <w:color w:val="0D0D0D" w:themeColor="text1" w:themeTint="F2"/>
                <w:spacing w:val="-5"/>
                <w:lang w:val="en-GB"/>
              </w:rPr>
              <w:t>last year. This recovery was largely a consequence of</w:t>
            </w:r>
            <w:r w:rsidRPr="001A0A01">
              <w:rPr>
                <w:color w:val="0D0D0D" w:themeColor="text1" w:themeTint="F2"/>
                <w:spacing w:val="-5"/>
                <w:lang w:val="en-GB"/>
              </w:rPr>
              <w:t xml:space="preserve"> the unusually warm winter period, which led to a sharp increase in civil engineering construction (and to a lesser extent in other </w:t>
            </w:r>
            <w:r w:rsidR="003D4488">
              <w:rPr>
                <w:color w:val="0D0D0D" w:themeColor="text1" w:themeTint="F2"/>
                <w:spacing w:val="-5"/>
                <w:lang w:val="en-GB"/>
              </w:rPr>
              <w:t>segments of the total industry</w:t>
            </w:r>
            <w:r w:rsidRPr="001A0A01">
              <w:rPr>
                <w:color w:val="0D0D0D" w:themeColor="text1" w:themeTint="F2"/>
                <w:spacing w:val="-5"/>
                <w:lang w:val="en-GB"/>
              </w:rPr>
              <w:t>), especially in February. However, the performa</w:t>
            </w:r>
            <w:r w:rsidR="00DB2A7E">
              <w:rPr>
                <w:color w:val="0D0D0D" w:themeColor="text1" w:themeTint="F2"/>
                <w:spacing w:val="-5"/>
                <w:lang w:val="en-GB"/>
              </w:rPr>
              <w:t>nce of the construction</w:t>
            </w:r>
            <w:r w:rsidRPr="001A0A01">
              <w:rPr>
                <w:color w:val="0D0D0D" w:themeColor="text1" w:themeTint="F2"/>
                <w:spacing w:val="-5"/>
                <w:lang w:val="en-GB"/>
              </w:rPr>
              <w:t xml:space="preserve"> decreased by 3.3% during Q2, when a notable slump occurred with comparable intensity in all its main segments. In Q2 2024, the p</w:t>
            </w:r>
            <w:r w:rsidR="00DB2A7E">
              <w:rPr>
                <w:color w:val="0D0D0D" w:themeColor="text1" w:themeTint="F2"/>
                <w:spacing w:val="-5"/>
                <w:lang w:val="en-GB"/>
              </w:rPr>
              <w:t>erformance of the total construction</w:t>
            </w:r>
            <w:r w:rsidRPr="001A0A01">
              <w:rPr>
                <w:color w:val="0D0D0D" w:themeColor="text1" w:themeTint="F2"/>
                <w:spacing w:val="-5"/>
                <w:lang w:val="en-GB"/>
              </w:rPr>
              <w:t xml:space="preserve"> thus lagged behind the peak of the last boom (Q3 2019) by 8.4%. The year-on-year fall of production deepened this year and reach</w:t>
            </w:r>
            <w:r w:rsidR="000165E9">
              <w:rPr>
                <w:color w:val="0D0D0D" w:themeColor="text1" w:themeTint="F2"/>
                <w:spacing w:val="-5"/>
                <w:lang w:val="en-GB"/>
              </w:rPr>
              <w:t>ed 5.3% for the whole H1</w:t>
            </w:r>
            <w:r w:rsidRPr="001A0A01">
              <w:rPr>
                <w:color w:val="0D0D0D" w:themeColor="text1" w:themeTint="F2"/>
                <w:spacing w:val="-5"/>
                <w:lang w:val="en-GB"/>
              </w:rPr>
              <w:t xml:space="preserve">. Construction of buildings and also specialised construction activities (in which the output fell the most – by 8.1%) contributed the most. These activities include, for example, assembling, finishing electrical installation or plumbing work and are more the domain of smaller construction companies. A more moderate decrease was recorded in civil engineering construction (−1.1%). </w:t>
            </w:r>
            <w:r w:rsidRPr="001A0A01">
              <w:rPr>
                <w:rStyle w:val="normaltextrun"/>
                <w:rFonts w:cs="Arial"/>
                <w:color w:val="000000"/>
                <w:spacing w:val="-5"/>
                <w:szCs w:val="20"/>
                <w:lang w:val="en-GB"/>
              </w:rPr>
              <w:t xml:space="preserve"> </w:t>
            </w:r>
            <w:bookmarkEnd w:id="21"/>
          </w:p>
        </w:tc>
      </w:tr>
      <w:tr w:rsidR="00E97D7E" w:rsidRPr="001A0A01" w14:paraId="02C6BC27" w14:textId="77777777" w:rsidTr="00E551F6">
        <w:trPr>
          <w:trHeight w:val="170"/>
        </w:trPr>
        <w:tc>
          <w:tcPr>
            <w:tcW w:w="1814" w:type="dxa"/>
            <w:shd w:val="clear" w:color="auto" w:fill="auto"/>
            <w:tcMar>
              <w:left w:w="0" w:type="dxa"/>
            </w:tcMar>
          </w:tcPr>
          <w:p w14:paraId="53D89002" w14:textId="1A3DA7EB" w:rsidR="00E97D7E" w:rsidRPr="001A0A01" w:rsidRDefault="00E97D7E" w:rsidP="00BE7090">
            <w:pPr>
              <w:jc w:val="left"/>
              <w:rPr>
                <w:color w:val="0D0D0D" w:themeColor="text1" w:themeTint="F2"/>
                <w:spacing w:val="-4"/>
                <w:sz w:val="16"/>
                <w:szCs w:val="16"/>
                <w:lang w:val="en-GB"/>
              </w:rPr>
            </w:pPr>
            <w:bookmarkStart w:id="22" w:name="_Hlk178450921"/>
            <w:bookmarkStart w:id="23" w:name="_Hlk178451368"/>
            <w:r w:rsidRPr="001A0A01">
              <w:rPr>
                <w:color w:val="0D0D0D" w:themeColor="text1" w:themeTint="F2"/>
                <w:spacing w:val="-4"/>
                <w:sz w:val="16"/>
                <w:szCs w:val="16"/>
                <w:lang w:val="en-GB"/>
              </w:rPr>
              <w:t xml:space="preserve">The number of </w:t>
            </w:r>
            <w:r w:rsidR="00BE7090">
              <w:rPr>
                <w:color w:val="0D0D0D" w:themeColor="text1" w:themeTint="F2"/>
                <w:spacing w:val="-4"/>
                <w:sz w:val="16"/>
                <w:szCs w:val="16"/>
                <w:lang w:val="en-GB"/>
              </w:rPr>
              <w:t>start</w:t>
            </w:r>
            <w:r w:rsidR="00BE7090" w:rsidRPr="001A0A01">
              <w:rPr>
                <w:color w:val="0D0D0D" w:themeColor="text1" w:themeTint="F2"/>
                <w:spacing w:val="-4"/>
                <w:sz w:val="16"/>
                <w:szCs w:val="16"/>
                <w:lang w:val="en-GB"/>
              </w:rPr>
              <w:t xml:space="preserve">ed </w:t>
            </w:r>
            <w:r w:rsidRPr="001A0A01">
              <w:rPr>
                <w:color w:val="0D0D0D" w:themeColor="text1" w:themeTint="F2"/>
                <w:spacing w:val="-4"/>
                <w:sz w:val="16"/>
                <w:szCs w:val="16"/>
                <w:lang w:val="en-GB"/>
              </w:rPr>
              <w:t xml:space="preserve">dwellings continued to decrease, the volume of construction was the lowest in the last six years. A partial recovery occurred in the category of residential buildings. </w:t>
            </w:r>
            <w:bookmarkEnd w:id="22"/>
          </w:p>
        </w:tc>
        <w:tc>
          <w:tcPr>
            <w:tcW w:w="229" w:type="dxa"/>
            <w:shd w:val="clear" w:color="auto" w:fill="auto"/>
            <w:tcMar>
              <w:left w:w="0" w:type="dxa"/>
            </w:tcMar>
          </w:tcPr>
          <w:p w14:paraId="361983FB"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0DE68A3B" w14:textId="4BAF45C3" w:rsidR="00E97D7E" w:rsidRDefault="00E97D7E" w:rsidP="00E97D7E">
            <w:pPr>
              <w:rPr>
                <w:color w:val="0D0D0D" w:themeColor="text1" w:themeTint="F2"/>
                <w:spacing w:val="-4"/>
                <w:lang w:val="en-GB"/>
              </w:rPr>
            </w:pPr>
            <w:bookmarkStart w:id="24" w:name="_Hlk178450466"/>
            <w:r w:rsidRPr="001A0A01">
              <w:rPr>
                <w:color w:val="0D0D0D" w:themeColor="text1" w:themeTint="F2"/>
                <w:spacing w:val="-4"/>
                <w:lang w:val="en-GB"/>
              </w:rPr>
              <w:t xml:space="preserve">The subdued housing construction was adversely reflected in the performance of building construction in H1 2024 as well as throughout the whole last year. The number of dwellings started decreased by 4.9%, year-on-year, when it only amounted to 17.2 thousand dwellings (the lowest for the first half-year in the last six years). This year's decrease was mainly caused by the dwellings created by modifications of existing residential buildings and </w:t>
            </w:r>
            <w:r w:rsidR="00BE7090">
              <w:rPr>
                <w:color w:val="0D0D0D" w:themeColor="text1" w:themeTint="F2"/>
                <w:spacing w:val="-4"/>
                <w:lang w:val="en-GB"/>
              </w:rPr>
              <w:t xml:space="preserve">also by category of </w:t>
            </w:r>
            <w:r w:rsidRPr="001A0A01">
              <w:rPr>
                <w:color w:val="0D0D0D" w:themeColor="text1" w:themeTint="F2"/>
                <w:spacing w:val="-4"/>
                <w:lang w:val="en-GB"/>
              </w:rPr>
              <w:t xml:space="preserve">apartments in family houses. However, the construction of </w:t>
            </w:r>
            <w:r w:rsidR="00BE7090">
              <w:rPr>
                <w:color w:val="0D0D0D" w:themeColor="text1" w:themeTint="F2"/>
                <w:spacing w:val="-4"/>
                <w:lang w:val="en-GB"/>
              </w:rPr>
              <w:t xml:space="preserve">new </w:t>
            </w:r>
            <w:r w:rsidRPr="001A0A01">
              <w:rPr>
                <w:color w:val="0D0D0D" w:themeColor="text1" w:themeTint="F2"/>
                <w:spacing w:val="-4"/>
                <w:lang w:val="en-GB"/>
              </w:rPr>
              <w:t>residential buildings revived significantly, e</w:t>
            </w:r>
            <w:r w:rsidR="009A75AE">
              <w:rPr>
                <w:color w:val="0D0D0D" w:themeColor="text1" w:themeTint="F2"/>
                <w:spacing w:val="-4"/>
                <w:lang w:val="en-GB"/>
              </w:rPr>
              <w:t>specially in the Spring (</w:t>
            </w:r>
            <w:r w:rsidRPr="001A0A01">
              <w:rPr>
                <w:color w:val="0D0D0D" w:themeColor="text1" w:themeTint="F2"/>
                <w:spacing w:val="-4"/>
                <w:lang w:val="en-GB"/>
              </w:rPr>
              <w:t xml:space="preserve">with almost one quarter more commenced, year-on-year, in </w:t>
            </w:r>
            <w:r w:rsidR="009A75AE">
              <w:rPr>
                <w:color w:val="0D0D0D" w:themeColor="text1" w:themeTint="F2"/>
                <w:spacing w:val="-4"/>
                <w:lang w:val="en-GB"/>
              </w:rPr>
              <w:t>H1 2024)</w:t>
            </w:r>
            <w:r w:rsidRPr="001A0A01">
              <w:rPr>
                <w:color w:val="0D0D0D" w:themeColor="text1" w:themeTint="F2"/>
                <w:spacing w:val="-4"/>
                <w:lang w:val="en-GB"/>
              </w:rPr>
              <w:t>. The volume of tota</w:t>
            </w:r>
            <w:r w:rsidR="009A75AE">
              <w:rPr>
                <w:color w:val="0D0D0D" w:themeColor="text1" w:themeTint="F2"/>
                <w:spacing w:val="-4"/>
                <w:lang w:val="en-GB"/>
              </w:rPr>
              <w:t>l construction decreased in the majority of</w:t>
            </w:r>
            <w:r w:rsidRPr="001A0A01">
              <w:rPr>
                <w:color w:val="0D0D0D" w:themeColor="text1" w:themeTint="F2"/>
                <w:spacing w:val="-4"/>
                <w:lang w:val="en-GB"/>
              </w:rPr>
              <w:t xml:space="preserve"> regions, absolutely the most in the </w:t>
            </w:r>
            <w:r w:rsidRPr="001A0A01">
              <w:rPr>
                <w:i/>
                <w:iCs/>
                <w:color w:val="0D0D0D" w:themeColor="text1" w:themeTint="F2"/>
                <w:spacing w:val="-4"/>
                <w:lang w:val="en-GB"/>
              </w:rPr>
              <w:t>Jihomoravský</w:t>
            </w:r>
            <w:r w:rsidRPr="001A0A01">
              <w:rPr>
                <w:color w:val="0D0D0D" w:themeColor="text1" w:themeTint="F2"/>
                <w:spacing w:val="-4"/>
                <w:lang w:val="en-GB"/>
              </w:rPr>
              <w:t xml:space="preserve"> Region, while it grew especially in </w:t>
            </w:r>
            <w:r w:rsidRPr="009A75AE">
              <w:rPr>
                <w:i/>
                <w:color w:val="0D0D0D" w:themeColor="text1" w:themeTint="F2"/>
                <w:spacing w:val="-4"/>
                <w:lang w:val="en-GB"/>
              </w:rPr>
              <w:t>Prague</w:t>
            </w:r>
            <w:r w:rsidRPr="001A0A01">
              <w:rPr>
                <w:color w:val="0D0D0D" w:themeColor="text1" w:themeTint="F2"/>
                <w:spacing w:val="-4"/>
                <w:lang w:val="en-GB"/>
              </w:rPr>
              <w:t xml:space="preserve"> and the </w:t>
            </w:r>
            <w:r w:rsidRPr="001A0A01">
              <w:rPr>
                <w:i/>
                <w:iCs/>
                <w:color w:val="0D0D0D" w:themeColor="text1" w:themeTint="F2"/>
                <w:spacing w:val="-4"/>
                <w:lang w:val="en-GB"/>
              </w:rPr>
              <w:t>Plzeňský</w:t>
            </w:r>
            <w:r w:rsidRPr="001A0A01">
              <w:rPr>
                <w:color w:val="0D0D0D" w:themeColor="text1" w:themeTint="F2"/>
                <w:spacing w:val="-4"/>
                <w:lang w:val="en-GB"/>
              </w:rPr>
              <w:t xml:space="preserve"> Region. The number of all completed dwellings in the Czech Republic also decreased. However, due to the higher number of ongoing construction activities from previous years, the decrease was relatively insignificant so far compared to the construction started (−1.9%). </w:t>
            </w:r>
            <w:bookmarkEnd w:id="24"/>
          </w:p>
          <w:p w14:paraId="0BE8F334" w14:textId="7FD79E72" w:rsidR="000165E9" w:rsidRPr="001A0A01" w:rsidRDefault="000165E9" w:rsidP="00E97D7E">
            <w:pPr>
              <w:rPr>
                <w:color w:val="0D0D0D" w:themeColor="text1" w:themeTint="F2"/>
                <w:spacing w:val="-4"/>
                <w:lang w:val="en-GB"/>
              </w:rPr>
            </w:pPr>
          </w:p>
        </w:tc>
      </w:tr>
      <w:bookmarkEnd w:id="23"/>
      <w:tr w:rsidR="00E97D7E" w:rsidRPr="001A0A01" w14:paraId="014207B1" w14:textId="77777777" w:rsidTr="00E551F6">
        <w:trPr>
          <w:trHeight w:val="170"/>
        </w:trPr>
        <w:tc>
          <w:tcPr>
            <w:tcW w:w="1814" w:type="dxa"/>
            <w:vMerge w:val="restart"/>
            <w:shd w:val="clear" w:color="auto" w:fill="auto"/>
            <w:tcMar>
              <w:left w:w="0" w:type="dxa"/>
            </w:tcMar>
          </w:tcPr>
          <w:p w14:paraId="61848BF8" w14:textId="77777777" w:rsidR="00E97D7E" w:rsidRPr="001A0A01" w:rsidRDefault="00E97D7E" w:rsidP="00E97D7E">
            <w:pPr>
              <w:pStyle w:val="Marginlie"/>
              <w:rPr>
                <w:lang w:val="en-GB"/>
              </w:rPr>
            </w:pPr>
          </w:p>
        </w:tc>
        <w:tc>
          <w:tcPr>
            <w:tcW w:w="229" w:type="dxa"/>
            <w:vMerge w:val="restart"/>
            <w:shd w:val="clear" w:color="auto" w:fill="auto"/>
            <w:tcMar>
              <w:left w:w="0" w:type="dxa"/>
            </w:tcMar>
          </w:tcPr>
          <w:p w14:paraId="34FA89AD"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0A8090DC" w14:textId="2BB93FE6" w:rsidR="00E97D7E" w:rsidRPr="001A0A01" w:rsidRDefault="00E97D7E" w:rsidP="00E97D7E">
            <w:pPr>
              <w:spacing w:after="0"/>
              <w:rPr>
                <w:rFonts w:cs="Arial"/>
                <w:bCs/>
                <w:lang w:val="en-GB"/>
              </w:rPr>
            </w:pPr>
            <w:r w:rsidRPr="001A0A01">
              <w:rPr>
                <w:b/>
                <w:spacing w:val="-5"/>
                <w:lang w:val="en-GB"/>
              </w:rPr>
              <w:t xml:space="preserve">Chart 6 </w:t>
            </w:r>
            <w:r w:rsidRPr="001A0A01">
              <w:rPr>
                <w:b/>
                <w:spacing w:val="-2"/>
                <w:lang w:val="en-GB"/>
              </w:rPr>
              <w:t>Contributions of</w:t>
            </w:r>
            <w:r>
              <w:rPr>
                <w:b/>
                <w:spacing w:val="-2"/>
                <w:lang w:val="en-GB"/>
              </w:rPr>
              <w:t xml:space="preserve"> </w:t>
            </w:r>
            <w:r w:rsidR="003D1AE0">
              <w:rPr>
                <w:b/>
                <w:spacing w:val="-2"/>
                <w:lang w:val="en-GB"/>
              </w:rPr>
              <w:t>sub-</w:t>
            </w:r>
            <w:r>
              <w:rPr>
                <w:b/>
                <w:spacing w:val="-2"/>
                <w:lang w:val="en-GB"/>
              </w:rPr>
              <w:t>branches to year-on-year growth</w:t>
            </w:r>
            <w:r w:rsidRPr="001A0A01">
              <w:rPr>
                <w:b/>
                <w:spacing w:val="-2"/>
                <w:lang w:val="en-GB"/>
              </w:rPr>
              <w:t xml:space="preserve"> of construction output </w:t>
            </w:r>
            <w:r w:rsidRPr="001A0A01">
              <w:rPr>
                <w:spacing w:val="-2"/>
                <w:lang w:val="en-GB"/>
              </w:rPr>
              <w:t>(real, in p. p.)</w:t>
            </w:r>
            <w:r w:rsidRPr="001A0A01">
              <w:rPr>
                <w:b/>
                <w:bCs/>
                <w:spacing w:val="-2"/>
                <w:lang w:val="en-GB"/>
              </w:rPr>
              <w:t xml:space="preserve">, </w:t>
            </w:r>
            <w:r w:rsidRPr="001A0A01">
              <w:rPr>
                <w:b/>
                <w:spacing w:val="-2"/>
                <w:lang w:val="en-GB"/>
              </w:rPr>
              <w:t xml:space="preserve">new construction orders </w:t>
            </w:r>
            <w:r w:rsidRPr="001A0A01">
              <w:rPr>
                <w:spacing w:val="-2"/>
                <w:lang w:val="en-GB"/>
              </w:rPr>
              <w:t>(</w:t>
            </w:r>
            <w:r w:rsidRPr="001A0A01">
              <w:rPr>
                <w:bCs/>
                <w:spacing w:val="-2"/>
                <w:lang w:val="en-GB"/>
              </w:rPr>
              <w:t>nominal, year-on-year, in %)</w:t>
            </w:r>
            <w:r w:rsidRPr="001A0A01">
              <w:rPr>
                <w:b/>
                <w:spacing w:val="-2"/>
                <w:lang w:val="en-GB"/>
              </w:rPr>
              <w:t>, balance of business confidence indicator in construction*</w:t>
            </w:r>
            <w:r>
              <w:rPr>
                <w:spacing w:val="-2"/>
                <w:lang w:val="en-GB"/>
              </w:rPr>
              <w:t xml:space="preserve"> (in p. p.)</w:t>
            </w:r>
            <w:r w:rsidRPr="001A0A01">
              <w:rPr>
                <w:spacing w:val="-2"/>
                <w:lang w:val="en-GB"/>
              </w:rPr>
              <w:t xml:space="preserve"> </w:t>
            </w:r>
            <w:r w:rsidRPr="001A0A01">
              <w:rPr>
                <w:b/>
                <w:bCs/>
                <w:spacing w:val="-2"/>
                <w:lang w:val="en-GB"/>
              </w:rPr>
              <w:t>and s</w:t>
            </w:r>
            <w:r w:rsidRPr="001A0A01">
              <w:rPr>
                <w:b/>
                <w:spacing w:val="-2"/>
                <w:lang w:val="en-GB"/>
              </w:rPr>
              <w:t>elected barriers to growth in construction</w:t>
            </w:r>
            <w:r>
              <w:rPr>
                <w:spacing w:val="-2"/>
                <w:lang w:val="en-GB"/>
              </w:rPr>
              <w:t>* (in %</w:t>
            </w:r>
            <w:r w:rsidRPr="001A0A01">
              <w:rPr>
                <w:spacing w:val="-2"/>
                <w:lang w:val="en-GB"/>
              </w:rPr>
              <w:t>)</w:t>
            </w:r>
          </w:p>
        </w:tc>
      </w:tr>
      <w:tr w:rsidR="00E97D7E" w:rsidRPr="001A0A01" w14:paraId="23DA5BB4" w14:textId="77777777" w:rsidTr="001443DB">
        <w:tblPrEx>
          <w:tblCellMar>
            <w:left w:w="70" w:type="dxa"/>
            <w:right w:w="70" w:type="dxa"/>
          </w:tblCellMar>
        </w:tblPrEx>
        <w:trPr>
          <w:trHeight w:val="170"/>
        </w:trPr>
        <w:tc>
          <w:tcPr>
            <w:tcW w:w="1814" w:type="dxa"/>
            <w:vMerge/>
            <w:shd w:val="clear" w:color="auto" w:fill="auto"/>
          </w:tcPr>
          <w:p w14:paraId="5D2DB484" w14:textId="77777777" w:rsidR="00E97D7E" w:rsidRPr="001A0A01" w:rsidRDefault="00E97D7E" w:rsidP="00E97D7E">
            <w:pPr>
              <w:pStyle w:val="Marginlie"/>
              <w:rPr>
                <w:lang w:val="en-GB"/>
              </w:rPr>
            </w:pPr>
          </w:p>
        </w:tc>
        <w:tc>
          <w:tcPr>
            <w:tcW w:w="229" w:type="dxa"/>
            <w:vMerge/>
            <w:shd w:val="clear" w:color="auto" w:fill="auto"/>
          </w:tcPr>
          <w:p w14:paraId="3D731408" w14:textId="77777777" w:rsidR="00E97D7E" w:rsidRPr="001A0A01" w:rsidRDefault="00E97D7E" w:rsidP="00E97D7E">
            <w:pPr>
              <w:pStyle w:val="Textpoznpodarou"/>
              <w:jc w:val="both"/>
              <w:rPr>
                <w:spacing w:val="-4"/>
                <w:lang w:val="en-GB"/>
              </w:rPr>
            </w:pPr>
          </w:p>
        </w:tc>
        <w:tc>
          <w:tcPr>
            <w:tcW w:w="7596" w:type="dxa"/>
            <w:shd w:val="clear" w:color="auto" w:fill="auto"/>
          </w:tcPr>
          <w:p w14:paraId="02D44150" w14:textId="73FD9547" w:rsidR="00E97D7E" w:rsidRPr="001A0A01" w:rsidRDefault="00E97D7E" w:rsidP="00E97D7E">
            <w:pPr>
              <w:spacing w:before="40" w:after="0"/>
              <w:rPr>
                <w:spacing w:val="-6"/>
                <w:lang w:val="en-GB"/>
              </w:rPr>
            </w:pPr>
            <w:r>
              <w:rPr>
                <w:noProof/>
              </w:rPr>
              <w:drawing>
                <wp:inline distT="0" distB="0" distL="0" distR="0" wp14:anchorId="6254ACF1" wp14:editId="6A0A2A0E">
                  <wp:extent cx="4683318" cy="3596640"/>
                  <wp:effectExtent l="0" t="0" r="3175" b="381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E97D7E" w:rsidRPr="001A0A01" w14:paraId="0B0618D0" w14:textId="77777777" w:rsidTr="00E551F6">
        <w:trPr>
          <w:trHeight w:val="170"/>
        </w:trPr>
        <w:tc>
          <w:tcPr>
            <w:tcW w:w="1814" w:type="dxa"/>
            <w:vMerge/>
            <w:shd w:val="clear" w:color="auto" w:fill="auto"/>
            <w:tcMar>
              <w:left w:w="0" w:type="dxa"/>
            </w:tcMar>
          </w:tcPr>
          <w:p w14:paraId="0AFCC05E" w14:textId="77777777" w:rsidR="00E97D7E" w:rsidRPr="001A0A01" w:rsidRDefault="00E97D7E" w:rsidP="00E97D7E">
            <w:pPr>
              <w:pStyle w:val="Marginlie"/>
              <w:rPr>
                <w:lang w:val="en-GB"/>
              </w:rPr>
            </w:pPr>
          </w:p>
        </w:tc>
        <w:tc>
          <w:tcPr>
            <w:tcW w:w="229" w:type="dxa"/>
            <w:vMerge/>
            <w:shd w:val="clear" w:color="auto" w:fill="auto"/>
            <w:tcMar>
              <w:left w:w="0" w:type="dxa"/>
            </w:tcMar>
          </w:tcPr>
          <w:p w14:paraId="1D6C9491"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698C3DEA" w14:textId="77777777" w:rsidR="00E97D7E" w:rsidRPr="001A0A01" w:rsidRDefault="00E97D7E" w:rsidP="00E97D7E">
            <w:pPr>
              <w:spacing w:after="0"/>
              <w:rPr>
                <w:rFonts w:cs="Arial"/>
                <w:sz w:val="14"/>
                <w:szCs w:val="14"/>
                <w:lang w:val="en-GB"/>
              </w:rPr>
            </w:pPr>
            <w:r w:rsidRPr="001A0A01">
              <w:rPr>
                <w:rFonts w:cs="Arial"/>
                <w:sz w:val="14"/>
                <w:szCs w:val="14"/>
                <w:lang w:val="en-GB"/>
              </w:rPr>
              <w:t>Note: Data related to construction output are adjusted for calendar effects.</w:t>
            </w:r>
          </w:p>
          <w:p w14:paraId="68CD5179" w14:textId="77777777" w:rsidR="00E97D7E" w:rsidRDefault="00E97D7E" w:rsidP="00E97D7E">
            <w:pPr>
              <w:pStyle w:val="Textpoznpodarou"/>
              <w:jc w:val="both"/>
              <w:rPr>
                <w:rFonts w:cs="Arial"/>
                <w:sz w:val="14"/>
                <w:szCs w:val="14"/>
                <w:lang w:val="en-GB"/>
              </w:rPr>
            </w:pPr>
            <w:r w:rsidRPr="001A0A01">
              <w:rPr>
                <w:rFonts w:cs="Arial"/>
                <w:sz w:val="14"/>
                <w:szCs w:val="14"/>
                <w:lang w:val="en-GB"/>
              </w:rPr>
              <w:t>* Balance of business confidence as well as barriers to growth are seasonally adjusted and express the level in the second month of the given quarter. Businesses could have indicated more main barriers simultaneously.</w:t>
            </w:r>
          </w:p>
          <w:p w14:paraId="13C4A378" w14:textId="43D2BE26" w:rsidR="00E97D7E" w:rsidRPr="008602EC" w:rsidRDefault="00E97D7E" w:rsidP="00E97D7E">
            <w:pPr>
              <w:pStyle w:val="Textpoznpodarou"/>
              <w:jc w:val="both"/>
              <w:rPr>
                <w:rFonts w:cs="Arial"/>
                <w:sz w:val="14"/>
                <w:szCs w:val="14"/>
                <w:lang w:val="en-GB"/>
              </w:rPr>
            </w:pPr>
            <w:r>
              <w:rPr>
                <w:rFonts w:cs="Arial"/>
                <w:sz w:val="14"/>
                <w:szCs w:val="14"/>
                <w:lang w:val="en-GB"/>
              </w:rPr>
              <w:t>Source: CZSO, Eurostat</w:t>
            </w:r>
          </w:p>
          <w:p w14:paraId="746969A0" w14:textId="77777777" w:rsidR="00E97D7E" w:rsidRPr="001A0A01" w:rsidRDefault="00E97D7E" w:rsidP="00E97D7E">
            <w:pPr>
              <w:spacing w:after="0" w:line="240" w:lineRule="auto"/>
              <w:rPr>
                <w:rFonts w:cs="Arial"/>
                <w:sz w:val="14"/>
                <w:szCs w:val="14"/>
                <w:lang w:val="en-GB"/>
              </w:rPr>
            </w:pPr>
          </w:p>
        </w:tc>
      </w:tr>
      <w:tr w:rsidR="00E97D7E" w:rsidRPr="001A0A01" w14:paraId="0E5B953C" w14:textId="77777777" w:rsidTr="00E551F6">
        <w:trPr>
          <w:trHeight w:val="170"/>
        </w:trPr>
        <w:tc>
          <w:tcPr>
            <w:tcW w:w="1814" w:type="dxa"/>
            <w:shd w:val="clear" w:color="auto" w:fill="auto"/>
            <w:tcMar>
              <w:left w:w="0" w:type="dxa"/>
            </w:tcMar>
          </w:tcPr>
          <w:p w14:paraId="57C4E9EF" w14:textId="7915AEBA" w:rsidR="009930C0" w:rsidRDefault="00E97D7E" w:rsidP="00E97D7E">
            <w:pPr>
              <w:pStyle w:val="Marginlie"/>
              <w:rPr>
                <w:rFonts w:cs="Arial"/>
                <w:color w:val="0D0D0D" w:themeColor="text1" w:themeTint="F2"/>
                <w:spacing w:val="-4"/>
                <w:lang w:val="en-GB"/>
              </w:rPr>
            </w:pPr>
            <w:r w:rsidRPr="001A0A01">
              <w:rPr>
                <w:rFonts w:cs="Arial"/>
                <w:color w:val="0D0D0D" w:themeColor="text1" w:themeTint="F2"/>
                <w:spacing w:val="-4"/>
                <w:lang w:val="en-GB"/>
              </w:rPr>
              <w:t>Growth of the value of permitted buildin</w:t>
            </w:r>
            <w:r w:rsidR="007E3731">
              <w:rPr>
                <w:rFonts w:cs="Arial"/>
                <w:color w:val="0D0D0D" w:themeColor="text1" w:themeTint="F2"/>
                <w:spacing w:val="-4"/>
                <w:lang w:val="en-GB"/>
              </w:rPr>
              <w:t xml:space="preserve">gs ceased in Q2. A decrease was </w:t>
            </w:r>
            <w:r w:rsidRPr="001A0A01">
              <w:rPr>
                <w:rFonts w:cs="Arial"/>
                <w:color w:val="0D0D0D" w:themeColor="text1" w:themeTint="F2"/>
                <w:spacing w:val="-4"/>
                <w:lang w:val="en-GB"/>
              </w:rPr>
              <w:t xml:space="preserve">recorded for transport constructions. </w:t>
            </w:r>
          </w:p>
          <w:p w14:paraId="644B1DB3" w14:textId="7581E7FE" w:rsidR="009930C0" w:rsidRDefault="009930C0" w:rsidP="00E97D7E">
            <w:pPr>
              <w:pStyle w:val="Marginlie"/>
              <w:rPr>
                <w:rFonts w:cs="Arial"/>
                <w:color w:val="0D0D0D" w:themeColor="text1" w:themeTint="F2"/>
                <w:spacing w:val="-4"/>
                <w:lang w:val="en-GB"/>
              </w:rPr>
            </w:pPr>
          </w:p>
          <w:p w14:paraId="13ADF9E8" w14:textId="77777777" w:rsidR="007E3731" w:rsidRDefault="007E3731" w:rsidP="00E97D7E">
            <w:pPr>
              <w:pStyle w:val="Marginlie"/>
              <w:rPr>
                <w:rFonts w:cs="Arial"/>
                <w:color w:val="0D0D0D" w:themeColor="text1" w:themeTint="F2"/>
                <w:spacing w:val="-4"/>
                <w:lang w:val="en-GB"/>
              </w:rPr>
            </w:pPr>
          </w:p>
          <w:p w14:paraId="27F2A1C9" w14:textId="59C13640" w:rsidR="00E97D7E" w:rsidRPr="001A0A01" w:rsidRDefault="00E97D7E" w:rsidP="00E97D7E">
            <w:pPr>
              <w:pStyle w:val="Marginlie"/>
              <w:rPr>
                <w:spacing w:val="-4"/>
                <w:lang w:val="en-GB"/>
              </w:rPr>
            </w:pPr>
            <w:r w:rsidRPr="001A0A01">
              <w:rPr>
                <w:rFonts w:cs="Arial"/>
                <w:color w:val="0D0D0D" w:themeColor="text1" w:themeTint="F2"/>
                <w:spacing w:val="-4"/>
                <w:lang w:val="en-GB"/>
              </w:rPr>
              <w:t xml:space="preserve">The growth of new construction orders on the contrary continued, specifically across the main segments of the total industry. </w:t>
            </w:r>
          </w:p>
        </w:tc>
        <w:tc>
          <w:tcPr>
            <w:tcW w:w="229" w:type="dxa"/>
            <w:shd w:val="clear" w:color="auto" w:fill="auto"/>
            <w:tcMar>
              <w:left w:w="0" w:type="dxa"/>
            </w:tcMar>
          </w:tcPr>
          <w:p w14:paraId="22357410" w14:textId="77777777" w:rsidR="00E97D7E" w:rsidRPr="001A0A01" w:rsidRDefault="00E97D7E" w:rsidP="00E97D7E">
            <w:pPr>
              <w:pStyle w:val="Textpoznpodarou"/>
              <w:jc w:val="both"/>
              <w:rPr>
                <w:rFonts w:eastAsia="Times New Roman" w:cs="Arial"/>
                <w:color w:val="0D0D0D" w:themeColor="text1" w:themeTint="F2"/>
                <w:spacing w:val="-4"/>
                <w:lang w:val="en-GB"/>
              </w:rPr>
            </w:pPr>
          </w:p>
        </w:tc>
        <w:tc>
          <w:tcPr>
            <w:tcW w:w="7596" w:type="dxa"/>
            <w:shd w:val="clear" w:color="auto" w:fill="auto"/>
            <w:tcMar>
              <w:left w:w="0" w:type="dxa"/>
            </w:tcMar>
          </w:tcPr>
          <w:p w14:paraId="77B24DB2" w14:textId="79D78FEB" w:rsidR="00E97D7E" w:rsidRPr="001A0A01" w:rsidRDefault="00E97D7E" w:rsidP="00E97D7E">
            <w:pPr>
              <w:rPr>
                <w:color w:val="0D0D0D" w:themeColor="text1" w:themeTint="F2"/>
                <w:spacing w:val="-6"/>
                <w:lang w:val="en-GB"/>
              </w:rPr>
            </w:pPr>
            <w:r w:rsidRPr="001A0A01">
              <w:rPr>
                <w:color w:val="0D0D0D" w:themeColor="text1" w:themeTint="F2"/>
                <w:spacing w:val="-6"/>
                <w:lang w:val="en-GB"/>
              </w:rPr>
              <w:t xml:space="preserve">The year-on-year growth of the nominal value of permitted buildings, lasting five quarters in a row, ceased in Q2 this year, when mainly the number of large constructions (over 1 bn CZK) shrank. This total value decreased by 2.5% for the whole H1 2024, primarily due to traffic-engineering constructions (new construction as well as reconstructions). In contrast, slight revival occurred for permitted buildings of new residential construction. The development of </w:t>
            </w:r>
            <w:r w:rsidR="007E3731">
              <w:rPr>
                <w:color w:val="0D0D0D" w:themeColor="text1" w:themeTint="F2"/>
                <w:spacing w:val="-6"/>
                <w:lang w:val="en-GB"/>
              </w:rPr>
              <w:t xml:space="preserve">new </w:t>
            </w:r>
            <w:r w:rsidRPr="001A0A01">
              <w:rPr>
                <w:color w:val="0D0D0D" w:themeColor="text1" w:themeTint="F2"/>
                <w:spacing w:val="-6"/>
                <w:lang w:val="en-GB"/>
              </w:rPr>
              <w:t>domestic construction orders (for companies with more than 50 employees) was still favourable. They grew briskly, year-on-year, for the fou</w:t>
            </w:r>
            <w:r w:rsidR="007E3731">
              <w:rPr>
                <w:color w:val="0D0D0D" w:themeColor="text1" w:themeTint="F2"/>
                <w:spacing w:val="-6"/>
                <w:lang w:val="en-GB"/>
              </w:rPr>
              <w:t>rth quarter in a row – being</w:t>
            </w:r>
            <w:r w:rsidRPr="001A0A01">
              <w:rPr>
                <w:color w:val="0D0D0D" w:themeColor="text1" w:themeTint="F2"/>
                <w:spacing w:val="-6"/>
                <w:lang w:val="en-GB"/>
              </w:rPr>
              <w:t xml:space="preserve"> nominally higher by 25% in Q2 2024, both building construction (+27%) and civil engineering construction (+22%) signalled larger demand. Also the</w:t>
            </w:r>
            <w:r w:rsidR="007E3731">
              <w:rPr>
                <w:color w:val="0D0D0D" w:themeColor="text1" w:themeTint="F2"/>
                <w:spacing w:val="-6"/>
                <w:lang w:val="en-GB"/>
              </w:rPr>
              <w:t xml:space="preserve"> total stock of work (</w:t>
            </w:r>
            <w:r w:rsidRPr="001A0A01">
              <w:rPr>
                <w:color w:val="0D0D0D" w:themeColor="text1" w:themeTint="F2"/>
                <w:spacing w:val="-6"/>
                <w:lang w:val="en-GB"/>
              </w:rPr>
              <w:t xml:space="preserve">orders to be realised) was significantly higher (by 21%), year-on-year, at the end of Q2. The domestic private orders also contributed notably to the growth after two years (they currently accounted for one third of the total stock of work of medium and larger construction companies). On the contrary, the continuous decline of foreign orders has lasted for nearly three years already. </w:t>
            </w:r>
          </w:p>
        </w:tc>
      </w:tr>
      <w:tr w:rsidR="00E97D7E" w:rsidRPr="001A0A01" w14:paraId="4AC57D2C" w14:textId="77777777" w:rsidTr="00E551F6">
        <w:trPr>
          <w:trHeight w:val="170"/>
        </w:trPr>
        <w:tc>
          <w:tcPr>
            <w:tcW w:w="1814" w:type="dxa"/>
            <w:shd w:val="clear" w:color="auto" w:fill="auto"/>
            <w:tcMar>
              <w:left w:w="0" w:type="dxa"/>
            </w:tcMar>
          </w:tcPr>
          <w:p w14:paraId="03F29671" w14:textId="77777777" w:rsidR="00E97D7E" w:rsidRPr="001A0A01" w:rsidRDefault="00E97D7E" w:rsidP="00E97D7E">
            <w:pPr>
              <w:pStyle w:val="Marginlie"/>
              <w:rPr>
                <w:rFonts w:cs="Arial"/>
                <w:color w:val="0D0D0D" w:themeColor="text1" w:themeTint="F2"/>
                <w:spacing w:val="-4"/>
                <w:lang w:val="en-GB"/>
              </w:rPr>
            </w:pPr>
            <w:bookmarkStart w:id="25" w:name="_Hlk178453940"/>
            <w:r w:rsidRPr="001A0A01">
              <w:rPr>
                <w:spacing w:val="-4"/>
                <w:lang w:val="en-GB"/>
              </w:rPr>
              <w:t xml:space="preserve">The pessimism of entrepreneurs in the construction industry persists. It is also reflected in the area of employment. </w:t>
            </w:r>
            <w:bookmarkEnd w:id="25"/>
          </w:p>
        </w:tc>
        <w:tc>
          <w:tcPr>
            <w:tcW w:w="229" w:type="dxa"/>
            <w:shd w:val="clear" w:color="auto" w:fill="auto"/>
            <w:tcMar>
              <w:left w:w="0" w:type="dxa"/>
            </w:tcMar>
          </w:tcPr>
          <w:p w14:paraId="0C822D58" w14:textId="77777777" w:rsidR="00E97D7E" w:rsidRPr="001A0A01" w:rsidRDefault="00E97D7E" w:rsidP="00E97D7E">
            <w:pPr>
              <w:pStyle w:val="Textpoznpodarou"/>
              <w:jc w:val="both"/>
              <w:rPr>
                <w:rFonts w:eastAsia="Times New Roman" w:cs="Arial"/>
                <w:color w:val="0D0D0D" w:themeColor="text1" w:themeTint="F2"/>
                <w:spacing w:val="-4"/>
                <w:lang w:val="en-GB"/>
              </w:rPr>
            </w:pPr>
          </w:p>
        </w:tc>
        <w:tc>
          <w:tcPr>
            <w:tcW w:w="7596" w:type="dxa"/>
            <w:shd w:val="clear" w:color="auto" w:fill="auto"/>
            <w:tcMar>
              <w:left w:w="0" w:type="dxa"/>
            </w:tcMar>
          </w:tcPr>
          <w:p w14:paraId="79123699" w14:textId="45F97FEC" w:rsidR="00E97D7E" w:rsidRPr="001A0A01" w:rsidRDefault="00E97D7E" w:rsidP="00E97D7E">
            <w:pPr>
              <w:rPr>
                <w:color w:val="0D0D0D" w:themeColor="text1" w:themeTint="F2"/>
                <w:spacing w:val="-6"/>
                <w:lang w:val="en-GB"/>
              </w:rPr>
            </w:pPr>
            <w:r w:rsidRPr="001A0A01">
              <w:rPr>
                <w:color w:val="0D0D0D" w:themeColor="text1" w:themeTint="F2"/>
                <w:spacing w:val="-6"/>
                <w:lang w:val="en-GB"/>
              </w:rPr>
              <w:t xml:space="preserve">The business confidence in the construction sector had remained </w:t>
            </w:r>
            <w:r w:rsidR="007E3731">
              <w:rPr>
                <w:color w:val="0D0D0D" w:themeColor="text1" w:themeTint="F2"/>
                <w:spacing w:val="-6"/>
                <w:lang w:val="en-GB"/>
              </w:rPr>
              <w:t>(</w:t>
            </w:r>
            <w:r w:rsidRPr="001A0A01">
              <w:rPr>
                <w:color w:val="0D0D0D" w:themeColor="text1" w:themeTint="F2"/>
                <w:spacing w:val="-6"/>
                <w:lang w:val="en-GB"/>
              </w:rPr>
              <w:t>with the exception of a brief recovery at the beginning of this year</w:t>
            </w:r>
            <w:r w:rsidR="007E3731">
              <w:rPr>
                <w:color w:val="0D0D0D" w:themeColor="text1" w:themeTint="F2"/>
                <w:spacing w:val="-6"/>
                <w:lang w:val="en-GB"/>
              </w:rPr>
              <w:t>)</w:t>
            </w:r>
            <w:r w:rsidRPr="001A0A01">
              <w:rPr>
                <w:color w:val="0D0D0D" w:themeColor="text1" w:themeTint="F2"/>
                <w:spacing w:val="-6"/>
                <w:lang w:val="en-GB"/>
              </w:rPr>
              <w:t xml:space="preserve"> unchanged in the negative band </w:t>
            </w:r>
            <w:r w:rsidR="007E3731">
              <w:rPr>
                <w:color w:val="0D0D0D" w:themeColor="text1" w:themeTint="F2"/>
                <w:spacing w:val="-6"/>
                <w:lang w:val="en-GB"/>
              </w:rPr>
              <w:t>for already one and a half year</w:t>
            </w:r>
            <w:r w:rsidRPr="001A0A01">
              <w:rPr>
                <w:color w:val="0D0D0D" w:themeColor="text1" w:themeTint="F2"/>
                <w:spacing w:val="-6"/>
                <w:lang w:val="en-GB"/>
              </w:rPr>
              <w:t xml:space="preserve"> (but at the same time slightly above its long-term average). Approximately one quarter of companies steadily assess the current demand as insufficient, short-term outlooks in the area of construction activities, employment and own economic situation of companies remained slightly negative also in August this year. The registered number of employees (in construction companies with 50 and more employees) decreased by 1.5%, year-on-year, in H1. </w:t>
            </w:r>
            <w:bookmarkStart w:id="26" w:name="_Hlk178454399"/>
            <w:r w:rsidRPr="001A0A01">
              <w:rPr>
                <w:color w:val="0D0D0D" w:themeColor="text1" w:themeTint="F2"/>
                <w:spacing w:val="-6"/>
                <w:lang w:val="en-GB"/>
              </w:rPr>
              <w:t xml:space="preserve">Despite a slight decrease in weight since the beginning of this year, the lack of (qualified) employees remains a key growth barrier, which has lasted with minor interruptions for already about six years.  </w:t>
            </w:r>
            <w:bookmarkEnd w:id="26"/>
          </w:p>
        </w:tc>
      </w:tr>
      <w:tr w:rsidR="00E97D7E" w:rsidRPr="001A0A01" w14:paraId="4FF53FD7" w14:textId="77777777" w:rsidTr="00E551F6">
        <w:trPr>
          <w:trHeight w:val="170"/>
        </w:trPr>
        <w:tc>
          <w:tcPr>
            <w:tcW w:w="1814" w:type="dxa"/>
            <w:shd w:val="clear" w:color="auto" w:fill="auto"/>
            <w:tcMar>
              <w:left w:w="0" w:type="dxa"/>
            </w:tcMar>
          </w:tcPr>
          <w:p w14:paraId="155FE8EA" w14:textId="66BB105D" w:rsidR="00E97D7E" w:rsidRPr="00EB75B3" w:rsidRDefault="00E97D7E" w:rsidP="00E97D7E">
            <w:pPr>
              <w:pStyle w:val="Marginlie"/>
              <w:rPr>
                <w:rFonts w:cs="Arial"/>
                <w:color w:val="0D0D0D" w:themeColor="text1" w:themeTint="F2"/>
                <w:spacing w:val="-5"/>
                <w:lang w:val="en-GB"/>
              </w:rPr>
            </w:pPr>
            <w:bookmarkStart w:id="27" w:name="_Hlk178454526"/>
            <w:r w:rsidRPr="00EB75B3">
              <w:rPr>
                <w:rFonts w:cs="Arial"/>
                <w:color w:val="0D0D0D" w:themeColor="text1" w:themeTint="F2"/>
                <w:spacing w:val="-5"/>
                <w:lang w:val="en-GB"/>
              </w:rPr>
              <w:t>The quarter-on-quarter decline of sales</w:t>
            </w:r>
            <w:r w:rsidR="00EB75B3" w:rsidRPr="00EB75B3">
              <w:rPr>
                <w:rFonts w:cs="Arial"/>
                <w:color w:val="0D0D0D" w:themeColor="text1" w:themeTint="F2"/>
                <w:spacing w:val="-5"/>
                <w:lang w:val="en-GB"/>
              </w:rPr>
              <w:t xml:space="preserve"> in services stopped at the end of 2023.</w:t>
            </w:r>
            <w:r w:rsidRPr="00EB75B3">
              <w:rPr>
                <w:rFonts w:cs="Arial"/>
                <w:color w:val="0D0D0D" w:themeColor="text1" w:themeTint="F2"/>
                <w:spacing w:val="-5"/>
                <w:lang w:val="en-GB"/>
              </w:rPr>
              <w:t xml:space="preserve"> Demand has recovered in almost all major services branches this year. </w:t>
            </w:r>
            <w:bookmarkEnd w:id="27"/>
          </w:p>
        </w:tc>
        <w:tc>
          <w:tcPr>
            <w:tcW w:w="229" w:type="dxa"/>
            <w:shd w:val="clear" w:color="auto" w:fill="auto"/>
            <w:tcMar>
              <w:left w:w="0" w:type="dxa"/>
            </w:tcMar>
          </w:tcPr>
          <w:p w14:paraId="1B770A03" w14:textId="77777777" w:rsidR="00E97D7E" w:rsidRPr="001A0A01" w:rsidRDefault="00E97D7E" w:rsidP="00E97D7E">
            <w:pPr>
              <w:pStyle w:val="Textpoznpodarou"/>
              <w:jc w:val="both"/>
              <w:rPr>
                <w:rFonts w:eastAsia="Times New Roman" w:cs="Arial"/>
                <w:color w:val="0D0D0D" w:themeColor="text1" w:themeTint="F2"/>
                <w:spacing w:val="-4"/>
                <w:lang w:val="en-GB"/>
              </w:rPr>
            </w:pPr>
          </w:p>
        </w:tc>
        <w:tc>
          <w:tcPr>
            <w:tcW w:w="7596" w:type="dxa"/>
            <w:shd w:val="clear" w:color="auto" w:fill="auto"/>
            <w:tcMar>
              <w:left w:w="0" w:type="dxa"/>
            </w:tcMar>
          </w:tcPr>
          <w:p w14:paraId="40C7E6FD" w14:textId="4E052029" w:rsidR="00E97D7E" w:rsidRPr="001A0A01" w:rsidRDefault="00E97D7E" w:rsidP="00EB75B3">
            <w:pPr>
              <w:rPr>
                <w:rFonts w:cs="Arial"/>
                <w:color w:val="0D0D0D" w:themeColor="text1" w:themeTint="F2"/>
                <w:spacing w:val="-4"/>
                <w:lang w:val="en-GB"/>
              </w:rPr>
            </w:pPr>
            <w:bookmarkStart w:id="28" w:name="_Hlk178454561"/>
            <w:r w:rsidRPr="001A0A01">
              <w:rPr>
                <w:color w:val="0D0D0D" w:themeColor="text1" w:themeTint="F2"/>
                <w:spacing w:val="-4"/>
                <w:lang w:val="en-GB"/>
              </w:rPr>
              <w:t>Demand for services has also thanks to the improved condition of the domestic economy gradually recovered this year. The stabilisation of the consumer price level assisted in launching the growth of the real wages of employees after longer time period, which was mirrored in a more favourable financial situation of households. Services were also positively affected by slightly growing business demand this year, which was still rather subdued for most of the last year. Sales in services</w:t>
            </w:r>
            <w:r w:rsidRPr="001A0A01">
              <w:rPr>
                <w:color w:val="0D0D0D" w:themeColor="text1" w:themeTint="F2"/>
                <w:spacing w:val="-4"/>
                <w:vertAlign w:val="superscript"/>
                <w:lang w:val="en-GB"/>
              </w:rPr>
              <w:footnoteReference w:id="24"/>
            </w:r>
            <w:r w:rsidRPr="001A0A01">
              <w:rPr>
                <w:color w:val="0D0D0D" w:themeColor="text1" w:themeTint="F2"/>
                <w:spacing w:val="-4"/>
                <w:lang w:val="en-GB"/>
              </w:rPr>
              <w:t xml:space="preserve"> increased by 0</w:t>
            </w:r>
            <w:r w:rsidR="00EB75B3">
              <w:rPr>
                <w:color w:val="0D0D0D" w:themeColor="text1" w:themeTint="F2"/>
                <w:spacing w:val="-4"/>
                <w:lang w:val="en-GB"/>
              </w:rPr>
              <w:t>.6%, quarter-on-quarter, in Q4 2023</w:t>
            </w:r>
            <w:r w:rsidRPr="001A0A01">
              <w:rPr>
                <w:color w:val="0D0D0D" w:themeColor="text1" w:themeTint="F2"/>
                <w:spacing w:val="-4"/>
                <w:lang w:val="en-GB"/>
              </w:rPr>
              <w:t xml:space="preserve"> and thus recorded the first strengthening since Q3 2022. Sales growth markedly accelerated (to 2.4%) in Q1 2024 and the revival also continued with less intensity in the subsequent quarter (+0.3%). This year's recovery in services manifested broadly across all major branches, nevertheless the recovery in transportation and warehousing has played a key role. Total sales in services were slightly above the level from the peak of the last boom in the pre-pandemic period in Q2 this year (they were by 3.3% higher compared to Q2 2019</w:t>
            </w:r>
            <w:r w:rsidRPr="001A0A01">
              <w:rPr>
                <w:rStyle w:val="Znakapoznpodarou"/>
                <w:color w:val="0D0D0D" w:themeColor="text1" w:themeTint="F2"/>
                <w:spacing w:val="-4"/>
                <w:lang w:val="en-GB"/>
              </w:rPr>
              <w:footnoteReference w:id="25"/>
            </w:r>
            <w:r w:rsidRPr="001A0A01">
              <w:rPr>
                <w:color w:val="0D0D0D" w:themeColor="text1" w:themeTint="F2"/>
                <w:spacing w:val="-4"/>
                <w:lang w:val="en-GB"/>
              </w:rPr>
              <w:t xml:space="preserve">). </w:t>
            </w:r>
            <w:bookmarkEnd w:id="28"/>
          </w:p>
        </w:tc>
      </w:tr>
      <w:tr w:rsidR="00E97D7E" w:rsidRPr="001A0A01" w14:paraId="35EAFA1F" w14:textId="77777777" w:rsidTr="00E551F6">
        <w:trPr>
          <w:trHeight w:val="170"/>
        </w:trPr>
        <w:tc>
          <w:tcPr>
            <w:tcW w:w="1814" w:type="dxa"/>
            <w:shd w:val="clear" w:color="auto" w:fill="auto"/>
            <w:tcMar>
              <w:left w:w="0" w:type="dxa"/>
            </w:tcMar>
          </w:tcPr>
          <w:p w14:paraId="0E9F0356" w14:textId="77777777" w:rsidR="00E97D7E" w:rsidRPr="001A0A01" w:rsidRDefault="00E97D7E" w:rsidP="00E97D7E">
            <w:pPr>
              <w:pStyle w:val="Marginlie"/>
              <w:rPr>
                <w:color w:val="0D0D0D" w:themeColor="text1" w:themeTint="F2"/>
                <w:spacing w:val="-4"/>
                <w:lang w:val="en-GB"/>
              </w:rPr>
            </w:pPr>
            <w:r w:rsidRPr="001A0A01">
              <w:rPr>
                <w:color w:val="0D0D0D" w:themeColor="text1" w:themeTint="F2"/>
                <w:spacing w:val="-4"/>
                <w:lang w:val="en-GB"/>
              </w:rPr>
              <w:t xml:space="preserve">The growth of sales in accommodation, food service and restaurants was supported by the recovering consumption of domestic households as well as the developing inbound tourism. There a significant revival of demand of guests from Asian countries manifested. </w:t>
            </w:r>
          </w:p>
          <w:p w14:paraId="054FA0C2" w14:textId="77777777" w:rsidR="00E97D7E" w:rsidRPr="001A0A01" w:rsidRDefault="00E97D7E" w:rsidP="00E97D7E">
            <w:pPr>
              <w:pStyle w:val="Marginlie"/>
              <w:rPr>
                <w:color w:val="0D0D0D" w:themeColor="text1" w:themeTint="F2"/>
                <w:spacing w:val="-4"/>
                <w:lang w:val="en-GB"/>
              </w:rPr>
            </w:pPr>
          </w:p>
          <w:p w14:paraId="5AD6F3E3" w14:textId="77777777" w:rsidR="00E97D7E" w:rsidRPr="001A0A01" w:rsidRDefault="00E97D7E" w:rsidP="00E97D7E">
            <w:pPr>
              <w:pStyle w:val="Marginlie"/>
              <w:rPr>
                <w:color w:val="0D0D0D" w:themeColor="text1" w:themeTint="F2"/>
                <w:spacing w:val="-4"/>
                <w:lang w:val="en-GB"/>
              </w:rPr>
            </w:pPr>
          </w:p>
          <w:p w14:paraId="03573B43" w14:textId="77777777" w:rsidR="00E97D7E" w:rsidRPr="001A0A01" w:rsidRDefault="00E97D7E" w:rsidP="00E97D7E">
            <w:pPr>
              <w:pStyle w:val="Marginlie"/>
              <w:rPr>
                <w:color w:val="0D0D0D" w:themeColor="text1" w:themeTint="F2"/>
                <w:spacing w:val="-4"/>
                <w:lang w:val="en-GB"/>
              </w:rPr>
            </w:pPr>
          </w:p>
          <w:p w14:paraId="44892D1E" w14:textId="77777777" w:rsidR="00E97D7E" w:rsidRPr="001A0A01" w:rsidRDefault="00E97D7E" w:rsidP="00E97D7E">
            <w:pPr>
              <w:pStyle w:val="Marginlie"/>
              <w:rPr>
                <w:color w:val="0D0D0D" w:themeColor="text1" w:themeTint="F2"/>
                <w:spacing w:val="-4"/>
                <w:lang w:val="en-GB"/>
              </w:rPr>
            </w:pPr>
          </w:p>
          <w:p w14:paraId="5D949F14" w14:textId="77777777" w:rsidR="00E97D7E" w:rsidRPr="001A0A01" w:rsidRDefault="00E97D7E" w:rsidP="00E97D7E">
            <w:pPr>
              <w:pStyle w:val="Marginlie"/>
              <w:rPr>
                <w:color w:val="0D0D0D" w:themeColor="text1" w:themeTint="F2"/>
                <w:spacing w:val="-4"/>
                <w:lang w:val="en-GB"/>
              </w:rPr>
            </w:pPr>
          </w:p>
          <w:p w14:paraId="29A7B189" w14:textId="77777777" w:rsidR="00E97D7E" w:rsidRPr="001A0A01" w:rsidRDefault="00E97D7E" w:rsidP="00E97D7E">
            <w:pPr>
              <w:pStyle w:val="Marginlie"/>
              <w:rPr>
                <w:color w:val="0D0D0D" w:themeColor="text1" w:themeTint="F2"/>
                <w:spacing w:val="-4"/>
                <w:lang w:val="en-GB"/>
              </w:rPr>
            </w:pPr>
            <w:r w:rsidRPr="001A0A01">
              <w:rPr>
                <w:color w:val="0D0D0D" w:themeColor="text1" w:themeTint="F2"/>
                <w:spacing w:val="-4"/>
                <w:lang w:val="en-GB"/>
              </w:rPr>
              <w:t xml:space="preserve">Growth of the number of overnight stays of guests from Germany halted after nearly three years.  </w:t>
            </w:r>
          </w:p>
        </w:tc>
        <w:tc>
          <w:tcPr>
            <w:tcW w:w="229" w:type="dxa"/>
            <w:shd w:val="clear" w:color="auto" w:fill="auto"/>
            <w:tcMar>
              <w:left w:w="0" w:type="dxa"/>
            </w:tcMar>
          </w:tcPr>
          <w:p w14:paraId="2152A47F"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7A7D59CD" w14:textId="25668294" w:rsidR="00E97D7E" w:rsidRPr="001A0A01" w:rsidRDefault="00E97D7E" w:rsidP="00E97D7E">
            <w:pPr>
              <w:rPr>
                <w:rFonts w:eastAsia="MS Gothic" w:cs="Arial"/>
                <w:color w:val="000000"/>
                <w:szCs w:val="20"/>
                <w:lang w:val="en-GB"/>
              </w:rPr>
            </w:pPr>
            <w:bookmarkStart w:id="29" w:name="_Hlk178457395"/>
            <w:r w:rsidRPr="001A0A01">
              <w:rPr>
                <w:color w:val="0D0D0D" w:themeColor="text1" w:themeTint="F2"/>
                <w:spacing w:val="-4"/>
                <w:lang w:val="en-GB"/>
              </w:rPr>
              <w:t>The positive turnaround in demand for services is also evident in the year-on-year perspective. Sales again slightly increased here after the last year's recession (by 1.8% in H1</w:t>
            </w:r>
            <w:r w:rsidR="00061186">
              <w:rPr>
                <w:color w:val="0D0D0D" w:themeColor="text1" w:themeTint="F2"/>
                <w:spacing w:val="-4"/>
                <w:lang w:val="en-GB"/>
              </w:rPr>
              <w:t xml:space="preserve"> 2024</w:t>
            </w:r>
            <w:r w:rsidRPr="001A0A01">
              <w:rPr>
                <w:color w:val="0D0D0D" w:themeColor="text1" w:themeTint="F2"/>
                <w:spacing w:val="-4"/>
                <w:lang w:val="en-GB"/>
              </w:rPr>
              <w:t xml:space="preserve">), the recovery manifested across all major branches. The highest increase was in accommodation, food </w:t>
            </w:r>
            <w:r w:rsidR="00061186">
              <w:rPr>
                <w:color w:val="0D0D0D" w:themeColor="text1" w:themeTint="F2"/>
                <w:spacing w:val="-4"/>
                <w:lang w:val="en-GB"/>
              </w:rPr>
              <w:t>service and restaurants (+2.9%), where t</w:t>
            </w:r>
            <w:r w:rsidRPr="001A0A01">
              <w:rPr>
                <w:color w:val="0D0D0D" w:themeColor="text1" w:themeTint="F2"/>
                <w:spacing w:val="-4"/>
                <w:lang w:val="en-GB"/>
              </w:rPr>
              <w:t>he growth of demand was driven almost exclusively by f</w:t>
            </w:r>
            <w:r w:rsidR="00061186">
              <w:rPr>
                <w:color w:val="0D0D0D" w:themeColor="text1" w:themeTint="F2"/>
                <w:spacing w:val="-4"/>
                <w:lang w:val="en-GB"/>
              </w:rPr>
              <w:t>ood service and restaurants</w:t>
            </w:r>
            <w:r w:rsidRPr="001A0A01">
              <w:rPr>
                <w:color w:val="0D0D0D" w:themeColor="text1" w:themeTint="F2"/>
                <w:spacing w:val="-4"/>
                <w:lang w:val="en-GB"/>
              </w:rPr>
              <w:t>. In addition to the gradually recovering consumption of domestic households, it also benefited from the rapidly developing i</w:t>
            </w:r>
            <w:r w:rsidR="00061186">
              <w:rPr>
                <w:color w:val="0D0D0D" w:themeColor="text1" w:themeTint="F2"/>
                <w:spacing w:val="-4"/>
                <w:lang w:val="en-GB"/>
              </w:rPr>
              <w:t>nbound tourism. In Q2 2024</w:t>
            </w:r>
            <w:r w:rsidRPr="001A0A01">
              <w:rPr>
                <w:color w:val="0D0D0D" w:themeColor="text1" w:themeTint="F2"/>
                <w:spacing w:val="-4"/>
                <w:lang w:val="en-GB"/>
              </w:rPr>
              <w:t xml:space="preserve">, the total </w:t>
            </w:r>
            <w:r w:rsidR="00061186">
              <w:rPr>
                <w:color w:val="0D0D0D" w:themeColor="text1" w:themeTint="F2"/>
                <w:spacing w:val="-4"/>
                <w:lang w:val="en-GB"/>
              </w:rPr>
              <w:t>number of guest arrivals to collective</w:t>
            </w:r>
            <w:r w:rsidRPr="001A0A01">
              <w:rPr>
                <w:color w:val="0D0D0D" w:themeColor="text1" w:themeTint="F2"/>
                <w:spacing w:val="-4"/>
                <w:lang w:val="en-GB"/>
              </w:rPr>
              <w:t xml:space="preserve"> accommodation facilities in Czechia increased by 3.3%, year-on-year, and</w:t>
            </w:r>
            <w:r w:rsidR="00061186">
              <w:rPr>
                <w:color w:val="0D0D0D" w:themeColor="text1" w:themeTint="F2"/>
                <w:spacing w:val="-4"/>
                <w:lang w:val="en-GB"/>
              </w:rPr>
              <w:t xml:space="preserve"> their overnight stays </w:t>
            </w:r>
            <w:r w:rsidR="00061186" w:rsidRPr="00061186">
              <w:rPr>
                <w:color w:val="0D0D0D" w:themeColor="text1" w:themeTint="F2"/>
                <w:spacing w:val="-4"/>
                <w:lang w:val="en-GB"/>
              </w:rPr>
              <w:t>grew up</w:t>
            </w:r>
            <w:r w:rsidRPr="001A0A01">
              <w:rPr>
                <w:color w:val="0D0D0D" w:themeColor="text1" w:themeTint="F2"/>
                <w:spacing w:val="-4"/>
                <w:lang w:val="en-GB"/>
              </w:rPr>
              <w:t xml:space="preserve"> by 0.9%</w:t>
            </w:r>
            <w:r w:rsidRPr="001A0A01">
              <w:rPr>
                <w:rStyle w:val="Znakapoznpodarou"/>
                <w:color w:val="0D0D0D" w:themeColor="text1" w:themeTint="F2"/>
                <w:spacing w:val="-4"/>
                <w:lang w:val="en-GB"/>
              </w:rPr>
              <w:footnoteReference w:id="26"/>
            </w:r>
            <w:r w:rsidRPr="001A0A01">
              <w:rPr>
                <w:color w:val="0D0D0D" w:themeColor="text1" w:themeTint="F2"/>
                <w:spacing w:val="-4"/>
                <w:lang w:val="en-GB"/>
              </w:rPr>
              <w:t xml:space="preserve">. </w:t>
            </w:r>
            <w:bookmarkStart w:id="30" w:name="_Hlk178457527"/>
            <w:r w:rsidRPr="001A0A01">
              <w:rPr>
                <w:color w:val="0D0D0D" w:themeColor="text1" w:themeTint="F2"/>
                <w:spacing w:val="-4"/>
                <w:lang w:val="en-GB"/>
              </w:rPr>
              <w:t xml:space="preserve">The growth of inbound tourism continued for the fourth year in a row, however the dynamics (for both arrivals and overnight stays) were </w:t>
            </w:r>
            <w:r w:rsidR="00061186">
              <w:rPr>
                <w:color w:val="0D0D0D" w:themeColor="text1" w:themeTint="F2"/>
                <w:spacing w:val="-4"/>
                <w:lang w:val="en-GB"/>
              </w:rPr>
              <w:t xml:space="preserve">the weakest since the </w:t>
            </w:r>
            <w:r w:rsidR="00061186" w:rsidRPr="00061186">
              <w:rPr>
                <w:color w:val="0D0D0D" w:themeColor="text1" w:themeTint="F2"/>
                <w:spacing w:val="-4"/>
                <w:lang w:val="en-GB"/>
              </w:rPr>
              <w:t>removal</w:t>
            </w:r>
            <w:r w:rsidRPr="001A0A01">
              <w:rPr>
                <w:color w:val="0D0D0D" w:themeColor="text1" w:themeTint="F2"/>
                <w:spacing w:val="-4"/>
                <w:lang w:val="en-GB"/>
              </w:rPr>
              <w:t xml:space="preserve"> of anti-pandemic restrictions (Spring 2021). Only non-residents</w:t>
            </w:r>
            <w:r w:rsidRPr="001A0A01">
              <w:rPr>
                <w:rStyle w:val="Znakapoznpodarou"/>
                <w:rFonts w:eastAsia="MS Gothic"/>
                <w:color w:val="000000"/>
                <w:szCs w:val="20"/>
                <w:lang w:val="en-GB"/>
              </w:rPr>
              <w:footnoteReference w:id="27"/>
            </w:r>
            <w:r w:rsidRPr="001A0A01">
              <w:rPr>
                <w:color w:val="0D0D0D" w:themeColor="text1" w:themeTint="F2"/>
                <w:spacing w:val="-4"/>
                <w:lang w:val="en-GB"/>
              </w:rPr>
              <w:t xml:space="preserve"> supported the growth, as the number of domestic guests decreased, year-on-year, by 1.4% (the number of</w:t>
            </w:r>
            <w:r w:rsidR="00061186">
              <w:rPr>
                <w:color w:val="0D0D0D" w:themeColor="text1" w:themeTint="F2"/>
                <w:spacing w:val="-4"/>
                <w:lang w:val="en-GB"/>
              </w:rPr>
              <w:t xml:space="preserve"> their overnight stays </w:t>
            </w:r>
            <w:r w:rsidR="00061186" w:rsidRPr="00061186">
              <w:rPr>
                <w:color w:val="0D0D0D" w:themeColor="text1" w:themeTint="F2"/>
                <w:spacing w:val="-4"/>
                <w:lang w:val="en-GB"/>
              </w:rPr>
              <w:t>dropped</w:t>
            </w:r>
            <w:r w:rsidRPr="001A0A01">
              <w:rPr>
                <w:color w:val="0D0D0D" w:themeColor="text1" w:themeTint="F2"/>
                <w:spacing w:val="-4"/>
                <w:lang w:val="en-GB"/>
              </w:rPr>
              <w:t xml:space="preserve"> by 3.5%). Foreign guests’ data showed a significant recovery in the number of visitors from China</w:t>
            </w:r>
            <w:r w:rsidRPr="001A0A01">
              <w:rPr>
                <w:rStyle w:val="Znakapoznpodarou"/>
                <w:rFonts w:eastAsia="MS Gothic"/>
                <w:color w:val="000000"/>
                <w:spacing w:val="-4"/>
                <w:szCs w:val="20"/>
                <w:lang w:val="en-GB"/>
              </w:rPr>
              <w:footnoteReference w:id="28"/>
            </w:r>
            <w:r w:rsidRPr="001A0A01">
              <w:rPr>
                <w:color w:val="0D0D0D" w:themeColor="text1" w:themeTint="F2"/>
                <w:spacing w:val="-4"/>
                <w:lang w:val="en-GB"/>
              </w:rPr>
              <w:t xml:space="preserve"> (to a lesser extent also from other Asian countries), further the organization of major sporting events in the Czech Republic (especially the Ice Hockey World Championship in Prague and Ostrava) had a positive impact</w:t>
            </w:r>
            <w:r w:rsidRPr="001A0A01">
              <w:rPr>
                <w:rStyle w:val="Znakapoznpodarou"/>
                <w:rFonts w:eastAsia="MS Gothic"/>
                <w:color w:val="000000"/>
                <w:szCs w:val="20"/>
                <w:lang w:val="en-GB"/>
              </w:rPr>
              <w:footnoteReference w:id="29"/>
            </w:r>
            <w:r w:rsidRPr="001A0A01">
              <w:rPr>
                <w:color w:val="0D0D0D" w:themeColor="text1" w:themeTint="F2"/>
                <w:spacing w:val="-4"/>
                <w:lang w:val="en-GB"/>
              </w:rPr>
              <w:t xml:space="preserve">. On the contrary, the number of overnight stays of guests from Germany decreased by 2.7% (it presented the first decline in the last 11 quarters). In spite of this, they still comprised more than one quarter of the accommodation demand from all non-residents in the Czech Republic in Q2.  </w:t>
            </w:r>
            <w:bookmarkEnd w:id="29"/>
            <w:bookmarkEnd w:id="30"/>
          </w:p>
        </w:tc>
      </w:tr>
      <w:tr w:rsidR="00E97D7E" w:rsidRPr="001A0A01" w14:paraId="5B982252" w14:textId="77777777" w:rsidTr="00E551F6">
        <w:trPr>
          <w:trHeight w:val="170"/>
        </w:trPr>
        <w:tc>
          <w:tcPr>
            <w:tcW w:w="1814" w:type="dxa"/>
            <w:shd w:val="clear" w:color="auto" w:fill="auto"/>
            <w:tcMar>
              <w:left w:w="0" w:type="dxa"/>
            </w:tcMar>
          </w:tcPr>
          <w:p w14:paraId="128A396D" w14:textId="77777777" w:rsidR="00E97D7E" w:rsidRPr="001A0A01" w:rsidRDefault="00E97D7E" w:rsidP="00E97D7E">
            <w:pPr>
              <w:pStyle w:val="Marginlie"/>
              <w:rPr>
                <w:color w:val="0D0D0D" w:themeColor="text1" w:themeTint="F2"/>
                <w:spacing w:val="-4"/>
                <w:lang w:val="en-GB"/>
              </w:rPr>
            </w:pPr>
            <w:r w:rsidRPr="001A0A01">
              <w:rPr>
                <w:color w:val="0D0D0D" w:themeColor="text1" w:themeTint="F2"/>
                <w:spacing w:val="-4"/>
                <w:lang w:val="en-GB"/>
              </w:rPr>
              <w:t xml:space="preserve">All sub-branches of transport and warehousing recorded at least a mild increase in sales this year. </w:t>
            </w:r>
          </w:p>
          <w:p w14:paraId="5BC9CCFC" w14:textId="77777777" w:rsidR="00E97D7E" w:rsidRPr="001A0A01" w:rsidRDefault="00E97D7E" w:rsidP="00E97D7E">
            <w:pPr>
              <w:pStyle w:val="Marginlie"/>
              <w:rPr>
                <w:color w:val="0D0D0D" w:themeColor="text1" w:themeTint="F2"/>
                <w:spacing w:val="-4"/>
                <w:lang w:val="en-GB"/>
              </w:rPr>
            </w:pPr>
          </w:p>
        </w:tc>
        <w:tc>
          <w:tcPr>
            <w:tcW w:w="229" w:type="dxa"/>
            <w:shd w:val="clear" w:color="auto" w:fill="auto"/>
            <w:tcMar>
              <w:left w:w="0" w:type="dxa"/>
            </w:tcMar>
          </w:tcPr>
          <w:p w14:paraId="67C9B6D6"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40782109" w14:textId="39C5C2E4" w:rsidR="00E97D7E" w:rsidRPr="001A0A01" w:rsidRDefault="00E97D7E" w:rsidP="00530702">
            <w:pPr>
              <w:rPr>
                <w:color w:val="0D0D0D" w:themeColor="text1" w:themeTint="F2"/>
                <w:spacing w:val="-4"/>
                <w:lang w:val="en-GB"/>
              </w:rPr>
            </w:pPr>
            <w:bookmarkStart w:id="32" w:name="_Hlk178459208"/>
            <w:r w:rsidRPr="001A0A01">
              <w:rPr>
                <w:color w:val="0D0D0D" w:themeColor="text1" w:themeTint="F2"/>
                <w:spacing w:val="-4"/>
                <w:lang w:val="en-GB"/>
              </w:rPr>
              <w:t>In transport and warehousing, the most important branch by weight, the sales increased by 2.8% in H1 2024 and contributed the most of all major branches to the year-on-year growth of the entire services sector (+0.7 p.p.). Thanks to the development of tourism, particularly the sales of air transport grew briskly (+20.6%), nevertheless they still lagged behind the maximum level of the boom period between 2015 and 2019. This also applies to water transport, which has also experienced a rapid demand growth (+8.8%) this year. The sales increased more modestly in the land</w:t>
            </w:r>
            <w:r w:rsidR="00530702">
              <w:rPr>
                <w:color w:val="0D0D0D" w:themeColor="text1" w:themeTint="F2"/>
                <w:spacing w:val="-4"/>
                <w:lang w:val="en-GB"/>
              </w:rPr>
              <w:t xml:space="preserve"> transport (+2.2%), as a </w:t>
            </w:r>
            <w:r w:rsidRPr="001A0A01">
              <w:rPr>
                <w:color w:val="0D0D0D" w:themeColor="text1" w:themeTint="F2"/>
                <w:spacing w:val="-4"/>
                <w:lang w:val="en-GB"/>
              </w:rPr>
              <w:t>decline in rail transport was offse</w:t>
            </w:r>
            <w:r w:rsidR="00530702">
              <w:rPr>
                <w:color w:val="0D0D0D" w:themeColor="text1" w:themeTint="F2"/>
                <w:spacing w:val="-4"/>
                <w:lang w:val="en-GB"/>
              </w:rPr>
              <w:t>t by higher performance in road</w:t>
            </w:r>
            <w:r w:rsidRPr="001A0A01">
              <w:rPr>
                <w:color w:val="0D0D0D" w:themeColor="text1" w:themeTint="F2"/>
                <w:spacing w:val="-4"/>
                <w:lang w:val="en-GB"/>
              </w:rPr>
              <w:t xml:space="preserve"> freight as well as passenger transport. Sales increased at a similar rate </w:t>
            </w:r>
            <w:r w:rsidR="00530702">
              <w:rPr>
                <w:color w:val="0D0D0D" w:themeColor="text1" w:themeTint="F2"/>
                <w:spacing w:val="-4"/>
                <w:lang w:val="en-GB"/>
              </w:rPr>
              <w:t xml:space="preserve">also in warehousing </w:t>
            </w:r>
            <w:r w:rsidRPr="001A0A01">
              <w:rPr>
                <w:color w:val="0D0D0D" w:themeColor="text1" w:themeTint="F2"/>
                <w:spacing w:val="-4"/>
                <w:lang w:val="en-GB"/>
              </w:rPr>
              <w:t xml:space="preserve">and in postal and courier activities, which was likely related mainly to the development of trade. At the same time, they were more than one tenth higher in both cases compared to H1 2019. </w:t>
            </w:r>
            <w:bookmarkEnd w:id="32"/>
          </w:p>
        </w:tc>
      </w:tr>
      <w:tr w:rsidR="00E97D7E" w:rsidRPr="001A0A01" w14:paraId="16814E1E" w14:textId="77777777" w:rsidTr="00E551F6">
        <w:trPr>
          <w:trHeight w:val="170"/>
        </w:trPr>
        <w:tc>
          <w:tcPr>
            <w:tcW w:w="1814" w:type="dxa"/>
            <w:shd w:val="clear" w:color="auto" w:fill="auto"/>
            <w:tcMar>
              <w:left w:w="0" w:type="dxa"/>
            </w:tcMar>
          </w:tcPr>
          <w:p w14:paraId="1FB4AEC4" w14:textId="5FBB0E9D" w:rsidR="00E97D7E" w:rsidRPr="001A0A01" w:rsidRDefault="00E97D7E" w:rsidP="00E97D7E">
            <w:pPr>
              <w:pStyle w:val="Marginlie"/>
              <w:rPr>
                <w:color w:val="0D0D0D" w:themeColor="text1" w:themeTint="F2"/>
                <w:spacing w:val="-4"/>
                <w:lang w:val="en-GB"/>
              </w:rPr>
            </w:pPr>
            <w:bookmarkStart w:id="33" w:name="_Hlk178521230"/>
            <w:r w:rsidRPr="001A0A01">
              <w:rPr>
                <w:color w:val="0D0D0D" w:themeColor="text1" w:themeTint="F2"/>
                <w:spacing w:val="-4"/>
                <w:lang w:val="en-GB"/>
              </w:rPr>
              <w:t xml:space="preserve">Mostly the architectural and engineering activities drove the demand for more sophisticated business services. </w:t>
            </w:r>
            <w:bookmarkEnd w:id="33"/>
          </w:p>
          <w:p w14:paraId="71A15138" w14:textId="77777777" w:rsidR="00E97D7E" w:rsidRPr="001A0A01" w:rsidRDefault="00E97D7E" w:rsidP="00E97D7E">
            <w:pPr>
              <w:pStyle w:val="Marginlie"/>
              <w:rPr>
                <w:color w:val="0D0D0D" w:themeColor="text1" w:themeTint="F2"/>
                <w:spacing w:val="-4"/>
                <w:lang w:val="en-GB"/>
              </w:rPr>
            </w:pPr>
          </w:p>
        </w:tc>
        <w:tc>
          <w:tcPr>
            <w:tcW w:w="229" w:type="dxa"/>
            <w:shd w:val="clear" w:color="auto" w:fill="auto"/>
            <w:tcMar>
              <w:left w:w="0" w:type="dxa"/>
            </w:tcMar>
          </w:tcPr>
          <w:p w14:paraId="54B5BE24"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5B4C3B06" w14:textId="1574E292" w:rsidR="00E97D7E" w:rsidRPr="001A0A01" w:rsidRDefault="00E97D7E" w:rsidP="00165465">
            <w:pPr>
              <w:rPr>
                <w:color w:val="0D0D0D" w:themeColor="text1" w:themeTint="F2"/>
                <w:spacing w:val="-4"/>
                <w:lang w:val="en-GB"/>
              </w:rPr>
            </w:pPr>
            <w:bookmarkStart w:id="34" w:name="_Hlk178518080"/>
            <w:r w:rsidRPr="001A0A01">
              <w:rPr>
                <w:rFonts w:cs="Arial"/>
                <w:color w:val="0D0D0D" w:themeColor="text1" w:themeTint="F2"/>
                <w:spacing w:val="-4"/>
                <w:lang w:val="en-GB"/>
              </w:rPr>
              <w:t xml:space="preserve">The year-on-year sales growth slowed to one half in H1 this year (+2.0%) compared to the preceding year, but at the same time it persisted for more than three years in professional, scientific and technical activities, which typically concentrate more sophisticated services for businesses. Despite the difficulties in construction, the architectural and engineering activities contributed the most to the growth of the total branch this year (sales increased by 4.9%). Demand for management as well as legal and accounting activities continued to expand. </w:t>
            </w:r>
            <w:bookmarkEnd w:id="34"/>
          </w:p>
        </w:tc>
      </w:tr>
      <w:tr w:rsidR="00E97D7E" w:rsidRPr="001A0A01" w14:paraId="1393D6EB" w14:textId="77777777" w:rsidTr="00E551F6">
        <w:trPr>
          <w:trHeight w:val="170"/>
        </w:trPr>
        <w:tc>
          <w:tcPr>
            <w:tcW w:w="1814" w:type="dxa"/>
            <w:shd w:val="clear" w:color="auto" w:fill="auto"/>
            <w:tcMar>
              <w:left w:w="0" w:type="dxa"/>
            </w:tcMar>
          </w:tcPr>
          <w:p w14:paraId="799E8ED1" w14:textId="77777777" w:rsidR="00E97D7E" w:rsidRPr="001A0A01" w:rsidRDefault="00E97D7E" w:rsidP="00E97D7E">
            <w:pPr>
              <w:pStyle w:val="Marginlie"/>
              <w:rPr>
                <w:lang w:val="en-GB"/>
              </w:rPr>
            </w:pPr>
          </w:p>
        </w:tc>
        <w:tc>
          <w:tcPr>
            <w:tcW w:w="229" w:type="dxa"/>
            <w:shd w:val="clear" w:color="auto" w:fill="auto"/>
            <w:tcMar>
              <w:left w:w="0" w:type="dxa"/>
            </w:tcMar>
          </w:tcPr>
          <w:p w14:paraId="52D9D16D"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094412D9" w14:textId="16789B04" w:rsidR="00E97D7E" w:rsidRPr="001A0A01" w:rsidRDefault="00E97D7E" w:rsidP="00E97D7E">
            <w:pPr>
              <w:spacing w:after="0"/>
              <w:rPr>
                <w:b/>
                <w:spacing w:val="-4"/>
                <w:lang w:val="en-GB"/>
              </w:rPr>
            </w:pPr>
            <w:r w:rsidRPr="001A0A01">
              <w:rPr>
                <w:b/>
                <w:spacing w:val="-4"/>
                <w:lang w:val="en-GB"/>
              </w:rPr>
              <w:t xml:space="preserve">Chart 7 </w:t>
            </w:r>
            <w:r w:rsidRPr="001A0A01">
              <w:rPr>
                <w:b/>
                <w:spacing w:val="-2"/>
                <w:lang w:val="en-GB"/>
              </w:rPr>
              <w:t>Contributions of</w:t>
            </w:r>
            <w:r>
              <w:rPr>
                <w:b/>
                <w:spacing w:val="-2"/>
                <w:lang w:val="en-GB"/>
              </w:rPr>
              <w:t xml:space="preserve"> branches to year-on-year growth</w:t>
            </w:r>
            <w:r w:rsidRPr="001A0A01">
              <w:rPr>
                <w:b/>
                <w:spacing w:val="-2"/>
                <w:lang w:val="en-GB"/>
              </w:rPr>
              <w:t xml:space="preserve"> of sales in services</w:t>
            </w:r>
            <w:r w:rsidRPr="001A0A01">
              <w:rPr>
                <w:b/>
                <w:bCs/>
                <w:spacing w:val="-2"/>
                <w:lang w:val="en-GB"/>
              </w:rPr>
              <w:t>*</w:t>
            </w:r>
            <w:r w:rsidRPr="001A0A01">
              <w:rPr>
                <w:b/>
                <w:spacing w:val="-2"/>
                <w:lang w:val="en-GB"/>
              </w:rPr>
              <w:br/>
            </w:r>
            <w:r w:rsidRPr="001A0A01">
              <w:rPr>
                <w:spacing w:val="-2"/>
                <w:lang w:val="en-GB"/>
              </w:rPr>
              <w:t>(real, in p. p),</w:t>
            </w:r>
            <w:r w:rsidRPr="001A0A01">
              <w:rPr>
                <w:b/>
                <w:spacing w:val="-2"/>
                <w:lang w:val="en-GB"/>
              </w:rPr>
              <w:t xml:space="preserve"> total sales in services</w:t>
            </w:r>
            <w:r w:rsidRPr="001A0A01">
              <w:rPr>
                <w:b/>
                <w:bCs/>
                <w:spacing w:val="-2"/>
                <w:lang w:val="en-GB"/>
              </w:rPr>
              <w:t xml:space="preserve">* </w:t>
            </w:r>
            <w:r>
              <w:rPr>
                <w:spacing w:val="-2"/>
                <w:lang w:val="en-GB"/>
              </w:rPr>
              <w:t>(real, base of 2021=100</w:t>
            </w:r>
            <w:r w:rsidRPr="001A0A01">
              <w:rPr>
                <w:spacing w:val="-2"/>
                <w:lang w:val="en-GB"/>
              </w:rPr>
              <w:t>),</w:t>
            </w:r>
            <w:r w:rsidRPr="001A0A01">
              <w:rPr>
                <w:b/>
                <w:spacing w:val="-2"/>
                <w:lang w:val="en-GB"/>
              </w:rPr>
              <w:t xml:space="preserve"> balance of business confidence indicator in services</w:t>
            </w:r>
            <w:r w:rsidRPr="001A0A01">
              <w:rPr>
                <w:b/>
                <w:bCs/>
                <w:spacing w:val="-2"/>
                <w:lang w:val="en-GB"/>
              </w:rPr>
              <w:t>**</w:t>
            </w:r>
            <w:r w:rsidRPr="001A0A01">
              <w:rPr>
                <w:b/>
                <w:spacing w:val="-2"/>
                <w:lang w:val="en-GB"/>
              </w:rPr>
              <w:t xml:space="preserve"> </w:t>
            </w:r>
            <w:r>
              <w:rPr>
                <w:spacing w:val="-2"/>
                <w:lang w:val="en-GB"/>
              </w:rPr>
              <w:t>(in p. p.</w:t>
            </w:r>
            <w:r w:rsidRPr="001A0A01">
              <w:rPr>
                <w:spacing w:val="-2"/>
                <w:lang w:val="en-GB"/>
              </w:rPr>
              <w:t>)</w:t>
            </w:r>
            <w:r w:rsidRPr="001A0A01">
              <w:rPr>
                <w:b/>
                <w:bCs/>
                <w:spacing w:val="-2"/>
                <w:lang w:val="en-GB"/>
              </w:rPr>
              <w:t xml:space="preserve"> and </w:t>
            </w:r>
            <w:r w:rsidRPr="001A0A01">
              <w:rPr>
                <w:b/>
                <w:spacing w:val="-2"/>
                <w:lang w:val="en-GB"/>
              </w:rPr>
              <w:t>barriers to growth</w:t>
            </w:r>
            <w:r w:rsidRPr="001A0A01">
              <w:rPr>
                <w:b/>
                <w:bCs/>
                <w:spacing w:val="-2"/>
                <w:lang w:val="en-GB"/>
              </w:rPr>
              <w:t>**</w:t>
            </w:r>
            <w:r w:rsidRPr="001A0A01">
              <w:rPr>
                <w:b/>
                <w:spacing w:val="-2"/>
                <w:lang w:val="en-GB"/>
              </w:rPr>
              <w:t xml:space="preserve"> </w:t>
            </w:r>
            <w:r>
              <w:rPr>
                <w:spacing w:val="-2"/>
                <w:lang w:val="en-GB"/>
              </w:rPr>
              <w:t>(in %</w:t>
            </w:r>
            <w:r w:rsidRPr="001A0A01">
              <w:rPr>
                <w:spacing w:val="-2"/>
                <w:lang w:val="en-GB"/>
              </w:rPr>
              <w:t xml:space="preserve">) </w:t>
            </w:r>
            <w:r w:rsidRPr="001A0A01">
              <w:rPr>
                <w:spacing w:val="-4"/>
                <w:lang w:val="en-GB"/>
              </w:rPr>
              <w:t xml:space="preserve"> </w:t>
            </w:r>
          </w:p>
        </w:tc>
      </w:tr>
      <w:tr w:rsidR="00E97D7E" w:rsidRPr="001A0A01" w14:paraId="074B14AC" w14:textId="77777777" w:rsidTr="004C697D">
        <w:tblPrEx>
          <w:tblCellMar>
            <w:left w:w="70" w:type="dxa"/>
            <w:right w:w="70" w:type="dxa"/>
          </w:tblCellMar>
        </w:tblPrEx>
        <w:trPr>
          <w:trHeight w:val="170"/>
        </w:trPr>
        <w:tc>
          <w:tcPr>
            <w:tcW w:w="1814" w:type="dxa"/>
            <w:shd w:val="clear" w:color="auto" w:fill="auto"/>
          </w:tcPr>
          <w:p w14:paraId="29A89ECF" w14:textId="77777777" w:rsidR="00E97D7E" w:rsidRPr="001A0A01" w:rsidRDefault="00E97D7E" w:rsidP="00E97D7E">
            <w:pPr>
              <w:pStyle w:val="Marginlie"/>
              <w:rPr>
                <w:lang w:val="en-GB"/>
              </w:rPr>
            </w:pPr>
          </w:p>
        </w:tc>
        <w:tc>
          <w:tcPr>
            <w:tcW w:w="229" w:type="dxa"/>
            <w:shd w:val="clear" w:color="auto" w:fill="auto"/>
          </w:tcPr>
          <w:p w14:paraId="44E12FD5" w14:textId="77777777" w:rsidR="00E97D7E" w:rsidRPr="001A0A01" w:rsidRDefault="00E97D7E" w:rsidP="00E97D7E">
            <w:pPr>
              <w:pStyle w:val="Textpoznpodarou"/>
              <w:jc w:val="both"/>
              <w:rPr>
                <w:spacing w:val="-4"/>
                <w:lang w:val="en-GB"/>
              </w:rPr>
            </w:pPr>
          </w:p>
        </w:tc>
        <w:tc>
          <w:tcPr>
            <w:tcW w:w="7596" w:type="dxa"/>
            <w:shd w:val="clear" w:color="auto" w:fill="auto"/>
          </w:tcPr>
          <w:p w14:paraId="0DF4E6E8" w14:textId="47BA3E07" w:rsidR="00E97D7E" w:rsidRPr="001A0A01" w:rsidRDefault="00E97D7E" w:rsidP="00E97D7E">
            <w:pPr>
              <w:spacing w:before="40" w:after="0"/>
              <w:rPr>
                <w:rFonts w:cs="Arial"/>
                <w:sz w:val="14"/>
                <w:szCs w:val="14"/>
                <w:lang w:val="en-GB"/>
              </w:rPr>
            </w:pPr>
            <w:r>
              <w:rPr>
                <w:noProof/>
              </w:rPr>
              <w:drawing>
                <wp:inline distT="0" distB="0" distL="0" distR="0" wp14:anchorId="4EEA71C7" wp14:editId="0445AA83">
                  <wp:extent cx="4707172" cy="3636645"/>
                  <wp:effectExtent l="0" t="0" r="0" b="1905"/>
                  <wp:docPr id="35" name="Graf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E97D7E" w:rsidRPr="001A0A01" w14:paraId="6D588E52" w14:textId="77777777" w:rsidTr="00E551F6">
        <w:trPr>
          <w:trHeight w:val="170"/>
        </w:trPr>
        <w:tc>
          <w:tcPr>
            <w:tcW w:w="1814" w:type="dxa"/>
            <w:shd w:val="clear" w:color="auto" w:fill="auto"/>
            <w:tcMar>
              <w:left w:w="0" w:type="dxa"/>
            </w:tcMar>
          </w:tcPr>
          <w:p w14:paraId="6664BB69" w14:textId="77777777" w:rsidR="00E97D7E" w:rsidRPr="001A0A01" w:rsidRDefault="00E97D7E" w:rsidP="00E97D7E">
            <w:pPr>
              <w:pStyle w:val="Marginlie"/>
              <w:rPr>
                <w:lang w:val="en-GB"/>
              </w:rPr>
            </w:pPr>
          </w:p>
        </w:tc>
        <w:tc>
          <w:tcPr>
            <w:tcW w:w="229" w:type="dxa"/>
            <w:shd w:val="clear" w:color="auto" w:fill="auto"/>
            <w:tcMar>
              <w:left w:w="0" w:type="dxa"/>
            </w:tcMar>
          </w:tcPr>
          <w:p w14:paraId="41769C70"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7E5C40BC" w14:textId="199DC7F0" w:rsidR="00E97D7E" w:rsidRPr="001A0A01" w:rsidRDefault="00E97D7E" w:rsidP="00E97D7E">
            <w:pPr>
              <w:spacing w:after="0" w:line="240" w:lineRule="auto"/>
              <w:rPr>
                <w:rFonts w:cs="Arial"/>
                <w:spacing w:val="-4"/>
                <w:sz w:val="14"/>
                <w:szCs w:val="14"/>
                <w:lang w:val="en-GB"/>
              </w:rPr>
            </w:pPr>
            <w:r w:rsidRPr="001A0A01">
              <w:rPr>
                <w:rFonts w:cs="Arial"/>
                <w:spacing w:val="-4"/>
                <w:sz w:val="14"/>
                <w:szCs w:val="14"/>
                <w:lang w:val="en-GB"/>
              </w:rPr>
              <w:t>Note: All data are seasonally adju</w:t>
            </w:r>
            <w:r w:rsidR="00BE6FF8">
              <w:rPr>
                <w:rFonts w:cs="Arial"/>
                <w:spacing w:val="-4"/>
                <w:sz w:val="14"/>
                <w:szCs w:val="14"/>
                <w:lang w:val="en-GB"/>
              </w:rPr>
              <w:t xml:space="preserve">sted, only contributions of </w:t>
            </w:r>
            <w:r w:rsidRPr="001A0A01">
              <w:rPr>
                <w:rFonts w:cs="Arial"/>
                <w:spacing w:val="-4"/>
                <w:sz w:val="14"/>
                <w:szCs w:val="14"/>
                <w:lang w:val="en-GB"/>
              </w:rPr>
              <w:t xml:space="preserve">branches to the growth of sales are adjusted solely for calendar effects. </w:t>
            </w:r>
          </w:p>
          <w:p w14:paraId="342C7A83" w14:textId="77777777" w:rsidR="00E97D7E" w:rsidRPr="001A0A01" w:rsidRDefault="00E97D7E" w:rsidP="00E97D7E">
            <w:pPr>
              <w:spacing w:after="0" w:line="240" w:lineRule="auto"/>
              <w:rPr>
                <w:rFonts w:cs="Arial"/>
                <w:spacing w:val="-4"/>
                <w:sz w:val="14"/>
                <w:szCs w:val="14"/>
                <w:lang w:val="en-GB"/>
              </w:rPr>
            </w:pPr>
            <w:r w:rsidRPr="001A0A01">
              <w:rPr>
                <w:rFonts w:cs="Arial"/>
                <w:spacing w:val="-4"/>
                <w:sz w:val="14"/>
                <w:szCs w:val="14"/>
                <w:lang w:val="en-GB"/>
              </w:rPr>
              <w:t xml:space="preserve">*Without branches trade, financial activities, insurance activities, science, research and public services. </w:t>
            </w:r>
          </w:p>
          <w:p w14:paraId="2964C424" w14:textId="3B6EF31F" w:rsidR="00E97D7E" w:rsidRPr="001A0A01" w:rsidRDefault="00E97D7E" w:rsidP="00E97D7E">
            <w:pPr>
              <w:spacing w:after="0" w:line="240" w:lineRule="auto"/>
              <w:rPr>
                <w:rFonts w:cs="Arial"/>
                <w:spacing w:val="-4"/>
                <w:sz w:val="14"/>
                <w:szCs w:val="14"/>
                <w:lang w:val="en-GB"/>
              </w:rPr>
            </w:pPr>
            <w:r w:rsidRPr="001A0A01">
              <w:rPr>
                <w:rFonts w:cs="Arial"/>
                <w:spacing w:val="-4"/>
                <w:sz w:val="14"/>
                <w:szCs w:val="14"/>
                <w:lang w:val="en-GB"/>
              </w:rPr>
              <w:t xml:space="preserve">**Also involves the financial sector. Balance of business confidence </w:t>
            </w:r>
            <w:r w:rsidR="00F312E5">
              <w:rPr>
                <w:rFonts w:cs="Arial"/>
                <w:spacing w:val="-4"/>
                <w:sz w:val="14"/>
                <w:szCs w:val="14"/>
                <w:lang w:val="en-GB"/>
              </w:rPr>
              <w:t>express the level in the second</w:t>
            </w:r>
            <w:r w:rsidRPr="001A0A01">
              <w:rPr>
                <w:rFonts w:cs="Arial"/>
                <w:spacing w:val="-4"/>
                <w:sz w:val="14"/>
                <w:szCs w:val="14"/>
                <w:lang w:val="en-GB"/>
              </w:rPr>
              <w:t xml:space="preserve"> </w:t>
            </w:r>
            <w:r w:rsidR="00F312E5">
              <w:rPr>
                <w:rFonts w:cs="Arial"/>
                <w:spacing w:val="-4"/>
                <w:sz w:val="14"/>
                <w:szCs w:val="14"/>
                <w:lang w:val="en-GB"/>
              </w:rPr>
              <w:t>month of the given quarter,, g</w:t>
            </w:r>
            <w:r w:rsidRPr="001A0A01">
              <w:rPr>
                <w:rFonts w:cs="Arial"/>
                <w:spacing w:val="-4"/>
                <w:sz w:val="14"/>
                <w:szCs w:val="14"/>
                <w:lang w:val="en-GB"/>
              </w:rPr>
              <w:t xml:space="preserve">rowth barriers </w:t>
            </w:r>
            <w:r w:rsidR="00F312E5">
              <w:rPr>
                <w:rFonts w:cs="Arial"/>
                <w:spacing w:val="-4"/>
                <w:sz w:val="14"/>
                <w:szCs w:val="14"/>
                <w:lang w:val="en-GB"/>
              </w:rPr>
              <w:t>then</w:t>
            </w:r>
            <w:r w:rsidR="00F312E5" w:rsidRPr="001A0A01">
              <w:rPr>
                <w:rFonts w:cs="Arial"/>
                <w:spacing w:val="-4"/>
                <w:sz w:val="14"/>
                <w:szCs w:val="14"/>
                <w:lang w:val="en-GB"/>
              </w:rPr>
              <w:t xml:space="preserve"> </w:t>
            </w:r>
            <w:r w:rsidR="00F312E5">
              <w:rPr>
                <w:rFonts w:cs="Arial"/>
                <w:spacing w:val="-4"/>
                <w:sz w:val="14"/>
                <w:szCs w:val="14"/>
                <w:lang w:val="en-GB"/>
              </w:rPr>
              <w:t>in the first month</w:t>
            </w:r>
            <w:r w:rsidRPr="001A0A01">
              <w:rPr>
                <w:rFonts w:cs="Arial"/>
                <w:spacing w:val="-4"/>
                <w:sz w:val="14"/>
                <w:szCs w:val="14"/>
                <w:lang w:val="en-GB"/>
              </w:rPr>
              <w:t xml:space="preserve">. Businesses could have indicated more key barriers simultaneously. </w:t>
            </w:r>
          </w:p>
          <w:p w14:paraId="53C8AFC5" w14:textId="71E3F5FA" w:rsidR="00E97D7E" w:rsidRPr="00083363" w:rsidRDefault="00E97D7E" w:rsidP="00E97D7E">
            <w:pPr>
              <w:spacing w:after="0" w:line="240" w:lineRule="auto"/>
              <w:rPr>
                <w:rFonts w:cs="Arial"/>
                <w:sz w:val="14"/>
                <w:szCs w:val="14"/>
                <w:lang w:val="en-GB"/>
              </w:rPr>
            </w:pPr>
            <w:r w:rsidRPr="001A0A01">
              <w:rPr>
                <w:rFonts w:cs="Arial"/>
                <w:spacing w:val="-4"/>
                <w:sz w:val="14"/>
                <w:szCs w:val="14"/>
                <w:lang w:val="en-GB"/>
              </w:rPr>
              <w:t xml:space="preserve">Source: CZSO, Eurostat </w:t>
            </w:r>
          </w:p>
          <w:p w14:paraId="08D84EED" w14:textId="77777777" w:rsidR="00E97D7E" w:rsidRPr="001A0A01" w:rsidRDefault="00E97D7E" w:rsidP="00E97D7E">
            <w:pPr>
              <w:spacing w:after="0" w:line="240" w:lineRule="auto"/>
              <w:rPr>
                <w:rFonts w:cs="Arial"/>
                <w:b/>
                <w:bCs/>
                <w:sz w:val="16"/>
                <w:szCs w:val="16"/>
                <w:lang w:val="en-GB"/>
              </w:rPr>
            </w:pPr>
          </w:p>
        </w:tc>
      </w:tr>
      <w:tr w:rsidR="00165465" w:rsidRPr="001A0A01" w14:paraId="159EEFCA" w14:textId="77777777" w:rsidTr="00E551F6">
        <w:trPr>
          <w:trHeight w:val="170"/>
        </w:trPr>
        <w:tc>
          <w:tcPr>
            <w:tcW w:w="1814" w:type="dxa"/>
            <w:shd w:val="clear" w:color="auto" w:fill="auto"/>
            <w:tcMar>
              <w:left w:w="0" w:type="dxa"/>
            </w:tcMar>
          </w:tcPr>
          <w:p w14:paraId="4E5D02F7" w14:textId="3B2A1EA0" w:rsidR="00165465" w:rsidRPr="001A0A01" w:rsidRDefault="00165465" w:rsidP="00165465">
            <w:pPr>
              <w:pStyle w:val="Marginlie"/>
              <w:rPr>
                <w:color w:val="0D0D0D" w:themeColor="text1" w:themeTint="F2"/>
                <w:spacing w:val="-6"/>
                <w:lang w:val="en-GB"/>
              </w:rPr>
            </w:pPr>
            <w:r>
              <w:rPr>
                <w:color w:val="0D0D0D" w:themeColor="text1" w:themeTint="F2"/>
                <w:spacing w:val="-4"/>
                <w:lang w:val="en-GB"/>
              </w:rPr>
              <w:t xml:space="preserve">The </w:t>
            </w:r>
            <w:r w:rsidRPr="001A0A01">
              <w:rPr>
                <w:color w:val="0D0D0D" w:themeColor="text1" w:themeTint="F2"/>
                <w:spacing w:val="-4"/>
                <w:lang w:val="en-GB"/>
              </w:rPr>
              <w:t>longer-term decline in sales of employment placement agencies continued.</w:t>
            </w:r>
          </w:p>
        </w:tc>
        <w:tc>
          <w:tcPr>
            <w:tcW w:w="229" w:type="dxa"/>
            <w:shd w:val="clear" w:color="auto" w:fill="auto"/>
            <w:tcMar>
              <w:left w:w="0" w:type="dxa"/>
            </w:tcMar>
          </w:tcPr>
          <w:p w14:paraId="61479552" w14:textId="77777777" w:rsidR="00165465" w:rsidRPr="001A0A01" w:rsidRDefault="00165465"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12385198" w14:textId="3280E1A0" w:rsidR="00165465" w:rsidRPr="001A0A01" w:rsidRDefault="00165465" w:rsidP="00E97D7E">
            <w:pPr>
              <w:rPr>
                <w:rFonts w:cs="Arial"/>
                <w:color w:val="0D0D0D" w:themeColor="text1" w:themeTint="F2"/>
                <w:spacing w:val="-6"/>
                <w:lang w:val="en-GB"/>
              </w:rPr>
            </w:pPr>
            <w:r w:rsidRPr="001A0A01">
              <w:rPr>
                <w:rFonts w:cs="Arial"/>
                <w:color w:val="0D0D0D" w:themeColor="text1" w:themeTint="F2"/>
                <w:spacing w:val="-4"/>
                <w:lang w:val="en-GB"/>
              </w:rPr>
              <w:t>The sales exceeded the level of H1 2023 by 1.6% in administrative and support service activities this year. Further, particularly the travel agencies and offices also prospered, the sales already closely overtook the 2019 level here. In contrast, a continuous marked decline of demand for employment placement agency activities can be observed for a third year in a row (sales decreased by 10.9%, year-on-year, this year</w:t>
            </w:r>
            <w:r w:rsidRPr="001A0A01">
              <w:rPr>
                <w:rStyle w:val="Znakapoznpodarou"/>
                <w:color w:val="0D0D0D" w:themeColor="text1" w:themeTint="F2"/>
                <w:spacing w:val="-2"/>
                <w:lang w:val="en-GB"/>
              </w:rPr>
              <w:footnoteReference w:id="30"/>
            </w:r>
            <w:r w:rsidRPr="001A0A01">
              <w:rPr>
                <w:rFonts w:cs="Arial"/>
                <w:color w:val="0D0D0D" w:themeColor="text1" w:themeTint="F2"/>
                <w:spacing w:val="-4"/>
                <w:lang w:val="en-GB"/>
              </w:rPr>
              <w:t>). Cost pressures as well as the development of digitization resulted in a continued slight decrease of demand for security and investigation activities. On the contrary, the sales in the rental and operating leasing developing procyclically revived this year (+5.2%), higher demand manifested in all segments except for the rental of passenger vehicles and other light motor vehicles.</w:t>
            </w:r>
          </w:p>
        </w:tc>
      </w:tr>
      <w:tr w:rsidR="00E97D7E" w:rsidRPr="001A0A01" w14:paraId="6F7E010C" w14:textId="77777777" w:rsidTr="00E551F6">
        <w:trPr>
          <w:trHeight w:val="170"/>
        </w:trPr>
        <w:tc>
          <w:tcPr>
            <w:tcW w:w="1814" w:type="dxa"/>
            <w:shd w:val="clear" w:color="auto" w:fill="auto"/>
            <w:tcMar>
              <w:left w:w="0" w:type="dxa"/>
            </w:tcMar>
          </w:tcPr>
          <w:p w14:paraId="7958D0C7" w14:textId="77777777" w:rsidR="00E97D7E" w:rsidRPr="001A0A01" w:rsidRDefault="00E97D7E" w:rsidP="00E97D7E">
            <w:pPr>
              <w:jc w:val="left"/>
              <w:rPr>
                <w:color w:val="0D0D0D" w:themeColor="text1" w:themeTint="F2"/>
                <w:lang w:val="en-GB"/>
              </w:rPr>
            </w:pPr>
            <w:bookmarkStart w:id="35" w:name="_Hlk178526661"/>
            <w:r w:rsidRPr="001A0A01">
              <w:rPr>
                <w:color w:val="0D0D0D" w:themeColor="text1" w:themeTint="F2"/>
                <w:spacing w:val="-6"/>
                <w:sz w:val="16"/>
                <w:szCs w:val="16"/>
                <w:lang w:val="en-GB"/>
              </w:rPr>
              <w:t xml:space="preserve">Demand for programming services continued to grow, sales nevertheless decreased in the motion picture and music publishing industries, as well as in information activities. </w:t>
            </w:r>
          </w:p>
          <w:bookmarkEnd w:id="35"/>
          <w:p w14:paraId="5F4E5F32" w14:textId="77777777" w:rsidR="00E97D7E" w:rsidRPr="001A0A01" w:rsidRDefault="00E97D7E" w:rsidP="00E97D7E">
            <w:pPr>
              <w:pStyle w:val="Marginlie"/>
              <w:rPr>
                <w:color w:val="0D0D0D" w:themeColor="text1" w:themeTint="F2"/>
                <w:spacing w:val="-6"/>
                <w:lang w:val="en-GB"/>
              </w:rPr>
            </w:pPr>
          </w:p>
        </w:tc>
        <w:tc>
          <w:tcPr>
            <w:tcW w:w="229" w:type="dxa"/>
            <w:shd w:val="clear" w:color="auto" w:fill="auto"/>
            <w:tcMar>
              <w:left w:w="0" w:type="dxa"/>
            </w:tcMar>
          </w:tcPr>
          <w:p w14:paraId="5CA6F993"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0CC15246" w14:textId="449DC886" w:rsidR="00E97D7E" w:rsidRPr="001A0A01" w:rsidRDefault="00E97D7E" w:rsidP="00E97D7E">
            <w:pPr>
              <w:rPr>
                <w:rFonts w:cs="Arial"/>
                <w:color w:val="0D0D0D" w:themeColor="text1" w:themeTint="F2"/>
                <w:spacing w:val="-4"/>
                <w:lang w:val="en-GB"/>
              </w:rPr>
            </w:pPr>
            <w:r w:rsidRPr="001A0A01">
              <w:rPr>
                <w:rFonts w:cs="Arial"/>
                <w:color w:val="0D0D0D" w:themeColor="text1" w:themeTint="F2"/>
                <w:spacing w:val="-6"/>
                <w:lang w:val="en-GB"/>
              </w:rPr>
              <w:t xml:space="preserve">Sales increased only very slightly, year-on-year, in the traditionally dynamic sector of information and communication (+1.1%) in H1 </w:t>
            </w:r>
            <w:r w:rsidR="00914DDD">
              <w:rPr>
                <w:rFonts w:cs="Arial"/>
                <w:color w:val="0D0D0D" w:themeColor="text1" w:themeTint="F2"/>
                <w:spacing w:val="-6"/>
                <w:lang w:val="en-GB"/>
              </w:rPr>
              <w:t xml:space="preserve">2024 </w:t>
            </w:r>
            <w:r w:rsidRPr="001A0A01">
              <w:rPr>
                <w:rFonts w:cs="Arial"/>
                <w:color w:val="0D0D0D" w:themeColor="text1" w:themeTint="F2"/>
                <w:spacing w:val="-6"/>
                <w:lang w:val="en-GB"/>
              </w:rPr>
              <w:t>and thus followed in the insignificant results of last year. Demand increased the most in the radio and television programming and broadcasting (+8.2%) here, however specially the higher sales in the key long-term developing segment of IT activities (+4.8%, including e.g. programming or computer facilities management activities) contributed to the growth of the whole branch. Mainly the drop of sales of the so-called motion picture and music industry (−35.4%</w:t>
            </w:r>
            <w:r w:rsidRPr="001A0A01">
              <w:rPr>
                <w:rStyle w:val="Znakapoznpodarou"/>
                <w:color w:val="0D0D0D" w:themeColor="text1" w:themeTint="F2"/>
                <w:spacing w:val="-8"/>
                <w:lang w:val="en-GB"/>
              </w:rPr>
              <w:footnoteReference w:id="31"/>
            </w:r>
            <w:r w:rsidRPr="001A0A01">
              <w:rPr>
                <w:rFonts w:cs="Arial"/>
                <w:color w:val="0D0D0D" w:themeColor="text1" w:themeTint="F2"/>
                <w:spacing w:val="-6"/>
                <w:lang w:val="en-GB"/>
              </w:rPr>
              <w:t>.) had the opposite effect. It reached a comparable depth as in year 2020 and this year it was primarily related to irregular invoicing</w:t>
            </w:r>
            <w:r w:rsidRPr="001A0A01">
              <w:rPr>
                <w:rStyle w:val="Znakapoznpodarou"/>
                <w:color w:val="0D0D0D" w:themeColor="text1" w:themeTint="F2"/>
                <w:spacing w:val="-6"/>
                <w:lang w:val="en-GB"/>
              </w:rPr>
              <w:footnoteReference w:id="32"/>
            </w:r>
            <w:r w:rsidRPr="001A0A01">
              <w:rPr>
                <w:rFonts w:cs="Arial"/>
                <w:color w:val="0D0D0D" w:themeColor="text1" w:themeTint="F2"/>
                <w:spacing w:val="-6"/>
                <w:lang w:val="en-GB"/>
              </w:rPr>
              <w:t>. Information activities</w:t>
            </w:r>
            <w:r w:rsidRPr="001A0A01">
              <w:rPr>
                <w:rStyle w:val="Znakapoznpodarou"/>
                <w:color w:val="0D0D0D" w:themeColor="text1" w:themeTint="F2"/>
                <w:spacing w:val="-4"/>
                <w:lang w:val="en-GB"/>
              </w:rPr>
              <w:footnoteReference w:id="33"/>
            </w:r>
            <w:r w:rsidRPr="001A0A01">
              <w:rPr>
                <w:rFonts w:cs="Arial"/>
                <w:color w:val="0D0D0D" w:themeColor="text1" w:themeTint="F2"/>
                <w:spacing w:val="-6"/>
                <w:lang w:val="en-GB"/>
              </w:rPr>
              <w:t xml:space="preserve"> also coped with lower demand, sales fell for the seventh quarter in a row here (by 2.6% for the whole H1). </w:t>
            </w:r>
          </w:p>
        </w:tc>
      </w:tr>
      <w:tr w:rsidR="00E97D7E" w:rsidRPr="001A0A01" w14:paraId="02D56ECF" w14:textId="77777777" w:rsidTr="00E551F6">
        <w:trPr>
          <w:trHeight w:val="170"/>
        </w:trPr>
        <w:tc>
          <w:tcPr>
            <w:tcW w:w="1814" w:type="dxa"/>
            <w:shd w:val="clear" w:color="auto" w:fill="auto"/>
            <w:tcMar>
              <w:left w:w="0" w:type="dxa"/>
            </w:tcMar>
          </w:tcPr>
          <w:p w14:paraId="4FFB1D59" w14:textId="77777777" w:rsidR="00E97D7E" w:rsidRPr="001A0A01" w:rsidRDefault="00E97D7E" w:rsidP="00E97D7E">
            <w:pPr>
              <w:pStyle w:val="Marginlie"/>
              <w:rPr>
                <w:color w:val="0D0D0D" w:themeColor="text1" w:themeTint="F2"/>
                <w:spacing w:val="-6"/>
                <w:lang w:val="en-GB"/>
              </w:rPr>
            </w:pPr>
            <w:r w:rsidRPr="001A0A01">
              <w:rPr>
                <w:color w:val="0D0D0D" w:themeColor="text1" w:themeTint="F2"/>
                <w:spacing w:val="-6"/>
                <w:lang w:val="en-GB"/>
              </w:rPr>
              <w:t xml:space="preserve">Price stabilisation in the economy led to a rapid improvement of consumer confidence. Retailers' confidence also strengthened.  </w:t>
            </w:r>
          </w:p>
          <w:p w14:paraId="6FA1C010" w14:textId="77777777" w:rsidR="00E97D7E" w:rsidRPr="001A0A01" w:rsidRDefault="00E97D7E" w:rsidP="00E97D7E">
            <w:pPr>
              <w:pStyle w:val="Marginlie"/>
              <w:rPr>
                <w:color w:val="0D0D0D" w:themeColor="text1" w:themeTint="F2"/>
                <w:spacing w:val="-6"/>
                <w:lang w:val="en-GB"/>
              </w:rPr>
            </w:pPr>
          </w:p>
          <w:p w14:paraId="2B5212C3" w14:textId="77777777" w:rsidR="00E97D7E" w:rsidRPr="001A0A01" w:rsidRDefault="00E97D7E" w:rsidP="00E97D7E">
            <w:pPr>
              <w:pStyle w:val="Marginlie"/>
              <w:rPr>
                <w:color w:val="0D0D0D" w:themeColor="text1" w:themeTint="F2"/>
                <w:spacing w:val="-6"/>
                <w:lang w:val="en-GB"/>
              </w:rPr>
            </w:pPr>
          </w:p>
          <w:p w14:paraId="06A67A84" w14:textId="3AE85884" w:rsidR="00E97D7E" w:rsidRDefault="00E97D7E" w:rsidP="00E97D7E">
            <w:pPr>
              <w:pStyle w:val="Marginlie"/>
              <w:rPr>
                <w:color w:val="0D0D0D" w:themeColor="text1" w:themeTint="F2"/>
                <w:spacing w:val="-6"/>
                <w:lang w:val="en-GB"/>
              </w:rPr>
            </w:pPr>
          </w:p>
          <w:p w14:paraId="7E9886E8" w14:textId="760A9462" w:rsidR="00C04E28" w:rsidRDefault="00C04E28" w:rsidP="00E97D7E">
            <w:pPr>
              <w:pStyle w:val="Marginlie"/>
              <w:rPr>
                <w:color w:val="0D0D0D" w:themeColor="text1" w:themeTint="F2"/>
                <w:spacing w:val="-6"/>
                <w:lang w:val="en-GB"/>
              </w:rPr>
            </w:pPr>
          </w:p>
          <w:p w14:paraId="0EEB6EF0" w14:textId="37E6E289" w:rsidR="00C04E28" w:rsidRDefault="00C04E28" w:rsidP="00E97D7E">
            <w:pPr>
              <w:pStyle w:val="Marginlie"/>
              <w:rPr>
                <w:color w:val="0D0D0D" w:themeColor="text1" w:themeTint="F2"/>
                <w:spacing w:val="-6"/>
                <w:lang w:val="en-GB"/>
              </w:rPr>
            </w:pPr>
          </w:p>
          <w:p w14:paraId="2F8D814E" w14:textId="77777777" w:rsidR="00C04E28" w:rsidRPr="001A0A01" w:rsidRDefault="00C04E28" w:rsidP="00E97D7E">
            <w:pPr>
              <w:pStyle w:val="Marginlie"/>
              <w:rPr>
                <w:color w:val="0D0D0D" w:themeColor="text1" w:themeTint="F2"/>
                <w:spacing w:val="-6"/>
                <w:lang w:val="en-GB"/>
              </w:rPr>
            </w:pPr>
          </w:p>
          <w:p w14:paraId="3BB6CBDB" w14:textId="77777777" w:rsidR="00E97D7E" w:rsidRPr="001A0A01" w:rsidRDefault="00E97D7E" w:rsidP="00E97D7E">
            <w:pPr>
              <w:pStyle w:val="Marginlie"/>
              <w:rPr>
                <w:color w:val="0D0D0D" w:themeColor="text1" w:themeTint="F2"/>
                <w:spacing w:val="-6"/>
                <w:lang w:val="en-GB"/>
              </w:rPr>
            </w:pPr>
          </w:p>
          <w:p w14:paraId="6EB76959" w14:textId="77777777" w:rsidR="00E97D7E" w:rsidRPr="001A0A01" w:rsidRDefault="00E97D7E" w:rsidP="00E97D7E">
            <w:pPr>
              <w:pStyle w:val="Marginlie"/>
              <w:rPr>
                <w:color w:val="0D0D0D" w:themeColor="text1" w:themeTint="F2"/>
                <w:spacing w:val="-6"/>
                <w:lang w:val="en-GB"/>
              </w:rPr>
            </w:pPr>
          </w:p>
          <w:p w14:paraId="0D515E8A" w14:textId="77777777" w:rsidR="00E97D7E" w:rsidRPr="001A0A01" w:rsidRDefault="00E97D7E" w:rsidP="00E97D7E">
            <w:pPr>
              <w:pStyle w:val="Marginlie"/>
              <w:rPr>
                <w:color w:val="0D0D0D" w:themeColor="text1" w:themeTint="F2"/>
                <w:spacing w:val="-6"/>
                <w:lang w:val="en-GB"/>
              </w:rPr>
            </w:pPr>
            <w:bookmarkStart w:id="39" w:name="_Hlk178529480"/>
            <w:r w:rsidRPr="001A0A01">
              <w:rPr>
                <w:color w:val="0D0D0D" w:themeColor="text1" w:themeTint="F2"/>
                <w:spacing w:val="-6"/>
                <w:lang w:val="en-GB"/>
              </w:rPr>
              <w:t xml:space="preserve">Retail sales increased, quarter-on-quarter, for the fourth time in a row, nevertheless have not attained the level of 2019 yet. </w:t>
            </w:r>
            <w:bookmarkEnd w:id="39"/>
          </w:p>
        </w:tc>
        <w:tc>
          <w:tcPr>
            <w:tcW w:w="229" w:type="dxa"/>
            <w:shd w:val="clear" w:color="auto" w:fill="auto"/>
            <w:tcMar>
              <w:left w:w="0" w:type="dxa"/>
            </w:tcMar>
          </w:tcPr>
          <w:p w14:paraId="05A49A7F"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16C79CC2" w14:textId="671D5F36" w:rsidR="00E97D7E" w:rsidRPr="001A0A01" w:rsidRDefault="00E97D7E" w:rsidP="00E97D7E">
            <w:pPr>
              <w:rPr>
                <w:rFonts w:cs="Arial"/>
                <w:color w:val="0D0D0D" w:themeColor="text1" w:themeTint="F2"/>
                <w:spacing w:val="-4"/>
                <w:lang w:val="en-GB"/>
              </w:rPr>
            </w:pPr>
            <w:r w:rsidRPr="001A0A01">
              <w:rPr>
                <w:rFonts w:cs="Arial"/>
                <w:color w:val="0D0D0D" w:themeColor="text1" w:themeTint="F2"/>
                <w:spacing w:val="-4"/>
                <w:lang w:val="en-GB"/>
              </w:rPr>
              <w:t>Retail also experienced a positive turnaround in recent quarters. Its precondition was the return of consumer prices to regular growth bands coupled with likely a temporary, however relatively significant decrease of food prices. This, together with the good condition of the labour market, swiftly launched the growth of the purchasing power of households and improved their overall confidence in the economy. It consequently climbed up highest in the last two and half years in April</w:t>
            </w:r>
            <w:r w:rsidR="00C04E28">
              <w:rPr>
                <w:rFonts w:cs="Arial"/>
                <w:color w:val="0D0D0D" w:themeColor="text1" w:themeTint="F2"/>
                <w:spacing w:val="-4"/>
                <w:lang w:val="en-GB"/>
              </w:rPr>
              <w:t xml:space="preserve"> 2024</w:t>
            </w:r>
            <w:r w:rsidRPr="001A0A01">
              <w:rPr>
                <w:rFonts w:cs="Arial"/>
                <w:color w:val="0D0D0D" w:themeColor="text1" w:themeTint="F2"/>
                <w:spacing w:val="-4"/>
                <w:lang w:val="en-GB"/>
              </w:rPr>
              <w:t>. Although there was a slight deterioration subsequently, the consumer pessimism was still lower in August than in any month from the period 2022 to 2023. However, people still declare a higher intention to save and simultaneously still do not consider the current time to be very suitable for large purchases (investments or durable goods). To a certain extent, this fact counteracts a faster recovery in demand for certain assortment groups of non-food products. At the same time, however, the traders' optimism also strengthened, the level of their confidence in the economy hiked up the highest in the last fourteen months in July this year. The development of inbound tourism also contributed to the recovery of retail. Retail sales</w:t>
            </w:r>
            <w:r w:rsidRPr="001A0A01">
              <w:rPr>
                <w:rStyle w:val="Znakapoznpodarou"/>
                <w:color w:val="0D0D0D" w:themeColor="text1" w:themeTint="F2"/>
                <w:spacing w:val="-4"/>
                <w:lang w:val="en-GB"/>
              </w:rPr>
              <w:footnoteReference w:id="34"/>
            </w:r>
            <w:r w:rsidRPr="001A0A01">
              <w:rPr>
                <w:rFonts w:cs="Arial"/>
                <w:color w:val="0D0D0D" w:themeColor="text1" w:themeTint="F2"/>
                <w:spacing w:val="-4"/>
                <w:lang w:val="en-GB"/>
              </w:rPr>
              <w:t xml:space="preserve"> showed a slight quarter-on-quarter growth (+0.5%) already in Q3 2023 </w:t>
            </w:r>
            <w:r w:rsidR="00C04E28">
              <w:rPr>
                <w:rFonts w:cs="Arial"/>
                <w:color w:val="0D0D0D" w:themeColor="text1" w:themeTint="F2"/>
                <w:spacing w:val="-4"/>
                <w:lang w:val="en-GB"/>
              </w:rPr>
              <w:t>(</w:t>
            </w:r>
            <w:r w:rsidRPr="001A0A01">
              <w:rPr>
                <w:rFonts w:cs="Arial"/>
                <w:color w:val="0D0D0D" w:themeColor="text1" w:themeTint="F2"/>
                <w:spacing w:val="-4"/>
                <w:lang w:val="en-GB"/>
              </w:rPr>
              <w:t>after seven quarters of adverse development</w:t>
            </w:r>
            <w:r w:rsidR="00C04E28">
              <w:rPr>
                <w:rFonts w:cs="Arial"/>
                <w:color w:val="0D0D0D" w:themeColor="text1" w:themeTint="F2"/>
                <w:spacing w:val="-4"/>
                <w:lang w:val="en-GB"/>
              </w:rPr>
              <w:t>)</w:t>
            </w:r>
            <w:r w:rsidRPr="001A0A01">
              <w:rPr>
                <w:rFonts w:cs="Arial"/>
                <w:color w:val="0D0D0D" w:themeColor="text1" w:themeTint="F2"/>
                <w:spacing w:val="-4"/>
                <w:lang w:val="en-GB"/>
              </w:rPr>
              <w:t xml:space="preserve">, which consequently </w:t>
            </w:r>
            <w:r w:rsidR="00C04E28">
              <w:rPr>
                <w:rFonts w:cs="Arial"/>
                <w:color w:val="0D0D0D" w:themeColor="text1" w:themeTint="F2"/>
                <w:spacing w:val="-4"/>
                <w:lang w:val="en-GB"/>
              </w:rPr>
              <w:t>strengthened and attained</w:t>
            </w:r>
            <w:r w:rsidRPr="001A0A01">
              <w:rPr>
                <w:rFonts w:cs="Arial"/>
                <w:color w:val="0D0D0D" w:themeColor="text1" w:themeTint="F2"/>
                <w:spacing w:val="-4"/>
                <w:lang w:val="en-GB"/>
              </w:rPr>
              <w:t xml:space="preserve"> 2</w:t>
            </w:r>
            <w:r w:rsidR="00C04E28">
              <w:rPr>
                <w:rFonts w:cs="Arial"/>
                <w:color w:val="0D0D0D" w:themeColor="text1" w:themeTint="F2"/>
                <w:spacing w:val="-4"/>
                <w:lang w:val="en-GB"/>
              </w:rPr>
              <w:t>.0</w:t>
            </w:r>
            <w:r w:rsidRPr="001A0A01">
              <w:rPr>
                <w:rFonts w:cs="Arial"/>
                <w:color w:val="0D0D0D" w:themeColor="text1" w:themeTint="F2"/>
                <w:spacing w:val="-4"/>
                <w:lang w:val="en-GB"/>
              </w:rPr>
              <w:t>% at the beginning of this year (it then moderated to 0.6% in Q2). Nevertheless, the current level of sales still lagged behind its pre-crisis peak (from Q4 2019) by 3.4%</w:t>
            </w:r>
            <w:r w:rsidRPr="001A0A01">
              <w:rPr>
                <w:rStyle w:val="Znakapoznpodarou"/>
                <w:color w:val="0D0D0D" w:themeColor="text1" w:themeTint="F2"/>
                <w:spacing w:val="-4"/>
                <w:szCs w:val="20"/>
                <w:lang w:val="en-GB"/>
              </w:rPr>
              <w:footnoteReference w:id="35"/>
            </w:r>
            <w:r w:rsidRPr="001A0A01">
              <w:rPr>
                <w:rFonts w:cs="Arial"/>
                <w:color w:val="0D0D0D" w:themeColor="text1" w:themeTint="F2"/>
                <w:spacing w:val="-4"/>
                <w:szCs w:val="20"/>
                <w:lang w:val="en-GB"/>
              </w:rPr>
              <w:t>.</w:t>
            </w:r>
          </w:p>
        </w:tc>
      </w:tr>
      <w:tr w:rsidR="00E97D7E" w:rsidRPr="001A0A01" w14:paraId="759D22AC" w14:textId="77777777" w:rsidTr="00E551F6">
        <w:trPr>
          <w:trHeight w:val="170"/>
        </w:trPr>
        <w:tc>
          <w:tcPr>
            <w:tcW w:w="1814" w:type="dxa"/>
            <w:shd w:val="clear" w:color="auto" w:fill="auto"/>
            <w:tcMar>
              <w:left w:w="0" w:type="dxa"/>
            </w:tcMar>
          </w:tcPr>
          <w:p w14:paraId="5108B4BE" w14:textId="77777777" w:rsidR="00E97D7E" w:rsidRPr="001A0A01" w:rsidRDefault="00E97D7E" w:rsidP="00E97D7E">
            <w:pPr>
              <w:pStyle w:val="Marginlie"/>
              <w:rPr>
                <w:lang w:val="en-GB"/>
              </w:rPr>
            </w:pPr>
            <w:r w:rsidRPr="001A0A01">
              <w:rPr>
                <w:lang w:val="en-GB"/>
              </w:rPr>
              <w:t xml:space="preserve">The year-on-year growth of retail sales was driven from one half by a sharp recovery of sales via internet. </w:t>
            </w:r>
          </w:p>
          <w:p w14:paraId="560ACA0C" w14:textId="77777777" w:rsidR="00E97D7E" w:rsidRPr="001A0A01" w:rsidRDefault="00E97D7E" w:rsidP="00E97D7E">
            <w:pPr>
              <w:pStyle w:val="Marginlie"/>
              <w:rPr>
                <w:lang w:val="en-GB"/>
              </w:rPr>
            </w:pPr>
          </w:p>
          <w:p w14:paraId="76F603D9" w14:textId="77777777" w:rsidR="00E97D7E" w:rsidRPr="001A0A01" w:rsidRDefault="00E97D7E" w:rsidP="00E97D7E">
            <w:pPr>
              <w:pStyle w:val="Marginlie"/>
              <w:rPr>
                <w:lang w:val="en-GB"/>
              </w:rPr>
            </w:pPr>
          </w:p>
          <w:p w14:paraId="56FEA5B3" w14:textId="29AEDDB3" w:rsidR="00E97D7E" w:rsidRDefault="00E97D7E" w:rsidP="00E97D7E">
            <w:pPr>
              <w:pStyle w:val="Marginlie"/>
              <w:rPr>
                <w:lang w:val="en-GB"/>
              </w:rPr>
            </w:pPr>
          </w:p>
          <w:p w14:paraId="347BF75E" w14:textId="68D812AF" w:rsidR="002D4EE0" w:rsidRDefault="002D4EE0" w:rsidP="00E97D7E">
            <w:pPr>
              <w:pStyle w:val="Marginlie"/>
              <w:rPr>
                <w:lang w:val="en-GB"/>
              </w:rPr>
            </w:pPr>
          </w:p>
          <w:p w14:paraId="4451A2CF" w14:textId="77777777" w:rsidR="002D4EE0" w:rsidRPr="001A0A01" w:rsidRDefault="002D4EE0" w:rsidP="00E97D7E">
            <w:pPr>
              <w:pStyle w:val="Marginlie"/>
              <w:rPr>
                <w:lang w:val="en-GB"/>
              </w:rPr>
            </w:pPr>
          </w:p>
          <w:p w14:paraId="0227A643" w14:textId="77777777" w:rsidR="00E97D7E" w:rsidRPr="001A0A01" w:rsidRDefault="00E97D7E" w:rsidP="00E97D7E">
            <w:pPr>
              <w:pStyle w:val="Marginlie"/>
              <w:rPr>
                <w:lang w:val="en-GB"/>
              </w:rPr>
            </w:pPr>
          </w:p>
          <w:p w14:paraId="462210D6" w14:textId="77777777" w:rsidR="00E97D7E" w:rsidRPr="001A0A01" w:rsidRDefault="00E97D7E" w:rsidP="00E97D7E">
            <w:pPr>
              <w:pStyle w:val="Marginlie"/>
              <w:rPr>
                <w:lang w:val="en-GB"/>
              </w:rPr>
            </w:pPr>
            <w:r w:rsidRPr="001A0A01">
              <w:rPr>
                <w:lang w:val="en-GB"/>
              </w:rPr>
              <w:t xml:space="preserve">The interest for cosmetic and toilet articles grew the most within the specialised stores. </w:t>
            </w:r>
          </w:p>
          <w:p w14:paraId="23ECB9F0" w14:textId="77777777" w:rsidR="00E97D7E" w:rsidRPr="001A0A01" w:rsidRDefault="00E97D7E" w:rsidP="00E97D7E">
            <w:pPr>
              <w:pStyle w:val="Marginlie"/>
              <w:rPr>
                <w:lang w:val="en-GB"/>
              </w:rPr>
            </w:pPr>
          </w:p>
          <w:p w14:paraId="4BA5EEA6" w14:textId="77777777" w:rsidR="00E97D7E" w:rsidRPr="001A0A01" w:rsidRDefault="00E97D7E" w:rsidP="00E97D7E">
            <w:pPr>
              <w:pStyle w:val="Marginlie"/>
              <w:rPr>
                <w:lang w:val="en-GB"/>
              </w:rPr>
            </w:pPr>
          </w:p>
          <w:p w14:paraId="37C13491" w14:textId="77777777" w:rsidR="00E97D7E" w:rsidRPr="001A0A01" w:rsidRDefault="00E97D7E" w:rsidP="00E97D7E">
            <w:pPr>
              <w:pStyle w:val="Marginlie"/>
              <w:rPr>
                <w:lang w:val="en-GB"/>
              </w:rPr>
            </w:pPr>
          </w:p>
          <w:p w14:paraId="0A0A657D" w14:textId="77777777" w:rsidR="00E97D7E" w:rsidRPr="001A0A01" w:rsidRDefault="00E97D7E" w:rsidP="00E97D7E">
            <w:pPr>
              <w:pStyle w:val="Marginlie"/>
              <w:rPr>
                <w:color w:val="0D0D0D" w:themeColor="text1" w:themeTint="F2"/>
                <w:spacing w:val="-6"/>
                <w:lang w:val="en-GB"/>
              </w:rPr>
            </w:pPr>
            <w:r w:rsidRPr="001A0A01">
              <w:rPr>
                <w:lang w:val="en-GB"/>
              </w:rPr>
              <w:t xml:space="preserve">Growth of sales for food was concentrated into large retail chains. </w:t>
            </w:r>
          </w:p>
        </w:tc>
        <w:tc>
          <w:tcPr>
            <w:tcW w:w="229" w:type="dxa"/>
            <w:shd w:val="clear" w:color="auto" w:fill="auto"/>
            <w:tcMar>
              <w:left w:w="0" w:type="dxa"/>
            </w:tcMar>
          </w:tcPr>
          <w:p w14:paraId="4BE41279"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07A5904A" w14:textId="13CCAB90" w:rsidR="00E97D7E" w:rsidRPr="001A0A01" w:rsidRDefault="00E97D7E" w:rsidP="00E97D7E">
            <w:pPr>
              <w:rPr>
                <w:rFonts w:cs="Arial"/>
                <w:color w:val="0D0D0D" w:themeColor="text1" w:themeTint="F2"/>
                <w:spacing w:val="-4"/>
                <w:lang w:val="en-GB"/>
              </w:rPr>
            </w:pPr>
            <w:bookmarkStart w:id="40" w:name="_Hlk178534058"/>
            <w:r w:rsidRPr="001A0A01">
              <w:rPr>
                <w:rFonts w:cs="Arial"/>
                <w:color w:val="0D0D0D" w:themeColor="text1" w:themeTint="F2"/>
                <w:spacing w:val="-4"/>
                <w:szCs w:val="20"/>
                <w:lang w:val="en-GB"/>
              </w:rPr>
              <w:t>Retail sales increased by 3.9%, year-on-year, in Q1 2024 and thus halted the fall lasting nearly two ye</w:t>
            </w:r>
            <w:r w:rsidR="00C04E28">
              <w:rPr>
                <w:rFonts w:cs="Arial"/>
                <w:color w:val="0D0D0D" w:themeColor="text1" w:themeTint="F2"/>
                <w:spacing w:val="-4"/>
                <w:szCs w:val="20"/>
                <w:lang w:val="en-GB"/>
              </w:rPr>
              <w:t>ars. The sales increased by</w:t>
            </w:r>
            <w:r w:rsidRPr="001A0A01">
              <w:rPr>
                <w:rFonts w:cs="Arial"/>
                <w:color w:val="0D0D0D" w:themeColor="text1" w:themeTint="F2"/>
                <w:spacing w:val="-4"/>
                <w:szCs w:val="20"/>
                <w:lang w:val="en-GB"/>
              </w:rPr>
              <w:t xml:space="preserve"> 4</w:t>
            </w:r>
            <w:r w:rsidR="00C04E28">
              <w:rPr>
                <w:rFonts w:cs="Arial"/>
                <w:color w:val="0D0D0D" w:themeColor="text1" w:themeTint="F2"/>
                <w:spacing w:val="-4"/>
                <w:szCs w:val="20"/>
                <w:lang w:val="en-GB"/>
              </w:rPr>
              <w:t>.0</w:t>
            </w:r>
            <w:r w:rsidRPr="001A0A01">
              <w:rPr>
                <w:rFonts w:cs="Arial"/>
                <w:color w:val="0D0D0D" w:themeColor="text1" w:themeTint="F2"/>
                <w:spacing w:val="-4"/>
                <w:szCs w:val="20"/>
                <w:lang w:val="en-GB"/>
              </w:rPr>
              <w:t>% for the whole H1</w:t>
            </w:r>
            <w:r w:rsidR="00C04E28">
              <w:rPr>
                <w:rFonts w:cs="Arial"/>
                <w:color w:val="0D0D0D" w:themeColor="text1" w:themeTint="F2"/>
                <w:spacing w:val="-4"/>
                <w:szCs w:val="20"/>
                <w:lang w:val="en-GB"/>
              </w:rPr>
              <w:t xml:space="preserve"> 2024</w:t>
            </w:r>
            <w:r w:rsidRPr="001A0A01">
              <w:rPr>
                <w:rFonts w:cs="Arial"/>
                <w:color w:val="0D0D0D" w:themeColor="text1" w:themeTint="F2"/>
                <w:spacing w:val="-4"/>
                <w:szCs w:val="20"/>
                <w:lang w:val="en-GB"/>
              </w:rPr>
              <w:t>. All major retail segments contributed to the growth. Higher sales of non-food goods (+5.3%, contribution +2.6 p.p.), driven primarily by a sharp recovery of sales via internet and mail order houses (+16.9%) played a key role. It likely also absorbs a part of the demand of specialised brick-and-mortar stores (e.g. sales for trade with computer and communication equipment decreased by 2.2% in these stores i</w:t>
            </w:r>
            <w:r w:rsidR="00C04E28">
              <w:rPr>
                <w:rFonts w:cs="Arial"/>
                <w:color w:val="0D0D0D" w:themeColor="text1" w:themeTint="F2"/>
                <w:spacing w:val="-4"/>
                <w:szCs w:val="20"/>
                <w:lang w:val="en-GB"/>
              </w:rPr>
              <w:t xml:space="preserve">n H1). Sales for household </w:t>
            </w:r>
            <w:r w:rsidR="00C04E28" w:rsidRPr="00C04E28">
              <w:rPr>
                <w:rFonts w:cs="Arial"/>
                <w:color w:val="0D0D0D" w:themeColor="text1" w:themeTint="F2"/>
                <w:spacing w:val="-4"/>
                <w:szCs w:val="20"/>
                <w:lang w:val="en-GB"/>
              </w:rPr>
              <w:t>equipment</w:t>
            </w:r>
            <w:r w:rsidRPr="001A0A01">
              <w:rPr>
                <w:rFonts w:cs="Arial"/>
                <w:color w:val="0D0D0D" w:themeColor="text1" w:themeTint="F2"/>
                <w:spacing w:val="-4"/>
                <w:szCs w:val="20"/>
                <w:lang w:val="en-GB"/>
              </w:rPr>
              <w:t xml:space="preserve"> also fell even slightly further</w:t>
            </w:r>
            <w:r w:rsidRPr="001A0A01">
              <w:rPr>
                <w:rStyle w:val="Znakapoznpodarou"/>
                <w:color w:val="0D0D0D" w:themeColor="text1" w:themeTint="F2"/>
                <w:spacing w:val="-4"/>
                <w:szCs w:val="20"/>
                <w:lang w:val="en-GB"/>
              </w:rPr>
              <w:footnoteReference w:id="36"/>
            </w:r>
            <w:r w:rsidRPr="001A0A01">
              <w:rPr>
                <w:rFonts w:cs="Arial"/>
                <w:color w:val="0D0D0D" w:themeColor="text1" w:themeTint="F2"/>
                <w:spacing w:val="-4"/>
                <w:szCs w:val="20"/>
                <w:lang w:val="en-GB"/>
              </w:rPr>
              <w:t>. Stores with products for arts, sports and recreation and also wearing apparel, footwear and leather goods</w:t>
            </w:r>
            <w:r w:rsidRPr="001A0A01">
              <w:rPr>
                <w:rStyle w:val="Znakapoznpodarou"/>
                <w:color w:val="0D0D0D" w:themeColor="text1" w:themeTint="F2"/>
                <w:spacing w:val="-4"/>
                <w:szCs w:val="20"/>
                <w:lang w:val="en-GB"/>
              </w:rPr>
              <w:footnoteReference w:id="37"/>
            </w:r>
            <w:r w:rsidRPr="001A0A01">
              <w:rPr>
                <w:rFonts w:cs="Arial"/>
                <w:color w:val="0D0D0D" w:themeColor="text1" w:themeTint="F2"/>
                <w:spacing w:val="-4"/>
                <w:szCs w:val="20"/>
                <w:lang w:val="en-GB"/>
              </w:rPr>
              <w:t xml:space="preserve"> also registered a mild drop of demand. Within the specialised stores</w:t>
            </w:r>
            <w:r w:rsidRPr="001A0A01">
              <w:rPr>
                <w:rStyle w:val="Znakapoznpodarou"/>
                <w:color w:val="0D0D0D" w:themeColor="text1" w:themeTint="F2"/>
                <w:szCs w:val="20"/>
                <w:lang w:val="en-GB"/>
              </w:rPr>
              <w:footnoteReference w:id="38"/>
            </w:r>
            <w:r w:rsidRPr="001A0A01">
              <w:rPr>
                <w:rFonts w:cs="Arial"/>
                <w:color w:val="0D0D0D" w:themeColor="text1" w:themeTint="F2"/>
                <w:spacing w:val="-4"/>
                <w:szCs w:val="20"/>
                <w:lang w:val="en-GB"/>
              </w:rPr>
              <w:t xml:space="preserve">, sales grew the most for cosmetic and toilet articles (+18.3%) and further pharmaceutical and medical products (+6.5%), both of which represent products for which demand did not decrease significantly even during the pandemic period. Sales for food increased more modestly (+2.7%, contribution to the growth of total retail was +1.0 p.p.), nevertheless it still presented the highest pace since H2 2017. </w:t>
            </w:r>
            <w:bookmarkEnd w:id="40"/>
            <w:r w:rsidRPr="001A0A01">
              <w:rPr>
                <w:rFonts w:cs="Arial"/>
                <w:color w:val="0D0D0D" w:themeColor="text1" w:themeTint="F2"/>
                <w:spacing w:val="-4"/>
                <w:szCs w:val="20"/>
                <w:lang w:val="en-GB"/>
              </w:rPr>
              <w:t xml:space="preserve">The growth of demand was concentrated in large chains here, since the sales of smaller specialised stores with food (of which tobacco products are the most important assortment group in terms of weight) decreased by 2.2% and have been declining continuously since Spring 2022. On the contrary, the demand for fuels after last year's recovery, partly stimulated by a more favourable consumer price, continued to grow (fuels – sales strengthened by 3.1% in H1 2024 here and contributed +0.4 p.p. to the growth of the total retail trade).  </w:t>
            </w:r>
          </w:p>
        </w:tc>
      </w:tr>
      <w:tr w:rsidR="00E97D7E" w:rsidRPr="001A0A01" w14:paraId="42B5A3A8" w14:textId="77777777" w:rsidTr="00E551F6">
        <w:trPr>
          <w:trHeight w:val="155"/>
        </w:trPr>
        <w:tc>
          <w:tcPr>
            <w:tcW w:w="1814" w:type="dxa"/>
            <w:vMerge w:val="restart"/>
            <w:shd w:val="clear" w:color="auto" w:fill="auto"/>
            <w:tcMar>
              <w:left w:w="0" w:type="dxa"/>
            </w:tcMar>
          </w:tcPr>
          <w:p w14:paraId="28481EBE" w14:textId="77777777" w:rsidR="00E97D7E" w:rsidRPr="001A0A01" w:rsidRDefault="00E97D7E" w:rsidP="00E97D7E">
            <w:pPr>
              <w:pStyle w:val="Marginlie"/>
              <w:rPr>
                <w:lang w:val="en-GB"/>
              </w:rPr>
            </w:pPr>
          </w:p>
        </w:tc>
        <w:tc>
          <w:tcPr>
            <w:tcW w:w="229" w:type="dxa"/>
            <w:vMerge w:val="restart"/>
            <w:shd w:val="clear" w:color="auto" w:fill="auto"/>
            <w:tcMar>
              <w:left w:w="0" w:type="dxa"/>
            </w:tcMar>
          </w:tcPr>
          <w:p w14:paraId="71D0150B"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56C445C6" w14:textId="249A417E" w:rsidR="00E97D7E" w:rsidRPr="001A0A01" w:rsidRDefault="00E97D7E" w:rsidP="00E97D7E">
            <w:pPr>
              <w:spacing w:after="0"/>
              <w:rPr>
                <w:rFonts w:cs="Arial"/>
                <w:color w:val="0D0D0D" w:themeColor="text1" w:themeTint="F2"/>
                <w:spacing w:val="-4"/>
                <w:szCs w:val="20"/>
                <w:lang w:val="en-GB"/>
              </w:rPr>
            </w:pPr>
            <w:r w:rsidRPr="001A0A01">
              <w:rPr>
                <w:b/>
                <w:lang w:val="en-GB"/>
              </w:rPr>
              <w:t xml:space="preserve">Chart 8 </w:t>
            </w:r>
            <w:r w:rsidRPr="001A0A01">
              <w:rPr>
                <w:b/>
                <w:spacing w:val="-4"/>
                <w:lang w:val="en-GB"/>
              </w:rPr>
              <w:t>Contributions of sub</w:t>
            </w:r>
            <w:r>
              <w:rPr>
                <w:b/>
                <w:spacing w:val="-4"/>
                <w:lang w:val="en-GB"/>
              </w:rPr>
              <w:t xml:space="preserve">-branches to year-on-year </w:t>
            </w:r>
            <w:r>
              <w:rPr>
                <w:b/>
                <w:spacing w:val="-2"/>
                <w:lang w:val="en-GB"/>
              </w:rPr>
              <w:t>growth</w:t>
            </w:r>
            <w:r w:rsidRPr="001A0A01">
              <w:rPr>
                <w:b/>
                <w:spacing w:val="-4"/>
                <w:lang w:val="en-GB"/>
              </w:rPr>
              <w:t xml:space="preserve"> of sales in retail trade</w:t>
            </w:r>
            <w:r w:rsidRPr="001A0A01">
              <w:rPr>
                <w:rFonts w:cs="Arial"/>
                <w:b/>
                <w:bCs/>
                <w:color w:val="0D0D0D" w:themeColor="text1" w:themeTint="F2"/>
                <w:spacing w:val="-4"/>
                <w:lang w:val="en-GB"/>
              </w:rPr>
              <w:t xml:space="preserve">* </w:t>
            </w:r>
            <w:r w:rsidRPr="001A0A01">
              <w:rPr>
                <w:rFonts w:cs="Arial"/>
                <w:color w:val="0D0D0D" w:themeColor="text1" w:themeTint="F2"/>
                <w:spacing w:val="-4"/>
                <w:lang w:val="en-GB"/>
              </w:rPr>
              <w:t xml:space="preserve">(real, in p.p.), </w:t>
            </w:r>
            <w:r w:rsidRPr="001A0A01">
              <w:rPr>
                <w:rFonts w:cs="Arial"/>
                <w:b/>
                <w:bCs/>
                <w:color w:val="0D0D0D" w:themeColor="text1" w:themeTint="F2"/>
                <w:spacing w:val="-4"/>
                <w:szCs w:val="20"/>
                <w:lang w:val="en-GB"/>
              </w:rPr>
              <w:t xml:space="preserve">sales in retail trade and motorist segment of trade** </w:t>
            </w:r>
            <w:r>
              <w:rPr>
                <w:rFonts w:cs="Arial"/>
                <w:color w:val="0D0D0D" w:themeColor="text1" w:themeTint="F2"/>
                <w:spacing w:val="-4"/>
                <w:szCs w:val="20"/>
                <w:lang w:val="en-GB"/>
              </w:rPr>
              <w:t xml:space="preserve">(real, </w:t>
            </w:r>
            <w:r>
              <w:rPr>
                <w:spacing w:val="-2"/>
                <w:lang w:val="en-GB"/>
              </w:rPr>
              <w:t>base of</w:t>
            </w:r>
            <w:r>
              <w:rPr>
                <w:rFonts w:cs="Arial"/>
                <w:color w:val="0D0D0D" w:themeColor="text1" w:themeTint="F2"/>
                <w:spacing w:val="-4"/>
                <w:szCs w:val="20"/>
                <w:lang w:val="en-GB"/>
              </w:rPr>
              <w:t xml:space="preserve"> 2021=100) </w:t>
            </w:r>
            <w:r w:rsidRPr="004C697D">
              <w:rPr>
                <w:rFonts w:cs="Arial"/>
                <w:b/>
                <w:color w:val="0D0D0D" w:themeColor="text1" w:themeTint="F2"/>
                <w:spacing w:val="-4"/>
                <w:szCs w:val="20"/>
                <w:lang w:val="en-GB"/>
              </w:rPr>
              <w:t>and</w:t>
            </w:r>
            <w:r w:rsidRPr="001A0A01">
              <w:rPr>
                <w:rFonts w:cs="Arial"/>
                <w:b/>
                <w:color w:val="0D0D0D" w:themeColor="text1" w:themeTint="F2"/>
                <w:spacing w:val="-4"/>
                <w:szCs w:val="20"/>
                <w:lang w:val="en-GB"/>
              </w:rPr>
              <w:t xml:space="preserve"> balance of business and consumer confidence indicator</w:t>
            </w:r>
            <w:r w:rsidRPr="001A0A01">
              <w:rPr>
                <w:rFonts w:cs="Arial"/>
                <w:b/>
                <w:bCs/>
                <w:color w:val="0D0D0D" w:themeColor="text1" w:themeTint="F2"/>
                <w:spacing w:val="-4"/>
                <w:lang w:val="en-GB"/>
              </w:rPr>
              <w:t xml:space="preserve">*** </w:t>
            </w:r>
            <w:r>
              <w:rPr>
                <w:rFonts w:cs="Arial"/>
                <w:color w:val="0D0D0D" w:themeColor="text1" w:themeTint="F2"/>
                <w:spacing w:val="-4"/>
                <w:lang w:val="en-GB"/>
              </w:rPr>
              <w:t>(in p. p</w:t>
            </w:r>
            <w:r w:rsidRPr="001A0A01">
              <w:rPr>
                <w:rFonts w:cs="Arial"/>
                <w:color w:val="0D0D0D" w:themeColor="text1" w:themeTint="F2"/>
                <w:spacing w:val="-4"/>
                <w:lang w:val="en-GB"/>
              </w:rPr>
              <w:t>)</w:t>
            </w:r>
          </w:p>
        </w:tc>
      </w:tr>
      <w:tr w:rsidR="00E97D7E" w:rsidRPr="001A0A01" w14:paraId="4D6E5BFF" w14:textId="77777777" w:rsidTr="00BB73B5">
        <w:tblPrEx>
          <w:tblCellMar>
            <w:left w:w="70" w:type="dxa"/>
            <w:right w:w="70" w:type="dxa"/>
          </w:tblCellMar>
        </w:tblPrEx>
        <w:trPr>
          <w:trHeight w:val="155"/>
        </w:trPr>
        <w:tc>
          <w:tcPr>
            <w:tcW w:w="1814" w:type="dxa"/>
            <w:vMerge/>
            <w:shd w:val="clear" w:color="auto" w:fill="auto"/>
          </w:tcPr>
          <w:p w14:paraId="4D543EFE" w14:textId="77777777" w:rsidR="00E97D7E" w:rsidRPr="001A0A01" w:rsidRDefault="00E97D7E" w:rsidP="00E97D7E">
            <w:pPr>
              <w:pStyle w:val="Marginlie"/>
              <w:rPr>
                <w:lang w:val="en-GB"/>
              </w:rPr>
            </w:pPr>
          </w:p>
        </w:tc>
        <w:tc>
          <w:tcPr>
            <w:tcW w:w="229" w:type="dxa"/>
            <w:vMerge/>
            <w:shd w:val="clear" w:color="auto" w:fill="auto"/>
          </w:tcPr>
          <w:p w14:paraId="340183BF" w14:textId="77777777" w:rsidR="00E97D7E" w:rsidRPr="001A0A01" w:rsidRDefault="00E97D7E" w:rsidP="00E97D7E">
            <w:pPr>
              <w:pStyle w:val="Textpoznpodarou"/>
              <w:jc w:val="both"/>
              <w:rPr>
                <w:spacing w:val="-4"/>
                <w:lang w:val="en-GB"/>
              </w:rPr>
            </w:pPr>
          </w:p>
        </w:tc>
        <w:tc>
          <w:tcPr>
            <w:tcW w:w="7596" w:type="dxa"/>
            <w:shd w:val="clear" w:color="auto" w:fill="auto"/>
          </w:tcPr>
          <w:p w14:paraId="3927F853" w14:textId="43319C86" w:rsidR="00E97D7E" w:rsidRPr="001A0A01" w:rsidRDefault="00E97D7E" w:rsidP="00E97D7E">
            <w:pPr>
              <w:spacing w:before="40" w:after="0"/>
              <w:rPr>
                <w:rFonts w:cs="Arial"/>
                <w:color w:val="0D0D0D" w:themeColor="text1" w:themeTint="F2"/>
                <w:spacing w:val="-4"/>
                <w:szCs w:val="20"/>
                <w:lang w:val="en-GB"/>
              </w:rPr>
            </w:pPr>
            <w:r>
              <w:rPr>
                <w:noProof/>
              </w:rPr>
              <w:drawing>
                <wp:inline distT="0" distB="0" distL="0" distR="0" wp14:anchorId="614EAA8D" wp14:editId="728164F7">
                  <wp:extent cx="4691269" cy="3707765"/>
                  <wp:effectExtent l="0" t="0" r="0" b="6985"/>
                  <wp:docPr id="42" name="Graf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E97D7E" w:rsidRPr="001A0A01" w14:paraId="0D8870CC" w14:textId="77777777" w:rsidTr="00E551F6">
        <w:trPr>
          <w:trHeight w:val="155"/>
        </w:trPr>
        <w:tc>
          <w:tcPr>
            <w:tcW w:w="1814" w:type="dxa"/>
            <w:vMerge/>
            <w:shd w:val="clear" w:color="auto" w:fill="auto"/>
            <w:tcMar>
              <w:left w:w="0" w:type="dxa"/>
            </w:tcMar>
          </w:tcPr>
          <w:p w14:paraId="1DCC294B" w14:textId="77777777" w:rsidR="00E97D7E" w:rsidRPr="001A0A01" w:rsidRDefault="00E97D7E" w:rsidP="00E97D7E">
            <w:pPr>
              <w:pStyle w:val="Marginlie"/>
              <w:rPr>
                <w:lang w:val="en-GB"/>
              </w:rPr>
            </w:pPr>
          </w:p>
        </w:tc>
        <w:tc>
          <w:tcPr>
            <w:tcW w:w="229" w:type="dxa"/>
            <w:vMerge/>
            <w:shd w:val="clear" w:color="auto" w:fill="auto"/>
            <w:tcMar>
              <w:left w:w="0" w:type="dxa"/>
            </w:tcMar>
          </w:tcPr>
          <w:p w14:paraId="3C58EC0D"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7D275695" w14:textId="77777777" w:rsidR="00E97D7E" w:rsidRPr="00BE6FF8" w:rsidRDefault="00E97D7E" w:rsidP="00E97D7E">
            <w:pPr>
              <w:spacing w:after="0" w:line="240" w:lineRule="auto"/>
              <w:rPr>
                <w:rFonts w:cs="Arial"/>
                <w:spacing w:val="-2"/>
                <w:sz w:val="14"/>
                <w:szCs w:val="14"/>
                <w:lang w:val="en-GB"/>
              </w:rPr>
            </w:pPr>
            <w:r w:rsidRPr="00B61F47">
              <w:rPr>
                <w:rFonts w:cs="Arial"/>
                <w:color w:val="0D0D0D" w:themeColor="text1" w:themeTint="F2"/>
                <w:spacing w:val="-6"/>
                <w:sz w:val="16"/>
                <w:szCs w:val="16"/>
                <w:lang w:val="en-GB"/>
              </w:rPr>
              <w:t>*</w:t>
            </w:r>
            <w:r w:rsidRPr="00B61F47">
              <w:rPr>
                <w:rFonts w:cs="Arial"/>
                <w:sz w:val="16"/>
                <w:szCs w:val="16"/>
                <w:lang w:val="en-GB"/>
              </w:rPr>
              <w:t xml:space="preserve"> </w:t>
            </w:r>
            <w:r w:rsidRPr="00BE6FF8">
              <w:rPr>
                <w:rFonts w:cs="Arial"/>
                <w:spacing w:val="-2"/>
                <w:sz w:val="14"/>
                <w:szCs w:val="14"/>
                <w:lang w:val="en-GB"/>
              </w:rPr>
              <w:t>Sales are adjusted for calendar effects.</w:t>
            </w:r>
          </w:p>
          <w:p w14:paraId="3A648557" w14:textId="7AC54650" w:rsidR="00E97D7E" w:rsidRPr="00BE6FF8" w:rsidRDefault="00E97D7E" w:rsidP="00E97D7E">
            <w:pPr>
              <w:spacing w:after="0" w:line="240" w:lineRule="auto"/>
              <w:rPr>
                <w:rFonts w:cs="Arial"/>
                <w:spacing w:val="-2"/>
                <w:sz w:val="14"/>
                <w:szCs w:val="14"/>
                <w:lang w:val="en-GB"/>
              </w:rPr>
            </w:pPr>
            <w:r w:rsidRPr="00BE6FF8">
              <w:rPr>
                <w:rFonts w:cs="Arial"/>
                <w:spacing w:val="-2"/>
                <w:sz w:val="14"/>
                <w:szCs w:val="14"/>
                <w:lang w:val="en-GB"/>
              </w:rPr>
              <w:t xml:space="preserve">** Sales are adjusted for both seasonal and calendar effects. </w:t>
            </w:r>
          </w:p>
          <w:p w14:paraId="7EA7FC56" w14:textId="49F0DE3A" w:rsidR="00E97D7E" w:rsidRPr="00BB73B5" w:rsidRDefault="00E97D7E" w:rsidP="00E97D7E">
            <w:pPr>
              <w:rPr>
                <w:rFonts w:cs="Arial"/>
                <w:color w:val="0D0D0D" w:themeColor="text1" w:themeTint="F2"/>
                <w:spacing w:val="-4"/>
                <w:sz w:val="14"/>
                <w:szCs w:val="14"/>
                <w:lang w:val="en-GB"/>
              </w:rPr>
            </w:pPr>
            <w:r w:rsidRPr="001A0A01">
              <w:rPr>
                <w:rFonts w:cs="Arial"/>
                <w:color w:val="0D0D0D" w:themeColor="text1" w:themeTint="F2"/>
                <w:spacing w:val="-4"/>
                <w:sz w:val="14"/>
                <w:szCs w:val="14"/>
                <w:lang w:val="en-GB"/>
              </w:rPr>
              <w:t xml:space="preserve">*** </w:t>
            </w:r>
            <w:r w:rsidRPr="001A0A01">
              <w:rPr>
                <w:rFonts w:cs="Arial"/>
                <w:color w:val="0D0D0D" w:themeColor="text1" w:themeTint="F2"/>
                <w:spacing w:val="-5"/>
                <w:sz w:val="14"/>
                <w:szCs w:val="14"/>
                <w:lang w:val="en-GB"/>
              </w:rPr>
              <w:t xml:space="preserve">Consumer confidence indicator balance is seasonally adjusted and expresses the position in the second month of the given quarter. </w:t>
            </w:r>
            <w:r w:rsidRPr="001A0A01">
              <w:rPr>
                <w:rFonts w:cs="Arial"/>
                <w:color w:val="0D0D0D" w:themeColor="text1" w:themeTint="F2"/>
                <w:spacing w:val="-4"/>
                <w:sz w:val="14"/>
                <w:szCs w:val="14"/>
                <w:lang w:val="en-GB"/>
              </w:rPr>
              <w:t xml:space="preserve">           </w:t>
            </w:r>
            <w:r>
              <w:rPr>
                <w:rFonts w:cs="Arial"/>
                <w:color w:val="0D0D0D" w:themeColor="text1" w:themeTint="F2"/>
                <w:spacing w:val="-4"/>
                <w:sz w:val="14"/>
                <w:szCs w:val="14"/>
                <w:lang w:val="en-GB"/>
              </w:rPr>
              <w:t xml:space="preserve">                   Source: CZSO</w:t>
            </w:r>
          </w:p>
        </w:tc>
      </w:tr>
      <w:tr w:rsidR="00E97D7E" w:rsidRPr="001A0A01" w14:paraId="63699D9C" w14:textId="77777777" w:rsidTr="00E551F6">
        <w:trPr>
          <w:trHeight w:val="170"/>
        </w:trPr>
        <w:tc>
          <w:tcPr>
            <w:tcW w:w="1814" w:type="dxa"/>
            <w:shd w:val="clear" w:color="auto" w:fill="auto"/>
            <w:tcMar>
              <w:left w:w="0" w:type="dxa"/>
            </w:tcMar>
          </w:tcPr>
          <w:p w14:paraId="465BF7D5" w14:textId="77777777" w:rsidR="00E97D7E" w:rsidRPr="001A0A01" w:rsidRDefault="00E97D7E" w:rsidP="00E97D7E">
            <w:pPr>
              <w:jc w:val="left"/>
              <w:rPr>
                <w:spacing w:val="-4"/>
                <w:lang w:val="en-GB"/>
              </w:rPr>
            </w:pPr>
            <w:r w:rsidRPr="001A0A01">
              <w:rPr>
                <w:spacing w:val="-4"/>
                <w:sz w:val="16"/>
                <w:szCs w:val="16"/>
                <w:lang w:val="en-GB"/>
              </w:rPr>
              <w:t>A slight increase of sales occurred in all parts of the motor vehicle segment of trade, except for the sale of parts and accessories.</w:t>
            </w:r>
          </w:p>
        </w:tc>
        <w:tc>
          <w:tcPr>
            <w:tcW w:w="229" w:type="dxa"/>
            <w:shd w:val="clear" w:color="auto" w:fill="auto"/>
            <w:tcMar>
              <w:left w:w="0" w:type="dxa"/>
            </w:tcMar>
          </w:tcPr>
          <w:p w14:paraId="513F8949"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0D82865F" w14:textId="69BFF591" w:rsidR="00E97D7E" w:rsidRPr="001A0A01" w:rsidRDefault="00E97D7E" w:rsidP="00BE6FF8">
            <w:pPr>
              <w:spacing w:after="0"/>
              <w:rPr>
                <w:rFonts w:cs="Arial"/>
                <w:color w:val="0D0D0D" w:themeColor="text1" w:themeTint="F2"/>
                <w:spacing w:val="-3"/>
                <w:szCs w:val="20"/>
                <w:lang w:val="en-GB"/>
              </w:rPr>
            </w:pPr>
            <w:bookmarkStart w:id="43" w:name="_Hlk178539586"/>
            <w:r w:rsidRPr="001A0A01">
              <w:rPr>
                <w:rFonts w:cs="Arial"/>
                <w:color w:val="0D0D0D" w:themeColor="text1" w:themeTint="F2"/>
                <w:szCs w:val="20"/>
                <w:lang w:val="en-GB"/>
              </w:rPr>
              <w:t>Sales in the motor vehicle segment (trade, repairs and maintenance of motor vehicles) of trade increased by 1.7%, year-on-year, in H1 and, similarly to fuels continued in their last year's recovery. A slight increase in demand manifested in all parts of this se</w:t>
            </w:r>
            <w:r w:rsidR="00B61F47">
              <w:rPr>
                <w:rFonts w:cs="Arial"/>
                <w:color w:val="0D0D0D" w:themeColor="text1" w:themeTint="F2"/>
                <w:szCs w:val="20"/>
                <w:lang w:val="en-GB"/>
              </w:rPr>
              <w:t>gment this year (</w:t>
            </w:r>
            <w:r w:rsidRPr="001A0A01">
              <w:rPr>
                <w:rFonts w:cs="Arial"/>
                <w:color w:val="0D0D0D" w:themeColor="text1" w:themeTint="F2"/>
                <w:szCs w:val="20"/>
                <w:lang w:val="en-GB"/>
              </w:rPr>
              <w:t>except for the sale of parts and accessories</w:t>
            </w:r>
            <w:r w:rsidR="00B61F47">
              <w:rPr>
                <w:rFonts w:cs="Arial"/>
                <w:color w:val="0D0D0D" w:themeColor="text1" w:themeTint="F2"/>
                <w:szCs w:val="20"/>
                <w:lang w:val="en-GB"/>
              </w:rPr>
              <w:t>)</w:t>
            </w:r>
            <w:r w:rsidRPr="001A0A01">
              <w:rPr>
                <w:rFonts w:cs="Arial"/>
                <w:color w:val="0D0D0D" w:themeColor="text1" w:themeTint="F2"/>
                <w:szCs w:val="20"/>
                <w:lang w:val="en-GB"/>
              </w:rPr>
              <w:t xml:space="preserve">. Compared to Q4 2017, when this segment of trade was at its peak, its sales were by 8.5% lower in Q2 this year. </w:t>
            </w:r>
            <w:bookmarkEnd w:id="43"/>
          </w:p>
        </w:tc>
      </w:tr>
    </w:tbl>
    <w:p w14:paraId="65D0653A" w14:textId="77777777" w:rsidR="00E551F6" w:rsidRPr="00BB73B5" w:rsidRDefault="00E551F6" w:rsidP="00E551F6">
      <w:pPr>
        <w:spacing w:after="0" w:line="240" w:lineRule="auto"/>
        <w:jc w:val="left"/>
        <w:rPr>
          <w:rFonts w:eastAsia="MS Gothic"/>
          <w:b/>
          <w:bCs/>
          <w:color w:val="71818C"/>
          <w:sz w:val="2"/>
          <w:szCs w:val="2"/>
          <w:lang w:val="en-GB"/>
        </w:rPr>
      </w:pPr>
      <w:r w:rsidRPr="00BB73B5">
        <w:rPr>
          <w:rFonts w:eastAsia="MS Gothic"/>
          <w:b/>
          <w:bCs/>
          <w:color w:val="71818C"/>
          <w:sz w:val="2"/>
          <w:szCs w:val="2"/>
          <w:lang w:val="en-GB"/>
        </w:rPr>
        <w:t xml:space="preserve"> </w:t>
      </w:r>
    </w:p>
    <w:bookmarkEnd w:id="1"/>
    <w:bookmarkEnd w:id="2"/>
    <w:p w14:paraId="06C85012" w14:textId="76376C1E" w:rsidR="00E551F6" w:rsidRPr="00BE6FF8" w:rsidRDefault="00E551F6" w:rsidP="00E551F6">
      <w:pPr>
        <w:spacing w:after="0" w:line="240" w:lineRule="auto"/>
        <w:jc w:val="left"/>
        <w:rPr>
          <w:rFonts w:eastAsia="MS Gothic"/>
          <w:b/>
          <w:bCs/>
          <w:color w:val="86BF5E"/>
          <w:szCs w:val="20"/>
          <w:lang w:val="en-GB"/>
        </w:rPr>
      </w:pPr>
    </w:p>
    <w:sectPr w:rsidR="00E551F6" w:rsidRPr="00BE6FF8" w:rsidSect="006F5416">
      <w:headerReference w:type="even" r:id="rId16"/>
      <w:headerReference w:type="default" r:id="rId17"/>
      <w:footerReference w:type="even" r:id="rId18"/>
      <w:footerReference w:type="default" r:id="rId19"/>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166B7" w14:textId="77777777" w:rsidR="00A22C39" w:rsidRDefault="00A22C39" w:rsidP="00E71A58">
      <w:r>
        <w:separator/>
      </w:r>
    </w:p>
  </w:endnote>
  <w:endnote w:type="continuationSeparator" w:id="0">
    <w:p w14:paraId="37493C07" w14:textId="77777777" w:rsidR="00A22C39" w:rsidRDefault="00A22C39" w:rsidP="00E71A58">
      <w:r>
        <w:continuationSeparator/>
      </w:r>
    </w:p>
  </w:endnote>
  <w:endnote w:type="continuationNotice" w:id="1">
    <w:p w14:paraId="3A88C8C3" w14:textId="77777777" w:rsidR="00A22C39" w:rsidRDefault="00A22C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6F654FDD" w:rsidR="00165465" w:rsidRPr="00932443" w:rsidRDefault="00165465"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160D77">
      <w:rPr>
        <w:szCs w:val="16"/>
      </w:rPr>
      <w:t>2</w:t>
    </w:r>
    <w:r w:rsidRPr="00932443">
      <w:rPr>
        <w:szCs w:val="16"/>
      </w:rPr>
      <w:fldChar w:fldCharType="end"/>
    </w:r>
    <w:r w:rsidRPr="00932443">
      <w:rPr>
        <w:szCs w:val="16"/>
      </w:rPr>
      <w:tab/>
    </w:r>
    <w:r>
      <w:rPr>
        <w:szCs w:val="16"/>
      </w:rPr>
      <w:t>First half of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18A04CD8" w:rsidR="00165465" w:rsidRPr="00932443" w:rsidRDefault="00165465"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A22C39">
      <w:rPr>
        <w:rStyle w:val="ZpatChar"/>
        <w:szCs w:val="16"/>
      </w:rPr>
      <w:t>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D8001" w14:textId="77777777" w:rsidR="00A22C39" w:rsidRDefault="00A22C39" w:rsidP="00EA4302">
      <w:pPr>
        <w:spacing w:after="0"/>
      </w:pPr>
      <w:r>
        <w:separator/>
      </w:r>
    </w:p>
  </w:footnote>
  <w:footnote w:type="continuationSeparator" w:id="0">
    <w:p w14:paraId="53FBC897" w14:textId="77777777" w:rsidR="00A22C39" w:rsidRDefault="00A22C39" w:rsidP="00E71A58">
      <w:r>
        <w:continuationSeparator/>
      </w:r>
    </w:p>
  </w:footnote>
  <w:footnote w:type="continuationNotice" w:id="1">
    <w:p w14:paraId="465F39C2" w14:textId="77777777" w:rsidR="00A22C39" w:rsidRDefault="00A22C39">
      <w:pPr>
        <w:spacing w:after="0" w:line="240" w:lineRule="auto"/>
      </w:pPr>
    </w:p>
  </w:footnote>
  <w:footnote w:id="2">
    <w:p w14:paraId="5B140BDB" w14:textId="77777777" w:rsidR="00165465" w:rsidRPr="005F7B4A" w:rsidRDefault="00165465" w:rsidP="00E551F6">
      <w:pPr>
        <w:pStyle w:val="Textpoznpodarou"/>
        <w:jc w:val="both"/>
        <w:rPr>
          <w:rFonts w:cs="Arial"/>
          <w:color w:val="0D0D0D" w:themeColor="text1" w:themeTint="F2"/>
          <w:spacing w:val="-2"/>
          <w:sz w:val="16"/>
          <w:szCs w:val="16"/>
          <w:lang w:val="en-GB"/>
        </w:rPr>
      </w:pPr>
      <w:r w:rsidRPr="005F7B4A">
        <w:rPr>
          <w:rStyle w:val="Znakapoznpodarou"/>
          <w:rFonts w:cs="Arial"/>
          <w:color w:val="0D0D0D" w:themeColor="text1" w:themeTint="F2"/>
          <w:spacing w:val="-2"/>
          <w:sz w:val="16"/>
          <w:szCs w:val="16"/>
        </w:rPr>
        <w:footnoteRef/>
      </w:r>
      <w:r w:rsidRPr="005F7B4A">
        <w:rPr>
          <w:rFonts w:cs="Arial"/>
          <w:color w:val="0D0D0D" w:themeColor="text1" w:themeTint="F2"/>
          <w:spacing w:val="-2"/>
          <w:sz w:val="16"/>
          <w:szCs w:val="16"/>
        </w:rPr>
        <w:t xml:space="preserve"> </w:t>
      </w:r>
      <w:r w:rsidRPr="005F7B4A">
        <w:rPr>
          <w:rFonts w:cs="Arial"/>
          <w:color w:val="0D0D0D" w:themeColor="text1" w:themeTint="F2"/>
          <w:spacing w:val="-2"/>
          <w:sz w:val="16"/>
          <w:szCs w:val="16"/>
          <w:lang w:val="en-GB"/>
        </w:rPr>
        <w:t xml:space="preserve">Figures related to GVA are expressed in constant prices and adjusted for seasonal and calendar effects. </w:t>
      </w:r>
    </w:p>
  </w:footnote>
  <w:footnote w:id="3">
    <w:p w14:paraId="2B17C779" w14:textId="77777777" w:rsidR="00165465" w:rsidRPr="005F7B4A" w:rsidRDefault="00165465" w:rsidP="00E551F6">
      <w:pPr>
        <w:pStyle w:val="Textpoznpodarou"/>
        <w:jc w:val="both"/>
        <w:rPr>
          <w:spacing w:val="-2"/>
          <w:sz w:val="16"/>
          <w:szCs w:val="16"/>
          <w:lang w:val="en-GB"/>
        </w:rPr>
      </w:pPr>
      <w:r w:rsidRPr="005F7B4A">
        <w:rPr>
          <w:rStyle w:val="Znakapoznpodarou"/>
          <w:spacing w:val="-2"/>
          <w:sz w:val="16"/>
          <w:szCs w:val="16"/>
        </w:rPr>
        <w:footnoteRef/>
      </w:r>
      <w:r w:rsidRPr="005F7B4A">
        <w:rPr>
          <w:spacing w:val="-2"/>
          <w:sz w:val="16"/>
          <w:szCs w:val="16"/>
        </w:rPr>
        <w:t xml:space="preserve"> </w:t>
      </w:r>
      <w:r w:rsidRPr="005F7B4A">
        <w:rPr>
          <w:spacing w:val="-2"/>
          <w:sz w:val="16"/>
          <w:szCs w:val="16"/>
          <w:lang w:val="en-GB"/>
        </w:rPr>
        <w:t>GVA increased at a slower quarter-on-quarter pace (+0.2%) in the whole EU, but unlike in the Czech Republic, weak growth persisted there throughout the last year. GVA increased by 0,9%, year-on-year, in the Union in H1 2024. Compared to the Czech Republic, the across-the-board growth of the services performance was sufficient to compensate the decrease in both industry and construction here (which, moreover, was not as deep in the EU as in the Czech Republic or Germany). The total GVA increased the most in Cyprus (+3.5%) and Croatia (+3.3%), among the larger economies then in Poland (+3.1%), Spain (+2.8%), Romania (2.0%) and France (+1.5%). GVA fell only in six countries – the most in Ireland (−4.7%, mainly due to industry and financial activities) and Estonia (−2.6%). Within the Central European region, GVA decreased only in Austria (−1.1%) and the Czech Republic (−0.3%), in Germany it grew by 0.4%, and in Slovakia by 2.4%.</w:t>
      </w:r>
    </w:p>
  </w:footnote>
  <w:footnote w:id="4">
    <w:p w14:paraId="4A4C418D" w14:textId="1454A3A2" w:rsidR="00165465" w:rsidRPr="005F7B4A" w:rsidRDefault="00165465" w:rsidP="00E551F6">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The GVA of the total economy was thus currently 1% above the level of the peak of the last boom (Q4 2019), of which the performance of the services sector was even 7% higher in this comparison – the situation in industry was the exact opposite</w:t>
      </w:r>
      <w:r>
        <w:rPr>
          <w:spacing w:val="-2"/>
          <w:sz w:val="16"/>
          <w:szCs w:val="16"/>
          <w:lang w:val="en-GB"/>
        </w:rPr>
        <w:t xml:space="preserve"> (</w:t>
      </w:r>
      <w:r w:rsidRPr="005F7B4A">
        <w:rPr>
          <w:spacing w:val="-2"/>
          <w:sz w:val="16"/>
          <w:szCs w:val="16"/>
          <w:lang w:val="en-GB"/>
        </w:rPr>
        <w:t>−</w:t>
      </w:r>
      <w:r>
        <w:rPr>
          <w:spacing w:val="-2"/>
          <w:sz w:val="16"/>
          <w:szCs w:val="16"/>
          <w:lang w:val="en-GB"/>
        </w:rPr>
        <w:t>7 %)</w:t>
      </w:r>
      <w:r w:rsidRPr="005F7B4A">
        <w:rPr>
          <w:spacing w:val="-2"/>
          <w:sz w:val="16"/>
          <w:szCs w:val="16"/>
          <w:lang w:val="en-GB"/>
        </w:rPr>
        <w:t xml:space="preserve">, and construction (−18%) and the primary sector of the economy (−12%) featured an even deeper distance. </w:t>
      </w:r>
    </w:p>
  </w:footnote>
  <w:footnote w:id="5">
    <w:p w14:paraId="6A7B9AD5" w14:textId="12926E0A" w:rsidR="00165465" w:rsidRPr="005F7B4A" w:rsidRDefault="00165465" w:rsidP="00E551F6">
      <w:pPr>
        <w:pStyle w:val="Textpoznpodarou"/>
        <w:jc w:val="both"/>
        <w:rPr>
          <w:rFonts w:cs="Arial"/>
          <w:spacing w:val="-2"/>
          <w:sz w:val="16"/>
          <w:szCs w:val="16"/>
          <w:lang w:val="en-GB"/>
        </w:rPr>
      </w:pPr>
      <w:r w:rsidRPr="005F7B4A">
        <w:rPr>
          <w:rStyle w:val="Znakapoznpodarou"/>
          <w:spacing w:val="-2"/>
          <w:sz w:val="16"/>
          <w:szCs w:val="16"/>
        </w:rPr>
        <w:footnoteRef/>
      </w:r>
      <w:r w:rsidRPr="005F7B4A">
        <w:rPr>
          <w:spacing w:val="-2"/>
          <w:sz w:val="16"/>
          <w:szCs w:val="16"/>
        </w:rPr>
        <w:t xml:space="preserve"> </w:t>
      </w:r>
      <w:r w:rsidRPr="005F7B4A">
        <w:rPr>
          <w:spacing w:val="-2"/>
          <w:sz w:val="16"/>
          <w:szCs w:val="16"/>
          <w:lang w:val="en-GB"/>
        </w:rPr>
        <w:t xml:space="preserve">However, the gross domestic </w:t>
      </w:r>
      <w:r>
        <w:rPr>
          <w:spacing w:val="-2"/>
          <w:sz w:val="16"/>
          <w:szCs w:val="16"/>
          <w:lang w:val="en-GB"/>
        </w:rPr>
        <w:t xml:space="preserve">beef </w:t>
      </w:r>
      <w:r w:rsidRPr="005F7B4A">
        <w:rPr>
          <w:spacing w:val="-2"/>
          <w:sz w:val="16"/>
          <w:szCs w:val="16"/>
          <w:lang w:val="en-GB"/>
        </w:rPr>
        <w:t>production corresponding to the total deliveries from Czech farms to slaughterhouses (</w:t>
      </w:r>
      <w:r>
        <w:rPr>
          <w:spacing w:val="-2"/>
          <w:sz w:val="16"/>
          <w:szCs w:val="16"/>
          <w:lang w:val="en-GB"/>
        </w:rPr>
        <w:t xml:space="preserve">both </w:t>
      </w:r>
      <w:r w:rsidRPr="005F7B4A">
        <w:rPr>
          <w:spacing w:val="-2"/>
          <w:sz w:val="16"/>
          <w:szCs w:val="16"/>
          <w:lang w:val="en-GB"/>
        </w:rPr>
        <w:t xml:space="preserve">in the Czech Republic and abroad) decreased only slightly (-0.2%), as increased exports of live animals for slaughter were reflected (a quarter of domestically fattened cattle travelled abroad for slaughter). A similar phenomenon was also observed for pigmeat (exports were by a third higher, year-on-year), thanks to which its domestic production increased by 7.4%. </w:t>
      </w:r>
      <w:r w:rsidRPr="005F7B4A">
        <w:rPr>
          <w:rStyle w:val="normaltextrun"/>
          <w:rFonts w:cs="Arial"/>
          <w:spacing w:val="-2"/>
          <w:sz w:val="16"/>
          <w:szCs w:val="16"/>
          <w:lang w:val="en-GB"/>
        </w:rPr>
        <w:t xml:space="preserve"> </w:t>
      </w:r>
    </w:p>
  </w:footnote>
  <w:footnote w:id="6">
    <w:p w14:paraId="22EFCAB4" w14:textId="77777777" w:rsidR="00165465" w:rsidRPr="005F7B4A" w:rsidRDefault="00165465" w:rsidP="00E551F6">
      <w:pPr>
        <w:spacing w:after="0" w:line="240" w:lineRule="auto"/>
        <w:rPr>
          <w:rFonts w:cs="Arial"/>
          <w:color w:val="0D0D0D" w:themeColor="text1" w:themeTint="F2"/>
          <w:spacing w:val="-2"/>
          <w:sz w:val="16"/>
          <w:szCs w:val="16"/>
          <w:lang w:val="en-GB"/>
        </w:rPr>
      </w:pPr>
      <w:r w:rsidRPr="005F7B4A">
        <w:rPr>
          <w:rStyle w:val="Znakapoznpodarou"/>
          <w:spacing w:val="-2"/>
          <w:sz w:val="16"/>
          <w:szCs w:val="16"/>
        </w:rPr>
        <w:footnoteRef/>
      </w:r>
      <w:r w:rsidRPr="005F7B4A">
        <w:rPr>
          <w:spacing w:val="-2"/>
          <w:sz w:val="16"/>
          <w:szCs w:val="16"/>
        </w:rPr>
        <w:t xml:space="preserve"> </w:t>
      </w:r>
      <w:r w:rsidRPr="005F7B4A">
        <w:rPr>
          <w:spacing w:val="-2"/>
          <w:sz w:val="16"/>
          <w:szCs w:val="16"/>
          <w:lang w:val="en-GB"/>
        </w:rPr>
        <w:t>Includes branches of mining and quarrying, manufacturing and also energetics (here as activities of production and distribution of electricity, gas, heat and air conditioning supply). All year-on-year rates of growth of output are adjusted for calendar effects, quarter-on-quarter rates as well for the seasonal effects.</w:t>
      </w:r>
    </w:p>
  </w:footnote>
  <w:footnote w:id="7">
    <w:p w14:paraId="64400F64" w14:textId="43E1C367" w:rsidR="00165465" w:rsidRPr="005F7B4A" w:rsidRDefault="00165465" w:rsidP="005F7B4A">
      <w:pPr>
        <w:spacing w:after="0" w:line="240" w:lineRule="auto"/>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w:t>
      </w:r>
      <w:bookmarkStart w:id="4" w:name="_Hlk178354425"/>
      <w:r w:rsidRPr="00776160">
        <w:rPr>
          <w:rFonts w:eastAsia="Calibri"/>
          <w:spacing w:val="-3"/>
          <w:sz w:val="16"/>
          <w:szCs w:val="16"/>
          <w:lang w:val="en-GB"/>
        </w:rPr>
        <w:t>17 out of 25 main industrial branches lagged behind their peak from years 2015 to 2019 this year in Q2 – coal mining (by 53%), manufacturing</w:t>
      </w:r>
      <w:r w:rsidRPr="005F7B4A">
        <w:rPr>
          <w:rFonts w:eastAsia="Calibri"/>
          <w:spacing w:val="-2"/>
          <w:sz w:val="16"/>
          <w:szCs w:val="16"/>
          <w:lang w:val="en-GB"/>
        </w:rPr>
        <w:t xml:space="preserve"> of basic metals, metallurgical processing and foundry (−33%), leather manufacturing (−22%), textile industry (−21%), energy and mining of </w:t>
      </w:r>
      <w:r w:rsidRPr="00776160">
        <w:rPr>
          <w:rFonts w:eastAsia="Calibri"/>
          <w:spacing w:val="-3"/>
          <w:sz w:val="16"/>
          <w:szCs w:val="16"/>
          <w:lang w:val="en-GB"/>
        </w:rPr>
        <w:t>building materials (both −20%) the most. Among larger branches further engineering (−14%), chemistry (−13%), production of building materials</w:t>
      </w:r>
      <w:r w:rsidRPr="005F7B4A">
        <w:rPr>
          <w:rFonts w:eastAsia="Calibri"/>
          <w:spacing w:val="-2"/>
          <w:sz w:val="16"/>
          <w:szCs w:val="16"/>
          <w:lang w:val="en-GB"/>
        </w:rPr>
        <w:t xml:space="preserve"> (−12%), rubber and plastic industries (−7%) and metalworking industry (−5%). On the contrary, especially the manufacturing of other transport equipment (+25%), pharmaceutical industry (22%), paper industry and manufacturing of motor vehicles (similarly +13%), other manufacturing (+12%), electrical engineering (+9%) and further for instance food industry (+4%) were currently situated above the pre-crisis level of output. </w:t>
      </w:r>
      <w:bookmarkEnd w:id="4"/>
    </w:p>
  </w:footnote>
  <w:footnote w:id="8">
    <w:p w14:paraId="089B4B6B" w14:textId="632A84E4" w:rsidR="00165465" w:rsidRPr="005F7B4A" w:rsidRDefault="00165465" w:rsidP="005F7B4A">
      <w:pPr>
        <w:spacing w:after="0" w:line="240" w:lineRule="auto"/>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w:t>
      </w:r>
      <w:bookmarkStart w:id="5" w:name="_Hlk178356997"/>
      <w:r w:rsidRPr="005F7B4A">
        <w:rPr>
          <w:rFonts w:eastAsia="Calibri"/>
          <w:spacing w:val="-2"/>
          <w:sz w:val="16"/>
          <w:szCs w:val="16"/>
          <w:lang w:val="en-GB"/>
        </w:rPr>
        <w:t>Industry experienced a dow</w:t>
      </w:r>
      <w:r>
        <w:rPr>
          <w:rFonts w:eastAsia="Calibri"/>
          <w:spacing w:val="-2"/>
          <w:sz w:val="16"/>
          <w:szCs w:val="16"/>
          <w:lang w:val="en-GB"/>
        </w:rPr>
        <w:t xml:space="preserve">nturn also in the EU since </w:t>
      </w:r>
      <w:r w:rsidRPr="005F7B4A">
        <w:rPr>
          <w:rFonts w:eastAsia="Calibri"/>
          <w:spacing w:val="-2"/>
          <w:sz w:val="16"/>
          <w:szCs w:val="16"/>
          <w:lang w:val="en-GB"/>
        </w:rPr>
        <w:t>Spring</w:t>
      </w:r>
      <w:r>
        <w:rPr>
          <w:rFonts w:eastAsia="Calibri"/>
          <w:spacing w:val="-2"/>
          <w:sz w:val="16"/>
          <w:szCs w:val="16"/>
          <w:lang w:val="en-GB"/>
        </w:rPr>
        <w:t xml:space="preserve"> in 2023</w:t>
      </w:r>
      <w:r w:rsidRPr="005F7B4A">
        <w:rPr>
          <w:rFonts w:eastAsia="Calibri"/>
          <w:spacing w:val="-2"/>
          <w:sz w:val="16"/>
          <w:szCs w:val="16"/>
          <w:lang w:val="en-GB"/>
        </w:rPr>
        <w:t xml:space="preserve">. In H1 2024, its production decreased by 3.4% in the Union (in that by 5.3% in Germany). The performance of economic activities focused on the production of investment products (by 5.7%) and durable goods (by 4.6%) decreased the most. </w:t>
      </w:r>
    </w:p>
    <w:bookmarkEnd w:id="5"/>
  </w:footnote>
  <w:footnote w:id="9">
    <w:p w14:paraId="48A9046A" w14:textId="77B0C60E" w:rsidR="00165465" w:rsidRPr="005F7B4A" w:rsidRDefault="00165465" w:rsidP="00E551F6">
      <w:pPr>
        <w:pStyle w:val="Textpoznpodarou"/>
        <w:jc w:val="both"/>
        <w:rPr>
          <w:color w:val="0D0D0D" w:themeColor="text1" w:themeTint="F2"/>
          <w:spacing w:val="-2"/>
          <w:sz w:val="16"/>
          <w:szCs w:val="16"/>
          <w:lang w:val="en-GB"/>
        </w:rPr>
      </w:pPr>
      <w:r w:rsidRPr="005F7B4A">
        <w:rPr>
          <w:rStyle w:val="Znakapoznpodarou"/>
          <w:color w:val="0D0D0D" w:themeColor="text1" w:themeTint="F2"/>
          <w:spacing w:val="-2"/>
          <w:sz w:val="16"/>
          <w:szCs w:val="16"/>
          <w:lang w:val="en-GB"/>
        </w:rPr>
        <w:footnoteRef/>
      </w:r>
      <w:r w:rsidRPr="005F7B4A">
        <w:rPr>
          <w:color w:val="0D0D0D" w:themeColor="text1" w:themeTint="F2"/>
          <w:spacing w:val="-2"/>
          <w:sz w:val="16"/>
          <w:szCs w:val="16"/>
          <w:lang w:val="en-GB"/>
        </w:rPr>
        <w:t xml:space="preserve"> </w:t>
      </w:r>
      <w:bookmarkStart w:id="6" w:name="_Hlk178357896"/>
      <w:r w:rsidRPr="005F7B4A">
        <w:rPr>
          <w:color w:val="0D0D0D" w:themeColor="text1" w:themeTint="F2"/>
          <w:spacing w:val="-2"/>
          <w:sz w:val="16"/>
          <w:szCs w:val="16"/>
          <w:lang w:val="en-GB"/>
        </w:rPr>
        <w:t>Data from the Automotive Industry Association of the Czech Republic also prove the still good current condition of the entir</w:t>
      </w:r>
      <w:r>
        <w:rPr>
          <w:color w:val="0D0D0D" w:themeColor="text1" w:themeTint="F2"/>
          <w:spacing w:val="-2"/>
          <w:sz w:val="16"/>
          <w:szCs w:val="16"/>
          <w:lang w:val="en-GB"/>
        </w:rPr>
        <w:t>e branch</w:t>
      </w:r>
      <w:r w:rsidRPr="005F7B4A">
        <w:rPr>
          <w:color w:val="0D0D0D" w:themeColor="text1" w:themeTint="F2"/>
          <w:spacing w:val="-2"/>
          <w:sz w:val="16"/>
          <w:szCs w:val="16"/>
          <w:lang w:val="en-GB"/>
        </w:rPr>
        <w:t xml:space="preserve">. According to them, there were 774 thousand personal vehicles manufactured locally for the whole half of this year (5% more, year-on-year, and 2% more than in the record year 2018). In contrast to previous years, the </w:t>
      </w:r>
      <w:r>
        <w:rPr>
          <w:color w:val="0D0D0D" w:themeColor="text1" w:themeTint="F2"/>
          <w:spacing w:val="-2"/>
          <w:sz w:val="16"/>
          <w:szCs w:val="16"/>
          <w:lang w:val="en-GB"/>
        </w:rPr>
        <w:t xml:space="preserve">current </w:t>
      </w:r>
      <w:r w:rsidRPr="005F7B4A">
        <w:rPr>
          <w:color w:val="0D0D0D" w:themeColor="text1" w:themeTint="F2"/>
          <w:spacing w:val="-2"/>
          <w:sz w:val="16"/>
          <w:szCs w:val="16"/>
          <w:lang w:val="en-GB"/>
        </w:rPr>
        <w:t>production was characterised by unprecedented uniformity (production exceeded 120,000 vehicles in all months), which indicates a significant calming in the area of the supply chains.</w:t>
      </w:r>
      <w:r>
        <w:rPr>
          <w:color w:val="0D0D0D" w:themeColor="text1" w:themeTint="F2"/>
          <w:sz w:val="16"/>
          <w:szCs w:val="16"/>
          <w:lang w:val="en-GB"/>
        </w:rPr>
        <w:t xml:space="preserve"> </w:t>
      </w:r>
      <w:r w:rsidRPr="005F7B4A">
        <w:rPr>
          <w:color w:val="0D0D0D" w:themeColor="text1" w:themeTint="F2"/>
          <w:spacing w:val="-2"/>
          <w:sz w:val="16"/>
          <w:szCs w:val="16"/>
          <w:lang w:val="en-GB"/>
        </w:rPr>
        <w:t xml:space="preserve">Manufacturing of electric vehicles (including electric-hybrid vehicles), which accounted for flat 8% of the total production of personal vehicles so far this year (12.4% a year earlier) on the contrary recorded a year-on-year decrease. In contrast, most manufacturers of other types of road motor vehicles have strengthened their production this year. </w:t>
      </w:r>
    </w:p>
    <w:bookmarkEnd w:id="6"/>
  </w:footnote>
  <w:footnote w:id="10">
    <w:p w14:paraId="171B275C" w14:textId="78A6E2BD" w:rsidR="00165465" w:rsidRPr="005F7B4A" w:rsidRDefault="00165465" w:rsidP="00E551F6">
      <w:pPr>
        <w:pStyle w:val="Textpoznpodarou"/>
        <w:jc w:val="both"/>
        <w:rPr>
          <w:spacing w:val="-2"/>
          <w:lang w:val="en-GB"/>
        </w:rPr>
      </w:pPr>
      <w:r w:rsidRPr="005F7B4A">
        <w:rPr>
          <w:rStyle w:val="Znakapoznpodarou"/>
          <w:spacing w:val="-2"/>
          <w:sz w:val="16"/>
          <w:szCs w:val="16"/>
          <w:lang w:val="en-GB"/>
        </w:rPr>
        <w:footnoteRef/>
      </w:r>
      <w:r w:rsidRPr="005F7B4A">
        <w:rPr>
          <w:spacing w:val="-2"/>
          <w:sz w:val="16"/>
          <w:szCs w:val="16"/>
          <w:lang w:val="en-GB"/>
        </w:rPr>
        <w:t xml:space="preserve"> According to the European Automobile Manufacturers’ Association, the number of registrations of new personal vehicles increased by 4.5%, year-on-year, in the EU in H1 2024 (to 5.7 million). The market growth was driven mainly by the electric-hybrid vehicles, which already accounted for nearly 30% of total sales. Except for the Benelux </w:t>
      </w:r>
      <w:bookmarkStart w:id="7" w:name="_Hlk178361239"/>
      <w:r>
        <w:rPr>
          <w:spacing w:val="-2"/>
          <w:sz w:val="16"/>
          <w:szCs w:val="16"/>
          <w:lang w:val="en-GB"/>
        </w:rPr>
        <w:t xml:space="preserve">and </w:t>
      </w:r>
      <w:r w:rsidRPr="005F7B4A">
        <w:rPr>
          <w:spacing w:val="-2"/>
          <w:sz w:val="16"/>
          <w:szCs w:val="16"/>
          <w:lang w:val="en-GB"/>
        </w:rPr>
        <w:t xml:space="preserve">Scandinavian countries, the total demand expanded in all major countries. Even though the number of registrations has been increasing, year-on-year, already for nearly two years in a row, they still lagged behind the peak of the pre-pandemic period about approximately one fifth in H1 2024. </w:t>
      </w:r>
      <w:r w:rsidRPr="005F7B4A">
        <w:rPr>
          <w:rFonts w:eastAsia="Times New Roman" w:cs="Arial"/>
          <w:color w:val="0D0D0D" w:themeColor="text1" w:themeTint="F2"/>
          <w:spacing w:val="-2"/>
          <w:sz w:val="16"/>
          <w:szCs w:val="16"/>
          <w:lang w:val="en-GB"/>
        </w:rPr>
        <w:t xml:space="preserve"> </w:t>
      </w:r>
      <w:bookmarkEnd w:id="7"/>
    </w:p>
  </w:footnote>
  <w:footnote w:id="11">
    <w:p w14:paraId="3CDB48BA" w14:textId="77777777" w:rsidR="00165465" w:rsidRPr="005F7B4A" w:rsidRDefault="00165465" w:rsidP="000674C7">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The output was by more than a quarter lower in this branch compared to H1 2021 this year.  </w:t>
      </w:r>
    </w:p>
  </w:footnote>
  <w:footnote w:id="12">
    <w:p w14:paraId="4381D2CC" w14:textId="77777777" w:rsidR="00165465" w:rsidRPr="005F7B4A" w:rsidRDefault="00165465" w:rsidP="000674C7">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The production has been falling in this field in the EU states, year-on-year, already for two and a half years in a row (by 2% in H1 this year).</w:t>
      </w:r>
    </w:p>
  </w:footnote>
  <w:footnote w:id="13">
    <w:p w14:paraId="7F192945" w14:textId="5D61ACAD" w:rsidR="00165465" w:rsidRPr="005F7B4A" w:rsidRDefault="00165465" w:rsidP="00E551F6">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It consists of mainly the manufacturing of medical ins</w:t>
      </w:r>
      <w:r>
        <w:rPr>
          <w:spacing w:val="-2"/>
          <w:sz w:val="16"/>
          <w:szCs w:val="16"/>
          <w:lang w:val="en-GB"/>
        </w:rPr>
        <w:t>truments and supplies, but also,</w:t>
      </w:r>
      <w:r w:rsidRPr="005F7B4A">
        <w:rPr>
          <w:spacing w:val="-2"/>
          <w:sz w:val="16"/>
          <w:szCs w:val="16"/>
          <w:lang w:val="en-GB"/>
        </w:rPr>
        <w:t xml:space="preserve"> for instance, the manufacturing of games, toys, sports goods or jewellery and bijouterie. </w:t>
      </w:r>
    </w:p>
  </w:footnote>
  <w:footnote w:id="14">
    <w:p w14:paraId="6235A214" w14:textId="087ECA8B" w:rsidR="00165465" w:rsidRPr="005F7B4A" w:rsidRDefault="00165465" w:rsidP="00E551F6">
      <w:pPr>
        <w:pStyle w:val="Textpoznpodarou"/>
        <w:jc w:val="both"/>
        <w:rPr>
          <w:spacing w:val="-2"/>
          <w:lang w:val="en-GB"/>
        </w:rPr>
      </w:pPr>
      <w:r w:rsidRPr="005F7B4A">
        <w:rPr>
          <w:rStyle w:val="Znakapoznpodarou"/>
          <w:spacing w:val="-2"/>
          <w:sz w:val="16"/>
          <w:szCs w:val="16"/>
        </w:rPr>
        <w:footnoteRef/>
      </w:r>
      <w:r w:rsidRPr="005F7B4A">
        <w:rPr>
          <w:spacing w:val="-2"/>
          <w:sz w:val="16"/>
          <w:szCs w:val="16"/>
        </w:rPr>
        <w:t xml:space="preserve"> According to the data of the Energy Regulatory Office, the gr</w:t>
      </w:r>
      <w:r>
        <w:rPr>
          <w:spacing w:val="-2"/>
          <w:sz w:val="16"/>
          <w:szCs w:val="16"/>
        </w:rPr>
        <w:t>oss domestic electricity produc</w:t>
      </w:r>
      <w:r w:rsidRPr="005F7B4A">
        <w:rPr>
          <w:spacing w:val="-2"/>
          <w:sz w:val="16"/>
          <w:szCs w:val="16"/>
        </w:rPr>
        <w:t xml:space="preserve">tion amounted to 36.1 TWh (by 5.6%, year-on-year, </w:t>
      </w:r>
      <w:r>
        <w:rPr>
          <w:spacing w:val="-2"/>
          <w:sz w:val="16"/>
          <w:szCs w:val="16"/>
        </w:rPr>
        <w:t>less) in H1 2024. Mostly steam</w:t>
      </w:r>
      <w:r w:rsidRPr="005F7B4A">
        <w:rPr>
          <w:spacing w:val="-2"/>
          <w:sz w:val="16"/>
          <w:szCs w:val="16"/>
        </w:rPr>
        <w:t xml:space="preserve"> power plants (with output lower by 10.8%) and nuclear power sources (−4.6%) were behind the decrease. In contrast mainly the developing renewable sources dampened the total output decrease – photovoltaic power stations generated by 28% more (to a vast part due to the rapid growth of the installed capacity of the smallest sources – up to 10 kW), wind power plants (+9%), and pumping stations also supplied more electricity </w:t>
      </w:r>
      <w:bookmarkStart w:id="12" w:name="_Hlk178429442"/>
      <w:r w:rsidRPr="005F7B4A">
        <w:rPr>
          <w:color w:val="0D0D0D" w:themeColor="text1" w:themeTint="F2"/>
          <w:spacing w:val="-2"/>
          <w:sz w:val="16"/>
          <w:szCs w:val="16"/>
          <w:lang w:val="en-GB"/>
        </w:rPr>
        <w:t>(+15%).</w:t>
      </w:r>
    </w:p>
    <w:bookmarkEnd w:id="12"/>
  </w:footnote>
  <w:footnote w:id="15">
    <w:p w14:paraId="3E97B6A1" w14:textId="409A46F7" w:rsidR="00165465" w:rsidRPr="00D159E7" w:rsidRDefault="00165465" w:rsidP="00E551F6">
      <w:pPr>
        <w:pStyle w:val="Textpoznpodarou"/>
        <w:jc w:val="both"/>
        <w:rPr>
          <w:spacing w:val="-2"/>
          <w:sz w:val="16"/>
          <w:szCs w:val="16"/>
        </w:rPr>
      </w:pPr>
      <w:r w:rsidRPr="005F7B4A">
        <w:rPr>
          <w:rStyle w:val="Znakapoznpodarou"/>
          <w:spacing w:val="-2"/>
          <w:sz w:val="16"/>
          <w:szCs w:val="16"/>
          <w:lang w:val="en-GB"/>
        </w:rPr>
        <w:footnoteRef/>
      </w:r>
      <w:r w:rsidRPr="005F7B4A">
        <w:rPr>
          <w:spacing w:val="-2"/>
          <w:sz w:val="16"/>
          <w:szCs w:val="16"/>
          <w:lang w:val="en-GB"/>
        </w:rPr>
        <w:t xml:space="preserve"> The domestic consumption of electricity arrived at 34.0 TWh in H1 2024, by 2.1% less, year-on-year. Of the key consumer categories, households contributed the most to the decrease (their consumption decreased by 2.3%), and to a lesser extent also entrepreneurs and majority of companies. Only the consumption of the largest enterprises within the group of wholesale customers increased slightly (+1.8%). Compared to H1 2019, the consumpt</w:t>
      </w:r>
      <w:r>
        <w:rPr>
          <w:spacing w:val="-2"/>
          <w:sz w:val="16"/>
          <w:szCs w:val="16"/>
          <w:lang w:val="en-GB"/>
        </w:rPr>
        <w:t>ion of wholesale customers (−8.5</w:t>
      </w:r>
      <w:r w:rsidRPr="005F7B4A">
        <w:rPr>
          <w:spacing w:val="-2"/>
          <w:sz w:val="16"/>
          <w:szCs w:val="16"/>
          <w:lang w:val="en-GB"/>
        </w:rPr>
        <w:t>%) and small entrepreneurs (−7.7%) was the lowest this year, while the decrease in households was only 0.8%, also due to the spread of working from home.</w:t>
      </w:r>
      <w:r>
        <w:rPr>
          <w:spacing w:val="-2"/>
          <w:sz w:val="16"/>
          <w:szCs w:val="16"/>
          <w:lang w:val="en-GB"/>
        </w:rPr>
        <w:t xml:space="preserve"> </w:t>
      </w:r>
    </w:p>
  </w:footnote>
  <w:footnote w:id="16">
    <w:p w14:paraId="5D4609DD" w14:textId="744321D3" w:rsidR="00165465" w:rsidRPr="005F7B4A" w:rsidRDefault="00165465" w:rsidP="005F7B4A">
      <w:pPr>
        <w:pStyle w:val="Textpoznpodarou"/>
        <w:jc w:val="both"/>
        <w:rPr>
          <w:spacing w:val="-2"/>
          <w:sz w:val="16"/>
          <w:szCs w:val="16"/>
          <w:lang w:val="en-GB"/>
        </w:rPr>
      </w:pPr>
      <w:r w:rsidRPr="005F7B4A">
        <w:rPr>
          <w:rStyle w:val="Znakapoznpodarou"/>
          <w:spacing w:val="-2"/>
          <w:sz w:val="16"/>
          <w:szCs w:val="16"/>
        </w:rPr>
        <w:footnoteRef/>
      </w:r>
      <w:r w:rsidRPr="005F7B4A">
        <w:rPr>
          <w:spacing w:val="-2"/>
          <w:sz w:val="16"/>
          <w:szCs w:val="16"/>
        </w:rPr>
        <w:t xml:space="preserve"> </w:t>
      </w:r>
      <w:bookmarkStart w:id="13" w:name="_Hlk178428647"/>
      <w:r w:rsidRPr="005F7B4A">
        <w:rPr>
          <w:spacing w:val="-2"/>
          <w:sz w:val="16"/>
          <w:szCs w:val="16"/>
        </w:rPr>
        <w:t xml:space="preserve">It </w:t>
      </w:r>
      <w:r w:rsidRPr="005F7B4A">
        <w:rPr>
          <w:spacing w:val="-2"/>
          <w:sz w:val="16"/>
          <w:szCs w:val="16"/>
          <w:lang w:val="en-GB"/>
        </w:rPr>
        <w:t xml:space="preserve">was −7.9%, year-on-year, for H1 2024. Similarly to electricity, households saved the most gas (−12.6%) and wholesale customers the least (−4.9%). However, converted to the thermal standard, the total consumption fell only by 0.7%, year-on-year, but by 25% in three </w:t>
      </w:r>
      <w:r>
        <w:rPr>
          <w:spacing w:val="-2"/>
          <w:sz w:val="16"/>
          <w:szCs w:val="16"/>
          <w:lang w:val="en-GB"/>
        </w:rPr>
        <w:t xml:space="preserve">last </w:t>
      </w:r>
      <w:r w:rsidRPr="005F7B4A">
        <w:rPr>
          <w:spacing w:val="-2"/>
          <w:sz w:val="16"/>
          <w:szCs w:val="16"/>
          <w:lang w:val="en-GB"/>
        </w:rPr>
        <w:t xml:space="preserve">years (real consumption even by 35%). </w:t>
      </w:r>
    </w:p>
    <w:bookmarkEnd w:id="13"/>
  </w:footnote>
  <w:footnote w:id="17">
    <w:p w14:paraId="62F55925" w14:textId="77777777" w:rsidR="00165465" w:rsidRPr="005F7B4A" w:rsidRDefault="00165465" w:rsidP="005F7B4A">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w:t>
      </w:r>
      <w:bookmarkStart w:id="14" w:name="_Hlk178444387"/>
      <w:r w:rsidRPr="005F7B4A">
        <w:rPr>
          <w:spacing w:val="-2"/>
          <w:sz w:val="16"/>
          <w:szCs w:val="16"/>
          <w:lang w:val="en-GB"/>
        </w:rPr>
        <w:t xml:space="preserve">Based on the Czech Hydrometeorological Institute, the average air temperature in the Czech Republic was 9.3 degrees Celsius in H1 this year (it was 2.5 degrees higher than the long-term average from years 1991–2020), “only” 7.6 degrees at the same time last year. Above-normal temperatures have occurred in all months so far this year – especially in February (with a deviation of +6.0 degrees) and March (+3.7). </w:t>
      </w:r>
      <w:bookmarkEnd w:id="14"/>
    </w:p>
  </w:footnote>
  <w:footnote w:id="18">
    <w:p w14:paraId="7969D5ED" w14:textId="77777777" w:rsidR="00165465" w:rsidRPr="006E7124" w:rsidRDefault="00165465" w:rsidP="005F7B4A">
      <w:pPr>
        <w:pStyle w:val="Textpoznpodarou"/>
        <w:jc w:val="both"/>
        <w:rPr>
          <w:rFonts w:cs="Arial"/>
          <w:color w:val="0D0D0D" w:themeColor="text1" w:themeTint="F2"/>
          <w:spacing w:val="-4"/>
          <w:sz w:val="16"/>
          <w:szCs w:val="16"/>
          <w:lang w:val="en-GB"/>
        </w:rPr>
      </w:pPr>
      <w:r w:rsidRPr="005F7B4A">
        <w:rPr>
          <w:rStyle w:val="Znakapoznpodarou"/>
          <w:rFonts w:cs="Arial"/>
          <w:color w:val="0D0D0D" w:themeColor="text1" w:themeTint="F2"/>
          <w:spacing w:val="-2"/>
          <w:sz w:val="16"/>
          <w:szCs w:val="16"/>
          <w:lang w:val="en-GB"/>
        </w:rPr>
        <w:footnoteRef/>
      </w:r>
      <w:r w:rsidRPr="005F7B4A">
        <w:rPr>
          <w:rFonts w:cs="Arial"/>
          <w:color w:val="0D0D0D" w:themeColor="text1" w:themeTint="F2"/>
          <w:spacing w:val="-2"/>
          <w:sz w:val="16"/>
          <w:szCs w:val="16"/>
          <w:lang w:val="en-GB"/>
        </w:rPr>
        <w:t xml:space="preserve"> S</w:t>
      </w:r>
      <w:r w:rsidRPr="00B67298">
        <w:rPr>
          <w:rFonts w:cs="Arial"/>
          <w:color w:val="0D0D0D" w:themeColor="text1" w:themeTint="F2"/>
          <w:spacing w:val="-4"/>
          <w:sz w:val="16"/>
          <w:szCs w:val="16"/>
          <w:lang w:val="en-GB"/>
        </w:rPr>
        <w:t>urvey of orders is performed only in twelve manufacturing branches producing mostly custom-made products, with longer production cycle and larger order stocks. Year-on-year growth rates of orders are adjusted for calendar effects, quarter-on-quarter rates also for seasonality effects.</w:t>
      </w:r>
    </w:p>
  </w:footnote>
  <w:footnote w:id="19">
    <w:p w14:paraId="41EDA235" w14:textId="77777777" w:rsidR="00165465" w:rsidRPr="005F7B4A" w:rsidRDefault="00165465" w:rsidP="005F7B4A">
      <w:pPr>
        <w:pStyle w:val="Textpoznpodarou"/>
        <w:jc w:val="both"/>
        <w:rPr>
          <w:spacing w:val="-2"/>
          <w:sz w:val="16"/>
          <w:szCs w:val="16"/>
          <w:lang w:val="en-GB"/>
        </w:rPr>
      </w:pPr>
      <w:r w:rsidRPr="005F7B4A">
        <w:rPr>
          <w:rStyle w:val="Znakapoznpodarou"/>
          <w:spacing w:val="-2"/>
          <w:sz w:val="16"/>
          <w:szCs w:val="16"/>
          <w:lang w:val="en-GB"/>
        </w:rPr>
        <w:footnoteRef/>
      </w:r>
      <w:r>
        <w:rPr>
          <w:spacing w:val="-2"/>
          <w:sz w:val="16"/>
          <w:szCs w:val="16"/>
          <w:lang w:val="en-GB"/>
        </w:rPr>
        <w:t xml:space="preserve"> Businesses could have</w:t>
      </w:r>
      <w:r w:rsidRPr="005F7B4A">
        <w:rPr>
          <w:spacing w:val="-2"/>
          <w:sz w:val="16"/>
          <w:szCs w:val="16"/>
          <w:lang w:val="en-GB"/>
        </w:rPr>
        <w:t xml:space="preserve"> indicate</w:t>
      </w:r>
      <w:r>
        <w:rPr>
          <w:spacing w:val="-2"/>
          <w:sz w:val="16"/>
          <w:szCs w:val="16"/>
          <w:lang w:val="en-GB"/>
        </w:rPr>
        <w:t>d</w:t>
      </w:r>
      <w:r w:rsidRPr="005F7B4A">
        <w:rPr>
          <w:spacing w:val="-2"/>
          <w:sz w:val="16"/>
          <w:szCs w:val="16"/>
          <w:lang w:val="en-GB"/>
        </w:rPr>
        <w:t xml:space="preserve"> more barriers simultaneously. Apart from a short period at the onset of the covid-19 pandemics, the current urgency of the insufficient demand in industry is the highest in the last 10 years. </w:t>
      </w:r>
    </w:p>
  </w:footnote>
  <w:footnote w:id="20">
    <w:p w14:paraId="5474AC23" w14:textId="77777777" w:rsidR="00165465" w:rsidRPr="00162E7D" w:rsidRDefault="00165465" w:rsidP="005F7B4A">
      <w:pPr>
        <w:spacing w:after="0" w:line="240" w:lineRule="auto"/>
        <w:rPr>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w:t>
      </w:r>
      <w:r w:rsidRPr="005F7B4A">
        <w:rPr>
          <w:rFonts w:eastAsia="Calibri"/>
          <w:spacing w:val="-2"/>
          <w:sz w:val="16"/>
          <w:szCs w:val="16"/>
          <w:lang w:val="en-GB"/>
        </w:rPr>
        <w:t>However, it still represented a significant barrier in some, especially smaller, branches (food, beverage and leatherworking industries), exceptionally also a dominant growth restraint (manufacture of other transport equipment, repair and installation of machinery and equipment).</w:t>
      </w:r>
    </w:p>
  </w:footnote>
  <w:footnote w:id="21">
    <w:p w14:paraId="792099C5" w14:textId="77777777" w:rsidR="00165465" w:rsidRPr="005F7B4A" w:rsidRDefault="00165465" w:rsidP="005F7B4A">
      <w:pPr>
        <w:pStyle w:val="Textpoznpodarou"/>
        <w:jc w:val="both"/>
        <w:rPr>
          <w:spacing w:val="-2"/>
          <w:sz w:val="16"/>
          <w:szCs w:val="16"/>
          <w:lang w:val="en-GB"/>
        </w:rPr>
      </w:pPr>
      <w:r w:rsidRPr="005F7B4A">
        <w:rPr>
          <w:rStyle w:val="Znakapoznpodarou"/>
          <w:spacing w:val="-2"/>
          <w:sz w:val="16"/>
          <w:szCs w:val="16"/>
        </w:rPr>
        <w:footnoteRef/>
      </w:r>
      <w:r w:rsidRPr="005F7B4A">
        <w:rPr>
          <w:spacing w:val="-2"/>
          <w:sz w:val="16"/>
          <w:szCs w:val="16"/>
        </w:rPr>
        <w:t xml:space="preserve"> </w:t>
      </w:r>
      <w:bookmarkStart w:id="18" w:name="_Hlk178446599"/>
      <w:r w:rsidRPr="005F7B4A">
        <w:rPr>
          <w:spacing w:val="-2"/>
          <w:sz w:val="16"/>
          <w:szCs w:val="16"/>
        </w:rPr>
        <w:t xml:space="preserve">According to business cycle surveys from August 2024, still nearly a third of domestic construction companies anticipated the growth of prices of own production (within three months horizon). It unequivocally presented the largest share among all major industries. While inflation pressures have largely evaporated in other branches, higher inertia is manifested in the construction sector due to a longer production cycle. </w:t>
      </w:r>
    </w:p>
    <w:bookmarkEnd w:id="18"/>
  </w:footnote>
  <w:footnote w:id="22">
    <w:p w14:paraId="72B81466" w14:textId="77777777" w:rsidR="00165465" w:rsidRPr="005F7B4A" w:rsidRDefault="00165465" w:rsidP="005F7B4A">
      <w:pPr>
        <w:spacing w:after="0" w:line="240" w:lineRule="auto"/>
        <w:rPr>
          <w:spacing w:val="-2"/>
          <w:lang w:val="en-GB"/>
        </w:rPr>
      </w:pPr>
      <w:r w:rsidRPr="005F7B4A">
        <w:rPr>
          <w:rStyle w:val="Znakapoznpodarou"/>
          <w:spacing w:val="-2"/>
          <w:sz w:val="16"/>
          <w:szCs w:val="16"/>
        </w:rPr>
        <w:footnoteRef/>
      </w:r>
      <w:r w:rsidRPr="005F7B4A">
        <w:rPr>
          <w:spacing w:val="-2"/>
          <w:sz w:val="16"/>
          <w:szCs w:val="16"/>
        </w:rPr>
        <w:t xml:space="preserve"> </w:t>
      </w:r>
      <w:bookmarkStart w:id="19" w:name="_Hlk178452496"/>
      <w:r w:rsidRPr="005F7B4A">
        <w:rPr>
          <w:rFonts w:eastAsia="Calibri"/>
          <w:spacing w:val="-2"/>
          <w:sz w:val="16"/>
          <w:szCs w:val="16"/>
        </w:rPr>
        <w:t xml:space="preserve">However, this effect is not nearly as pronounced as in 2016. In H1 2024, capital expenditure of the state budget of the Czech Republic fell by 3.3%, year-on-year. The State Fund for Transport Infrastructure expects total expenditure of 150 bn CZK for the whole this year (given the model of multi-source financing continues), which is only slightly less than in the record last year (151 bn CZK). In the future, the construction industry should also benefit still more intensively from the funds of the National Recovery Plan intended for example to reduce the energy performance of buildings. </w:t>
      </w:r>
      <w:bookmarkEnd w:id="19"/>
    </w:p>
  </w:footnote>
  <w:footnote w:id="23">
    <w:p w14:paraId="1AF37462" w14:textId="77777777" w:rsidR="00165465" w:rsidRPr="00576982" w:rsidRDefault="00165465" w:rsidP="005F7B4A">
      <w:pPr>
        <w:pStyle w:val="Textpoznpodarou"/>
        <w:jc w:val="both"/>
        <w:rPr>
          <w:sz w:val="16"/>
          <w:szCs w:val="16"/>
          <w:lang w:val="en-GB"/>
        </w:rPr>
      </w:pPr>
      <w:r w:rsidRPr="005F7B4A">
        <w:rPr>
          <w:rStyle w:val="Znakapoznpodarou"/>
          <w:rFonts w:cs="Arial"/>
          <w:color w:val="0D0D0D" w:themeColor="text1" w:themeTint="F2"/>
          <w:spacing w:val="-2"/>
          <w:sz w:val="16"/>
          <w:szCs w:val="16"/>
          <w:lang w:val="en-GB"/>
        </w:rPr>
        <w:footnoteRef/>
      </w:r>
      <w:r w:rsidRPr="005F7B4A">
        <w:rPr>
          <w:rFonts w:cs="Arial"/>
          <w:color w:val="0D0D0D" w:themeColor="text1" w:themeTint="F2"/>
          <w:spacing w:val="-2"/>
          <w:sz w:val="16"/>
          <w:szCs w:val="16"/>
          <w:lang w:val="en-GB"/>
        </w:rPr>
        <w:t xml:space="preserve"> Data regarding the construction output are in constant prices, year-on-year rates of growth are adjusted for calendar effects, quarter-on-quarter rates also for seasonality effects.</w:t>
      </w:r>
    </w:p>
  </w:footnote>
  <w:footnote w:id="24">
    <w:p w14:paraId="08C499AA" w14:textId="77777777" w:rsidR="00165465" w:rsidRPr="009D0B93" w:rsidRDefault="00165465" w:rsidP="00E551F6">
      <w:pPr>
        <w:spacing w:after="0" w:line="240" w:lineRule="auto"/>
        <w:rPr>
          <w:spacing w:val="-2"/>
          <w:lang w:val="en-GB"/>
        </w:rPr>
      </w:pPr>
      <w:r w:rsidRPr="00E62461">
        <w:rPr>
          <w:rStyle w:val="Znakapoznpodarou"/>
          <w:color w:val="0D0D0D" w:themeColor="text1" w:themeTint="F2"/>
          <w:spacing w:val="-2"/>
          <w:sz w:val="16"/>
          <w:szCs w:val="16"/>
        </w:rPr>
        <w:footnoteRef/>
      </w:r>
      <w:r w:rsidRPr="00E62461">
        <w:rPr>
          <w:color w:val="0D0D0D" w:themeColor="text1" w:themeTint="F2"/>
          <w:spacing w:val="-2"/>
          <w:sz w:val="16"/>
          <w:szCs w:val="16"/>
        </w:rPr>
        <w:t xml:space="preserve"> </w:t>
      </w:r>
      <w:r w:rsidRPr="009D0B93">
        <w:rPr>
          <w:color w:val="0D0D0D" w:themeColor="text1" w:themeTint="F2"/>
          <w:spacing w:val="-2"/>
          <w:sz w:val="16"/>
          <w:szCs w:val="16"/>
          <w:lang w:val="en-GB"/>
        </w:rPr>
        <w:t xml:space="preserve">Without trade, financial and insurance activities, science, research and public services. All data for services are in constant prices, year-on-year data are adjusted for calendar effects, quarter-on-quarter data are adjusted for seasonal effects (including the effect of the number of working days). </w:t>
      </w:r>
    </w:p>
  </w:footnote>
  <w:footnote w:id="25">
    <w:p w14:paraId="7947BBDD" w14:textId="729C8839" w:rsidR="00165465" w:rsidRPr="009D0B93" w:rsidRDefault="00165465" w:rsidP="00E551F6">
      <w:pPr>
        <w:pStyle w:val="Textpoznpodarou"/>
        <w:jc w:val="both"/>
        <w:rPr>
          <w:spacing w:val="-2"/>
          <w:sz w:val="16"/>
          <w:szCs w:val="16"/>
          <w:lang w:val="en-GB"/>
        </w:rPr>
      </w:pPr>
      <w:r w:rsidRPr="009D0B93">
        <w:rPr>
          <w:rStyle w:val="Znakapoznpodarou"/>
          <w:spacing w:val="-2"/>
          <w:sz w:val="16"/>
          <w:szCs w:val="16"/>
          <w:lang w:val="en-GB"/>
        </w:rPr>
        <w:footnoteRef/>
      </w:r>
      <w:r w:rsidRPr="009D0B93">
        <w:rPr>
          <w:spacing w:val="-2"/>
          <w:sz w:val="16"/>
          <w:szCs w:val="16"/>
          <w:lang w:val="en-GB"/>
        </w:rPr>
        <w:t xml:space="preserve"> </w:t>
      </w:r>
      <w:r>
        <w:rPr>
          <w:spacing w:val="-2"/>
          <w:sz w:val="16"/>
          <w:szCs w:val="16"/>
          <w:lang w:val="en-GB"/>
        </w:rPr>
        <w:t xml:space="preserve">Among the main branches, the sales lagged the most behind the level of Q2 2019 in accommodation, food service and restaurants </w:t>
      </w:r>
      <w:r w:rsidRPr="009D0B93">
        <w:rPr>
          <w:spacing w:val="-2"/>
          <w:sz w:val="16"/>
          <w:szCs w:val="16"/>
          <w:lang w:val="en-GB"/>
        </w:rPr>
        <w:t>(</w:t>
      </w:r>
      <w:r w:rsidRPr="009D0B93">
        <w:rPr>
          <w:color w:val="0D0D0D" w:themeColor="text1" w:themeTint="F2"/>
          <w:spacing w:val="-2"/>
          <w:sz w:val="16"/>
          <w:szCs w:val="16"/>
          <w:lang w:val="en-GB"/>
        </w:rPr>
        <w:t>−</w:t>
      </w:r>
      <w:r w:rsidRPr="009D0B93">
        <w:rPr>
          <w:spacing w:val="-2"/>
          <w:sz w:val="16"/>
          <w:szCs w:val="16"/>
          <w:lang w:val="en-GB"/>
        </w:rPr>
        <w:t>10</w:t>
      </w:r>
      <w:r>
        <w:rPr>
          <w:spacing w:val="-2"/>
          <w:sz w:val="16"/>
          <w:szCs w:val="16"/>
          <w:lang w:val="en-GB"/>
        </w:rPr>
        <w:t>.</w:t>
      </w:r>
      <w:r w:rsidRPr="009D0B93">
        <w:rPr>
          <w:spacing w:val="-2"/>
          <w:sz w:val="16"/>
          <w:szCs w:val="16"/>
          <w:lang w:val="en-GB"/>
        </w:rPr>
        <w:t>7%)</w:t>
      </w:r>
      <w:r>
        <w:rPr>
          <w:spacing w:val="-2"/>
          <w:sz w:val="16"/>
          <w:szCs w:val="16"/>
          <w:lang w:val="en-GB"/>
        </w:rPr>
        <w:t xml:space="preserve"> and in administrative and support service activities </w:t>
      </w:r>
      <w:r w:rsidRPr="009D0B93">
        <w:rPr>
          <w:rFonts w:cs="Arial"/>
          <w:color w:val="0D0D0D" w:themeColor="text1" w:themeTint="F2"/>
          <w:spacing w:val="-2"/>
          <w:sz w:val="16"/>
          <w:szCs w:val="16"/>
          <w:lang w:val="en-GB"/>
        </w:rPr>
        <w:t>(</w:t>
      </w:r>
      <w:r w:rsidRPr="009D0B93">
        <w:rPr>
          <w:color w:val="0D0D0D" w:themeColor="text1" w:themeTint="F2"/>
          <w:spacing w:val="-2"/>
          <w:sz w:val="16"/>
          <w:szCs w:val="16"/>
          <w:lang w:val="en-GB"/>
        </w:rPr>
        <w:t>−</w:t>
      </w:r>
      <w:r w:rsidRPr="009D0B93">
        <w:rPr>
          <w:rFonts w:cs="Arial"/>
          <w:color w:val="0D0D0D" w:themeColor="text1" w:themeTint="F2"/>
          <w:spacing w:val="-2"/>
          <w:sz w:val="16"/>
          <w:szCs w:val="16"/>
          <w:lang w:val="en-GB"/>
        </w:rPr>
        <w:t>6</w:t>
      </w:r>
      <w:r>
        <w:rPr>
          <w:rFonts w:cs="Arial"/>
          <w:color w:val="0D0D0D" w:themeColor="text1" w:themeTint="F2"/>
          <w:spacing w:val="-2"/>
          <w:sz w:val="16"/>
          <w:szCs w:val="16"/>
          <w:lang w:val="en-GB"/>
        </w:rPr>
        <w:t>.</w:t>
      </w:r>
      <w:r w:rsidRPr="009D0B93">
        <w:rPr>
          <w:rFonts w:cs="Arial"/>
          <w:color w:val="0D0D0D" w:themeColor="text1" w:themeTint="F2"/>
          <w:spacing w:val="-2"/>
          <w:sz w:val="16"/>
          <w:szCs w:val="16"/>
          <w:lang w:val="en-GB"/>
        </w:rPr>
        <w:t>4%)</w:t>
      </w:r>
      <w:r>
        <w:rPr>
          <w:rFonts w:cs="Arial"/>
          <w:color w:val="0D0D0D" w:themeColor="text1" w:themeTint="F2"/>
          <w:spacing w:val="-2"/>
          <w:sz w:val="16"/>
          <w:szCs w:val="16"/>
          <w:lang w:val="en-GB"/>
        </w:rPr>
        <w:t xml:space="preserve"> this year</w:t>
      </w:r>
      <w:r w:rsidRPr="009D0B93">
        <w:rPr>
          <w:rFonts w:cs="Arial"/>
          <w:color w:val="0D0D0D" w:themeColor="text1" w:themeTint="F2"/>
          <w:spacing w:val="-2"/>
          <w:sz w:val="16"/>
          <w:szCs w:val="16"/>
          <w:lang w:val="en-GB"/>
        </w:rPr>
        <w:t xml:space="preserve">. </w:t>
      </w:r>
      <w:r>
        <w:rPr>
          <w:rFonts w:cs="Arial"/>
          <w:color w:val="0D0D0D" w:themeColor="text1" w:themeTint="F2"/>
          <w:spacing w:val="-2"/>
          <w:sz w:val="16"/>
          <w:szCs w:val="16"/>
          <w:lang w:val="en-GB"/>
        </w:rPr>
        <w:t xml:space="preserve">Oo the other hand mainly information and communication </w:t>
      </w:r>
      <w:r w:rsidRPr="009D0B93">
        <w:rPr>
          <w:rFonts w:cs="Arial"/>
          <w:color w:val="0D0D0D" w:themeColor="text1" w:themeTint="F2"/>
          <w:spacing w:val="-2"/>
          <w:sz w:val="16"/>
          <w:szCs w:val="16"/>
          <w:lang w:val="en-GB"/>
        </w:rPr>
        <w:t>(+12</w:t>
      </w:r>
      <w:r>
        <w:rPr>
          <w:rFonts w:cs="Arial"/>
          <w:color w:val="0D0D0D" w:themeColor="text1" w:themeTint="F2"/>
          <w:spacing w:val="-2"/>
          <w:sz w:val="16"/>
          <w:szCs w:val="16"/>
          <w:lang w:val="en-GB"/>
        </w:rPr>
        <w:t>.</w:t>
      </w:r>
      <w:r w:rsidRPr="009D0B93">
        <w:rPr>
          <w:rFonts w:cs="Arial"/>
          <w:color w:val="0D0D0D" w:themeColor="text1" w:themeTint="F2"/>
          <w:spacing w:val="-2"/>
          <w:sz w:val="16"/>
          <w:szCs w:val="16"/>
          <w:lang w:val="en-GB"/>
        </w:rPr>
        <w:t>4%) a</w:t>
      </w:r>
      <w:r>
        <w:rPr>
          <w:rFonts w:cs="Arial"/>
          <w:color w:val="0D0D0D" w:themeColor="text1" w:themeTint="F2"/>
          <w:spacing w:val="-2"/>
          <w:sz w:val="16"/>
          <w:szCs w:val="16"/>
          <w:lang w:val="en-GB"/>
        </w:rPr>
        <w:t xml:space="preserve">nd real estate activities </w:t>
      </w:r>
      <w:r w:rsidRPr="009D0B93">
        <w:rPr>
          <w:rFonts w:cs="Arial"/>
          <w:color w:val="0D0D0D" w:themeColor="text1" w:themeTint="F2"/>
          <w:spacing w:val="-2"/>
          <w:sz w:val="16"/>
          <w:szCs w:val="16"/>
          <w:lang w:val="en-GB"/>
        </w:rPr>
        <w:t>(+6</w:t>
      </w:r>
      <w:r>
        <w:rPr>
          <w:rFonts w:cs="Arial"/>
          <w:color w:val="0D0D0D" w:themeColor="text1" w:themeTint="F2"/>
          <w:spacing w:val="-2"/>
          <w:sz w:val="16"/>
          <w:szCs w:val="16"/>
          <w:lang w:val="en-GB"/>
        </w:rPr>
        <w:t>.</w:t>
      </w:r>
      <w:r w:rsidRPr="009D0B93">
        <w:rPr>
          <w:rFonts w:cs="Arial"/>
          <w:color w:val="0D0D0D" w:themeColor="text1" w:themeTint="F2"/>
          <w:spacing w:val="-2"/>
          <w:sz w:val="16"/>
          <w:szCs w:val="16"/>
          <w:lang w:val="en-GB"/>
        </w:rPr>
        <w:t>6%)</w:t>
      </w:r>
      <w:r>
        <w:rPr>
          <w:rFonts w:cs="Arial"/>
          <w:color w:val="0D0D0D" w:themeColor="text1" w:themeTint="F2"/>
          <w:spacing w:val="-2"/>
          <w:sz w:val="16"/>
          <w:szCs w:val="16"/>
          <w:lang w:val="en-GB"/>
        </w:rPr>
        <w:t xml:space="preserve"> overtook this level</w:t>
      </w:r>
      <w:r w:rsidRPr="009D0B93">
        <w:rPr>
          <w:rFonts w:cs="Arial"/>
          <w:color w:val="0D0D0D" w:themeColor="text1" w:themeTint="F2"/>
          <w:spacing w:val="-2"/>
          <w:sz w:val="16"/>
          <w:szCs w:val="16"/>
          <w:lang w:val="en-GB"/>
        </w:rPr>
        <w:t>.</w:t>
      </w:r>
    </w:p>
  </w:footnote>
  <w:footnote w:id="26">
    <w:p w14:paraId="4FFEF476" w14:textId="6581D1D2" w:rsidR="00165465" w:rsidRPr="005F7B4A" w:rsidRDefault="00165465" w:rsidP="005F7B4A">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While the number of guests was higher by 3.1% compared to Q2 2019, the number of overnight stays still slightly lagged behind (by 0.8%).</w:t>
      </w:r>
    </w:p>
  </w:footnote>
  <w:footnote w:id="27">
    <w:p w14:paraId="02F5315B" w14:textId="77777777" w:rsidR="00165465" w:rsidRPr="005F7B4A" w:rsidRDefault="00165465" w:rsidP="005F7B4A">
      <w:pPr>
        <w:spacing w:after="0" w:line="240" w:lineRule="auto"/>
        <w:rPr>
          <w:color w:val="0D0D0D" w:themeColor="text1" w:themeTint="F2"/>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The year-on-year increase in the number of arrivals of foreign guests to the Czech Republic was 9.3% in Q2 and their overnight stays 6.6%. All categories of accommodation facilities and at the same time all regions except for the </w:t>
      </w:r>
      <w:r w:rsidRPr="005F7B4A">
        <w:rPr>
          <w:i/>
          <w:iCs/>
          <w:spacing w:val="-2"/>
          <w:sz w:val="16"/>
          <w:szCs w:val="16"/>
          <w:lang w:val="en-GB"/>
        </w:rPr>
        <w:t>Ústecký</w:t>
      </w:r>
      <w:r w:rsidRPr="005F7B4A">
        <w:rPr>
          <w:spacing w:val="-2"/>
          <w:sz w:val="16"/>
          <w:szCs w:val="16"/>
          <w:lang w:val="en-GB"/>
        </w:rPr>
        <w:t xml:space="preserve"> region experienced greater demand. </w:t>
      </w:r>
      <w:r w:rsidRPr="005F7B4A">
        <w:rPr>
          <w:rStyle w:val="normaltextrun"/>
          <w:rFonts w:eastAsia="MS Gothic" w:cs="Arial"/>
          <w:color w:val="000000"/>
          <w:spacing w:val="-2"/>
          <w:sz w:val="16"/>
          <w:szCs w:val="16"/>
          <w:lang w:val="en-GB"/>
        </w:rPr>
        <w:t xml:space="preserve"> </w:t>
      </w:r>
    </w:p>
  </w:footnote>
  <w:footnote w:id="28">
    <w:p w14:paraId="13732569" w14:textId="42E71C61" w:rsidR="00165465" w:rsidRPr="005F7B4A" w:rsidRDefault="00165465" w:rsidP="005F7B4A">
      <w:pPr>
        <w:spacing w:after="0" w:line="240" w:lineRule="auto"/>
        <w:rPr>
          <w:spacing w:val="-2"/>
          <w:lang w:val="en-GB"/>
        </w:rPr>
      </w:pPr>
      <w:r w:rsidRPr="005F7B4A">
        <w:rPr>
          <w:rStyle w:val="Znakapoznpodarou"/>
          <w:spacing w:val="-2"/>
          <w:sz w:val="16"/>
          <w:szCs w:val="16"/>
          <w:lang w:val="en-GB"/>
        </w:rPr>
        <w:footnoteRef/>
      </w:r>
      <w:r w:rsidRPr="005F7B4A">
        <w:rPr>
          <w:spacing w:val="-2"/>
          <w:sz w:val="16"/>
          <w:szCs w:val="16"/>
          <w:lang w:val="en-GB"/>
        </w:rPr>
        <w:t xml:space="preserve"> </w:t>
      </w:r>
      <w:bookmarkStart w:id="31" w:name="_Hlk178460530"/>
      <w:r w:rsidRPr="005F7B4A">
        <w:rPr>
          <w:spacing w:val="-2"/>
          <w:sz w:val="16"/>
          <w:szCs w:val="16"/>
          <w:lang w:val="en-GB"/>
        </w:rPr>
        <w:t>T</w:t>
      </w:r>
      <w:r w:rsidRPr="005F7B4A">
        <w:rPr>
          <w:rFonts w:eastAsia="Calibri"/>
          <w:spacing w:val="-2"/>
          <w:sz w:val="16"/>
          <w:szCs w:val="16"/>
          <w:lang w:val="en-GB"/>
        </w:rPr>
        <w:t xml:space="preserve">he number of these guest </w:t>
      </w:r>
      <w:r>
        <w:rPr>
          <w:rFonts w:eastAsia="Calibri"/>
          <w:spacing w:val="-2"/>
          <w:sz w:val="16"/>
          <w:szCs w:val="16"/>
          <w:lang w:val="en-GB"/>
        </w:rPr>
        <w:t>accommodated</w:t>
      </w:r>
      <w:r w:rsidRPr="005F7B4A">
        <w:rPr>
          <w:rFonts w:eastAsia="Calibri"/>
          <w:spacing w:val="-2"/>
          <w:sz w:val="16"/>
          <w:szCs w:val="16"/>
          <w:lang w:val="en-GB"/>
        </w:rPr>
        <w:t xml:space="preserve"> in the Czech Republic increased by 126%, year-on-year, in Q2 and the number of their overnight stays increased by 77% (these represent the maximums among all almost 60 monitored groups of foreigners in both cases). The high growth resulted from a very low comparative ba</w:t>
      </w:r>
      <w:r>
        <w:rPr>
          <w:rFonts w:eastAsia="Calibri"/>
          <w:spacing w:val="-2"/>
          <w:sz w:val="16"/>
          <w:szCs w:val="16"/>
          <w:lang w:val="en-GB"/>
        </w:rPr>
        <w:t>se. In addition, a direct airline</w:t>
      </w:r>
      <w:r w:rsidRPr="005F7B4A">
        <w:rPr>
          <w:rFonts w:eastAsia="Calibri"/>
          <w:spacing w:val="-2"/>
          <w:sz w:val="16"/>
          <w:szCs w:val="16"/>
          <w:lang w:val="en-GB"/>
        </w:rPr>
        <w:t xml:space="preserve"> between Prague and Beijing was reinstated on June 25, 2024, with the aim to promote mutual trade relations (a similar step was taken in case of Seoul a year earlier).</w:t>
      </w:r>
    </w:p>
    <w:bookmarkEnd w:id="31"/>
  </w:footnote>
  <w:footnote w:id="29">
    <w:p w14:paraId="436EED36" w14:textId="77777777" w:rsidR="00165465" w:rsidRPr="005F7B4A" w:rsidRDefault="00165465" w:rsidP="005F7B4A">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The number of overnight stays of non-residents increased by 29.5%, year-on-year, in the </w:t>
      </w:r>
      <w:r w:rsidRPr="005F7B4A">
        <w:rPr>
          <w:i/>
          <w:iCs/>
          <w:spacing w:val="-2"/>
          <w:sz w:val="16"/>
          <w:szCs w:val="16"/>
          <w:lang w:val="en-GB"/>
        </w:rPr>
        <w:t>Moravskoslezský</w:t>
      </w:r>
      <w:r w:rsidRPr="005F7B4A">
        <w:rPr>
          <w:spacing w:val="-2"/>
          <w:sz w:val="16"/>
          <w:szCs w:val="16"/>
          <w:lang w:val="en-GB"/>
        </w:rPr>
        <w:t xml:space="preserve"> region in Q2 2024. The number of accommodated guests also considerably increased with respect to the states, who were the participants of the Ice Hockey World Championship.  </w:t>
      </w:r>
    </w:p>
  </w:footnote>
  <w:footnote w:id="30">
    <w:p w14:paraId="155C8581" w14:textId="03448285" w:rsidR="00165465" w:rsidRPr="001650B9" w:rsidRDefault="00165465" w:rsidP="00165465">
      <w:pPr>
        <w:pStyle w:val="Textpoznpodarou"/>
        <w:jc w:val="both"/>
        <w:rPr>
          <w:sz w:val="16"/>
          <w:szCs w:val="16"/>
          <w:lang w:val="en-GB"/>
        </w:rPr>
      </w:pPr>
      <w:r w:rsidRPr="005F7B4A">
        <w:rPr>
          <w:rStyle w:val="Znakapoznpodarou"/>
          <w:spacing w:val="-2"/>
          <w:sz w:val="16"/>
          <w:szCs w:val="16"/>
        </w:rPr>
        <w:footnoteRef/>
      </w:r>
      <w:r w:rsidRPr="005F7B4A">
        <w:rPr>
          <w:spacing w:val="-2"/>
          <w:sz w:val="16"/>
          <w:szCs w:val="16"/>
        </w:rPr>
        <w:t xml:space="preserve"> </w:t>
      </w:r>
      <w:r w:rsidRPr="005F7B4A">
        <w:rPr>
          <w:spacing w:val="-2"/>
          <w:sz w:val="16"/>
          <w:szCs w:val="16"/>
          <w:lang w:val="en-GB"/>
        </w:rPr>
        <w:t xml:space="preserve">The decline in sales occurred here while the number of working foreigners was rising swiftly in the Czech Republic. Refugees from Ukraine have played a significant role in this growth over the past two years. With respect to the Temporary protected status, which was granted to these persons, their employment in the CR is administratively easier (compared to other groups of migrants from the so-called third countries) and thus they can seek employment more easily “directly” (without intermediary). In addition to the above stated, the reduced demand of employment placement agencies </w:t>
      </w:r>
      <w:r>
        <w:rPr>
          <w:spacing w:val="-2"/>
          <w:sz w:val="16"/>
          <w:szCs w:val="16"/>
          <w:lang w:val="en-GB"/>
        </w:rPr>
        <w:t>due to</w:t>
      </w:r>
      <w:r w:rsidRPr="005F7B4A">
        <w:rPr>
          <w:spacing w:val="-2"/>
          <w:sz w:val="16"/>
          <w:szCs w:val="16"/>
          <w:lang w:val="en-GB"/>
        </w:rPr>
        <w:t xml:space="preserve"> manufacturing branches undergoing recession (industry and construction) can also </w:t>
      </w:r>
      <w:r>
        <w:rPr>
          <w:spacing w:val="-2"/>
          <w:sz w:val="16"/>
          <w:szCs w:val="16"/>
          <w:lang w:val="en-GB"/>
        </w:rPr>
        <w:t>play a role.</w:t>
      </w:r>
    </w:p>
  </w:footnote>
  <w:footnote w:id="31">
    <w:p w14:paraId="370142A5" w14:textId="57E8CBCD" w:rsidR="00165465" w:rsidRPr="00374AA4" w:rsidRDefault="00165465" w:rsidP="006233F9">
      <w:pPr>
        <w:pStyle w:val="Textpoznpodarou"/>
        <w:jc w:val="both"/>
        <w:rPr>
          <w:spacing w:val="-2"/>
          <w:sz w:val="16"/>
          <w:szCs w:val="16"/>
          <w:lang w:val="en-GB"/>
        </w:rPr>
      </w:pPr>
      <w:r w:rsidRPr="00D1561C">
        <w:rPr>
          <w:rStyle w:val="Znakapoznpodarou"/>
          <w:spacing w:val="-2"/>
          <w:sz w:val="16"/>
          <w:szCs w:val="16"/>
        </w:rPr>
        <w:footnoteRef/>
      </w:r>
      <w:r w:rsidRPr="00D1561C">
        <w:rPr>
          <w:spacing w:val="-2"/>
          <w:sz w:val="16"/>
          <w:szCs w:val="16"/>
        </w:rPr>
        <w:t xml:space="preserve"> </w:t>
      </w:r>
      <w:bookmarkStart w:id="36" w:name="_Hlk178531431"/>
      <w:r w:rsidRPr="006B023D">
        <w:rPr>
          <w:spacing w:val="-2"/>
          <w:sz w:val="16"/>
          <w:szCs w:val="16"/>
        </w:rPr>
        <w:t xml:space="preserve">The </w:t>
      </w:r>
      <w:r>
        <w:rPr>
          <w:spacing w:val="-2"/>
          <w:sz w:val="16"/>
          <w:szCs w:val="16"/>
        </w:rPr>
        <w:t xml:space="preserve">segment of motion picture </w:t>
      </w:r>
      <w:r w:rsidRPr="006B023D">
        <w:rPr>
          <w:spacing w:val="-2"/>
          <w:sz w:val="16"/>
          <w:szCs w:val="16"/>
        </w:rPr>
        <w:t xml:space="preserve">distribution performed better. According to data from </w:t>
      </w:r>
      <w:r w:rsidRPr="00F7194B">
        <w:rPr>
          <w:spacing w:val="-2"/>
          <w:sz w:val="16"/>
          <w:szCs w:val="16"/>
        </w:rPr>
        <w:t xml:space="preserve">the Union of </w:t>
      </w:r>
      <w:r w:rsidR="00914DDD">
        <w:rPr>
          <w:spacing w:val="-2"/>
          <w:sz w:val="16"/>
          <w:szCs w:val="16"/>
        </w:rPr>
        <w:t>M</w:t>
      </w:r>
      <w:r w:rsidRPr="00F7194B">
        <w:rPr>
          <w:spacing w:val="-2"/>
          <w:sz w:val="16"/>
          <w:szCs w:val="16"/>
        </w:rPr>
        <w:t xml:space="preserve">otion </w:t>
      </w:r>
      <w:r w:rsidR="00914DDD">
        <w:rPr>
          <w:spacing w:val="-2"/>
          <w:sz w:val="16"/>
          <w:szCs w:val="16"/>
        </w:rPr>
        <w:t>P</w:t>
      </w:r>
      <w:r w:rsidRPr="00F7194B">
        <w:rPr>
          <w:spacing w:val="-2"/>
          <w:sz w:val="16"/>
          <w:szCs w:val="16"/>
        </w:rPr>
        <w:t xml:space="preserve">icture </w:t>
      </w:r>
      <w:r w:rsidR="00914DDD">
        <w:rPr>
          <w:spacing w:val="-2"/>
          <w:sz w:val="16"/>
          <w:szCs w:val="16"/>
        </w:rPr>
        <w:t>D</w:t>
      </w:r>
      <w:r w:rsidRPr="00F7194B">
        <w:rPr>
          <w:spacing w:val="-2"/>
          <w:sz w:val="16"/>
          <w:szCs w:val="16"/>
        </w:rPr>
        <w:t xml:space="preserve">istributors </w:t>
      </w:r>
      <w:r>
        <w:rPr>
          <w:sz w:val="16"/>
          <w:szCs w:val="16"/>
          <w:lang w:val="en-GB"/>
        </w:rPr>
        <w:t>the gross nominal sales of the domestic cinema operators</w:t>
      </w:r>
      <w:r w:rsidRPr="006B023D">
        <w:rPr>
          <w:spacing w:val="-2"/>
          <w:sz w:val="16"/>
          <w:szCs w:val="16"/>
        </w:rPr>
        <w:t xml:space="preserve"> fell by 4.3%</w:t>
      </w:r>
      <w:r>
        <w:rPr>
          <w:spacing w:val="-2"/>
          <w:sz w:val="16"/>
          <w:szCs w:val="16"/>
        </w:rPr>
        <w:t>,</w:t>
      </w:r>
      <w:r w:rsidRPr="006B023D">
        <w:rPr>
          <w:spacing w:val="-2"/>
          <w:sz w:val="16"/>
          <w:szCs w:val="16"/>
        </w:rPr>
        <w:t xml:space="preserve"> year-on-year</w:t>
      </w:r>
      <w:r>
        <w:rPr>
          <w:spacing w:val="-2"/>
          <w:sz w:val="16"/>
          <w:szCs w:val="16"/>
        </w:rPr>
        <w:t>,</w:t>
      </w:r>
      <w:r w:rsidRPr="006B023D">
        <w:rPr>
          <w:spacing w:val="-2"/>
          <w:sz w:val="16"/>
          <w:szCs w:val="16"/>
        </w:rPr>
        <w:t xml:space="preserve"> from January to July this year. The total attendance decreased by 7.5% analogously, </w:t>
      </w:r>
      <w:r>
        <w:rPr>
          <w:spacing w:val="-2"/>
          <w:sz w:val="16"/>
          <w:szCs w:val="16"/>
        </w:rPr>
        <w:t xml:space="preserve">on the contrary the </w:t>
      </w:r>
      <w:r w:rsidRPr="006B023D">
        <w:rPr>
          <w:spacing w:val="-2"/>
          <w:sz w:val="16"/>
          <w:szCs w:val="16"/>
        </w:rPr>
        <w:t xml:space="preserve">number of </w:t>
      </w:r>
      <w:r>
        <w:rPr>
          <w:spacing w:val="-2"/>
          <w:sz w:val="16"/>
          <w:szCs w:val="16"/>
        </w:rPr>
        <w:t xml:space="preserve">shows went up by </w:t>
      </w:r>
      <w:r w:rsidRPr="006B023D">
        <w:rPr>
          <w:spacing w:val="-2"/>
          <w:sz w:val="16"/>
          <w:szCs w:val="16"/>
        </w:rPr>
        <w:t xml:space="preserve">3.3%. </w:t>
      </w:r>
      <w:r w:rsidRPr="00374AA4">
        <w:rPr>
          <w:spacing w:val="-2"/>
          <w:sz w:val="16"/>
          <w:szCs w:val="16"/>
          <w:lang w:val="en-GB"/>
        </w:rPr>
        <w:t xml:space="preserve">The very weak demand in the </w:t>
      </w:r>
      <w:r>
        <w:rPr>
          <w:spacing w:val="-2"/>
          <w:sz w:val="16"/>
          <w:szCs w:val="16"/>
          <w:lang w:val="en-GB"/>
        </w:rPr>
        <w:t>S</w:t>
      </w:r>
      <w:r w:rsidRPr="00374AA4">
        <w:rPr>
          <w:spacing w:val="-2"/>
          <w:sz w:val="16"/>
          <w:szCs w:val="16"/>
          <w:lang w:val="en-GB"/>
        </w:rPr>
        <w:t>pring</w:t>
      </w:r>
      <w:r>
        <w:rPr>
          <w:spacing w:val="-2"/>
          <w:sz w:val="16"/>
          <w:szCs w:val="16"/>
          <w:lang w:val="en-GB"/>
        </w:rPr>
        <w:t xml:space="preserve"> period </w:t>
      </w:r>
      <w:r w:rsidRPr="00374AA4">
        <w:rPr>
          <w:spacing w:val="-2"/>
          <w:sz w:val="16"/>
          <w:szCs w:val="16"/>
          <w:lang w:val="en-GB"/>
        </w:rPr>
        <w:t>was partially</w:t>
      </w:r>
      <w:r>
        <w:rPr>
          <w:spacing w:val="-2"/>
          <w:sz w:val="16"/>
          <w:szCs w:val="16"/>
          <w:lang w:val="en-GB"/>
        </w:rPr>
        <w:t xml:space="preserve"> offset by </w:t>
      </w:r>
      <w:r w:rsidRPr="00374AA4">
        <w:rPr>
          <w:spacing w:val="-2"/>
          <w:sz w:val="16"/>
          <w:szCs w:val="16"/>
          <w:lang w:val="en-GB"/>
        </w:rPr>
        <w:t>the July</w:t>
      </w:r>
      <w:r>
        <w:rPr>
          <w:spacing w:val="-2"/>
          <w:sz w:val="16"/>
          <w:szCs w:val="16"/>
          <w:lang w:val="en-GB"/>
        </w:rPr>
        <w:t xml:space="preserve"> attendance </w:t>
      </w:r>
      <w:r w:rsidRPr="00374AA4">
        <w:rPr>
          <w:spacing w:val="-2"/>
          <w:sz w:val="16"/>
          <w:szCs w:val="16"/>
          <w:lang w:val="en-GB"/>
        </w:rPr>
        <w:t>(1.64 million, a record</w:t>
      </w:r>
      <w:r>
        <w:rPr>
          <w:spacing w:val="-2"/>
          <w:sz w:val="16"/>
          <w:szCs w:val="16"/>
          <w:lang w:val="en-GB"/>
        </w:rPr>
        <w:t xml:space="preserve"> figure</w:t>
      </w:r>
      <w:r w:rsidRPr="00374AA4">
        <w:rPr>
          <w:spacing w:val="-2"/>
          <w:sz w:val="16"/>
          <w:szCs w:val="16"/>
          <w:lang w:val="en-GB"/>
        </w:rPr>
        <w:t xml:space="preserve"> in the comparable period after </w:t>
      </w:r>
      <w:r>
        <w:rPr>
          <w:spacing w:val="-2"/>
          <w:sz w:val="16"/>
          <w:szCs w:val="16"/>
          <w:lang w:val="en-GB"/>
        </w:rPr>
        <w:t xml:space="preserve">year </w:t>
      </w:r>
      <w:r w:rsidRPr="00374AA4">
        <w:rPr>
          <w:spacing w:val="-2"/>
          <w:sz w:val="16"/>
          <w:szCs w:val="16"/>
          <w:lang w:val="en-GB"/>
        </w:rPr>
        <w:t xml:space="preserve">2000). </w:t>
      </w:r>
      <w:r>
        <w:rPr>
          <w:spacing w:val="-2"/>
          <w:sz w:val="16"/>
          <w:szCs w:val="16"/>
          <w:lang w:val="en-GB"/>
        </w:rPr>
        <w:t xml:space="preserve">Nevertheless, nearly one </w:t>
      </w:r>
      <w:r w:rsidRPr="00374AA4">
        <w:rPr>
          <w:spacing w:val="-2"/>
          <w:sz w:val="16"/>
          <w:szCs w:val="16"/>
          <w:lang w:val="en-GB"/>
        </w:rPr>
        <w:t xml:space="preserve">third of </w:t>
      </w:r>
      <w:r>
        <w:rPr>
          <w:spacing w:val="-2"/>
          <w:sz w:val="16"/>
          <w:szCs w:val="16"/>
          <w:lang w:val="en-GB"/>
        </w:rPr>
        <w:t xml:space="preserve">audience </w:t>
      </w:r>
      <w:r w:rsidRPr="00374AA4">
        <w:rPr>
          <w:spacing w:val="-2"/>
          <w:sz w:val="16"/>
          <w:szCs w:val="16"/>
          <w:lang w:val="en-GB"/>
        </w:rPr>
        <w:t>and</w:t>
      </w:r>
      <w:r>
        <w:rPr>
          <w:spacing w:val="-2"/>
          <w:sz w:val="16"/>
          <w:szCs w:val="16"/>
          <w:lang w:val="en-GB"/>
        </w:rPr>
        <w:t xml:space="preserve"> nearly one </w:t>
      </w:r>
      <w:r w:rsidRPr="00374AA4">
        <w:rPr>
          <w:spacing w:val="-2"/>
          <w:sz w:val="16"/>
          <w:szCs w:val="16"/>
          <w:lang w:val="en-GB"/>
        </w:rPr>
        <w:t xml:space="preserve">sixth of </w:t>
      </w:r>
      <w:r>
        <w:rPr>
          <w:spacing w:val="-2"/>
          <w:sz w:val="16"/>
          <w:szCs w:val="16"/>
          <w:lang w:val="en-GB"/>
        </w:rPr>
        <w:t xml:space="preserve">sales </w:t>
      </w:r>
      <w:r w:rsidRPr="00374AA4">
        <w:rPr>
          <w:spacing w:val="-2"/>
          <w:sz w:val="16"/>
          <w:szCs w:val="16"/>
          <w:lang w:val="en-GB"/>
        </w:rPr>
        <w:t>were still missing</w:t>
      </w:r>
      <w:r>
        <w:rPr>
          <w:spacing w:val="-2"/>
          <w:sz w:val="16"/>
          <w:szCs w:val="16"/>
          <w:lang w:val="en-GB"/>
        </w:rPr>
        <w:t xml:space="preserve"> this year in comparison to </w:t>
      </w:r>
      <w:r w:rsidRPr="00374AA4">
        <w:rPr>
          <w:spacing w:val="-2"/>
          <w:sz w:val="16"/>
          <w:szCs w:val="16"/>
          <w:lang w:val="en-GB"/>
        </w:rPr>
        <w:t>the first seven months of the record-breaking year 2019</w:t>
      </w:r>
      <w:r>
        <w:rPr>
          <w:spacing w:val="-2"/>
          <w:sz w:val="16"/>
          <w:szCs w:val="16"/>
          <w:lang w:val="en-GB"/>
        </w:rPr>
        <w:t xml:space="preserve">. </w:t>
      </w:r>
    </w:p>
    <w:bookmarkEnd w:id="36"/>
  </w:footnote>
  <w:footnote w:id="32">
    <w:p w14:paraId="46667534" w14:textId="77777777" w:rsidR="00165465" w:rsidRPr="00374AA4" w:rsidRDefault="00165465" w:rsidP="006233F9">
      <w:pPr>
        <w:spacing w:after="0" w:line="240" w:lineRule="auto"/>
        <w:rPr>
          <w:lang w:val="en-GB"/>
        </w:rPr>
      </w:pPr>
      <w:r w:rsidRPr="00374AA4">
        <w:rPr>
          <w:rStyle w:val="Znakapoznpodarou"/>
          <w:sz w:val="16"/>
          <w:szCs w:val="16"/>
          <w:lang w:val="en-GB"/>
        </w:rPr>
        <w:footnoteRef/>
      </w:r>
      <w:r w:rsidRPr="00374AA4">
        <w:rPr>
          <w:sz w:val="16"/>
          <w:szCs w:val="16"/>
          <w:lang w:val="en-GB"/>
        </w:rPr>
        <w:t xml:space="preserve"> </w:t>
      </w:r>
      <w:bookmarkStart w:id="37" w:name="_Hlk178533403"/>
      <w:r w:rsidRPr="00F337C1">
        <w:rPr>
          <w:rFonts w:eastAsia="Calibri"/>
          <w:sz w:val="16"/>
          <w:szCs w:val="16"/>
          <w:lang w:val="en-GB"/>
        </w:rPr>
        <w:t xml:space="preserve">This year's development in the Czech Republic could also have been influenced by the indirect </w:t>
      </w:r>
      <w:r>
        <w:rPr>
          <w:rFonts w:eastAsia="Calibri"/>
          <w:sz w:val="16"/>
          <w:szCs w:val="16"/>
          <w:lang w:val="en-GB"/>
        </w:rPr>
        <w:t xml:space="preserve">impacts </w:t>
      </w:r>
      <w:r w:rsidRPr="00F337C1">
        <w:rPr>
          <w:rFonts w:eastAsia="Calibri"/>
          <w:sz w:val="16"/>
          <w:szCs w:val="16"/>
          <w:lang w:val="en-GB"/>
        </w:rPr>
        <w:t>of a longer strike in Hollywood at the end of last year</w:t>
      </w:r>
      <w:r>
        <w:rPr>
          <w:rFonts w:eastAsia="Calibri"/>
          <w:sz w:val="16"/>
          <w:szCs w:val="16"/>
          <w:lang w:val="en-GB"/>
        </w:rPr>
        <w:t>.</w:t>
      </w:r>
    </w:p>
    <w:bookmarkEnd w:id="37"/>
  </w:footnote>
  <w:footnote w:id="33">
    <w:p w14:paraId="63AB2DBF" w14:textId="77777777" w:rsidR="00165465" w:rsidRPr="00374AA4" w:rsidRDefault="00165465" w:rsidP="006233F9">
      <w:pPr>
        <w:pStyle w:val="Textpoznpodarou"/>
        <w:jc w:val="both"/>
        <w:rPr>
          <w:sz w:val="16"/>
          <w:szCs w:val="16"/>
          <w:lang w:val="en-GB"/>
        </w:rPr>
      </w:pPr>
      <w:r w:rsidRPr="00374AA4">
        <w:rPr>
          <w:rStyle w:val="Znakapoznpodarou"/>
          <w:sz w:val="16"/>
          <w:szCs w:val="16"/>
          <w:lang w:val="en-GB"/>
        </w:rPr>
        <w:footnoteRef/>
      </w:r>
      <w:r w:rsidRPr="00374AA4">
        <w:rPr>
          <w:sz w:val="16"/>
          <w:szCs w:val="16"/>
          <w:lang w:val="en-GB"/>
        </w:rPr>
        <w:t xml:space="preserve"> </w:t>
      </w:r>
      <w:bookmarkStart w:id="38" w:name="_Hlk178533500"/>
      <w:r w:rsidRPr="00D237F1">
        <w:rPr>
          <w:sz w:val="16"/>
          <w:szCs w:val="16"/>
          <w:lang w:val="en-GB"/>
        </w:rPr>
        <w:t>They include</w:t>
      </w:r>
      <w:r>
        <w:rPr>
          <w:sz w:val="16"/>
          <w:szCs w:val="16"/>
          <w:lang w:val="en-GB"/>
        </w:rPr>
        <w:t>, in particular,</w:t>
      </w:r>
      <w:r w:rsidRPr="00D237F1">
        <w:rPr>
          <w:sz w:val="16"/>
          <w:szCs w:val="16"/>
          <w:lang w:val="en-GB"/>
        </w:rPr>
        <w:t xml:space="preserve"> the activities of web portals, news agencies </w:t>
      </w:r>
      <w:r>
        <w:rPr>
          <w:sz w:val="16"/>
          <w:szCs w:val="16"/>
          <w:lang w:val="en-GB"/>
        </w:rPr>
        <w:t xml:space="preserve">or data processing and hosting. </w:t>
      </w:r>
      <w:bookmarkEnd w:id="38"/>
    </w:p>
  </w:footnote>
  <w:footnote w:id="34">
    <w:p w14:paraId="3906DAC5" w14:textId="2D8CE250" w:rsidR="00165465" w:rsidRPr="00152A63" w:rsidRDefault="00165465" w:rsidP="00E551F6">
      <w:pPr>
        <w:spacing w:after="0" w:line="240" w:lineRule="auto"/>
        <w:rPr>
          <w:spacing w:val="-2"/>
          <w:lang w:val="en-GB"/>
        </w:rPr>
      </w:pPr>
      <w:r w:rsidRPr="00374AA4">
        <w:rPr>
          <w:rStyle w:val="Znakapoznpodarou"/>
          <w:color w:val="0D0D0D" w:themeColor="text1" w:themeTint="F2"/>
          <w:spacing w:val="-2"/>
          <w:sz w:val="16"/>
          <w:szCs w:val="16"/>
          <w:lang w:val="en-GB"/>
        </w:rPr>
        <w:footnoteRef/>
      </w:r>
      <w:r w:rsidRPr="00374AA4">
        <w:rPr>
          <w:color w:val="0D0D0D" w:themeColor="text1" w:themeTint="F2"/>
          <w:spacing w:val="-2"/>
          <w:sz w:val="16"/>
          <w:szCs w:val="16"/>
          <w:lang w:val="en-GB"/>
        </w:rPr>
        <w:t xml:space="preserve"> </w:t>
      </w:r>
      <w:r w:rsidRPr="00EC67E9">
        <w:rPr>
          <w:color w:val="0D0D0D" w:themeColor="text1" w:themeTint="F2"/>
          <w:spacing w:val="-2"/>
          <w:sz w:val="16"/>
          <w:szCs w:val="16"/>
          <w:lang w:val="en-GB"/>
        </w:rPr>
        <w:t>All year-on-year rates of growth of retail sales are stated in constant prices and adjusted for calendar effects, quarter-on-quarter rates are adjusted for seasonal effects (including the number of working days). Ret</w:t>
      </w:r>
      <w:r w:rsidR="00C04E28">
        <w:rPr>
          <w:color w:val="0D0D0D" w:themeColor="text1" w:themeTint="F2"/>
          <w:spacing w:val="-2"/>
          <w:sz w:val="16"/>
          <w:szCs w:val="16"/>
          <w:lang w:val="en-GB"/>
        </w:rPr>
        <w:t>ail includes branch CZ NACE 47.</w:t>
      </w:r>
    </w:p>
  </w:footnote>
  <w:footnote w:id="35">
    <w:p w14:paraId="57037DFF" w14:textId="578982E4" w:rsidR="00165465" w:rsidRPr="00BE229C" w:rsidRDefault="00165465" w:rsidP="00E551F6">
      <w:pPr>
        <w:pStyle w:val="Textpoznpodarou"/>
        <w:jc w:val="both"/>
        <w:rPr>
          <w:sz w:val="16"/>
          <w:szCs w:val="16"/>
          <w:lang w:val="en-GB"/>
        </w:rPr>
      </w:pPr>
      <w:r w:rsidRPr="00822DEB">
        <w:rPr>
          <w:rStyle w:val="Znakapoznpodarou"/>
          <w:sz w:val="16"/>
          <w:szCs w:val="16"/>
        </w:rPr>
        <w:footnoteRef/>
      </w:r>
      <w:r w:rsidRPr="00822DEB">
        <w:rPr>
          <w:sz w:val="16"/>
          <w:szCs w:val="16"/>
        </w:rPr>
        <w:t xml:space="preserve"> </w:t>
      </w:r>
      <w:r>
        <w:rPr>
          <w:sz w:val="16"/>
          <w:szCs w:val="16"/>
        </w:rPr>
        <w:t xml:space="preserve">It </w:t>
      </w:r>
      <w:r w:rsidRPr="00BE229C">
        <w:rPr>
          <w:sz w:val="16"/>
          <w:szCs w:val="16"/>
        </w:rPr>
        <w:t>primarily relate</w:t>
      </w:r>
      <w:r>
        <w:rPr>
          <w:sz w:val="16"/>
          <w:szCs w:val="16"/>
        </w:rPr>
        <w:t>s</w:t>
      </w:r>
      <w:r w:rsidRPr="00BE229C">
        <w:rPr>
          <w:sz w:val="16"/>
          <w:szCs w:val="16"/>
        </w:rPr>
        <w:t xml:space="preserve"> to </w:t>
      </w:r>
      <w:r>
        <w:rPr>
          <w:sz w:val="16"/>
          <w:szCs w:val="16"/>
        </w:rPr>
        <w:t xml:space="preserve">decreased </w:t>
      </w:r>
      <w:r w:rsidRPr="00BE229C">
        <w:rPr>
          <w:sz w:val="16"/>
          <w:szCs w:val="16"/>
        </w:rPr>
        <w:t xml:space="preserve">sales for food (−9.3%), while the current demand for non-food goods is slightly above the level </w:t>
      </w:r>
      <w:r>
        <w:rPr>
          <w:sz w:val="16"/>
          <w:szCs w:val="16"/>
        </w:rPr>
        <w:t xml:space="preserve">from </w:t>
      </w:r>
      <w:r w:rsidRPr="00BE229C">
        <w:rPr>
          <w:sz w:val="16"/>
          <w:szCs w:val="16"/>
        </w:rPr>
        <w:t>the end of 2019 (+0.3%), mainly due to sales</w:t>
      </w:r>
      <w:r>
        <w:rPr>
          <w:sz w:val="16"/>
          <w:szCs w:val="16"/>
        </w:rPr>
        <w:t xml:space="preserve"> via internet</w:t>
      </w:r>
      <w:r w:rsidRPr="00BE229C">
        <w:rPr>
          <w:sz w:val="16"/>
          <w:szCs w:val="16"/>
        </w:rPr>
        <w:t xml:space="preserve"> (+38.8%).</w:t>
      </w:r>
      <w:r>
        <w:rPr>
          <w:sz w:val="16"/>
          <w:szCs w:val="16"/>
        </w:rPr>
        <w:t xml:space="preserve"> T</w:t>
      </w:r>
      <w:r w:rsidRPr="00BE229C">
        <w:rPr>
          <w:sz w:val="16"/>
          <w:szCs w:val="16"/>
        </w:rPr>
        <w:t xml:space="preserve">he development </w:t>
      </w:r>
      <w:r>
        <w:rPr>
          <w:sz w:val="16"/>
          <w:szCs w:val="16"/>
        </w:rPr>
        <w:t>rather varied a</w:t>
      </w:r>
      <w:r w:rsidRPr="00BE229C">
        <w:rPr>
          <w:sz w:val="16"/>
          <w:szCs w:val="16"/>
        </w:rPr>
        <w:t xml:space="preserve">t the level of different specialised </w:t>
      </w:r>
      <w:r>
        <w:rPr>
          <w:sz w:val="16"/>
          <w:szCs w:val="16"/>
        </w:rPr>
        <w:t>stores</w:t>
      </w:r>
      <w:r w:rsidRPr="00BE229C">
        <w:rPr>
          <w:sz w:val="16"/>
          <w:szCs w:val="16"/>
        </w:rPr>
        <w:t>,</w:t>
      </w:r>
      <w:r w:rsidR="00C04E28">
        <w:rPr>
          <w:sz w:val="16"/>
          <w:szCs w:val="16"/>
        </w:rPr>
        <w:t xml:space="preserve"> e.g. </w:t>
      </w:r>
      <w:r w:rsidR="00C04E28" w:rsidRPr="00C04E28">
        <w:rPr>
          <w:sz w:val="16"/>
          <w:szCs w:val="16"/>
        </w:rPr>
        <w:t>household equipment</w:t>
      </w:r>
      <w:r w:rsidRPr="00BE229C">
        <w:rPr>
          <w:sz w:val="16"/>
          <w:szCs w:val="16"/>
        </w:rPr>
        <w:t xml:space="preserve"> (−14%) vs. cosmetic and toilet </w:t>
      </w:r>
      <w:r>
        <w:rPr>
          <w:sz w:val="16"/>
          <w:szCs w:val="16"/>
        </w:rPr>
        <w:t xml:space="preserve">articles </w:t>
      </w:r>
      <w:r w:rsidRPr="00BE229C">
        <w:rPr>
          <w:sz w:val="16"/>
          <w:szCs w:val="16"/>
          <w:lang w:val="en-GB"/>
        </w:rPr>
        <w:t xml:space="preserve">(+26%). </w:t>
      </w:r>
    </w:p>
  </w:footnote>
  <w:footnote w:id="36">
    <w:p w14:paraId="3C0595F3" w14:textId="77777777" w:rsidR="00165465" w:rsidRPr="00BE229C" w:rsidRDefault="00165465" w:rsidP="00E551F6">
      <w:pPr>
        <w:pStyle w:val="Textpoznpodarou"/>
        <w:jc w:val="both"/>
        <w:rPr>
          <w:spacing w:val="-5"/>
          <w:sz w:val="16"/>
          <w:szCs w:val="16"/>
          <w:lang w:val="en-GB"/>
        </w:rPr>
      </w:pPr>
      <w:r w:rsidRPr="00BE229C">
        <w:rPr>
          <w:rStyle w:val="Znakapoznpodarou"/>
          <w:spacing w:val="-5"/>
          <w:sz w:val="16"/>
          <w:szCs w:val="16"/>
          <w:lang w:val="en-GB"/>
        </w:rPr>
        <w:footnoteRef/>
      </w:r>
      <w:r w:rsidRPr="00BE229C">
        <w:rPr>
          <w:spacing w:val="-5"/>
          <w:sz w:val="16"/>
          <w:szCs w:val="16"/>
          <w:lang w:val="en-GB"/>
        </w:rPr>
        <w:t xml:space="preserve"> T</w:t>
      </w:r>
      <w:r>
        <w:rPr>
          <w:spacing w:val="-5"/>
          <w:sz w:val="16"/>
          <w:szCs w:val="16"/>
          <w:lang w:val="en-GB"/>
        </w:rPr>
        <w:t>hese contain metal hardware, building materials, paints, glass, DIY supplies</w:t>
      </w:r>
      <w:r w:rsidRPr="00BE229C">
        <w:rPr>
          <w:rStyle w:val="normaltextrun"/>
          <w:rFonts w:eastAsia="MS Gothic" w:cs="Arial"/>
          <w:spacing w:val="-5"/>
          <w:sz w:val="16"/>
          <w:szCs w:val="16"/>
          <w:lang w:val="en-GB"/>
        </w:rPr>
        <w:t xml:space="preserve">, </w:t>
      </w:r>
      <w:r>
        <w:rPr>
          <w:rStyle w:val="normaltextrun"/>
          <w:rFonts w:eastAsia="MS Gothic" w:cs="Arial"/>
          <w:spacing w:val="-5"/>
          <w:sz w:val="16"/>
          <w:szCs w:val="16"/>
          <w:lang w:val="en-GB"/>
        </w:rPr>
        <w:t>electro supplies, furniture, lighting, carpets or home textiles.</w:t>
      </w:r>
    </w:p>
  </w:footnote>
  <w:footnote w:id="37">
    <w:p w14:paraId="3D565DD9" w14:textId="450B0362" w:rsidR="00165465" w:rsidRPr="00BE6FF8" w:rsidRDefault="00165465" w:rsidP="00E551F6">
      <w:pPr>
        <w:pStyle w:val="Textpoznpodarou"/>
        <w:jc w:val="both"/>
        <w:rPr>
          <w:spacing w:val="-2"/>
          <w:sz w:val="16"/>
          <w:szCs w:val="16"/>
          <w:lang w:val="en-GB"/>
        </w:rPr>
      </w:pPr>
      <w:r w:rsidRPr="00BE6FF8">
        <w:rPr>
          <w:rStyle w:val="Znakapoznpodarou"/>
          <w:spacing w:val="-2"/>
          <w:sz w:val="16"/>
          <w:szCs w:val="16"/>
          <w:lang w:val="en-GB"/>
        </w:rPr>
        <w:footnoteRef/>
      </w:r>
      <w:r w:rsidRPr="00BE6FF8">
        <w:rPr>
          <w:spacing w:val="-2"/>
          <w:sz w:val="16"/>
          <w:szCs w:val="16"/>
          <w:lang w:val="en-GB"/>
        </w:rPr>
        <w:t xml:space="preserve"> </w:t>
      </w:r>
      <w:bookmarkStart w:id="41" w:name="_Hlk178538649"/>
      <w:r w:rsidRPr="00BE6FF8">
        <w:rPr>
          <w:spacing w:val="-2"/>
          <w:sz w:val="16"/>
          <w:szCs w:val="16"/>
          <w:lang w:val="en-GB"/>
        </w:rPr>
        <w:t xml:space="preserve">Demand in both of these categories of specialised stores was strongly impacted by the restrictions during the pandemic period. Compared to the beginning of 2019, for example, the current sales for wearing apparel, footwear and leather goods were still </w:t>
      </w:r>
      <w:r>
        <w:rPr>
          <w:spacing w:val="-2"/>
          <w:sz w:val="16"/>
          <w:szCs w:val="16"/>
          <w:lang w:val="en-GB"/>
        </w:rPr>
        <w:t xml:space="preserve">almost </w:t>
      </w:r>
      <w:r w:rsidRPr="00BE6FF8">
        <w:rPr>
          <w:spacing w:val="-2"/>
          <w:sz w:val="16"/>
          <w:szCs w:val="16"/>
          <w:lang w:val="en-GB"/>
        </w:rPr>
        <w:t>one quarter lower.</w:t>
      </w:r>
      <w:bookmarkEnd w:id="41"/>
    </w:p>
  </w:footnote>
  <w:footnote w:id="38">
    <w:p w14:paraId="355B2E1E" w14:textId="77777777" w:rsidR="00165465" w:rsidRPr="004B1DE0" w:rsidRDefault="00165465" w:rsidP="006233F9">
      <w:pPr>
        <w:spacing w:after="0" w:line="240" w:lineRule="auto"/>
        <w:rPr>
          <w:sz w:val="16"/>
          <w:szCs w:val="16"/>
          <w:lang w:val="en-GB"/>
        </w:rPr>
      </w:pPr>
      <w:r w:rsidRPr="00BE229C">
        <w:rPr>
          <w:rStyle w:val="Znakapoznpodarou"/>
          <w:sz w:val="16"/>
          <w:szCs w:val="16"/>
          <w:lang w:val="en-GB"/>
        </w:rPr>
        <w:footnoteRef/>
      </w:r>
      <w:r w:rsidRPr="00BE229C">
        <w:rPr>
          <w:sz w:val="16"/>
          <w:szCs w:val="16"/>
          <w:lang w:val="en-GB"/>
        </w:rPr>
        <w:t xml:space="preserve"> </w:t>
      </w:r>
      <w:bookmarkStart w:id="42" w:name="_Hlk178538878"/>
      <w:r w:rsidRPr="00CF1E07">
        <w:rPr>
          <w:rFonts w:eastAsia="Calibri"/>
          <w:sz w:val="16"/>
          <w:szCs w:val="16"/>
          <w:lang w:val="en-GB"/>
        </w:rPr>
        <w:t xml:space="preserve">Apart from </w:t>
      </w:r>
      <w:r>
        <w:rPr>
          <w:rFonts w:eastAsia="Calibri"/>
          <w:sz w:val="16"/>
          <w:szCs w:val="16"/>
          <w:lang w:val="en-GB"/>
        </w:rPr>
        <w:t xml:space="preserve">the </w:t>
      </w:r>
      <w:r w:rsidRPr="00CF1E07">
        <w:rPr>
          <w:rFonts w:eastAsia="Calibri"/>
          <w:sz w:val="16"/>
          <w:szCs w:val="16"/>
          <w:lang w:val="en-GB"/>
        </w:rPr>
        <w:t xml:space="preserve">specialised stores, sales grew briskly in the small segment of other retail trade with a predominance of non-food goods (by </w:t>
      </w:r>
      <w:r>
        <w:rPr>
          <w:rFonts w:eastAsia="Calibri"/>
          <w:sz w:val="16"/>
          <w:szCs w:val="16"/>
          <w:lang w:val="en-GB"/>
        </w:rPr>
        <w:t xml:space="preserve">one </w:t>
      </w:r>
      <w:r w:rsidRPr="00CF1E07">
        <w:rPr>
          <w:rFonts w:eastAsia="Calibri"/>
          <w:sz w:val="16"/>
          <w:szCs w:val="16"/>
          <w:lang w:val="en-GB"/>
        </w:rPr>
        <w:t>sixth this year)</w:t>
      </w:r>
      <w:r>
        <w:rPr>
          <w:rFonts w:eastAsia="Calibri"/>
          <w:sz w:val="16"/>
          <w:szCs w:val="16"/>
          <w:lang w:val="en-GB"/>
        </w:rPr>
        <w:t xml:space="preserve"> </w:t>
      </w:r>
      <w:r w:rsidRPr="00CF1E07">
        <w:rPr>
          <w:rFonts w:eastAsia="Calibri"/>
          <w:sz w:val="16"/>
          <w:szCs w:val="16"/>
          <w:lang w:val="en-GB"/>
        </w:rPr>
        <w:t>for the third year in a row (</w:t>
      </w:r>
      <w:r>
        <w:rPr>
          <w:rFonts w:eastAsia="Calibri"/>
          <w:sz w:val="16"/>
          <w:szCs w:val="16"/>
          <w:lang w:val="en-GB"/>
        </w:rPr>
        <w:t xml:space="preserve">apart from </w:t>
      </w:r>
      <w:r w:rsidRPr="00CF1E07">
        <w:rPr>
          <w:rFonts w:eastAsia="Calibri"/>
          <w:sz w:val="16"/>
          <w:szCs w:val="16"/>
          <w:lang w:val="en-GB"/>
        </w:rPr>
        <w:t>a short-term dec</w:t>
      </w:r>
      <w:r>
        <w:rPr>
          <w:rFonts w:eastAsia="Calibri"/>
          <w:sz w:val="16"/>
          <w:szCs w:val="16"/>
          <w:lang w:val="en-GB"/>
        </w:rPr>
        <w:t xml:space="preserve">rease </w:t>
      </w:r>
      <w:r w:rsidRPr="00CF1E07">
        <w:rPr>
          <w:rFonts w:eastAsia="Calibri"/>
          <w:sz w:val="16"/>
          <w:szCs w:val="16"/>
          <w:lang w:val="en-GB"/>
        </w:rPr>
        <w:t>in Q2 last year)</w:t>
      </w:r>
      <w:r>
        <w:rPr>
          <w:rFonts w:eastAsia="Calibri"/>
          <w:sz w:val="16"/>
          <w:szCs w:val="16"/>
          <w:lang w:val="en-GB"/>
        </w:rPr>
        <w:t xml:space="preserve">. </w:t>
      </w:r>
      <w:r w:rsidRPr="00CF1E07">
        <w:rPr>
          <w:rFonts w:eastAsia="Calibri"/>
          <w:sz w:val="16"/>
          <w:szCs w:val="16"/>
          <w:lang w:val="en-GB"/>
        </w:rPr>
        <w:t>This typically includes smaller</w:t>
      </w:r>
      <w:r>
        <w:rPr>
          <w:rFonts w:eastAsia="Calibri"/>
          <w:sz w:val="16"/>
          <w:szCs w:val="16"/>
          <w:lang w:val="en-GB"/>
        </w:rPr>
        <w:t xml:space="preserve"> stores </w:t>
      </w:r>
      <w:r w:rsidRPr="00CF1E07">
        <w:rPr>
          <w:rFonts w:eastAsia="Calibri"/>
          <w:sz w:val="16"/>
          <w:szCs w:val="16"/>
          <w:lang w:val="en-GB"/>
        </w:rPr>
        <w:t>focused on the sale of various small goods, usually in discount events.</w:t>
      </w:r>
      <w:r>
        <w:rPr>
          <w:rFonts w:eastAsia="Calibri"/>
          <w:sz w:val="16"/>
          <w:szCs w:val="16"/>
          <w:lang w:val="en-GB"/>
        </w:rPr>
        <w:t xml:space="preserve"> </w:t>
      </w:r>
      <w:bookmarkEnd w:id="42"/>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165465" w:rsidRPr="00C27E4F" w:rsidRDefault="00165465"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165465" w:rsidRPr="006F5416" w:rsidRDefault="00165465"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165E9"/>
    <w:rsid w:val="0002195D"/>
    <w:rsid w:val="000234D6"/>
    <w:rsid w:val="00023D29"/>
    <w:rsid w:val="00026389"/>
    <w:rsid w:val="00031AE0"/>
    <w:rsid w:val="000322EF"/>
    <w:rsid w:val="00033FCD"/>
    <w:rsid w:val="00040A98"/>
    <w:rsid w:val="00040D10"/>
    <w:rsid w:val="00041CEC"/>
    <w:rsid w:val="00042F74"/>
    <w:rsid w:val="0004694F"/>
    <w:rsid w:val="000522E4"/>
    <w:rsid w:val="000610E1"/>
    <w:rsid w:val="00061186"/>
    <w:rsid w:val="00062EC5"/>
    <w:rsid w:val="00062F22"/>
    <w:rsid w:val="000674C7"/>
    <w:rsid w:val="000712B3"/>
    <w:rsid w:val="00074573"/>
    <w:rsid w:val="0008263E"/>
    <w:rsid w:val="00082C19"/>
    <w:rsid w:val="00083363"/>
    <w:rsid w:val="00085395"/>
    <w:rsid w:val="00087634"/>
    <w:rsid w:val="00087F2B"/>
    <w:rsid w:val="00095135"/>
    <w:rsid w:val="000974D1"/>
    <w:rsid w:val="0009799E"/>
    <w:rsid w:val="000A1183"/>
    <w:rsid w:val="000A256D"/>
    <w:rsid w:val="000A3A2C"/>
    <w:rsid w:val="000A57D4"/>
    <w:rsid w:val="000B7C8D"/>
    <w:rsid w:val="000C3408"/>
    <w:rsid w:val="000C6AFD"/>
    <w:rsid w:val="000D0754"/>
    <w:rsid w:val="000D3968"/>
    <w:rsid w:val="000D5637"/>
    <w:rsid w:val="000E5D6A"/>
    <w:rsid w:val="000E6FBD"/>
    <w:rsid w:val="00100F5C"/>
    <w:rsid w:val="00101CDA"/>
    <w:rsid w:val="00104C4C"/>
    <w:rsid w:val="00111F50"/>
    <w:rsid w:val="00117623"/>
    <w:rsid w:val="0012192F"/>
    <w:rsid w:val="00125D69"/>
    <w:rsid w:val="001405FA"/>
    <w:rsid w:val="001425C3"/>
    <w:rsid w:val="001443DB"/>
    <w:rsid w:val="001476BD"/>
    <w:rsid w:val="00160D77"/>
    <w:rsid w:val="001612F4"/>
    <w:rsid w:val="0016256B"/>
    <w:rsid w:val="00163793"/>
    <w:rsid w:val="00165465"/>
    <w:rsid w:val="001706D6"/>
    <w:rsid w:val="001714F2"/>
    <w:rsid w:val="00175B9F"/>
    <w:rsid w:val="00181BBC"/>
    <w:rsid w:val="00184B08"/>
    <w:rsid w:val="00185010"/>
    <w:rsid w:val="0019143B"/>
    <w:rsid w:val="0019301D"/>
    <w:rsid w:val="001A0487"/>
    <w:rsid w:val="001A552F"/>
    <w:rsid w:val="001B2CA9"/>
    <w:rsid w:val="001B3110"/>
    <w:rsid w:val="001B4729"/>
    <w:rsid w:val="001B6310"/>
    <w:rsid w:val="001B6C09"/>
    <w:rsid w:val="001C05CD"/>
    <w:rsid w:val="001D48D4"/>
    <w:rsid w:val="001D68B2"/>
    <w:rsid w:val="001E504C"/>
    <w:rsid w:val="001E6062"/>
    <w:rsid w:val="001F2AEE"/>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3C0F"/>
    <w:rsid w:val="002558C1"/>
    <w:rsid w:val="00255B91"/>
    <w:rsid w:val="00271465"/>
    <w:rsid w:val="00285412"/>
    <w:rsid w:val="00291640"/>
    <w:rsid w:val="002A16D4"/>
    <w:rsid w:val="002A230C"/>
    <w:rsid w:val="002B2299"/>
    <w:rsid w:val="002B4845"/>
    <w:rsid w:val="002C43BD"/>
    <w:rsid w:val="002C544F"/>
    <w:rsid w:val="002D0E59"/>
    <w:rsid w:val="002D4EE0"/>
    <w:rsid w:val="002E02A1"/>
    <w:rsid w:val="002E278F"/>
    <w:rsid w:val="002E42AC"/>
    <w:rsid w:val="002E4E4C"/>
    <w:rsid w:val="002F39EC"/>
    <w:rsid w:val="00302ADD"/>
    <w:rsid w:val="00304771"/>
    <w:rsid w:val="0030495D"/>
    <w:rsid w:val="003052D4"/>
    <w:rsid w:val="00306C5B"/>
    <w:rsid w:val="003103E0"/>
    <w:rsid w:val="00314F9F"/>
    <w:rsid w:val="00316A85"/>
    <w:rsid w:val="003209D6"/>
    <w:rsid w:val="00321924"/>
    <w:rsid w:val="00322607"/>
    <w:rsid w:val="0032656E"/>
    <w:rsid w:val="00332190"/>
    <w:rsid w:val="0034335E"/>
    <w:rsid w:val="00344668"/>
    <w:rsid w:val="003462D9"/>
    <w:rsid w:val="003500C2"/>
    <w:rsid w:val="00360C86"/>
    <w:rsid w:val="00360FBC"/>
    <w:rsid w:val="00362E90"/>
    <w:rsid w:val="00364FA0"/>
    <w:rsid w:val="003657F3"/>
    <w:rsid w:val="003818DC"/>
    <w:rsid w:val="00384327"/>
    <w:rsid w:val="00385D98"/>
    <w:rsid w:val="003A2B4D"/>
    <w:rsid w:val="003A2D12"/>
    <w:rsid w:val="003A478C"/>
    <w:rsid w:val="003A5525"/>
    <w:rsid w:val="003A6B38"/>
    <w:rsid w:val="003B461F"/>
    <w:rsid w:val="003B5A32"/>
    <w:rsid w:val="003C3490"/>
    <w:rsid w:val="003C7E62"/>
    <w:rsid w:val="003D1AE0"/>
    <w:rsid w:val="003D4488"/>
    <w:rsid w:val="003D6920"/>
    <w:rsid w:val="003E0A6F"/>
    <w:rsid w:val="003E48F2"/>
    <w:rsid w:val="003E4C91"/>
    <w:rsid w:val="003F313C"/>
    <w:rsid w:val="003F37FC"/>
    <w:rsid w:val="003F3E6A"/>
    <w:rsid w:val="003F4B2C"/>
    <w:rsid w:val="003F551C"/>
    <w:rsid w:val="003F59AA"/>
    <w:rsid w:val="003F72ED"/>
    <w:rsid w:val="003F7D23"/>
    <w:rsid w:val="004018AC"/>
    <w:rsid w:val="00407C13"/>
    <w:rsid w:val="0041041D"/>
    <w:rsid w:val="00410638"/>
    <w:rsid w:val="0041501E"/>
    <w:rsid w:val="004159C3"/>
    <w:rsid w:val="0041630C"/>
    <w:rsid w:val="00416C72"/>
    <w:rsid w:val="00432A58"/>
    <w:rsid w:val="00434617"/>
    <w:rsid w:val="004350ED"/>
    <w:rsid w:val="00440900"/>
    <w:rsid w:val="00441BF6"/>
    <w:rsid w:val="004441A0"/>
    <w:rsid w:val="004455BA"/>
    <w:rsid w:val="004479D4"/>
    <w:rsid w:val="0045078A"/>
    <w:rsid w:val="0045086D"/>
    <w:rsid w:val="00451504"/>
    <w:rsid w:val="00460FB3"/>
    <w:rsid w:val="0046627E"/>
    <w:rsid w:val="004738EA"/>
    <w:rsid w:val="00473D3B"/>
    <w:rsid w:val="00476240"/>
    <w:rsid w:val="00476439"/>
    <w:rsid w:val="0047735C"/>
    <w:rsid w:val="004776BC"/>
    <w:rsid w:val="0048139F"/>
    <w:rsid w:val="00481E40"/>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697D"/>
    <w:rsid w:val="004C70DC"/>
    <w:rsid w:val="004C7935"/>
    <w:rsid w:val="004D0211"/>
    <w:rsid w:val="004D0794"/>
    <w:rsid w:val="004F06F5"/>
    <w:rsid w:val="004F33A0"/>
    <w:rsid w:val="0050689D"/>
    <w:rsid w:val="005108C0"/>
    <w:rsid w:val="00511873"/>
    <w:rsid w:val="00512A2F"/>
    <w:rsid w:val="00513B7E"/>
    <w:rsid w:val="00515C74"/>
    <w:rsid w:val="0052007E"/>
    <w:rsid w:val="0052337A"/>
    <w:rsid w:val="00525137"/>
    <w:rsid w:val="005251DD"/>
    <w:rsid w:val="00530702"/>
    <w:rsid w:val="00532CE7"/>
    <w:rsid w:val="0053324C"/>
    <w:rsid w:val="00534A28"/>
    <w:rsid w:val="00541508"/>
    <w:rsid w:val="00543498"/>
    <w:rsid w:val="0055599F"/>
    <w:rsid w:val="00556D68"/>
    <w:rsid w:val="00563EB8"/>
    <w:rsid w:val="005647BF"/>
    <w:rsid w:val="00564AF1"/>
    <w:rsid w:val="005710B6"/>
    <w:rsid w:val="0057364B"/>
    <w:rsid w:val="00574773"/>
    <w:rsid w:val="00583FFD"/>
    <w:rsid w:val="00586A86"/>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7C78"/>
    <w:rsid w:val="005F18C5"/>
    <w:rsid w:val="005F3EB1"/>
    <w:rsid w:val="005F46D8"/>
    <w:rsid w:val="005F5469"/>
    <w:rsid w:val="005F7B4A"/>
    <w:rsid w:val="0060171C"/>
    <w:rsid w:val="00603FF5"/>
    <w:rsid w:val="00604307"/>
    <w:rsid w:val="0060487F"/>
    <w:rsid w:val="00604EAD"/>
    <w:rsid w:val="006104FB"/>
    <w:rsid w:val="00612A2F"/>
    <w:rsid w:val="00616E05"/>
    <w:rsid w:val="00622E30"/>
    <w:rsid w:val="006233F9"/>
    <w:rsid w:val="00624093"/>
    <w:rsid w:val="00625F8F"/>
    <w:rsid w:val="006350D5"/>
    <w:rsid w:val="006404A7"/>
    <w:rsid w:val="006451E4"/>
    <w:rsid w:val="00645B33"/>
    <w:rsid w:val="006516CB"/>
    <w:rsid w:val="00656FC8"/>
    <w:rsid w:val="00657E87"/>
    <w:rsid w:val="00664803"/>
    <w:rsid w:val="00665BA4"/>
    <w:rsid w:val="00667AF2"/>
    <w:rsid w:val="006710C9"/>
    <w:rsid w:val="00673BDC"/>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4AC1"/>
    <w:rsid w:val="006C56D4"/>
    <w:rsid w:val="006C6924"/>
    <w:rsid w:val="006C7CA6"/>
    <w:rsid w:val="006D3E8A"/>
    <w:rsid w:val="006D61F6"/>
    <w:rsid w:val="006E279A"/>
    <w:rsid w:val="006E313B"/>
    <w:rsid w:val="006E7124"/>
    <w:rsid w:val="006E7227"/>
    <w:rsid w:val="006F19D3"/>
    <w:rsid w:val="006F438E"/>
    <w:rsid w:val="006F5416"/>
    <w:rsid w:val="006F7076"/>
    <w:rsid w:val="00705242"/>
    <w:rsid w:val="00706AD4"/>
    <w:rsid w:val="00707150"/>
    <w:rsid w:val="007140BE"/>
    <w:rsid w:val="007155B7"/>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24B"/>
    <w:rsid w:val="00763B85"/>
    <w:rsid w:val="0076521E"/>
    <w:rsid w:val="007661E9"/>
    <w:rsid w:val="007701DE"/>
    <w:rsid w:val="00770D15"/>
    <w:rsid w:val="00771C27"/>
    <w:rsid w:val="007750EE"/>
    <w:rsid w:val="00776160"/>
    <w:rsid w:val="00776169"/>
    <w:rsid w:val="00776527"/>
    <w:rsid w:val="00780EF1"/>
    <w:rsid w:val="00790764"/>
    <w:rsid w:val="00793CA9"/>
    <w:rsid w:val="0079453C"/>
    <w:rsid w:val="00794677"/>
    <w:rsid w:val="00797445"/>
    <w:rsid w:val="007A516D"/>
    <w:rsid w:val="007B6689"/>
    <w:rsid w:val="007C21D2"/>
    <w:rsid w:val="007C6BBD"/>
    <w:rsid w:val="007D40DF"/>
    <w:rsid w:val="007E29B4"/>
    <w:rsid w:val="007E3731"/>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6086"/>
    <w:rsid w:val="00846121"/>
    <w:rsid w:val="0084708F"/>
    <w:rsid w:val="008477C8"/>
    <w:rsid w:val="0085114D"/>
    <w:rsid w:val="00852217"/>
    <w:rsid w:val="00855408"/>
    <w:rsid w:val="00856D65"/>
    <w:rsid w:val="008602EC"/>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A7D9B"/>
    <w:rsid w:val="008B5CF6"/>
    <w:rsid w:val="008B7C02"/>
    <w:rsid w:val="008B7D2B"/>
    <w:rsid w:val="008C0049"/>
    <w:rsid w:val="008C0E88"/>
    <w:rsid w:val="008C53CB"/>
    <w:rsid w:val="008D1E6A"/>
    <w:rsid w:val="008D2A16"/>
    <w:rsid w:val="008E2C57"/>
    <w:rsid w:val="008E31FF"/>
    <w:rsid w:val="008E6F06"/>
    <w:rsid w:val="008E6F7F"/>
    <w:rsid w:val="008E7FC9"/>
    <w:rsid w:val="008F029B"/>
    <w:rsid w:val="008F3FC9"/>
    <w:rsid w:val="008F585B"/>
    <w:rsid w:val="009003A8"/>
    <w:rsid w:val="00902500"/>
    <w:rsid w:val="00902EFF"/>
    <w:rsid w:val="00906401"/>
    <w:rsid w:val="0091155E"/>
    <w:rsid w:val="00912A92"/>
    <w:rsid w:val="00914DDD"/>
    <w:rsid w:val="0091728D"/>
    <w:rsid w:val="0092180B"/>
    <w:rsid w:val="00921F14"/>
    <w:rsid w:val="00922D58"/>
    <w:rsid w:val="009231A3"/>
    <w:rsid w:val="00924AC8"/>
    <w:rsid w:val="0092597A"/>
    <w:rsid w:val="00930FB1"/>
    <w:rsid w:val="0093139F"/>
    <w:rsid w:val="00932443"/>
    <w:rsid w:val="00937AE2"/>
    <w:rsid w:val="0094427A"/>
    <w:rsid w:val="00945245"/>
    <w:rsid w:val="0095759C"/>
    <w:rsid w:val="009721DB"/>
    <w:rsid w:val="00974923"/>
    <w:rsid w:val="00980D3D"/>
    <w:rsid w:val="00987A30"/>
    <w:rsid w:val="00992CF3"/>
    <w:rsid w:val="009930C0"/>
    <w:rsid w:val="00994868"/>
    <w:rsid w:val="009968D6"/>
    <w:rsid w:val="009A1CAB"/>
    <w:rsid w:val="009A60D1"/>
    <w:rsid w:val="009A75AE"/>
    <w:rsid w:val="009B6FD3"/>
    <w:rsid w:val="009C1750"/>
    <w:rsid w:val="009C2E29"/>
    <w:rsid w:val="009C554B"/>
    <w:rsid w:val="009C719E"/>
    <w:rsid w:val="009C7A10"/>
    <w:rsid w:val="009D3ACD"/>
    <w:rsid w:val="009D73B5"/>
    <w:rsid w:val="009E1B59"/>
    <w:rsid w:val="009E5273"/>
    <w:rsid w:val="009E5DDB"/>
    <w:rsid w:val="009F4CA7"/>
    <w:rsid w:val="00A10D66"/>
    <w:rsid w:val="00A119FE"/>
    <w:rsid w:val="00A14114"/>
    <w:rsid w:val="00A16413"/>
    <w:rsid w:val="00A16E1D"/>
    <w:rsid w:val="00A17D5B"/>
    <w:rsid w:val="00A22C39"/>
    <w:rsid w:val="00A23E43"/>
    <w:rsid w:val="00A25216"/>
    <w:rsid w:val="00A30F65"/>
    <w:rsid w:val="00A33A89"/>
    <w:rsid w:val="00A40EAC"/>
    <w:rsid w:val="00A418BC"/>
    <w:rsid w:val="00A46DE0"/>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299B"/>
    <w:rsid w:val="00AE31A7"/>
    <w:rsid w:val="00AE31F4"/>
    <w:rsid w:val="00AE6221"/>
    <w:rsid w:val="00AF5165"/>
    <w:rsid w:val="00AF6128"/>
    <w:rsid w:val="00B00913"/>
    <w:rsid w:val="00B01593"/>
    <w:rsid w:val="00B023F2"/>
    <w:rsid w:val="00B04705"/>
    <w:rsid w:val="00B10A4D"/>
    <w:rsid w:val="00B14BC1"/>
    <w:rsid w:val="00B17E71"/>
    <w:rsid w:val="00B17FDE"/>
    <w:rsid w:val="00B2379C"/>
    <w:rsid w:val="00B25189"/>
    <w:rsid w:val="00B2687D"/>
    <w:rsid w:val="00B32DDB"/>
    <w:rsid w:val="00B34528"/>
    <w:rsid w:val="00B34CC9"/>
    <w:rsid w:val="00B35AAE"/>
    <w:rsid w:val="00B402FC"/>
    <w:rsid w:val="00B439DA"/>
    <w:rsid w:val="00B46604"/>
    <w:rsid w:val="00B530CD"/>
    <w:rsid w:val="00B55F5E"/>
    <w:rsid w:val="00B5752E"/>
    <w:rsid w:val="00B61F47"/>
    <w:rsid w:val="00B63A11"/>
    <w:rsid w:val="00B63B6A"/>
    <w:rsid w:val="00B64C24"/>
    <w:rsid w:val="00B6608F"/>
    <w:rsid w:val="00B67298"/>
    <w:rsid w:val="00B679FB"/>
    <w:rsid w:val="00B76D1E"/>
    <w:rsid w:val="00B80EC6"/>
    <w:rsid w:val="00B84CF6"/>
    <w:rsid w:val="00B92D1D"/>
    <w:rsid w:val="00B938C5"/>
    <w:rsid w:val="00B95940"/>
    <w:rsid w:val="00BA6C2B"/>
    <w:rsid w:val="00BA7CB2"/>
    <w:rsid w:val="00BB46F3"/>
    <w:rsid w:val="00BB4CB1"/>
    <w:rsid w:val="00BB4F98"/>
    <w:rsid w:val="00BB73B5"/>
    <w:rsid w:val="00BC5C12"/>
    <w:rsid w:val="00BC7154"/>
    <w:rsid w:val="00BC731E"/>
    <w:rsid w:val="00BD366B"/>
    <w:rsid w:val="00BD6D50"/>
    <w:rsid w:val="00BE18B9"/>
    <w:rsid w:val="00BE2495"/>
    <w:rsid w:val="00BE6FF8"/>
    <w:rsid w:val="00BE7090"/>
    <w:rsid w:val="00BF1578"/>
    <w:rsid w:val="00C04E28"/>
    <w:rsid w:val="00C050C9"/>
    <w:rsid w:val="00C21F94"/>
    <w:rsid w:val="00C2492A"/>
    <w:rsid w:val="00C27913"/>
    <w:rsid w:val="00C27E4F"/>
    <w:rsid w:val="00C32964"/>
    <w:rsid w:val="00C33B68"/>
    <w:rsid w:val="00C36A79"/>
    <w:rsid w:val="00C401D2"/>
    <w:rsid w:val="00C405D4"/>
    <w:rsid w:val="00C4293F"/>
    <w:rsid w:val="00C4431F"/>
    <w:rsid w:val="00C4513B"/>
    <w:rsid w:val="00C47052"/>
    <w:rsid w:val="00C503A6"/>
    <w:rsid w:val="00C5390B"/>
    <w:rsid w:val="00C54697"/>
    <w:rsid w:val="00C65535"/>
    <w:rsid w:val="00C71E85"/>
    <w:rsid w:val="00C72884"/>
    <w:rsid w:val="00C73885"/>
    <w:rsid w:val="00C747B1"/>
    <w:rsid w:val="00C8030A"/>
    <w:rsid w:val="00C82191"/>
    <w:rsid w:val="00C83134"/>
    <w:rsid w:val="00C85545"/>
    <w:rsid w:val="00C90CF4"/>
    <w:rsid w:val="00C9222E"/>
    <w:rsid w:val="00C92EB6"/>
    <w:rsid w:val="00C93389"/>
    <w:rsid w:val="00CA0914"/>
    <w:rsid w:val="00CA3057"/>
    <w:rsid w:val="00CA6AB4"/>
    <w:rsid w:val="00CB4930"/>
    <w:rsid w:val="00CC2E7D"/>
    <w:rsid w:val="00CD10A5"/>
    <w:rsid w:val="00CD2076"/>
    <w:rsid w:val="00CD29B5"/>
    <w:rsid w:val="00CD6331"/>
    <w:rsid w:val="00CE670B"/>
    <w:rsid w:val="00CF4908"/>
    <w:rsid w:val="00CF51EC"/>
    <w:rsid w:val="00CF73AE"/>
    <w:rsid w:val="00D01CDA"/>
    <w:rsid w:val="00D040DD"/>
    <w:rsid w:val="00D075BE"/>
    <w:rsid w:val="00D13986"/>
    <w:rsid w:val="00D21D83"/>
    <w:rsid w:val="00D235B7"/>
    <w:rsid w:val="00D23C02"/>
    <w:rsid w:val="00D25F28"/>
    <w:rsid w:val="00D26071"/>
    <w:rsid w:val="00D27973"/>
    <w:rsid w:val="00D35E1A"/>
    <w:rsid w:val="00D42211"/>
    <w:rsid w:val="00D50F46"/>
    <w:rsid w:val="00D54978"/>
    <w:rsid w:val="00D57677"/>
    <w:rsid w:val="00D66223"/>
    <w:rsid w:val="00D71625"/>
    <w:rsid w:val="00D8084C"/>
    <w:rsid w:val="00D915EA"/>
    <w:rsid w:val="00DA7C0C"/>
    <w:rsid w:val="00DB08A9"/>
    <w:rsid w:val="00DB2A7E"/>
    <w:rsid w:val="00DB2EC8"/>
    <w:rsid w:val="00DC5B3B"/>
    <w:rsid w:val="00DD129F"/>
    <w:rsid w:val="00DE02BD"/>
    <w:rsid w:val="00DF42FF"/>
    <w:rsid w:val="00E01C0E"/>
    <w:rsid w:val="00E03F9A"/>
    <w:rsid w:val="00E04694"/>
    <w:rsid w:val="00E063CE"/>
    <w:rsid w:val="00E12B1E"/>
    <w:rsid w:val="00E17262"/>
    <w:rsid w:val="00E200EF"/>
    <w:rsid w:val="00E2206E"/>
    <w:rsid w:val="00E253A2"/>
    <w:rsid w:val="00E3309D"/>
    <w:rsid w:val="00E43C1C"/>
    <w:rsid w:val="00E47EBA"/>
    <w:rsid w:val="00E50156"/>
    <w:rsid w:val="00E51643"/>
    <w:rsid w:val="00E53470"/>
    <w:rsid w:val="00E539F6"/>
    <w:rsid w:val="00E551F6"/>
    <w:rsid w:val="00E61613"/>
    <w:rsid w:val="00E62166"/>
    <w:rsid w:val="00E6519D"/>
    <w:rsid w:val="00E67696"/>
    <w:rsid w:val="00E71A58"/>
    <w:rsid w:val="00E72A7A"/>
    <w:rsid w:val="00E75C94"/>
    <w:rsid w:val="00E93820"/>
    <w:rsid w:val="00E94A86"/>
    <w:rsid w:val="00E96143"/>
    <w:rsid w:val="00E97D7E"/>
    <w:rsid w:val="00EA0987"/>
    <w:rsid w:val="00EA0C68"/>
    <w:rsid w:val="00EA32BC"/>
    <w:rsid w:val="00EA4302"/>
    <w:rsid w:val="00EB4511"/>
    <w:rsid w:val="00EB75B3"/>
    <w:rsid w:val="00EC03D7"/>
    <w:rsid w:val="00ED4F37"/>
    <w:rsid w:val="00ED62C6"/>
    <w:rsid w:val="00ED64C1"/>
    <w:rsid w:val="00EE3446"/>
    <w:rsid w:val="00EE3E78"/>
    <w:rsid w:val="00EE4B1B"/>
    <w:rsid w:val="00EE7F19"/>
    <w:rsid w:val="00EF089C"/>
    <w:rsid w:val="00EF150D"/>
    <w:rsid w:val="00EF1F5A"/>
    <w:rsid w:val="00EF3741"/>
    <w:rsid w:val="00EF47BF"/>
    <w:rsid w:val="00F04811"/>
    <w:rsid w:val="00F0488C"/>
    <w:rsid w:val="00F10F11"/>
    <w:rsid w:val="00F15AAA"/>
    <w:rsid w:val="00F15BEF"/>
    <w:rsid w:val="00F24407"/>
    <w:rsid w:val="00F24931"/>
    <w:rsid w:val="00F24FAA"/>
    <w:rsid w:val="00F312E5"/>
    <w:rsid w:val="00F3364D"/>
    <w:rsid w:val="00F437CC"/>
    <w:rsid w:val="00F44537"/>
    <w:rsid w:val="00F44B6A"/>
    <w:rsid w:val="00F47067"/>
    <w:rsid w:val="00F50FC3"/>
    <w:rsid w:val="00F525EB"/>
    <w:rsid w:val="00F63DDE"/>
    <w:rsid w:val="00F63FB7"/>
    <w:rsid w:val="00F6421B"/>
    <w:rsid w:val="00F649D2"/>
    <w:rsid w:val="00F6602B"/>
    <w:rsid w:val="00F73A0C"/>
    <w:rsid w:val="00F756DB"/>
    <w:rsid w:val="00F77810"/>
    <w:rsid w:val="00F84E7D"/>
    <w:rsid w:val="00F85066"/>
    <w:rsid w:val="00F87A4D"/>
    <w:rsid w:val="00F9785E"/>
    <w:rsid w:val="00FA5D4D"/>
    <w:rsid w:val="00FB0EE2"/>
    <w:rsid w:val="00FB542E"/>
    <w:rsid w:val="00FC0E5F"/>
    <w:rsid w:val="00FC1A95"/>
    <w:rsid w:val="00FC50BA"/>
    <w:rsid w:val="00FC56DE"/>
    <w:rsid w:val="00FC684B"/>
    <w:rsid w:val="00FD3265"/>
    <w:rsid w:val="00FD5F92"/>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3985577">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chart" Target="charts/chart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G:\Qmakro-2024\1.%20pololet&#237;\ENGL\ENGL-ODV&#282;TV&#205;_grafy_1.pol.20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4\1.%20pololet&#237;\ENGL\ENGL-ODV&#282;TV&#205;_grafy_1.pol.202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Qmakro-2024\1.%20pololet&#237;\ENGL\ENGL-ODV&#282;TV&#205;_grafy_1.pol.2024.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Qmakro-2024\1.%20pololet&#237;\ENGL\ENGL-ODV&#282;TV&#205;_grafy_1.pol.202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Qmakro-2024\1.%20pololet&#237;\ENGL\ENGL-ODV&#282;TV&#205;_grafy_1.pol.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054E-2"/>
          <c:y val="1.5804777005479873E-2"/>
          <c:w val="0.83869776528327045"/>
          <c:h val="0.69135712481071809"/>
        </c:manualLayout>
      </c:layout>
      <c:barChart>
        <c:barDir val="col"/>
        <c:grouping val="stacked"/>
        <c:varyColors val="0"/>
        <c:ser>
          <c:idx val="0"/>
          <c:order val="0"/>
          <c:tx>
            <c:strRef>
              <c:f>'GRAF příspěvky IPP'!$A$27</c:f>
              <c:strCache>
                <c:ptCount val="1"/>
                <c:pt idx="0">
                  <c:v>Manufacture of transport equip. (29, 30)</c:v>
                </c:pt>
              </c:strCache>
            </c:strRef>
          </c:tx>
          <c:spPr>
            <a:solidFill>
              <a:srgbClr val="E8AFB2"/>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IPP'!$R$27:$BC$27</c:f>
              <c:numCache>
                <c:formatCode>0.0</c:formatCode>
                <c:ptCount val="38"/>
                <c:pt idx="0">
                  <c:v>1.5407194734870255</c:v>
                </c:pt>
                <c:pt idx="1">
                  <c:v>2.1725345808437702</c:v>
                </c:pt>
                <c:pt idx="2">
                  <c:v>2.3822280390891484</c:v>
                </c:pt>
                <c:pt idx="3">
                  <c:v>2.8679001700331122</c:v>
                </c:pt>
                <c:pt idx="4">
                  <c:v>3.3256782968034511</c:v>
                </c:pt>
                <c:pt idx="5">
                  <c:v>2.7078368205204244</c:v>
                </c:pt>
                <c:pt idx="6">
                  <c:v>1.4770884945722993</c:v>
                </c:pt>
                <c:pt idx="7">
                  <c:v>1.0297006290395898</c:v>
                </c:pt>
                <c:pt idx="8">
                  <c:v>1.7408920839398754</c:v>
                </c:pt>
                <c:pt idx="9">
                  <c:v>2.1378802528812932</c:v>
                </c:pt>
                <c:pt idx="10">
                  <c:v>1.5935135243788106</c:v>
                </c:pt>
                <c:pt idx="11">
                  <c:v>1.6791873092801739</c:v>
                </c:pt>
                <c:pt idx="12">
                  <c:v>0.75268647024158142</c:v>
                </c:pt>
                <c:pt idx="13">
                  <c:v>0.54211789515047693</c:v>
                </c:pt>
                <c:pt idx="14">
                  <c:v>0.24127576647979335</c:v>
                </c:pt>
                <c:pt idx="15">
                  <c:v>0.97863378627142206</c:v>
                </c:pt>
                <c:pt idx="16">
                  <c:v>-0.2260516552234422</c:v>
                </c:pt>
                <c:pt idx="17">
                  <c:v>0.44759183220264459</c:v>
                </c:pt>
                <c:pt idx="18">
                  <c:v>0.76878503294695455</c:v>
                </c:pt>
                <c:pt idx="19">
                  <c:v>-1.0091759236462883</c:v>
                </c:pt>
                <c:pt idx="20">
                  <c:v>-1.5334709251303915</c:v>
                </c:pt>
                <c:pt idx="21">
                  <c:v>-9.3844961095672232</c:v>
                </c:pt>
                <c:pt idx="22">
                  <c:v>-0.1831246423410012</c:v>
                </c:pt>
                <c:pt idx="23">
                  <c:v>2.0633116605855042</c:v>
                </c:pt>
                <c:pt idx="24">
                  <c:v>1.8975892085619599</c:v>
                </c:pt>
                <c:pt idx="25">
                  <c:v>10.942229614625033</c:v>
                </c:pt>
                <c:pt idx="26">
                  <c:v>-3.7731049892010864</c:v>
                </c:pt>
                <c:pt idx="27">
                  <c:v>-3.2535308042579567</c:v>
                </c:pt>
                <c:pt idx="28">
                  <c:v>-1.9125458057863209</c:v>
                </c:pt>
                <c:pt idx="29">
                  <c:v>9.5447744662069289E-2</c:v>
                </c:pt>
                <c:pt idx="30">
                  <c:v>5.6019908887957373</c:v>
                </c:pt>
                <c:pt idx="31">
                  <c:v>4.0134216834581702</c:v>
                </c:pt>
                <c:pt idx="32">
                  <c:v>5.2536005580152212</c:v>
                </c:pt>
                <c:pt idx="33">
                  <c:v>5.1114636387030394</c:v>
                </c:pt>
                <c:pt idx="34">
                  <c:v>1.3618952455796303</c:v>
                </c:pt>
                <c:pt idx="35">
                  <c:v>3.1901430933724066</c:v>
                </c:pt>
                <c:pt idx="36">
                  <c:v>0.45999217837512463</c:v>
                </c:pt>
                <c:pt idx="37">
                  <c:v>-1.240406610955751</c:v>
                </c:pt>
              </c:numCache>
            </c:numRef>
          </c:val>
          <c:extLst>
            <c:ext xmlns:c16="http://schemas.microsoft.com/office/drawing/2014/chart" uri="{C3380CC4-5D6E-409C-BE32-E72D297353CC}">
              <c16:uniqueId val="{00000000-A461-4FBA-82B0-01FCDDD85655}"/>
            </c:ext>
          </c:extLst>
        </c:ser>
        <c:ser>
          <c:idx val="1"/>
          <c:order val="1"/>
          <c:tx>
            <c:strRef>
              <c:f>'GRAF příspěvky IPP'!$A$28</c:f>
              <c:strCache>
                <c:ptCount val="1"/>
                <c:pt idx="0">
                  <c:v>Rubber, electro technical ind. (22, 27)</c:v>
                </c:pt>
              </c:strCache>
            </c:strRef>
          </c:tx>
          <c:spPr>
            <a:solidFill>
              <a:srgbClr val="BD1B21"/>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IPP'!$R$28:$BC$28</c:f>
              <c:numCache>
                <c:formatCode>0.0</c:formatCode>
                <c:ptCount val="38"/>
                <c:pt idx="0">
                  <c:v>1.0322214618878158</c:v>
                </c:pt>
                <c:pt idx="1">
                  <c:v>1.2386415260436179</c:v>
                </c:pt>
                <c:pt idx="2">
                  <c:v>1.4204776682885574</c:v>
                </c:pt>
                <c:pt idx="3">
                  <c:v>0.62919278136008572</c:v>
                </c:pt>
                <c:pt idx="4">
                  <c:v>0.8176750577912526</c:v>
                </c:pt>
                <c:pt idx="5">
                  <c:v>0.14129582168796412</c:v>
                </c:pt>
                <c:pt idx="6">
                  <c:v>0.27952572878212995</c:v>
                </c:pt>
                <c:pt idx="7">
                  <c:v>0.42980054252763067</c:v>
                </c:pt>
                <c:pt idx="8">
                  <c:v>0.79334952879496901</c:v>
                </c:pt>
                <c:pt idx="9">
                  <c:v>1.468356537050969</c:v>
                </c:pt>
                <c:pt idx="10">
                  <c:v>0.87390949425966125</c:v>
                </c:pt>
                <c:pt idx="11">
                  <c:v>1.644368824210785</c:v>
                </c:pt>
                <c:pt idx="12">
                  <c:v>1.0040337375607471</c:v>
                </c:pt>
                <c:pt idx="13">
                  <c:v>0.3253925650201499</c:v>
                </c:pt>
                <c:pt idx="14">
                  <c:v>0.43133954445298106</c:v>
                </c:pt>
                <c:pt idx="15">
                  <c:v>-5.9899261699036116E-2</c:v>
                </c:pt>
                <c:pt idx="16">
                  <c:v>0.52608733581744893</c:v>
                </c:pt>
                <c:pt idx="17">
                  <c:v>0.44070570288166666</c:v>
                </c:pt>
                <c:pt idx="18">
                  <c:v>0.16703875787161085</c:v>
                </c:pt>
                <c:pt idx="19">
                  <c:v>0.41508771908448316</c:v>
                </c:pt>
                <c:pt idx="20">
                  <c:v>-0.55255281731107375</c:v>
                </c:pt>
                <c:pt idx="21">
                  <c:v>-4.0630399723550301</c:v>
                </c:pt>
                <c:pt idx="22">
                  <c:v>-0.43874587338548932</c:v>
                </c:pt>
                <c:pt idx="23">
                  <c:v>0.53060699318837878</c:v>
                </c:pt>
                <c:pt idx="24">
                  <c:v>0.71145935426482565</c:v>
                </c:pt>
                <c:pt idx="25">
                  <c:v>5.4849453443420373</c:v>
                </c:pt>
                <c:pt idx="26">
                  <c:v>0.62009544020472473</c:v>
                </c:pt>
                <c:pt idx="27">
                  <c:v>-0.42285126031126669</c:v>
                </c:pt>
                <c:pt idx="28">
                  <c:v>9.1493416828334395E-2</c:v>
                </c:pt>
                <c:pt idx="29">
                  <c:v>0.14020266448373037</c:v>
                </c:pt>
                <c:pt idx="30">
                  <c:v>0.54193889354627167</c:v>
                </c:pt>
                <c:pt idx="31">
                  <c:v>0.61065791996017937</c:v>
                </c:pt>
                <c:pt idx="32">
                  <c:v>0.25271742983599177</c:v>
                </c:pt>
                <c:pt idx="33">
                  <c:v>0.12055652014943047</c:v>
                </c:pt>
                <c:pt idx="34">
                  <c:v>-0.42571706492848177</c:v>
                </c:pt>
                <c:pt idx="35">
                  <c:v>2.1622941519747779E-2</c:v>
                </c:pt>
                <c:pt idx="36">
                  <c:v>0.17867804467099502</c:v>
                </c:pt>
                <c:pt idx="37">
                  <c:v>-0.19674104015401267</c:v>
                </c:pt>
              </c:numCache>
            </c:numRef>
          </c:val>
          <c:extLst>
            <c:ext xmlns:c16="http://schemas.microsoft.com/office/drawing/2014/chart" uri="{C3380CC4-5D6E-409C-BE32-E72D297353CC}">
              <c16:uniqueId val="{00000001-A461-4FBA-82B0-01FCDDD85655}"/>
            </c:ext>
          </c:extLst>
        </c:ser>
        <c:ser>
          <c:idx val="2"/>
          <c:order val="2"/>
          <c:tx>
            <c:strRef>
              <c:f>'GRAF příspěvky IPP'!$A$29</c:f>
              <c:strCache>
                <c:ptCount val="1"/>
                <c:pt idx="0">
                  <c:v>Machinery (28)</c:v>
                </c:pt>
              </c:strCache>
            </c:strRef>
          </c:tx>
          <c:spPr>
            <a:solidFill>
              <a:srgbClr val="BFE3F7"/>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IPP'!$R$29:$BC$29</c:f>
              <c:numCache>
                <c:formatCode>0.0</c:formatCode>
                <c:ptCount val="38"/>
                <c:pt idx="0">
                  <c:v>0.27346966717109655</c:v>
                </c:pt>
                <c:pt idx="1">
                  <c:v>0.29320995735524691</c:v>
                </c:pt>
                <c:pt idx="2">
                  <c:v>0.38410423993096532</c:v>
                </c:pt>
                <c:pt idx="3">
                  <c:v>2.0725807050325191E-2</c:v>
                </c:pt>
                <c:pt idx="4">
                  <c:v>0.37252847603208256</c:v>
                </c:pt>
                <c:pt idx="5">
                  <c:v>-9.2809853017947919E-2</c:v>
                </c:pt>
                <c:pt idx="6">
                  <c:v>0.20293953400612441</c:v>
                </c:pt>
                <c:pt idx="7">
                  <c:v>0.32005157357499631</c:v>
                </c:pt>
                <c:pt idx="8">
                  <c:v>0.3345178851347928</c:v>
                </c:pt>
                <c:pt idx="9">
                  <c:v>1.1003694908923236</c:v>
                </c:pt>
                <c:pt idx="10">
                  <c:v>0.85805445400541835</c:v>
                </c:pt>
                <c:pt idx="11">
                  <c:v>0.80055944660911171</c:v>
                </c:pt>
                <c:pt idx="12">
                  <c:v>0.48868169907415326</c:v>
                </c:pt>
                <c:pt idx="13">
                  <c:v>0.13868742792561028</c:v>
                </c:pt>
                <c:pt idx="14">
                  <c:v>0.18638853797251198</c:v>
                </c:pt>
                <c:pt idx="15">
                  <c:v>-0.20071677551985512</c:v>
                </c:pt>
                <c:pt idx="16">
                  <c:v>0.20262845642032346</c:v>
                </c:pt>
                <c:pt idx="17">
                  <c:v>-9.1482438382696971E-3</c:v>
                </c:pt>
                <c:pt idx="18">
                  <c:v>-0.3267936607108648</c:v>
                </c:pt>
                <c:pt idx="19">
                  <c:v>-0.14957125605699437</c:v>
                </c:pt>
                <c:pt idx="20">
                  <c:v>-0.7072452096320988</c:v>
                </c:pt>
                <c:pt idx="21">
                  <c:v>-2.1308377913469609</c:v>
                </c:pt>
                <c:pt idx="22">
                  <c:v>-0.8017096029334061</c:v>
                </c:pt>
                <c:pt idx="23">
                  <c:v>-0.54797142039304825</c:v>
                </c:pt>
                <c:pt idx="24">
                  <c:v>7.0850055204653054E-2</c:v>
                </c:pt>
                <c:pt idx="25">
                  <c:v>2.0598150661116326</c:v>
                </c:pt>
                <c:pt idx="26">
                  <c:v>0.54732740156649295</c:v>
                </c:pt>
                <c:pt idx="27">
                  <c:v>0.28187017007306092</c:v>
                </c:pt>
                <c:pt idx="28">
                  <c:v>0.35832508124582935</c:v>
                </c:pt>
                <c:pt idx="29">
                  <c:v>9.1653825182652457E-2</c:v>
                </c:pt>
                <c:pt idx="30">
                  <c:v>0.48964765301851315</c:v>
                </c:pt>
                <c:pt idx="31">
                  <c:v>0.65392427024919109</c:v>
                </c:pt>
                <c:pt idx="32">
                  <c:v>0.4743954191459484</c:v>
                </c:pt>
                <c:pt idx="33">
                  <c:v>0.39139167102075056</c:v>
                </c:pt>
                <c:pt idx="34">
                  <c:v>-0.58039125250365531</c:v>
                </c:pt>
                <c:pt idx="35">
                  <c:v>-0.75561598264437491</c:v>
                </c:pt>
                <c:pt idx="36">
                  <c:v>-1.0719133806978978</c:v>
                </c:pt>
                <c:pt idx="37">
                  <c:v>-1.0310110810340232</c:v>
                </c:pt>
              </c:numCache>
            </c:numRef>
          </c:val>
          <c:extLst>
            <c:ext xmlns:c16="http://schemas.microsoft.com/office/drawing/2014/chart" uri="{C3380CC4-5D6E-409C-BE32-E72D297353CC}">
              <c16:uniqueId val="{00000002-A461-4FBA-82B0-01FCDDD85655}"/>
            </c:ext>
          </c:extLst>
        </c:ser>
        <c:ser>
          <c:idx val="3"/>
          <c:order val="3"/>
          <c:tx>
            <c:strRef>
              <c:f>'GRAF příspěvky IPP'!$A$30</c:f>
              <c:strCache>
                <c:ptCount val="1"/>
                <c:pt idx="0">
                  <c:v>Fabricated metal product industry (25)</c:v>
                </c:pt>
              </c:strCache>
            </c:strRef>
          </c:tx>
          <c:spPr>
            <a:solidFill>
              <a:srgbClr val="48AEE7"/>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IPP'!$R$30:$BC$30</c:f>
              <c:numCache>
                <c:formatCode>0.0</c:formatCode>
                <c:ptCount val="38"/>
                <c:pt idx="0">
                  <c:v>0.69488451852266242</c:v>
                </c:pt>
                <c:pt idx="1">
                  <c:v>0.78494764780669857</c:v>
                </c:pt>
                <c:pt idx="2">
                  <c:v>0.99085589155838827</c:v>
                </c:pt>
                <c:pt idx="3">
                  <c:v>0.60110426817331475</c:v>
                </c:pt>
                <c:pt idx="4">
                  <c:v>0.81011316513160325</c:v>
                </c:pt>
                <c:pt idx="5">
                  <c:v>0.36137817304287012</c:v>
                </c:pt>
                <c:pt idx="6">
                  <c:v>0.23174116441034223</c:v>
                </c:pt>
                <c:pt idx="7">
                  <c:v>0.25113007311661406</c:v>
                </c:pt>
                <c:pt idx="8">
                  <c:v>0.38676361423749528</c:v>
                </c:pt>
                <c:pt idx="9">
                  <c:v>0.95166355765299349</c:v>
                </c:pt>
                <c:pt idx="10">
                  <c:v>0.86091550298549102</c:v>
                </c:pt>
                <c:pt idx="11">
                  <c:v>0.96020285266505589</c:v>
                </c:pt>
                <c:pt idx="12">
                  <c:v>0.67147421279246411</c:v>
                </c:pt>
                <c:pt idx="13">
                  <c:v>0.46338675111775501</c:v>
                </c:pt>
                <c:pt idx="14">
                  <c:v>0.40465307945227347</c:v>
                </c:pt>
                <c:pt idx="15">
                  <c:v>0.13991647838864771</c:v>
                </c:pt>
                <c:pt idx="16">
                  <c:v>0.23284119938910905</c:v>
                </c:pt>
                <c:pt idx="17">
                  <c:v>-2.3018109664658163E-3</c:v>
                </c:pt>
                <c:pt idx="18">
                  <c:v>-0.27902616348258918</c:v>
                </c:pt>
                <c:pt idx="19">
                  <c:v>-0.28921256974210446</c:v>
                </c:pt>
                <c:pt idx="20">
                  <c:v>-0.59705730498174525</c:v>
                </c:pt>
                <c:pt idx="21">
                  <c:v>-2.0768472147616719</c:v>
                </c:pt>
                <c:pt idx="22">
                  <c:v>-0.62165835195312102</c:v>
                </c:pt>
                <c:pt idx="23">
                  <c:v>4.661253810289321E-2</c:v>
                </c:pt>
                <c:pt idx="24">
                  <c:v>0.4319844451866503</c:v>
                </c:pt>
                <c:pt idx="25">
                  <c:v>2.9892153039365739</c:v>
                </c:pt>
                <c:pt idx="26">
                  <c:v>0.80117841210531138</c:v>
                </c:pt>
                <c:pt idx="27">
                  <c:v>1.7463387937825797E-2</c:v>
                </c:pt>
                <c:pt idx="28">
                  <c:v>0.22598481032929491</c:v>
                </c:pt>
                <c:pt idx="29">
                  <c:v>-0.40391403937362469</c:v>
                </c:pt>
                <c:pt idx="30">
                  <c:v>-0.31530952555716046</c:v>
                </c:pt>
                <c:pt idx="31">
                  <c:v>-0.21505799769140796</c:v>
                </c:pt>
                <c:pt idx="32">
                  <c:v>-0.35405207260318489</c:v>
                </c:pt>
                <c:pt idx="33">
                  <c:v>-9.6885897827818007E-2</c:v>
                </c:pt>
                <c:pt idx="34">
                  <c:v>-0.20936242560906063</c:v>
                </c:pt>
                <c:pt idx="35">
                  <c:v>-0.27619740847507079</c:v>
                </c:pt>
                <c:pt idx="36">
                  <c:v>-0.12502017613010791</c:v>
                </c:pt>
                <c:pt idx="37">
                  <c:v>-7.7508650510356131E-2</c:v>
                </c:pt>
              </c:numCache>
            </c:numRef>
          </c:val>
          <c:extLst>
            <c:ext xmlns:c16="http://schemas.microsoft.com/office/drawing/2014/chart" uri="{C3380CC4-5D6E-409C-BE32-E72D297353CC}">
              <c16:uniqueId val="{00000003-A461-4FBA-82B0-01FCDDD85655}"/>
            </c:ext>
          </c:extLst>
        </c:ser>
        <c:ser>
          <c:idx val="4"/>
          <c:order val="4"/>
          <c:tx>
            <c:strRef>
              <c:f>'GRAF příspěvky IPP'!$A$31</c:f>
              <c:strCache>
                <c:ptCount val="1"/>
                <c:pt idx="0">
                  <c:v>PC, electronic and optical products (26)</c:v>
                </c:pt>
              </c:strCache>
            </c:strRef>
          </c:tx>
          <c:spPr>
            <a:solidFill>
              <a:srgbClr val="FDDEB3"/>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IPP'!$R$31:$BC$31</c:f>
              <c:numCache>
                <c:formatCode>0.0</c:formatCode>
                <c:ptCount val="38"/>
                <c:pt idx="0">
                  <c:v>0.10274789516452397</c:v>
                </c:pt>
                <c:pt idx="1">
                  <c:v>1.6624023651880003E-2</c:v>
                </c:pt>
                <c:pt idx="2">
                  <c:v>3.1029768728409929E-2</c:v>
                </c:pt>
                <c:pt idx="3">
                  <c:v>-6.717825999350098E-2</c:v>
                </c:pt>
                <c:pt idx="4">
                  <c:v>-9.0690116406332948E-3</c:v>
                </c:pt>
                <c:pt idx="5">
                  <c:v>6.8577664711048592E-2</c:v>
                </c:pt>
                <c:pt idx="6">
                  <c:v>4.7878835623817111E-2</c:v>
                </c:pt>
                <c:pt idx="7">
                  <c:v>0.16200567329703564</c:v>
                </c:pt>
                <c:pt idx="8">
                  <c:v>0.1517960019133566</c:v>
                </c:pt>
                <c:pt idx="9">
                  <c:v>0.35040742405813147</c:v>
                </c:pt>
                <c:pt idx="10">
                  <c:v>0.22701547985990286</c:v>
                </c:pt>
                <c:pt idx="11">
                  <c:v>0.23483306705633769</c:v>
                </c:pt>
                <c:pt idx="12">
                  <c:v>0.38575845909308681</c:v>
                </c:pt>
                <c:pt idx="13">
                  <c:v>0.1585479563430445</c:v>
                </c:pt>
                <c:pt idx="14">
                  <c:v>0.63604123808561219</c:v>
                </c:pt>
                <c:pt idx="15">
                  <c:v>0.3169722012936107</c:v>
                </c:pt>
                <c:pt idx="16">
                  <c:v>-0.10335857004416719</c:v>
                </c:pt>
                <c:pt idx="17">
                  <c:v>-3.5698176267711781E-2</c:v>
                </c:pt>
                <c:pt idx="18">
                  <c:v>-0.60934912550064046</c:v>
                </c:pt>
                <c:pt idx="19">
                  <c:v>-0.3641176829939205</c:v>
                </c:pt>
                <c:pt idx="20">
                  <c:v>-0.1013700779981392</c:v>
                </c:pt>
                <c:pt idx="21">
                  <c:v>-0.31920945262277456</c:v>
                </c:pt>
                <c:pt idx="22">
                  <c:v>3.1049160053994794E-2</c:v>
                </c:pt>
                <c:pt idx="23">
                  <c:v>2.2349038466741165E-2</c:v>
                </c:pt>
                <c:pt idx="24">
                  <c:v>0.12974311148891404</c:v>
                </c:pt>
                <c:pt idx="25">
                  <c:v>0.21647002151163328</c:v>
                </c:pt>
                <c:pt idx="26">
                  <c:v>0.19205806664585179</c:v>
                </c:pt>
                <c:pt idx="27">
                  <c:v>-0.23628033126313611</c:v>
                </c:pt>
                <c:pt idx="28">
                  <c:v>2.5262432705383895E-2</c:v>
                </c:pt>
                <c:pt idx="29">
                  <c:v>-1.8781509562061992E-2</c:v>
                </c:pt>
                <c:pt idx="30">
                  <c:v>5.9957016296618329E-2</c:v>
                </c:pt>
                <c:pt idx="31">
                  <c:v>0.43275534414748673</c:v>
                </c:pt>
                <c:pt idx="32">
                  <c:v>0.14797572480386773</c:v>
                </c:pt>
                <c:pt idx="33">
                  <c:v>8.3419533160410703E-2</c:v>
                </c:pt>
                <c:pt idx="34">
                  <c:v>-7.2085015188834867E-2</c:v>
                </c:pt>
                <c:pt idx="35">
                  <c:v>-6.5736974006284782E-2</c:v>
                </c:pt>
                <c:pt idx="36">
                  <c:v>-7.4160847801630056E-2</c:v>
                </c:pt>
                <c:pt idx="37">
                  <c:v>0.14140218444503422</c:v>
                </c:pt>
              </c:numCache>
            </c:numRef>
          </c:val>
          <c:extLst>
            <c:ext xmlns:c16="http://schemas.microsoft.com/office/drawing/2014/chart" uri="{C3380CC4-5D6E-409C-BE32-E72D297353CC}">
              <c16:uniqueId val="{00000004-A461-4FBA-82B0-01FCDDD85655}"/>
            </c:ext>
          </c:extLst>
        </c:ser>
        <c:ser>
          <c:idx val="5"/>
          <c:order val="5"/>
          <c:tx>
            <c:strRef>
              <c:f>'GRAF příspěvky IPP'!$A$32</c:f>
              <c:strCache>
                <c:ptCount val="1"/>
                <c:pt idx="0">
                  <c:v>Chemical, pharmaceutical ind. (20, 21)</c:v>
                </c:pt>
              </c:strCache>
            </c:strRef>
          </c:tx>
          <c:spPr>
            <a:solidFill>
              <a:srgbClr val="F8A124"/>
            </a:solidFill>
            <a:ln>
              <a:noFill/>
            </a:ln>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IPP'!$R$32:$BC$32</c:f>
              <c:numCache>
                <c:formatCode>0.0</c:formatCode>
                <c:ptCount val="38"/>
                <c:pt idx="0">
                  <c:v>7.7157547125760104E-2</c:v>
                </c:pt>
                <c:pt idx="1">
                  <c:v>0.23593755110737841</c:v>
                </c:pt>
                <c:pt idx="2">
                  <c:v>-0.16353071050900619</c:v>
                </c:pt>
                <c:pt idx="3">
                  <c:v>-0.33446774192766959</c:v>
                </c:pt>
                <c:pt idx="4">
                  <c:v>-0.41480189964943331</c:v>
                </c:pt>
                <c:pt idx="5">
                  <c:v>-0.43289982593467702</c:v>
                </c:pt>
                <c:pt idx="6">
                  <c:v>-0.1055173929140575</c:v>
                </c:pt>
                <c:pt idx="7">
                  <c:v>0.23717747625834851</c:v>
                </c:pt>
                <c:pt idx="8">
                  <c:v>0.51439307947726998</c:v>
                </c:pt>
                <c:pt idx="9">
                  <c:v>0.83289717197907565</c:v>
                </c:pt>
                <c:pt idx="10">
                  <c:v>0.65310318202327911</c:v>
                </c:pt>
                <c:pt idx="11">
                  <c:v>0.50440121167449548</c:v>
                </c:pt>
                <c:pt idx="12">
                  <c:v>0.40911320927322647</c:v>
                </c:pt>
                <c:pt idx="13">
                  <c:v>7.7633111380155301E-2</c:v>
                </c:pt>
                <c:pt idx="14">
                  <c:v>-5.3190732776962651E-2</c:v>
                </c:pt>
                <c:pt idx="15">
                  <c:v>-7.1103221110709838E-2</c:v>
                </c:pt>
                <c:pt idx="16">
                  <c:v>9.3101613350728932E-2</c:v>
                </c:pt>
                <c:pt idx="17">
                  <c:v>6.1474211824515262E-2</c:v>
                </c:pt>
                <c:pt idx="18">
                  <c:v>0.2229684142187896</c:v>
                </c:pt>
                <c:pt idx="19">
                  <c:v>3.2130190492489386E-2</c:v>
                </c:pt>
                <c:pt idx="20">
                  <c:v>-3.6216479616950112E-2</c:v>
                </c:pt>
                <c:pt idx="21">
                  <c:v>-0.57135666895590331</c:v>
                </c:pt>
                <c:pt idx="22">
                  <c:v>-0.22076865898667289</c:v>
                </c:pt>
                <c:pt idx="23">
                  <c:v>0.42176753383241716</c:v>
                </c:pt>
                <c:pt idx="24">
                  <c:v>0.28428412011687404</c:v>
                </c:pt>
                <c:pt idx="25">
                  <c:v>0.82249631111331634</c:v>
                </c:pt>
                <c:pt idx="26">
                  <c:v>0.32027597160186944</c:v>
                </c:pt>
                <c:pt idx="27">
                  <c:v>8.7321622360171852E-2</c:v>
                </c:pt>
                <c:pt idx="28">
                  <c:v>0.24814976114220236</c:v>
                </c:pt>
                <c:pt idx="29">
                  <c:v>0.15906491022417332</c:v>
                </c:pt>
                <c:pt idx="30">
                  <c:v>-9.9156705361591546E-2</c:v>
                </c:pt>
                <c:pt idx="31">
                  <c:v>-0.2903361250797567</c:v>
                </c:pt>
                <c:pt idx="32">
                  <c:v>-0.60093194811787198</c:v>
                </c:pt>
                <c:pt idx="33">
                  <c:v>-0.17634605689268518</c:v>
                </c:pt>
                <c:pt idx="34">
                  <c:v>-7.3142262120512377E-2</c:v>
                </c:pt>
                <c:pt idx="35">
                  <c:v>-0.12595269503796017</c:v>
                </c:pt>
                <c:pt idx="36">
                  <c:v>0.2900417395339277</c:v>
                </c:pt>
                <c:pt idx="37">
                  <c:v>3.2573230941614933E-2</c:v>
                </c:pt>
              </c:numCache>
            </c:numRef>
          </c:val>
          <c:extLst>
            <c:ext xmlns:c16="http://schemas.microsoft.com/office/drawing/2014/chart" uri="{C3380CC4-5D6E-409C-BE32-E72D297353CC}">
              <c16:uniqueId val="{00000005-A461-4FBA-82B0-01FCDDD85655}"/>
            </c:ext>
          </c:extLst>
        </c:ser>
        <c:ser>
          <c:idx val="6"/>
          <c:order val="6"/>
          <c:tx>
            <c:strRef>
              <c:f>'GRAF příspěvky IPP'!$A$33</c:f>
              <c:strCache>
                <c:ptCount val="1"/>
                <c:pt idx="0">
                  <c:v>Remaining manufacturing industries*</c:v>
                </c:pt>
              </c:strCache>
            </c:strRef>
          </c:tx>
          <c:spPr>
            <a:solidFill>
              <a:schemeClr val="bg1">
                <a:lumMod val="85000"/>
              </a:schemeClr>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IPP'!$R$33:$BC$33</c:f>
              <c:numCache>
                <c:formatCode>0.0</c:formatCode>
                <c:ptCount val="38"/>
                <c:pt idx="0">
                  <c:v>0.98443956746970962</c:v>
                </c:pt>
                <c:pt idx="1">
                  <c:v>0.89749369767930132</c:v>
                </c:pt>
                <c:pt idx="2">
                  <c:v>1.0110169889951346</c:v>
                </c:pt>
                <c:pt idx="3">
                  <c:v>-0.20272196687510713</c:v>
                </c:pt>
                <c:pt idx="4">
                  <c:v>-0.44835386658683185</c:v>
                </c:pt>
                <c:pt idx="5">
                  <c:v>-1.1528022020710338</c:v>
                </c:pt>
                <c:pt idx="6">
                  <c:v>-0.3721343772053517</c:v>
                </c:pt>
                <c:pt idx="7">
                  <c:v>0.44554477386112834</c:v>
                </c:pt>
                <c:pt idx="8">
                  <c:v>-0.13802711444318691</c:v>
                </c:pt>
                <c:pt idx="9">
                  <c:v>1.4520150527939983</c:v>
                </c:pt>
                <c:pt idx="10">
                  <c:v>0.65687676657011995</c:v>
                </c:pt>
                <c:pt idx="11">
                  <c:v>0.76186639439852744</c:v>
                </c:pt>
                <c:pt idx="12">
                  <c:v>1.1768838940724016</c:v>
                </c:pt>
                <c:pt idx="13">
                  <c:v>0.73260991135089881</c:v>
                </c:pt>
                <c:pt idx="14">
                  <c:v>1.1309843102453647</c:v>
                </c:pt>
                <c:pt idx="15">
                  <c:v>0.15993804771029091</c:v>
                </c:pt>
                <c:pt idx="16">
                  <c:v>-0.32185268974320136</c:v>
                </c:pt>
                <c:pt idx="17">
                  <c:v>-0.30512916964802844</c:v>
                </c:pt>
                <c:pt idx="18">
                  <c:v>-0.97407463154620033</c:v>
                </c:pt>
                <c:pt idx="19">
                  <c:v>-3.9701171551173531E-2</c:v>
                </c:pt>
                <c:pt idx="20">
                  <c:v>0.31377104389497573</c:v>
                </c:pt>
                <c:pt idx="21">
                  <c:v>-1.6010940767108721</c:v>
                </c:pt>
                <c:pt idx="22">
                  <c:v>-5.0886354263985356E-3</c:v>
                </c:pt>
                <c:pt idx="23">
                  <c:v>-0.12175513984550231</c:v>
                </c:pt>
                <c:pt idx="24">
                  <c:v>-3.4125834156235602E-3</c:v>
                </c:pt>
                <c:pt idx="25">
                  <c:v>3.2141937782937271</c:v>
                </c:pt>
                <c:pt idx="26">
                  <c:v>1.5247062667635272</c:v>
                </c:pt>
                <c:pt idx="27">
                  <c:v>1.1683376200242677</c:v>
                </c:pt>
                <c:pt idx="28">
                  <c:v>1.6901750523412213</c:v>
                </c:pt>
                <c:pt idx="29">
                  <c:v>0.27341674219238665</c:v>
                </c:pt>
                <c:pt idx="30">
                  <c:v>-1.6650039614606045</c:v>
                </c:pt>
                <c:pt idx="31">
                  <c:v>-1.5212796857672286</c:v>
                </c:pt>
                <c:pt idx="32">
                  <c:v>-3.3366692351327236</c:v>
                </c:pt>
                <c:pt idx="33">
                  <c:v>-3.5778039994492534</c:v>
                </c:pt>
                <c:pt idx="34">
                  <c:v>-1.7990084031826756</c:v>
                </c:pt>
                <c:pt idx="35">
                  <c:v>-1.6134513672711486</c:v>
                </c:pt>
                <c:pt idx="36">
                  <c:v>0.19688548646974641</c:v>
                </c:pt>
                <c:pt idx="37">
                  <c:v>0.21687653354971559</c:v>
                </c:pt>
              </c:numCache>
            </c:numRef>
          </c:val>
          <c:extLst>
            <c:ext xmlns:c16="http://schemas.microsoft.com/office/drawing/2014/chart" uri="{C3380CC4-5D6E-409C-BE32-E72D297353CC}">
              <c16:uniqueId val="{00000006-A461-4FBA-82B0-01FCDDD85655}"/>
            </c:ext>
          </c:extLst>
        </c:ser>
        <c:ser>
          <c:idx val="7"/>
          <c:order val="7"/>
          <c:tx>
            <c:strRef>
              <c:f>'GRAF příspěvky IPP'!$A$34</c:f>
              <c:strCache>
                <c:ptCount val="1"/>
                <c:pt idx="0">
                  <c:v>Mining and energetics (B, D)</c:v>
                </c:pt>
              </c:strCache>
            </c:strRef>
          </c:tx>
          <c:spPr>
            <a:solidFill>
              <a:srgbClr val="808080"/>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IPP'!$R$34:$BC$34</c:f>
              <c:numCache>
                <c:formatCode>0.0</c:formatCode>
                <c:ptCount val="38"/>
                <c:pt idx="0">
                  <c:v>0.14402037647140767</c:v>
                </c:pt>
                <c:pt idx="1">
                  <c:v>-0.33675824148789951</c:v>
                </c:pt>
                <c:pt idx="2">
                  <c:v>-0.3968935754815921</c:v>
                </c:pt>
                <c:pt idx="3">
                  <c:v>-1.1136308902205647</c:v>
                </c:pt>
                <c:pt idx="4">
                  <c:v>-0.66026658968149066</c:v>
                </c:pt>
                <c:pt idx="5">
                  <c:v>6.6763502761356674E-2</c:v>
                </c:pt>
                <c:pt idx="6">
                  <c:v>-0.46574952767530198</c:v>
                </c:pt>
                <c:pt idx="7">
                  <c:v>0.47124206252466205</c:v>
                </c:pt>
                <c:pt idx="8">
                  <c:v>0.68579685044543348</c:v>
                </c:pt>
                <c:pt idx="9">
                  <c:v>-0.21786071250878586</c:v>
                </c:pt>
                <c:pt idx="10">
                  <c:v>0.74762012671732325</c:v>
                </c:pt>
                <c:pt idx="11">
                  <c:v>0.67922569430551583</c:v>
                </c:pt>
                <c:pt idx="12">
                  <c:v>-0.54241645010765449</c:v>
                </c:pt>
                <c:pt idx="13">
                  <c:v>-1.8631527880888649E-3</c:v>
                </c:pt>
                <c:pt idx="14">
                  <c:v>0.78670127678843149</c:v>
                </c:pt>
                <c:pt idx="15">
                  <c:v>0.32960713526562863</c:v>
                </c:pt>
                <c:pt idx="16">
                  <c:v>6.8904910133199077E-2</c:v>
                </c:pt>
                <c:pt idx="17">
                  <c:v>0.12170682001164354</c:v>
                </c:pt>
                <c:pt idx="18">
                  <c:v>-0.5109816723970585</c:v>
                </c:pt>
                <c:pt idx="19">
                  <c:v>-0.36784640528649537</c:v>
                </c:pt>
                <c:pt idx="20">
                  <c:v>-1.0379724863245821</c:v>
                </c:pt>
                <c:pt idx="21">
                  <c:v>-1.638329285379571</c:v>
                </c:pt>
                <c:pt idx="22">
                  <c:v>-0.82494325172790062</c:v>
                </c:pt>
                <c:pt idx="23">
                  <c:v>-0.74239007583737793</c:v>
                </c:pt>
                <c:pt idx="24">
                  <c:v>0.59158556249174743</c:v>
                </c:pt>
                <c:pt idx="25">
                  <c:v>0.52574532126604923</c:v>
                </c:pt>
                <c:pt idx="26">
                  <c:v>0.3141749245133067</c:v>
                </c:pt>
                <c:pt idx="27">
                  <c:v>0.81673244983703708</c:v>
                </c:pt>
                <c:pt idx="28">
                  <c:v>-0.20930722480594036</c:v>
                </c:pt>
                <c:pt idx="29">
                  <c:v>0.24261992579068087</c:v>
                </c:pt>
                <c:pt idx="30">
                  <c:v>0.41437274042222183</c:v>
                </c:pt>
                <c:pt idx="31">
                  <c:v>-1.2875007654766373</c:v>
                </c:pt>
                <c:pt idx="32">
                  <c:v>-1.3048253110472505</c:v>
                </c:pt>
                <c:pt idx="33">
                  <c:v>-1.5779992607638813</c:v>
                </c:pt>
                <c:pt idx="34">
                  <c:v>-1.6272504326464061</c:v>
                </c:pt>
                <c:pt idx="35">
                  <c:v>-1.1082452978573207</c:v>
                </c:pt>
                <c:pt idx="36">
                  <c:v>-0.77438151712016401</c:v>
                </c:pt>
                <c:pt idx="37">
                  <c:v>-8.6511302482215585E-2</c:v>
                </c:pt>
              </c:numCache>
            </c:numRef>
          </c:val>
          <c:extLst>
            <c:ext xmlns:c16="http://schemas.microsoft.com/office/drawing/2014/chart" uri="{C3380CC4-5D6E-409C-BE32-E72D297353CC}">
              <c16:uniqueId val="{00000007-A461-4FBA-82B0-01FCDDD85655}"/>
            </c:ext>
          </c:extLst>
        </c:ser>
        <c:dLbls>
          <c:showLegendKey val="0"/>
          <c:showVal val="0"/>
          <c:showCatName val="0"/>
          <c:showSerName val="0"/>
          <c:showPercent val="0"/>
          <c:showBubbleSize val="0"/>
        </c:dLbls>
        <c:gapWidth val="15"/>
        <c:overlap val="100"/>
        <c:axId val="112768128"/>
        <c:axId val="112769664"/>
      </c:barChart>
      <c:lineChart>
        <c:grouping val="standard"/>
        <c:varyColors val="0"/>
        <c:ser>
          <c:idx val="8"/>
          <c:order val="8"/>
          <c:tx>
            <c:strRef>
              <c:f>'GRAF příspěvky IPP'!$A$35</c:f>
              <c:strCache>
                <c:ptCount val="1"/>
                <c:pt idx="0">
                  <c:v>Total production in industry (NACE B to D)</c:v>
                </c:pt>
              </c:strCache>
            </c:strRef>
          </c:tx>
          <c:spPr>
            <a:ln w="19050">
              <a:noFill/>
            </a:ln>
          </c:spPr>
          <c:marker>
            <c:symbol val="circle"/>
            <c:size val="4"/>
            <c:spPr>
              <a:solidFill>
                <a:srgbClr val="FFFF00"/>
              </a:solidFill>
              <a:ln>
                <a:solidFill>
                  <a:schemeClr val="tx1">
                    <a:lumMod val="95000"/>
                    <a:lumOff val="5000"/>
                  </a:schemeClr>
                </a:solidFill>
              </a:ln>
            </c:spPr>
          </c:marker>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IPP'!$R$35:$BC$35</c:f>
              <c:numCache>
                <c:formatCode>0.0</c:formatCode>
                <c:ptCount val="38"/>
                <c:pt idx="0">
                  <c:v>4.8496605073000012</c:v>
                </c:pt>
                <c:pt idx="1">
                  <c:v>5.3026307429999946</c:v>
                </c:pt>
                <c:pt idx="2">
                  <c:v>5.6592883106000045</c:v>
                </c:pt>
                <c:pt idx="3">
                  <c:v>2.4009241675999959</c:v>
                </c:pt>
                <c:pt idx="4">
                  <c:v>3.7935036281999999</c:v>
                </c:pt>
                <c:pt idx="5">
                  <c:v>1.667340101700006</c:v>
                </c:pt>
                <c:pt idx="6">
                  <c:v>1.295772459600002</c:v>
                </c:pt>
                <c:pt idx="7">
                  <c:v>3.346652804200005</c:v>
                </c:pt>
                <c:pt idx="8">
                  <c:v>4.4694819295000059</c:v>
                </c:pt>
                <c:pt idx="9">
                  <c:v>8.0757287747999982</c:v>
                </c:pt>
                <c:pt idx="10">
                  <c:v>6.471008530800006</c:v>
                </c:pt>
                <c:pt idx="11">
                  <c:v>7.2646448002000028</c:v>
                </c:pt>
                <c:pt idx="12">
                  <c:v>4.3462152320000058</c:v>
                </c:pt>
                <c:pt idx="13">
                  <c:v>2.4365124655000017</c:v>
                </c:pt>
                <c:pt idx="14">
                  <c:v>3.7641930207000058</c:v>
                </c:pt>
                <c:pt idx="15">
                  <c:v>1.5933483905999992</c:v>
                </c:pt>
                <c:pt idx="16">
                  <c:v>0.47230060009999875</c:v>
                </c:pt>
                <c:pt idx="17">
                  <c:v>0.71920116619999419</c:v>
                </c:pt>
                <c:pt idx="18">
                  <c:v>-1.5414330485999983</c:v>
                </c:pt>
                <c:pt idx="19">
                  <c:v>-1.7724070997000041</c:v>
                </c:pt>
                <c:pt idx="20">
                  <c:v>-4.2521142571000041</c:v>
                </c:pt>
                <c:pt idx="21">
                  <c:v>-21.785210571700006</c:v>
                </c:pt>
                <c:pt idx="22">
                  <c:v>-3.0649898566999951</c:v>
                </c:pt>
                <c:pt idx="23">
                  <c:v>1.6725311281000046</c:v>
                </c:pt>
                <c:pt idx="24">
                  <c:v>4.1140832738999933</c:v>
                </c:pt>
                <c:pt idx="25">
                  <c:v>26.255110761200001</c:v>
                </c:pt>
                <c:pt idx="26">
                  <c:v>0.54671149419999665</c:v>
                </c:pt>
                <c:pt idx="27">
                  <c:v>-1.5409371455999974</c:v>
                </c:pt>
                <c:pt idx="28">
                  <c:v>0.5205246690999985</c:v>
                </c:pt>
                <c:pt idx="29">
                  <c:v>0.58134214039999677</c:v>
                </c:pt>
                <c:pt idx="30">
                  <c:v>5.0279940308000022</c:v>
                </c:pt>
                <c:pt idx="31">
                  <c:v>2.3925097351999938</c:v>
                </c:pt>
                <c:pt idx="32">
                  <c:v>0.5410828346000045</c:v>
                </c:pt>
                <c:pt idx="33">
                  <c:v>0.26602008659999399</c:v>
                </c:pt>
                <c:pt idx="34">
                  <c:v>-3.4323176166000025</c:v>
                </c:pt>
                <c:pt idx="35">
                  <c:v>-0.73263570870000194</c:v>
                </c:pt>
                <c:pt idx="36">
                  <c:v>-0.919878472700006</c:v>
                </c:pt>
                <c:pt idx="37">
                  <c:v>-2.2413267361999942</c:v>
                </c:pt>
              </c:numCache>
            </c:numRef>
          </c:val>
          <c:smooth val="0"/>
          <c:extLst>
            <c:ext xmlns:c16="http://schemas.microsoft.com/office/drawing/2014/chart" uri="{C3380CC4-5D6E-409C-BE32-E72D297353CC}">
              <c16:uniqueId val="{00000008-A461-4FBA-82B0-01FCDDD85655}"/>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IPP'!$R$36:$BC$36</c:f>
              <c:numCache>
                <c:formatCode>General</c:formatCode>
                <c:ptCount val="38"/>
              </c:numCache>
            </c:numRef>
          </c:val>
          <c:smooth val="0"/>
          <c:extLst>
            <c:ext xmlns:c16="http://schemas.microsoft.com/office/drawing/2014/chart" uri="{C3380CC4-5D6E-409C-BE32-E72D297353CC}">
              <c16:uniqueId val="{00000009-A461-4FBA-82B0-01FCDDD85655}"/>
            </c:ext>
          </c:extLst>
        </c:ser>
        <c:ser>
          <c:idx val="10"/>
          <c:order val="10"/>
          <c:tx>
            <c:strRef>
              <c:f>'GRAF příspěvky IPP'!$A$37</c:f>
              <c:strCache>
                <c:ptCount val="1"/>
                <c:pt idx="0">
                  <c:v>Output, total industry CR (2021=100)</c:v>
                </c:pt>
              </c:strCache>
            </c:strRef>
          </c:tx>
          <c:spPr>
            <a:ln w="15875">
              <a:solidFill>
                <a:schemeClr val="tx1">
                  <a:lumMod val="95000"/>
                  <a:lumOff val="5000"/>
                </a:schemeClr>
              </a:solidFill>
            </a:ln>
          </c:spPr>
          <c:marker>
            <c:symbol val="none"/>
          </c:marker>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IPP'!$R$37:$BC$37</c:f>
              <c:numCache>
                <c:formatCode>#\ ##0.#</c:formatCode>
                <c:ptCount val="38"/>
                <c:pt idx="0">
                  <c:v>88.4</c:v>
                </c:pt>
                <c:pt idx="1">
                  <c:v>89.9</c:v>
                </c:pt>
                <c:pt idx="2">
                  <c:v>90.9</c:v>
                </c:pt>
                <c:pt idx="3">
                  <c:v>90.1</c:v>
                </c:pt>
                <c:pt idx="4">
                  <c:v>91.8</c:v>
                </c:pt>
                <c:pt idx="5">
                  <c:v>91.3</c:v>
                </c:pt>
                <c:pt idx="6">
                  <c:v>92</c:v>
                </c:pt>
                <c:pt idx="7">
                  <c:v>93.1</c:v>
                </c:pt>
                <c:pt idx="8">
                  <c:v>95.6</c:v>
                </c:pt>
                <c:pt idx="9">
                  <c:v>98.6</c:v>
                </c:pt>
                <c:pt idx="10">
                  <c:v>98.2</c:v>
                </c:pt>
                <c:pt idx="11">
                  <c:v>100.1</c:v>
                </c:pt>
                <c:pt idx="12">
                  <c:v>100.1</c:v>
                </c:pt>
                <c:pt idx="13">
                  <c:v>101.1</c:v>
                </c:pt>
                <c:pt idx="14">
                  <c:v>102</c:v>
                </c:pt>
                <c:pt idx="15">
                  <c:v>101.3</c:v>
                </c:pt>
                <c:pt idx="16">
                  <c:v>100.6</c:v>
                </c:pt>
                <c:pt idx="17">
                  <c:v>102.2</c:v>
                </c:pt>
                <c:pt idx="18">
                  <c:v>100.1</c:v>
                </c:pt>
                <c:pt idx="19">
                  <c:v>99.4</c:v>
                </c:pt>
                <c:pt idx="20">
                  <c:v>96.7</c:v>
                </c:pt>
                <c:pt idx="21">
                  <c:v>80.2</c:v>
                </c:pt>
                <c:pt idx="22">
                  <c:v>97</c:v>
                </c:pt>
                <c:pt idx="23">
                  <c:v>101.1</c:v>
                </c:pt>
                <c:pt idx="24">
                  <c:v>99.7</c:v>
                </c:pt>
                <c:pt idx="25">
                  <c:v>100.7</c:v>
                </c:pt>
                <c:pt idx="26">
                  <c:v>98.4</c:v>
                </c:pt>
                <c:pt idx="27">
                  <c:v>99</c:v>
                </c:pt>
                <c:pt idx="28">
                  <c:v>100.8</c:v>
                </c:pt>
                <c:pt idx="29">
                  <c:v>101.5</c:v>
                </c:pt>
                <c:pt idx="30">
                  <c:v>102.8</c:v>
                </c:pt>
                <c:pt idx="31">
                  <c:v>101.8</c:v>
                </c:pt>
                <c:pt idx="32">
                  <c:v>101.5</c:v>
                </c:pt>
                <c:pt idx="33">
                  <c:v>101.6</c:v>
                </c:pt>
                <c:pt idx="34">
                  <c:v>99.2</c:v>
                </c:pt>
                <c:pt idx="35">
                  <c:v>101.2</c:v>
                </c:pt>
                <c:pt idx="36">
                  <c:v>100.5</c:v>
                </c:pt>
                <c:pt idx="37">
                  <c:v>99.4</c:v>
                </c:pt>
              </c:numCache>
            </c:numRef>
          </c:val>
          <c:smooth val="0"/>
          <c:extLst>
            <c:ext xmlns:c16="http://schemas.microsoft.com/office/drawing/2014/chart" uri="{C3380CC4-5D6E-409C-BE32-E72D297353CC}">
              <c16:uniqueId val="{0000000A-A461-4FBA-82B0-01FCDDD85655}"/>
            </c:ext>
          </c:extLst>
        </c:ser>
        <c:ser>
          <c:idx val="11"/>
          <c:order val="11"/>
          <c:tx>
            <c:strRef>
              <c:f>'GRAF příspěvky IPP'!$A$38</c:f>
              <c:strCache>
                <c:ptCount val="1"/>
                <c:pt idx="0">
                  <c:v>Output, total industry EU27 (2021=100)</c:v>
                </c:pt>
              </c:strCache>
            </c:strRef>
          </c:tx>
          <c:spPr>
            <a:ln w="15875">
              <a:solidFill>
                <a:schemeClr val="tx1">
                  <a:lumMod val="50000"/>
                  <a:lumOff val="50000"/>
                </a:schemeClr>
              </a:solidFill>
              <a:prstDash val="sysDash"/>
            </a:ln>
          </c:spPr>
          <c:marker>
            <c:symbol val="none"/>
          </c:marker>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IPP'!$R$38:$BC$38</c:f>
              <c:numCache>
                <c:formatCode>#\ ##0.##########</c:formatCode>
                <c:ptCount val="38"/>
                <c:pt idx="0">
                  <c:v>92.9</c:v>
                </c:pt>
                <c:pt idx="1">
                  <c:v>93.8</c:v>
                </c:pt>
                <c:pt idx="2">
                  <c:v>94.1</c:v>
                </c:pt>
                <c:pt idx="3">
                  <c:v>94</c:v>
                </c:pt>
                <c:pt idx="4">
                  <c:v>95</c:v>
                </c:pt>
                <c:pt idx="5">
                  <c:v>94.9</c:v>
                </c:pt>
                <c:pt idx="6">
                  <c:v>95</c:v>
                </c:pt>
                <c:pt idx="7">
                  <c:v>96.1</c:v>
                </c:pt>
                <c:pt idx="8">
                  <c:v>96.3</c:v>
                </c:pt>
                <c:pt idx="9">
                  <c:v>97.5</c:v>
                </c:pt>
                <c:pt idx="10">
                  <c:v>98.8</c:v>
                </c:pt>
                <c:pt idx="11">
                  <c:v>100.6</c:v>
                </c:pt>
                <c:pt idx="12">
                  <c:v>99.2</c:v>
                </c:pt>
                <c:pt idx="13">
                  <c:v>99.8</c:v>
                </c:pt>
                <c:pt idx="14">
                  <c:v>99.5</c:v>
                </c:pt>
                <c:pt idx="15">
                  <c:v>99.2</c:v>
                </c:pt>
                <c:pt idx="16">
                  <c:v>99.7</c:v>
                </c:pt>
                <c:pt idx="17">
                  <c:v>99.4</c:v>
                </c:pt>
                <c:pt idx="18">
                  <c:v>98.7</c:v>
                </c:pt>
                <c:pt idx="19">
                  <c:v>97.9</c:v>
                </c:pt>
                <c:pt idx="20">
                  <c:v>95.2</c:v>
                </c:pt>
                <c:pt idx="21">
                  <c:v>80.5</c:v>
                </c:pt>
                <c:pt idx="22">
                  <c:v>93.5</c:v>
                </c:pt>
                <c:pt idx="23">
                  <c:v>98</c:v>
                </c:pt>
                <c:pt idx="24">
                  <c:v>99.6</c:v>
                </c:pt>
                <c:pt idx="25">
                  <c:v>99.6</c:v>
                </c:pt>
                <c:pt idx="26">
                  <c:v>99.7</c:v>
                </c:pt>
                <c:pt idx="27">
                  <c:v>101.1</c:v>
                </c:pt>
                <c:pt idx="28">
                  <c:v>102.2</c:v>
                </c:pt>
                <c:pt idx="29">
                  <c:v>102.5</c:v>
                </c:pt>
                <c:pt idx="30">
                  <c:v>104</c:v>
                </c:pt>
                <c:pt idx="31">
                  <c:v>102.7</c:v>
                </c:pt>
                <c:pt idx="32">
                  <c:v>103</c:v>
                </c:pt>
                <c:pt idx="33">
                  <c:v>101.4</c:v>
                </c:pt>
                <c:pt idx="34">
                  <c:v>99.7</c:v>
                </c:pt>
                <c:pt idx="35">
                  <c:v>99.8</c:v>
                </c:pt>
                <c:pt idx="36">
                  <c:v>98.9</c:v>
                </c:pt>
                <c:pt idx="37">
                  <c:v>98.7</c:v>
                </c:pt>
              </c:numCache>
            </c:numRef>
          </c:val>
          <c:smooth val="0"/>
          <c:extLst>
            <c:ext xmlns:c16="http://schemas.microsoft.com/office/drawing/2014/chart" uri="{C3380CC4-5D6E-409C-BE32-E72D297353CC}">
              <c16:uniqueId val="{0000000B-A461-4FBA-82B0-01FCDDD85655}"/>
            </c:ext>
          </c:extLst>
        </c:ser>
        <c:ser>
          <c:idx val="12"/>
          <c:order val="12"/>
          <c:tx>
            <c:strRef>
              <c:f>'GRAF příspěvky IPP'!$A$39</c:f>
              <c:strCache>
                <c:ptCount val="1"/>
                <c:pt idx="0">
                  <c:v>Output, total industry Germany (2021=100)</c:v>
                </c:pt>
              </c:strCache>
            </c:strRef>
          </c:tx>
          <c:spPr>
            <a:ln w="15875">
              <a:solidFill>
                <a:srgbClr val="996633"/>
              </a:solidFill>
              <a:prstDash val="dash"/>
            </a:ln>
          </c:spPr>
          <c:marker>
            <c:symbol val="none"/>
          </c:marker>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IPP'!$R$39:$BC$39</c:f>
              <c:numCache>
                <c:formatCode>#\ ##0.##########</c:formatCode>
                <c:ptCount val="38"/>
                <c:pt idx="0">
                  <c:v>102.7</c:v>
                </c:pt>
                <c:pt idx="1">
                  <c:v>104</c:v>
                </c:pt>
                <c:pt idx="2">
                  <c:v>103.8</c:v>
                </c:pt>
                <c:pt idx="3">
                  <c:v>103.3</c:v>
                </c:pt>
                <c:pt idx="4">
                  <c:v>104.4</c:v>
                </c:pt>
                <c:pt idx="5">
                  <c:v>104</c:v>
                </c:pt>
                <c:pt idx="6">
                  <c:v>104.4</c:v>
                </c:pt>
                <c:pt idx="7">
                  <c:v>104.5</c:v>
                </c:pt>
                <c:pt idx="8">
                  <c:v>105</c:v>
                </c:pt>
                <c:pt idx="9">
                  <c:v>107</c:v>
                </c:pt>
                <c:pt idx="10">
                  <c:v>108.8</c:v>
                </c:pt>
                <c:pt idx="11">
                  <c:v>109.6</c:v>
                </c:pt>
                <c:pt idx="12">
                  <c:v>109</c:v>
                </c:pt>
                <c:pt idx="13">
                  <c:v>109.8</c:v>
                </c:pt>
                <c:pt idx="14">
                  <c:v>108.8</c:v>
                </c:pt>
                <c:pt idx="15">
                  <c:v>107.2</c:v>
                </c:pt>
                <c:pt idx="16">
                  <c:v>107</c:v>
                </c:pt>
                <c:pt idx="17">
                  <c:v>105.8</c:v>
                </c:pt>
                <c:pt idx="18">
                  <c:v>104.6</c:v>
                </c:pt>
                <c:pt idx="19">
                  <c:v>102.9</c:v>
                </c:pt>
                <c:pt idx="20">
                  <c:v>101.3</c:v>
                </c:pt>
                <c:pt idx="21">
                  <c:v>82.9</c:v>
                </c:pt>
                <c:pt idx="22">
                  <c:v>94.8</c:v>
                </c:pt>
                <c:pt idx="23">
                  <c:v>100.9</c:v>
                </c:pt>
                <c:pt idx="24">
                  <c:v>100.8</c:v>
                </c:pt>
                <c:pt idx="25">
                  <c:v>99.9</c:v>
                </c:pt>
                <c:pt idx="26">
                  <c:v>96.9</c:v>
                </c:pt>
                <c:pt idx="27">
                  <c:v>99.9</c:v>
                </c:pt>
                <c:pt idx="28">
                  <c:v>99.4</c:v>
                </c:pt>
                <c:pt idx="29">
                  <c:v>98.8</c:v>
                </c:pt>
                <c:pt idx="30">
                  <c:v>99.2</c:v>
                </c:pt>
                <c:pt idx="31">
                  <c:v>99</c:v>
                </c:pt>
                <c:pt idx="32">
                  <c:v>100.1</c:v>
                </c:pt>
                <c:pt idx="33">
                  <c:v>98.3</c:v>
                </c:pt>
                <c:pt idx="34">
                  <c:v>95.8</c:v>
                </c:pt>
                <c:pt idx="35">
                  <c:v>94.5</c:v>
                </c:pt>
                <c:pt idx="36">
                  <c:v>94.5</c:v>
                </c:pt>
                <c:pt idx="37">
                  <c:v>93.6</c:v>
                </c:pt>
              </c:numCache>
            </c:numRef>
          </c:val>
          <c:smooth val="0"/>
          <c:extLst>
            <c:ext xmlns:c16="http://schemas.microsoft.com/office/drawing/2014/chart" uri="{C3380CC4-5D6E-409C-BE32-E72D297353CC}">
              <c16:uniqueId val="{0000000C-A461-4FBA-82B0-01FCDDD85655}"/>
            </c:ext>
          </c:extLst>
        </c:ser>
        <c:dLbls>
          <c:showLegendKey val="0"/>
          <c:showVal val="0"/>
          <c:showCatName val="0"/>
          <c:showSerName val="0"/>
          <c:showPercent val="0"/>
          <c:showBubbleSize val="0"/>
        </c:dLbls>
        <c:marker val="1"/>
        <c:smooth val="0"/>
        <c:axId val="1513731104"/>
        <c:axId val="1513729024"/>
      </c:lineChart>
      <c:catAx>
        <c:axId val="112768128"/>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30"/>
          <c:min val="-25"/>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Industrial production (contribution to the growth)</a:t>
                </a:r>
              </a:p>
            </c:rich>
          </c:tx>
          <c:layout>
            <c:manualLayout>
              <c:xMode val="edge"/>
              <c:yMode val="edge"/>
              <c:x val="0"/>
              <c:y val="9.5259844088246018E-2"/>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5"/>
      </c:valAx>
      <c:valAx>
        <c:axId val="1513729024"/>
        <c:scaling>
          <c:orientation val="minMax"/>
          <c:max val="118"/>
          <c:min val="52"/>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Output in industry (basis 2021=100)</a:t>
                </a:r>
              </a:p>
            </c:rich>
          </c:tx>
          <c:layout>
            <c:manualLayout>
              <c:xMode val="edge"/>
              <c:yMode val="edge"/>
              <c:x val="0.97040158454025283"/>
              <c:y val="0.16649922312229412"/>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513731104"/>
        <c:crosses val="max"/>
        <c:crossBetween val="between"/>
        <c:majorUnit val="6"/>
      </c:valAx>
      <c:catAx>
        <c:axId val="1513731104"/>
        <c:scaling>
          <c:orientation val="minMax"/>
        </c:scaling>
        <c:delete val="1"/>
        <c:axPos val="b"/>
        <c:numFmt formatCode="General" sourceLinked="1"/>
        <c:majorTickMark val="out"/>
        <c:minorTickMark val="none"/>
        <c:tickLblPos val="nextTo"/>
        <c:crossAx val="1513729024"/>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57665068025226E-3"/>
          <c:y val="0.78956533796177808"/>
          <c:w val="0.98866589538224925"/>
          <c:h val="0.20327688625655532"/>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52E-2"/>
          <c:w val="0.84974974879787502"/>
          <c:h val="0.750636022143085"/>
        </c:manualLayout>
      </c:layout>
      <c:barChart>
        <c:barDir val="col"/>
        <c:grouping val="clustered"/>
        <c:varyColors val="0"/>
        <c:ser>
          <c:idx val="0"/>
          <c:order val="0"/>
          <c:tx>
            <c:strRef>
              <c:f>'výkonnost odvětví 2'!$A$36</c:f>
              <c:strCache>
                <c:ptCount val="1"/>
                <c:pt idx="0">
                  <c:v>Total orders (all industry)</c:v>
                </c:pt>
              </c:strCache>
            </c:strRef>
          </c:tx>
          <c:spPr>
            <a:solidFill>
              <a:schemeClr val="bg1">
                <a:lumMod val="75000"/>
              </a:schemeClr>
            </a:solidFill>
            <a:ln>
              <a:noFill/>
            </a:ln>
          </c:spPr>
          <c:invertIfNegative val="0"/>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2'!$R$36:$BD$36</c:f>
              <c:numCache>
                <c:formatCode>##0.0</c:formatCode>
                <c:ptCount val="39"/>
                <c:pt idx="0">
                  <c:v>8.5341163004000009</c:v>
                </c:pt>
                <c:pt idx="1">
                  <c:v>6.3710040105000019</c:v>
                </c:pt>
                <c:pt idx="2">
                  <c:v>6.0473469386000005</c:v>
                </c:pt>
                <c:pt idx="3">
                  <c:v>5.2688430824999983</c:v>
                </c:pt>
                <c:pt idx="4">
                  <c:v>2.4833916856999991</c:v>
                </c:pt>
                <c:pt idx="5">
                  <c:v>7.1316561812000003</c:v>
                </c:pt>
                <c:pt idx="6">
                  <c:v>1.949144685899995</c:v>
                </c:pt>
                <c:pt idx="7">
                  <c:v>6.4416747929000024</c:v>
                </c:pt>
                <c:pt idx="8">
                  <c:v>7.3441955548999971</c:v>
                </c:pt>
                <c:pt idx="9">
                  <c:v>8.3762247843000068</c:v>
                </c:pt>
                <c:pt idx="10">
                  <c:v>8.1209134774999967</c:v>
                </c:pt>
                <c:pt idx="11">
                  <c:v>7.2572871451999958</c:v>
                </c:pt>
                <c:pt idx="12">
                  <c:v>3.2993551214999997</c:v>
                </c:pt>
                <c:pt idx="13">
                  <c:v>2.9773571834000023</c:v>
                </c:pt>
                <c:pt idx="14">
                  <c:v>3.5300064828000046</c:v>
                </c:pt>
                <c:pt idx="15">
                  <c:v>2.4324207204000032</c:v>
                </c:pt>
                <c:pt idx="16">
                  <c:v>3.2234606388999936</c:v>
                </c:pt>
                <c:pt idx="17">
                  <c:v>2.1291359181000047</c:v>
                </c:pt>
                <c:pt idx="18">
                  <c:v>-1.1496242270000039</c:v>
                </c:pt>
                <c:pt idx="19">
                  <c:v>-2.8233445845000062</c:v>
                </c:pt>
                <c:pt idx="20">
                  <c:v>-4.1421474552000035</c:v>
                </c:pt>
                <c:pt idx="21">
                  <c:v>-27.261303375300002</c:v>
                </c:pt>
                <c:pt idx="22">
                  <c:v>-0.61408028729999842</c:v>
                </c:pt>
                <c:pt idx="23">
                  <c:v>6.5219093458999993</c:v>
                </c:pt>
                <c:pt idx="24">
                  <c:v>10.303532428400004</c:v>
                </c:pt>
                <c:pt idx="25">
                  <c:v>46.993766481899996</c:v>
                </c:pt>
                <c:pt idx="26">
                  <c:v>7.4248834601000055</c:v>
                </c:pt>
                <c:pt idx="27">
                  <c:v>4.1335502453000004</c:v>
                </c:pt>
                <c:pt idx="28">
                  <c:v>6.8467228545000012</c:v>
                </c:pt>
                <c:pt idx="29">
                  <c:v>10.085472028500007</c:v>
                </c:pt>
                <c:pt idx="30">
                  <c:v>15.3150204417</c:v>
                </c:pt>
                <c:pt idx="31">
                  <c:v>12.440829538499997</c:v>
                </c:pt>
                <c:pt idx="32">
                  <c:v>2.9014761227000037</c:v>
                </c:pt>
                <c:pt idx="33">
                  <c:v>-2.3824454949999989</c:v>
                </c:pt>
                <c:pt idx="34">
                  <c:v>-4.866618803999998</c:v>
                </c:pt>
                <c:pt idx="35">
                  <c:v>-1.0013628952000033</c:v>
                </c:pt>
                <c:pt idx="36">
                  <c:v>3.9243611365999982</c:v>
                </c:pt>
                <c:pt idx="37">
                  <c:v>2.8336068560000029</c:v>
                </c:pt>
              </c:numCache>
            </c:numRef>
          </c:val>
          <c:extLst>
            <c:ext xmlns:c16="http://schemas.microsoft.com/office/drawing/2014/chart" uri="{C3380CC4-5D6E-409C-BE32-E72D297353CC}">
              <c16:uniqueId val="{00000000-2FE9-49A1-AEAB-61C7D6AA6C8F}"/>
            </c:ext>
          </c:extLst>
        </c:ser>
        <c:dLbls>
          <c:showLegendKey val="0"/>
          <c:showVal val="0"/>
          <c:showCatName val="0"/>
          <c:showSerName val="0"/>
          <c:showPercent val="0"/>
          <c:showBubbleSize val="0"/>
        </c:dLbls>
        <c:gapWidth val="30"/>
        <c:axId val="112768128"/>
        <c:axId val="112769664"/>
      </c:barChart>
      <c:lineChart>
        <c:grouping val="standard"/>
        <c:varyColors val="0"/>
        <c:ser>
          <c:idx val="1"/>
          <c:order val="1"/>
          <c:tx>
            <c:strRef>
              <c:f>'výkonnost odvětví 2'!$A$37</c:f>
              <c:strCache>
                <c:ptCount val="1"/>
                <c:pt idx="0">
                  <c:v>In that: domestic orders</c:v>
                </c:pt>
              </c:strCache>
            </c:strRef>
          </c:tx>
          <c:spPr>
            <a:ln w="15875">
              <a:noFill/>
              <a:prstDash val="sysDot"/>
            </a:ln>
          </c:spPr>
          <c:marker>
            <c:symbol val="diamond"/>
            <c:size val="5"/>
            <c:spPr>
              <a:solidFill>
                <a:srgbClr val="984807"/>
              </a:solidFill>
              <a:ln>
                <a:noFill/>
              </a:ln>
            </c:spPr>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2'!$R$37:$BD$37</c:f>
              <c:numCache>
                <c:formatCode>##0.0</c:formatCode>
                <c:ptCount val="39"/>
                <c:pt idx="0">
                  <c:v>4.3632508753999986</c:v>
                </c:pt>
                <c:pt idx="1">
                  <c:v>9.9207675196999929</c:v>
                </c:pt>
                <c:pt idx="2">
                  <c:v>-2.8142131774000063</c:v>
                </c:pt>
                <c:pt idx="3">
                  <c:v>-0.26578169440000465</c:v>
                </c:pt>
                <c:pt idx="4">
                  <c:v>1.7666970267000011</c:v>
                </c:pt>
                <c:pt idx="5">
                  <c:v>1.7586378578999984</c:v>
                </c:pt>
                <c:pt idx="6">
                  <c:v>0.20173230330000536</c:v>
                </c:pt>
                <c:pt idx="7">
                  <c:v>2.9064722939999967</c:v>
                </c:pt>
                <c:pt idx="8">
                  <c:v>12.341459895900002</c:v>
                </c:pt>
                <c:pt idx="9">
                  <c:v>15.691073458800005</c:v>
                </c:pt>
                <c:pt idx="10">
                  <c:v>15.834685004400001</c:v>
                </c:pt>
                <c:pt idx="11">
                  <c:v>15.445227057699995</c:v>
                </c:pt>
                <c:pt idx="12">
                  <c:v>2.1530605192999985</c:v>
                </c:pt>
                <c:pt idx="13">
                  <c:v>2.440306231799994</c:v>
                </c:pt>
                <c:pt idx="14">
                  <c:v>4.7510172912000002</c:v>
                </c:pt>
                <c:pt idx="15">
                  <c:v>3.3084884759999937</c:v>
                </c:pt>
                <c:pt idx="16">
                  <c:v>7.6964313707999992</c:v>
                </c:pt>
                <c:pt idx="17">
                  <c:v>5.9656126075999936</c:v>
                </c:pt>
                <c:pt idx="18">
                  <c:v>0.2850715043000065</c:v>
                </c:pt>
                <c:pt idx="19">
                  <c:v>-0.84674153630000148</c:v>
                </c:pt>
                <c:pt idx="20">
                  <c:v>0.84542569580000304</c:v>
                </c:pt>
                <c:pt idx="21">
                  <c:v>-25.680778364399998</c:v>
                </c:pt>
                <c:pt idx="22">
                  <c:v>-3.379983194199994</c:v>
                </c:pt>
                <c:pt idx="23">
                  <c:v>5.566224000099993</c:v>
                </c:pt>
                <c:pt idx="24">
                  <c:v>2.1966522061999996</c:v>
                </c:pt>
                <c:pt idx="25">
                  <c:v>42.282574460900008</c:v>
                </c:pt>
                <c:pt idx="26">
                  <c:v>9.2450492919000027</c:v>
                </c:pt>
                <c:pt idx="27">
                  <c:v>5.7949107924000032</c:v>
                </c:pt>
                <c:pt idx="28">
                  <c:v>8.7776291527000012</c:v>
                </c:pt>
                <c:pt idx="29">
                  <c:v>15.463966735</c:v>
                </c:pt>
                <c:pt idx="30">
                  <c:v>26.233975072000007</c:v>
                </c:pt>
                <c:pt idx="31">
                  <c:v>19.240223489900004</c:v>
                </c:pt>
                <c:pt idx="32">
                  <c:v>12.032908909300005</c:v>
                </c:pt>
                <c:pt idx="33">
                  <c:v>2.2655566149999942</c:v>
                </c:pt>
                <c:pt idx="34">
                  <c:v>-6.8258490948999935</c:v>
                </c:pt>
                <c:pt idx="35">
                  <c:v>-0.65732325199999764</c:v>
                </c:pt>
                <c:pt idx="36">
                  <c:v>3.2986421283000027</c:v>
                </c:pt>
                <c:pt idx="37">
                  <c:v>1.8921881325999976</c:v>
                </c:pt>
              </c:numCache>
            </c:numRef>
          </c:val>
          <c:smooth val="0"/>
          <c:extLst>
            <c:ext xmlns:c16="http://schemas.microsoft.com/office/drawing/2014/chart" uri="{C3380CC4-5D6E-409C-BE32-E72D297353CC}">
              <c16:uniqueId val="{00000001-2FE9-49A1-AEAB-61C7D6AA6C8F}"/>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2"/>
          <c:order val="2"/>
          <c:tx>
            <c:strRef>
              <c:f>'výkonnost odvětví 2'!$A$38</c:f>
              <c:strCache>
                <c:ptCount val="1"/>
                <c:pt idx="0">
                  <c:v>Utilisation of prod. capacities (all industry)</c:v>
                </c:pt>
              </c:strCache>
            </c:strRef>
          </c:tx>
          <c:spPr>
            <a:ln w="15875">
              <a:solidFill>
                <a:schemeClr val="accent6">
                  <a:lumMod val="75000"/>
                </a:schemeClr>
              </a:solidFill>
            </a:ln>
          </c:spPr>
          <c:marker>
            <c:symbol val="none"/>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2'!$R$38:$BD$38</c:f>
              <c:numCache>
                <c:formatCode>##0.0</c:formatCode>
                <c:ptCount val="39"/>
                <c:pt idx="0">
                  <c:v>85.6</c:v>
                </c:pt>
                <c:pt idx="1">
                  <c:v>85.1</c:v>
                </c:pt>
                <c:pt idx="2">
                  <c:v>84.9</c:v>
                </c:pt>
                <c:pt idx="3">
                  <c:v>84.3</c:v>
                </c:pt>
                <c:pt idx="4">
                  <c:v>84</c:v>
                </c:pt>
                <c:pt idx="5">
                  <c:v>85.2</c:v>
                </c:pt>
                <c:pt idx="6">
                  <c:v>84</c:v>
                </c:pt>
                <c:pt idx="7">
                  <c:v>84.8</c:v>
                </c:pt>
                <c:pt idx="8">
                  <c:v>84.7</c:v>
                </c:pt>
                <c:pt idx="9">
                  <c:v>83.7</c:v>
                </c:pt>
                <c:pt idx="10">
                  <c:v>83.8</c:v>
                </c:pt>
                <c:pt idx="11">
                  <c:v>84.4</c:v>
                </c:pt>
                <c:pt idx="12">
                  <c:v>85.33</c:v>
                </c:pt>
                <c:pt idx="13">
                  <c:v>84.89</c:v>
                </c:pt>
                <c:pt idx="14">
                  <c:v>85.13</c:v>
                </c:pt>
                <c:pt idx="15">
                  <c:v>84.76</c:v>
                </c:pt>
                <c:pt idx="16">
                  <c:v>84.93</c:v>
                </c:pt>
                <c:pt idx="17">
                  <c:v>85.19</c:v>
                </c:pt>
                <c:pt idx="18">
                  <c:v>83.6</c:v>
                </c:pt>
                <c:pt idx="19">
                  <c:v>83.7</c:v>
                </c:pt>
                <c:pt idx="20">
                  <c:v>84.2</c:v>
                </c:pt>
                <c:pt idx="21">
                  <c:v>70.400000000000006</c:v>
                </c:pt>
                <c:pt idx="22">
                  <c:v>76.3</c:v>
                </c:pt>
                <c:pt idx="23">
                  <c:v>82.7</c:v>
                </c:pt>
                <c:pt idx="24">
                  <c:v>85.8</c:v>
                </c:pt>
                <c:pt idx="25">
                  <c:v>84.4</c:v>
                </c:pt>
                <c:pt idx="26">
                  <c:v>86.41</c:v>
                </c:pt>
                <c:pt idx="27">
                  <c:v>77.599999999999994</c:v>
                </c:pt>
                <c:pt idx="28">
                  <c:v>83.6</c:v>
                </c:pt>
                <c:pt idx="29">
                  <c:v>82.17</c:v>
                </c:pt>
                <c:pt idx="30">
                  <c:v>83.5</c:v>
                </c:pt>
                <c:pt idx="31">
                  <c:v>81.099999999999994</c:v>
                </c:pt>
                <c:pt idx="32">
                  <c:v>81.400000000000006</c:v>
                </c:pt>
                <c:pt idx="33">
                  <c:v>83.7</c:v>
                </c:pt>
                <c:pt idx="34">
                  <c:v>83.5</c:v>
                </c:pt>
                <c:pt idx="35">
                  <c:v>83.6</c:v>
                </c:pt>
                <c:pt idx="36">
                  <c:v>83.1</c:v>
                </c:pt>
                <c:pt idx="37">
                  <c:v>83</c:v>
                </c:pt>
                <c:pt idx="38">
                  <c:v>80.599999999999994</c:v>
                </c:pt>
              </c:numCache>
            </c:numRef>
          </c:val>
          <c:smooth val="0"/>
          <c:extLst>
            <c:ext xmlns:c16="http://schemas.microsoft.com/office/drawing/2014/chart" uri="{C3380CC4-5D6E-409C-BE32-E72D297353CC}">
              <c16:uniqueId val="{00000002-2FE9-49A1-AEAB-61C7D6AA6C8F}"/>
            </c:ext>
          </c:extLst>
        </c:ser>
        <c:ser>
          <c:idx val="3"/>
          <c:order val="3"/>
          <c:tx>
            <c:strRef>
              <c:f>'výkonnost odvětví 2'!$A$39</c:f>
              <c:strCache>
                <c:ptCount val="1"/>
                <c:pt idx="0">
                  <c:v>Utilisation of capacities (motor vehicl. ind.)</c:v>
                </c:pt>
              </c:strCache>
            </c:strRef>
          </c:tx>
          <c:spPr>
            <a:ln w="15875">
              <a:solidFill>
                <a:schemeClr val="accent6">
                  <a:lumMod val="75000"/>
                </a:schemeClr>
              </a:solidFill>
              <a:prstDash val="sysDash"/>
            </a:ln>
          </c:spPr>
          <c:marker>
            <c:symbol val="none"/>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2'!$R$39:$BD$39</c:f>
              <c:numCache>
                <c:formatCode>##0.0</c:formatCode>
                <c:ptCount val="39"/>
                <c:pt idx="0">
                  <c:v>91.4</c:v>
                </c:pt>
                <c:pt idx="1">
                  <c:v>91.4</c:v>
                </c:pt>
                <c:pt idx="2">
                  <c:v>91.5</c:v>
                </c:pt>
                <c:pt idx="3">
                  <c:v>88.8</c:v>
                </c:pt>
                <c:pt idx="4">
                  <c:v>90.2</c:v>
                </c:pt>
                <c:pt idx="5">
                  <c:v>91.8</c:v>
                </c:pt>
                <c:pt idx="6">
                  <c:v>92.2</c:v>
                </c:pt>
                <c:pt idx="7">
                  <c:v>91.5</c:v>
                </c:pt>
                <c:pt idx="8">
                  <c:v>92.4</c:v>
                </c:pt>
                <c:pt idx="9">
                  <c:v>87.9</c:v>
                </c:pt>
                <c:pt idx="10">
                  <c:v>90.8</c:v>
                </c:pt>
                <c:pt idx="11">
                  <c:v>90.5</c:v>
                </c:pt>
                <c:pt idx="12">
                  <c:v>91.4</c:v>
                </c:pt>
                <c:pt idx="13">
                  <c:v>91.3</c:v>
                </c:pt>
                <c:pt idx="14">
                  <c:v>92.9</c:v>
                </c:pt>
                <c:pt idx="15">
                  <c:v>92.5</c:v>
                </c:pt>
                <c:pt idx="16">
                  <c:v>92.9</c:v>
                </c:pt>
                <c:pt idx="17">
                  <c:v>92.7</c:v>
                </c:pt>
                <c:pt idx="18">
                  <c:v>92.8</c:v>
                </c:pt>
                <c:pt idx="19">
                  <c:v>93</c:v>
                </c:pt>
                <c:pt idx="20">
                  <c:v>90.6</c:v>
                </c:pt>
                <c:pt idx="21">
                  <c:v>45</c:v>
                </c:pt>
                <c:pt idx="22">
                  <c:v>79.099999999999994</c:v>
                </c:pt>
                <c:pt idx="23">
                  <c:v>96.9</c:v>
                </c:pt>
                <c:pt idx="24">
                  <c:v>94.9</c:v>
                </c:pt>
                <c:pt idx="25">
                  <c:v>89.6</c:v>
                </c:pt>
                <c:pt idx="26">
                  <c:v>95.3</c:v>
                </c:pt>
                <c:pt idx="27">
                  <c:v>55.8</c:v>
                </c:pt>
                <c:pt idx="28">
                  <c:v>84.5</c:v>
                </c:pt>
                <c:pt idx="29">
                  <c:v>76.7</c:v>
                </c:pt>
                <c:pt idx="30">
                  <c:v>79</c:v>
                </c:pt>
                <c:pt idx="31">
                  <c:v>74.099999999999994</c:v>
                </c:pt>
                <c:pt idx="32">
                  <c:v>79.400000000000006</c:v>
                </c:pt>
                <c:pt idx="33">
                  <c:v>92.7</c:v>
                </c:pt>
                <c:pt idx="34">
                  <c:v>92.2</c:v>
                </c:pt>
                <c:pt idx="35">
                  <c:v>92.2</c:v>
                </c:pt>
                <c:pt idx="36">
                  <c:v>92.7</c:v>
                </c:pt>
                <c:pt idx="37">
                  <c:v>93.5</c:v>
                </c:pt>
                <c:pt idx="38">
                  <c:v>89.9</c:v>
                </c:pt>
              </c:numCache>
            </c:numRef>
          </c:val>
          <c:smooth val="0"/>
          <c:extLst>
            <c:ext xmlns:c16="http://schemas.microsoft.com/office/drawing/2014/chart" uri="{C3380CC4-5D6E-409C-BE32-E72D297353CC}">
              <c16:uniqueId val="{00000003-2FE9-49A1-AEAB-61C7D6AA6C8F}"/>
            </c:ext>
          </c:extLst>
        </c:ser>
        <c:ser>
          <c:idx val="4"/>
          <c:order val="4"/>
          <c:tx>
            <c:strRef>
              <c:f>'výkonnost odvětví 2'!$A$40</c:f>
              <c:strCache>
                <c:ptCount val="1"/>
                <c:pt idx="0">
                  <c:v>Barrier: inadequate demand</c:v>
                </c:pt>
              </c:strCache>
            </c:strRef>
          </c:tx>
          <c:spPr>
            <a:ln w="15875">
              <a:solidFill>
                <a:srgbClr val="00B050"/>
              </a:solidFill>
              <a:prstDash val="solid"/>
            </a:ln>
          </c:spPr>
          <c:marker>
            <c:symbol val="none"/>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2'!$R$40:$BD$40</c:f>
              <c:numCache>
                <c:formatCode>#\ ##0.0</c:formatCode>
                <c:ptCount val="39"/>
                <c:pt idx="0">
                  <c:v>45.3</c:v>
                </c:pt>
                <c:pt idx="1">
                  <c:v>49.6</c:v>
                </c:pt>
                <c:pt idx="2">
                  <c:v>49.7</c:v>
                </c:pt>
                <c:pt idx="3">
                  <c:v>46.4</c:v>
                </c:pt>
                <c:pt idx="4">
                  <c:v>45.9</c:v>
                </c:pt>
                <c:pt idx="5">
                  <c:v>44.6</c:v>
                </c:pt>
                <c:pt idx="6">
                  <c:v>43.8</c:v>
                </c:pt>
                <c:pt idx="7">
                  <c:v>42.9</c:v>
                </c:pt>
                <c:pt idx="8">
                  <c:v>42.7</c:v>
                </c:pt>
                <c:pt idx="9">
                  <c:v>41</c:v>
                </c:pt>
                <c:pt idx="10">
                  <c:v>41.2</c:v>
                </c:pt>
                <c:pt idx="11">
                  <c:v>35.799999999999997</c:v>
                </c:pt>
                <c:pt idx="12">
                  <c:v>35.4</c:v>
                </c:pt>
                <c:pt idx="13">
                  <c:v>36.299999999999997</c:v>
                </c:pt>
                <c:pt idx="14">
                  <c:v>32.4</c:v>
                </c:pt>
                <c:pt idx="15">
                  <c:v>32.9</c:v>
                </c:pt>
                <c:pt idx="16">
                  <c:v>33.799999999999997</c:v>
                </c:pt>
                <c:pt idx="17">
                  <c:v>36.200000000000003</c:v>
                </c:pt>
                <c:pt idx="18">
                  <c:v>41</c:v>
                </c:pt>
                <c:pt idx="19">
                  <c:v>47.1</c:v>
                </c:pt>
                <c:pt idx="20">
                  <c:v>49.8</c:v>
                </c:pt>
                <c:pt idx="21">
                  <c:v>58.8</c:v>
                </c:pt>
                <c:pt idx="22">
                  <c:v>63</c:v>
                </c:pt>
                <c:pt idx="23">
                  <c:v>44.4</c:v>
                </c:pt>
                <c:pt idx="24">
                  <c:v>46.9</c:v>
                </c:pt>
                <c:pt idx="25">
                  <c:v>38.700000000000003</c:v>
                </c:pt>
                <c:pt idx="26">
                  <c:v>25.4</c:v>
                </c:pt>
                <c:pt idx="27">
                  <c:v>27.9</c:v>
                </c:pt>
                <c:pt idx="28">
                  <c:v>29.9</c:v>
                </c:pt>
                <c:pt idx="29">
                  <c:v>21.3</c:v>
                </c:pt>
                <c:pt idx="30">
                  <c:v>18.7</c:v>
                </c:pt>
                <c:pt idx="31">
                  <c:v>29.4</c:v>
                </c:pt>
                <c:pt idx="32">
                  <c:v>42.5</c:v>
                </c:pt>
                <c:pt idx="33">
                  <c:v>42</c:v>
                </c:pt>
                <c:pt idx="34">
                  <c:v>44.3</c:v>
                </c:pt>
                <c:pt idx="35">
                  <c:v>46.2</c:v>
                </c:pt>
                <c:pt idx="36">
                  <c:v>47.5</c:v>
                </c:pt>
                <c:pt idx="37">
                  <c:v>49.8</c:v>
                </c:pt>
                <c:pt idx="38">
                  <c:v>52</c:v>
                </c:pt>
              </c:numCache>
            </c:numRef>
          </c:val>
          <c:smooth val="0"/>
          <c:extLst>
            <c:ext xmlns:c16="http://schemas.microsoft.com/office/drawing/2014/chart" uri="{C3380CC4-5D6E-409C-BE32-E72D297353CC}">
              <c16:uniqueId val="{00000004-2FE9-49A1-AEAB-61C7D6AA6C8F}"/>
            </c:ext>
          </c:extLst>
        </c:ser>
        <c:ser>
          <c:idx val="5"/>
          <c:order val="5"/>
          <c:tx>
            <c:strRef>
              <c:f>'výkonnost odvětví 2'!$A$41</c:f>
              <c:strCache>
                <c:ptCount val="1"/>
                <c:pt idx="0">
                  <c:v>Barrier: lack of workers</c:v>
                </c:pt>
              </c:strCache>
            </c:strRef>
          </c:tx>
          <c:spPr>
            <a:ln w="15875">
              <a:solidFill>
                <a:srgbClr val="6FE772"/>
              </a:solidFill>
              <a:prstDash val="solid"/>
            </a:ln>
          </c:spPr>
          <c:marker>
            <c:symbol val="none"/>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2'!$R$41:$BD$41</c:f>
              <c:numCache>
                <c:formatCode>#\ ##0.0</c:formatCode>
                <c:ptCount val="39"/>
                <c:pt idx="0">
                  <c:v>6.1</c:v>
                </c:pt>
                <c:pt idx="1">
                  <c:v>6.9</c:v>
                </c:pt>
                <c:pt idx="2">
                  <c:v>8.6999999999999993</c:v>
                </c:pt>
                <c:pt idx="3">
                  <c:v>14</c:v>
                </c:pt>
                <c:pt idx="4">
                  <c:v>14.8</c:v>
                </c:pt>
                <c:pt idx="5">
                  <c:v>16.5</c:v>
                </c:pt>
                <c:pt idx="6">
                  <c:v>18.899999999999999</c:v>
                </c:pt>
                <c:pt idx="7">
                  <c:v>30.1</c:v>
                </c:pt>
                <c:pt idx="8">
                  <c:v>32.700000000000003</c:v>
                </c:pt>
                <c:pt idx="9">
                  <c:v>33.5</c:v>
                </c:pt>
                <c:pt idx="10">
                  <c:v>40.5</c:v>
                </c:pt>
                <c:pt idx="11">
                  <c:v>38.700000000000003</c:v>
                </c:pt>
                <c:pt idx="12">
                  <c:v>43.5</c:v>
                </c:pt>
                <c:pt idx="13">
                  <c:v>42.3</c:v>
                </c:pt>
                <c:pt idx="14">
                  <c:v>43.2</c:v>
                </c:pt>
                <c:pt idx="15">
                  <c:v>46.3</c:v>
                </c:pt>
                <c:pt idx="16">
                  <c:v>39</c:v>
                </c:pt>
                <c:pt idx="17">
                  <c:v>35.1</c:v>
                </c:pt>
                <c:pt idx="18">
                  <c:v>40.200000000000003</c:v>
                </c:pt>
                <c:pt idx="19">
                  <c:v>39.200000000000003</c:v>
                </c:pt>
                <c:pt idx="20">
                  <c:v>27.7</c:v>
                </c:pt>
                <c:pt idx="21">
                  <c:v>13.5</c:v>
                </c:pt>
                <c:pt idx="22">
                  <c:v>16.7</c:v>
                </c:pt>
                <c:pt idx="23">
                  <c:v>17.600000000000001</c:v>
                </c:pt>
                <c:pt idx="24">
                  <c:v>22</c:v>
                </c:pt>
                <c:pt idx="25">
                  <c:v>18.399999999999999</c:v>
                </c:pt>
                <c:pt idx="26">
                  <c:v>27.6</c:v>
                </c:pt>
                <c:pt idx="27">
                  <c:v>22.6</c:v>
                </c:pt>
                <c:pt idx="28">
                  <c:v>24.9</c:v>
                </c:pt>
                <c:pt idx="29">
                  <c:v>18.600000000000001</c:v>
                </c:pt>
                <c:pt idx="30">
                  <c:v>26.1</c:v>
                </c:pt>
                <c:pt idx="31">
                  <c:v>24.9</c:v>
                </c:pt>
                <c:pt idx="32">
                  <c:v>16.600000000000001</c:v>
                </c:pt>
                <c:pt idx="33">
                  <c:v>20.6</c:v>
                </c:pt>
                <c:pt idx="34">
                  <c:v>18.899999999999999</c:v>
                </c:pt>
                <c:pt idx="35">
                  <c:v>22.5</c:v>
                </c:pt>
                <c:pt idx="36">
                  <c:v>14.6</c:v>
                </c:pt>
                <c:pt idx="37">
                  <c:v>11.8</c:v>
                </c:pt>
                <c:pt idx="38">
                  <c:v>12.8</c:v>
                </c:pt>
              </c:numCache>
            </c:numRef>
          </c:val>
          <c:smooth val="0"/>
          <c:extLst>
            <c:ext xmlns:c16="http://schemas.microsoft.com/office/drawing/2014/chart" uri="{C3380CC4-5D6E-409C-BE32-E72D297353CC}">
              <c16:uniqueId val="{00000005-2FE9-49A1-AEAB-61C7D6AA6C8F}"/>
            </c:ext>
          </c:extLst>
        </c:ser>
        <c:ser>
          <c:idx val="6"/>
          <c:order val="6"/>
          <c:tx>
            <c:strRef>
              <c:f>'výkonnost odvětví 2'!$A$42</c:f>
              <c:strCache>
                <c:ptCount val="1"/>
                <c:pt idx="0">
                  <c:v>Barrier: shortage of material/equipment</c:v>
                </c:pt>
              </c:strCache>
            </c:strRef>
          </c:tx>
          <c:spPr>
            <a:ln w="15875">
              <a:solidFill>
                <a:schemeClr val="accent3">
                  <a:lumMod val="75000"/>
                </a:schemeClr>
              </a:solidFill>
              <a:prstDash val="dash"/>
            </a:ln>
          </c:spPr>
          <c:marker>
            <c:symbol val="none"/>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2'!$R$42:$BD$42</c:f>
              <c:numCache>
                <c:formatCode>#\ ##0.0</c:formatCode>
                <c:ptCount val="39"/>
                <c:pt idx="0">
                  <c:v>5.9</c:v>
                </c:pt>
                <c:pt idx="1">
                  <c:v>11.3</c:v>
                </c:pt>
                <c:pt idx="2">
                  <c:v>10</c:v>
                </c:pt>
                <c:pt idx="3">
                  <c:v>9.9</c:v>
                </c:pt>
                <c:pt idx="4">
                  <c:v>8.9</c:v>
                </c:pt>
                <c:pt idx="5">
                  <c:v>7.7</c:v>
                </c:pt>
                <c:pt idx="6">
                  <c:v>8.9</c:v>
                </c:pt>
                <c:pt idx="7">
                  <c:v>8.5</c:v>
                </c:pt>
                <c:pt idx="8">
                  <c:v>8.8000000000000007</c:v>
                </c:pt>
                <c:pt idx="9">
                  <c:v>8.3000000000000007</c:v>
                </c:pt>
                <c:pt idx="10">
                  <c:v>10.9</c:v>
                </c:pt>
                <c:pt idx="11">
                  <c:v>22.7</c:v>
                </c:pt>
                <c:pt idx="12">
                  <c:v>11.9</c:v>
                </c:pt>
                <c:pt idx="13">
                  <c:v>11.7</c:v>
                </c:pt>
                <c:pt idx="14">
                  <c:v>13.9</c:v>
                </c:pt>
                <c:pt idx="15">
                  <c:v>23.5</c:v>
                </c:pt>
                <c:pt idx="16">
                  <c:v>26.4</c:v>
                </c:pt>
                <c:pt idx="17">
                  <c:v>24.7</c:v>
                </c:pt>
                <c:pt idx="18">
                  <c:v>22</c:v>
                </c:pt>
                <c:pt idx="19">
                  <c:v>10.5</c:v>
                </c:pt>
                <c:pt idx="20">
                  <c:v>17.899999999999999</c:v>
                </c:pt>
                <c:pt idx="21">
                  <c:v>10.199999999999999</c:v>
                </c:pt>
                <c:pt idx="22">
                  <c:v>6.7</c:v>
                </c:pt>
                <c:pt idx="23">
                  <c:v>10.9</c:v>
                </c:pt>
                <c:pt idx="24">
                  <c:v>23.1</c:v>
                </c:pt>
                <c:pt idx="25">
                  <c:v>32.1</c:v>
                </c:pt>
                <c:pt idx="26">
                  <c:v>45.9</c:v>
                </c:pt>
                <c:pt idx="27">
                  <c:v>41.2</c:v>
                </c:pt>
                <c:pt idx="28">
                  <c:v>39.299999999999997</c:v>
                </c:pt>
                <c:pt idx="29">
                  <c:v>47.8</c:v>
                </c:pt>
                <c:pt idx="30">
                  <c:v>53.4</c:v>
                </c:pt>
                <c:pt idx="31">
                  <c:v>46.4</c:v>
                </c:pt>
                <c:pt idx="32">
                  <c:v>37.4</c:v>
                </c:pt>
                <c:pt idx="33">
                  <c:v>32.5</c:v>
                </c:pt>
                <c:pt idx="34">
                  <c:v>20.6</c:v>
                </c:pt>
                <c:pt idx="35">
                  <c:v>17.100000000000001</c:v>
                </c:pt>
                <c:pt idx="36">
                  <c:v>32.700000000000003</c:v>
                </c:pt>
                <c:pt idx="37">
                  <c:v>28.1</c:v>
                </c:pt>
                <c:pt idx="38">
                  <c:v>13</c:v>
                </c:pt>
              </c:numCache>
            </c:numRef>
          </c:val>
          <c:smooth val="0"/>
          <c:extLst>
            <c:ext xmlns:c16="http://schemas.microsoft.com/office/drawing/2014/chart" uri="{C3380CC4-5D6E-409C-BE32-E72D297353CC}">
              <c16:uniqueId val="{00000006-2FE9-49A1-AEAB-61C7D6AA6C8F}"/>
            </c:ext>
          </c:extLst>
        </c:ser>
        <c:ser>
          <c:idx val="7"/>
          <c:order val="7"/>
          <c:tx>
            <c:strRef>
              <c:f>'výkonnost odvětví 2'!$A$43</c:f>
              <c:strCache>
                <c:ptCount val="1"/>
                <c:pt idx="0">
                  <c:v>Total confidence indicator in industry</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2'!$R$43:$BD$43</c:f>
              <c:numCache>
                <c:formatCode>#\ ##0.0</c:formatCode>
                <c:ptCount val="39"/>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c:v>
                </c:pt>
                <c:pt idx="17">
                  <c:v>-2</c:v>
                </c:pt>
                <c:pt idx="18">
                  <c:v>-3</c:v>
                </c:pt>
                <c:pt idx="19">
                  <c:v>-6.7</c:v>
                </c:pt>
                <c:pt idx="20">
                  <c:v>-5</c:v>
                </c:pt>
                <c:pt idx="21">
                  <c:v>-25</c:v>
                </c:pt>
                <c:pt idx="22">
                  <c:v>-6.3</c:v>
                </c:pt>
                <c:pt idx="23">
                  <c:v>-10</c:v>
                </c:pt>
                <c:pt idx="24">
                  <c:v>-1.3</c:v>
                </c:pt>
                <c:pt idx="25">
                  <c:v>5.3</c:v>
                </c:pt>
                <c:pt idx="26">
                  <c:v>-1.3</c:v>
                </c:pt>
                <c:pt idx="27">
                  <c:v>-5.3</c:v>
                </c:pt>
                <c:pt idx="28">
                  <c:v>-0.3</c:v>
                </c:pt>
                <c:pt idx="29">
                  <c:v>8.3000000000000007</c:v>
                </c:pt>
                <c:pt idx="30">
                  <c:v>-1.7</c:v>
                </c:pt>
                <c:pt idx="31">
                  <c:v>-8.3000000000000007</c:v>
                </c:pt>
                <c:pt idx="32">
                  <c:v>-10.1</c:v>
                </c:pt>
                <c:pt idx="33">
                  <c:v>-7</c:v>
                </c:pt>
                <c:pt idx="34">
                  <c:v>-7</c:v>
                </c:pt>
                <c:pt idx="35">
                  <c:v>-6</c:v>
                </c:pt>
                <c:pt idx="36">
                  <c:v>-14</c:v>
                </c:pt>
                <c:pt idx="37">
                  <c:v>-8.6999999999999993</c:v>
                </c:pt>
                <c:pt idx="38">
                  <c:v>-7.7</c:v>
                </c:pt>
              </c:numCache>
            </c:numRef>
          </c:val>
          <c:smooth val="0"/>
          <c:extLst>
            <c:ext xmlns:c16="http://schemas.microsoft.com/office/drawing/2014/chart" uri="{C3380CC4-5D6E-409C-BE32-E72D297353CC}">
              <c16:uniqueId val="{00000007-2FE9-49A1-AEAB-61C7D6AA6C8F}"/>
            </c:ext>
          </c:extLst>
        </c:ser>
        <c:dLbls>
          <c:showLegendKey val="0"/>
          <c:showVal val="0"/>
          <c:showCatName val="0"/>
          <c:showSerName val="0"/>
          <c:showPercent val="0"/>
          <c:showBubbleSize val="0"/>
        </c:dLbls>
        <c:marker val="1"/>
        <c:smooth val="0"/>
        <c:axId val="1239819375"/>
        <c:axId val="1239826863"/>
      </c:lineChart>
      <c:catAx>
        <c:axId val="112768128"/>
        <c:scaling>
          <c:orientation val="minMax"/>
        </c:scaling>
        <c:delete val="0"/>
        <c:axPos val="b"/>
        <c:numFmt formatCode="General" sourceLinked="1"/>
        <c:majorTickMark val="out"/>
        <c:minorTickMark val="none"/>
        <c:tickLblPos val="low"/>
        <c:crossAx val="112769664"/>
        <c:crosses val="autoZero"/>
        <c:auto val="1"/>
        <c:lblAlgn val="ctr"/>
        <c:lblOffset val="0"/>
        <c:noMultiLvlLbl val="0"/>
      </c:catAx>
      <c:valAx>
        <c:axId val="112769664"/>
        <c:scaling>
          <c:orientation val="minMax"/>
          <c:max val="90"/>
          <c:min val="-40"/>
        </c:scaling>
        <c:delete val="0"/>
        <c:axPos val="l"/>
        <c:majorGridlines>
          <c:spPr>
            <a:ln>
              <a:solidFill>
                <a:srgbClr val="BEBEBE"/>
              </a:solidFill>
            </a:ln>
          </c:spPr>
        </c:majorGridlines>
        <c:title>
          <c:tx>
            <c:rich>
              <a:bodyPr/>
              <a:lstStyle/>
              <a:p>
                <a:pPr>
                  <a:defRPr sz="700" b="0" i="1"/>
                </a:pPr>
                <a:r>
                  <a:rPr lang="cs-CZ" sz="700" b="0" i="1"/>
                  <a:t>Orders</a:t>
                </a:r>
              </a:p>
            </c:rich>
          </c:tx>
          <c:overlay val="0"/>
        </c:title>
        <c:numFmt formatCode="0" sourceLinked="0"/>
        <c:majorTickMark val="out"/>
        <c:minorTickMark val="none"/>
        <c:tickLblPos val="nextTo"/>
        <c:crossAx val="112768128"/>
        <c:crosses val="autoZero"/>
        <c:crossBetween val="between"/>
        <c:majorUnit val="10"/>
      </c:valAx>
      <c:valAx>
        <c:axId val="1239826863"/>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i="1">
                    <a:effectLst/>
                  </a:rPr>
                  <a:t>Utilisation of capacities, barriers, confidence</a:t>
                </a:r>
              </a:p>
            </c:rich>
          </c:tx>
          <c:overlay val="0"/>
        </c:title>
        <c:numFmt formatCode="#,##0" sourceLinked="0"/>
        <c:majorTickMark val="out"/>
        <c:minorTickMark val="none"/>
        <c:tickLblPos val="nextTo"/>
        <c:crossAx val="1239819375"/>
        <c:crosses val="max"/>
        <c:crossBetween val="between"/>
        <c:majorUnit val="10"/>
      </c:valAx>
      <c:catAx>
        <c:axId val="1239819375"/>
        <c:scaling>
          <c:orientation val="minMax"/>
        </c:scaling>
        <c:delete val="1"/>
        <c:axPos val="b"/>
        <c:numFmt formatCode="General" sourceLinked="1"/>
        <c:majorTickMark val="out"/>
        <c:minorTickMark val="none"/>
        <c:tickLblPos val="nextTo"/>
        <c:crossAx val="12398268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0624233317307999E-3"/>
          <c:y val="0.85586448957034"/>
          <c:w val="0.98943298357870768"/>
          <c:h val="0.14063307954958187"/>
        </c:manualLayout>
      </c:layout>
      <c:overlay val="0"/>
      <c:spPr>
        <a:ln w="6350">
          <a:solidFill>
            <a:prstClr val="black">
              <a:lumMod val="95000"/>
              <a:lumOff val="5000"/>
            </a:prstClr>
          </a:solidFill>
        </a:ln>
      </c:spPr>
      <c:txPr>
        <a:bodyPr/>
        <a:lstStyle/>
        <a:p>
          <a:pPr>
            <a:defRPr sz="75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312E-2"/>
          <c:y val="1.5663550999370279E-2"/>
          <c:w val="0.85237839893753009"/>
          <c:h val="0.75413191483370345"/>
        </c:manualLayout>
      </c:layout>
      <c:barChart>
        <c:barDir val="col"/>
        <c:grouping val="stacked"/>
        <c:varyColors val="0"/>
        <c:ser>
          <c:idx val="1"/>
          <c:order val="1"/>
          <c:tx>
            <c:strRef>
              <c:f>'výkonnost odvětví 3'!$Y$10</c:f>
              <c:strCache>
                <c:ptCount val="1"/>
                <c:pt idx="0">
                  <c:v>Building construction (contribution in p.p.)</c:v>
                </c:pt>
              </c:strCache>
            </c:strRef>
          </c:tx>
          <c:spPr>
            <a:solidFill>
              <a:schemeClr val="accent5">
                <a:lumMod val="60000"/>
                <a:lumOff val="40000"/>
              </a:schemeClr>
            </a:solidFill>
            <a:ln>
              <a:noFill/>
            </a:ln>
          </c:spPr>
          <c:invertIfNegative val="0"/>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3'!$Y$31:$Y$69</c:f>
              <c:numCache>
                <c:formatCode>0.0</c:formatCode>
                <c:ptCount val="39"/>
                <c:pt idx="0">
                  <c:v>5.748716579411445</c:v>
                </c:pt>
                <c:pt idx="1">
                  <c:v>4.7489923277143378</c:v>
                </c:pt>
                <c:pt idx="2">
                  <c:v>0.72860376801438353</c:v>
                </c:pt>
                <c:pt idx="3">
                  <c:v>-1.5997494872130962</c:v>
                </c:pt>
                <c:pt idx="4">
                  <c:v>-4.5800585311347017</c:v>
                </c:pt>
                <c:pt idx="5">
                  <c:v>-4.8364432126044203</c:v>
                </c:pt>
                <c:pt idx="6">
                  <c:v>0.7673453632215238</c:v>
                </c:pt>
                <c:pt idx="7">
                  <c:v>3.5913890122868475</c:v>
                </c:pt>
                <c:pt idx="8">
                  <c:v>1.818439140996319</c:v>
                </c:pt>
                <c:pt idx="9">
                  <c:v>9.5161866462127662</c:v>
                </c:pt>
                <c:pt idx="10">
                  <c:v>3.2650480956647083</c:v>
                </c:pt>
                <c:pt idx="11">
                  <c:v>2.30805126241866</c:v>
                </c:pt>
                <c:pt idx="12">
                  <c:v>13.039459362857237</c:v>
                </c:pt>
                <c:pt idx="13">
                  <c:v>5.6850806062932753</c:v>
                </c:pt>
                <c:pt idx="14">
                  <c:v>7.036028465591686</c:v>
                </c:pt>
                <c:pt idx="15">
                  <c:v>2.3869078764089537</c:v>
                </c:pt>
                <c:pt idx="16">
                  <c:v>2.4727635166988868</c:v>
                </c:pt>
                <c:pt idx="17">
                  <c:v>2.9341574628565144</c:v>
                </c:pt>
                <c:pt idx="18">
                  <c:v>-0.67535503037810629</c:v>
                </c:pt>
                <c:pt idx="19">
                  <c:v>1.7116954805541678</c:v>
                </c:pt>
                <c:pt idx="20">
                  <c:v>-0.69584807703082285</c:v>
                </c:pt>
                <c:pt idx="21">
                  <c:v>-7.7523651483361782</c:v>
                </c:pt>
                <c:pt idx="22">
                  <c:v>-7.0746219815718145</c:v>
                </c:pt>
                <c:pt idx="23">
                  <c:v>-7.7412314636348389</c:v>
                </c:pt>
                <c:pt idx="24">
                  <c:v>-5.0734501340445917</c:v>
                </c:pt>
                <c:pt idx="25">
                  <c:v>2.4485178190493153</c:v>
                </c:pt>
                <c:pt idx="26">
                  <c:v>2.7149022219819812</c:v>
                </c:pt>
                <c:pt idx="27">
                  <c:v>5.3744991091122909</c:v>
                </c:pt>
                <c:pt idx="28">
                  <c:v>7.2394516753705522</c:v>
                </c:pt>
                <c:pt idx="29">
                  <c:v>3.5218538971527815</c:v>
                </c:pt>
                <c:pt idx="30">
                  <c:v>-0.76213076853629347</c:v>
                </c:pt>
                <c:pt idx="31">
                  <c:v>-1.425102809767425</c:v>
                </c:pt>
                <c:pt idx="32">
                  <c:v>2.064116964988453</c:v>
                </c:pt>
                <c:pt idx="33">
                  <c:v>-1.7657575609379683</c:v>
                </c:pt>
                <c:pt idx="34">
                  <c:v>-0.42804335476963512</c:v>
                </c:pt>
                <c:pt idx="35">
                  <c:v>-2.3499657471419924</c:v>
                </c:pt>
                <c:pt idx="36">
                  <c:v>-5.5090473525160855</c:v>
                </c:pt>
                <c:pt idx="37">
                  <c:v>-4.6362122672608388</c:v>
                </c:pt>
              </c:numCache>
            </c:numRef>
          </c:val>
          <c:extLst>
            <c:ext xmlns:c16="http://schemas.microsoft.com/office/drawing/2014/chart" uri="{C3380CC4-5D6E-409C-BE32-E72D297353CC}">
              <c16:uniqueId val="{00000000-985A-49B4-B974-145966A493AF}"/>
            </c:ext>
          </c:extLst>
        </c:ser>
        <c:ser>
          <c:idx val="2"/>
          <c:order val="2"/>
          <c:tx>
            <c:strRef>
              <c:f>'výkonnost odvětví 3'!$Z$10</c:f>
              <c:strCache>
                <c:ptCount val="1"/>
                <c:pt idx="0">
                  <c:v>Civil engineering works (contribution in p.p.)</c:v>
                </c:pt>
              </c:strCache>
            </c:strRef>
          </c:tx>
          <c:spPr>
            <a:solidFill>
              <a:schemeClr val="accent2">
                <a:lumMod val="60000"/>
                <a:lumOff val="40000"/>
              </a:schemeClr>
            </a:solidFill>
            <a:ln>
              <a:noFill/>
            </a:ln>
          </c:spPr>
          <c:invertIfNegative val="0"/>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3'!$Z$31:$Z$69</c:f>
              <c:numCache>
                <c:formatCode>0.0</c:formatCode>
                <c:ptCount val="39"/>
                <c:pt idx="0">
                  <c:v>3.8654453061663498</c:v>
                </c:pt>
                <c:pt idx="1">
                  <c:v>8.4074328223660437</c:v>
                </c:pt>
                <c:pt idx="2">
                  <c:v>8.536513170572011</c:v>
                </c:pt>
                <c:pt idx="3">
                  <c:v>3.3830353457973681</c:v>
                </c:pt>
                <c:pt idx="4">
                  <c:v>-1.4655710356774887</c:v>
                </c:pt>
                <c:pt idx="5">
                  <c:v>-6.4494987337786789</c:v>
                </c:pt>
                <c:pt idx="6">
                  <c:v>-8.0288007564184198</c:v>
                </c:pt>
                <c:pt idx="7">
                  <c:v>-6.8710829128275535</c:v>
                </c:pt>
                <c:pt idx="8">
                  <c:v>-4.1473356084740605</c:v>
                </c:pt>
                <c:pt idx="9">
                  <c:v>-1.1362269417632547</c:v>
                </c:pt>
                <c:pt idx="10">
                  <c:v>-1.6997694917449739</c:v>
                </c:pt>
                <c:pt idx="11">
                  <c:v>0.18912136047288933</c:v>
                </c:pt>
                <c:pt idx="12">
                  <c:v>2.313855161184069</c:v>
                </c:pt>
                <c:pt idx="13">
                  <c:v>1.4433818342413158</c:v>
                </c:pt>
                <c:pt idx="14">
                  <c:v>5.805340800033207</c:v>
                </c:pt>
                <c:pt idx="15">
                  <c:v>2.0257219814852485</c:v>
                </c:pt>
                <c:pt idx="16">
                  <c:v>2.8832113797347176</c:v>
                </c:pt>
                <c:pt idx="17">
                  <c:v>2.2916559515195796</c:v>
                </c:pt>
                <c:pt idx="18">
                  <c:v>0.1275103650053056</c:v>
                </c:pt>
                <c:pt idx="19">
                  <c:v>0.80716183036284428</c:v>
                </c:pt>
                <c:pt idx="20">
                  <c:v>2.6239699221333534</c:v>
                </c:pt>
                <c:pt idx="21">
                  <c:v>0.26317252359280197</c:v>
                </c:pt>
                <c:pt idx="22">
                  <c:v>-3.3347591135837273</c:v>
                </c:pt>
                <c:pt idx="23">
                  <c:v>-0.42839192125115316</c:v>
                </c:pt>
                <c:pt idx="24">
                  <c:v>-0.39659145437231463</c:v>
                </c:pt>
                <c:pt idx="25">
                  <c:v>1.8574458272306367</c:v>
                </c:pt>
                <c:pt idx="26">
                  <c:v>0.5220742634826121</c:v>
                </c:pt>
                <c:pt idx="27">
                  <c:v>-1.0566974767352684</c:v>
                </c:pt>
                <c:pt idx="28">
                  <c:v>5.3532151649547703</c:v>
                </c:pt>
                <c:pt idx="29">
                  <c:v>1.3478994077111488</c:v>
                </c:pt>
                <c:pt idx="30">
                  <c:v>0.66714791874478363</c:v>
                </c:pt>
                <c:pt idx="31">
                  <c:v>1.4205029040848112</c:v>
                </c:pt>
                <c:pt idx="32">
                  <c:v>-3.8429599566894597</c:v>
                </c:pt>
                <c:pt idx="33">
                  <c:v>-2.360300259501861</c:v>
                </c:pt>
                <c:pt idx="34">
                  <c:v>-0.12970862881706821</c:v>
                </c:pt>
                <c:pt idx="35">
                  <c:v>-0.56642639266386141</c:v>
                </c:pt>
                <c:pt idx="36">
                  <c:v>1.2397540081036837</c:v>
                </c:pt>
                <c:pt idx="37">
                  <c:v>-1.4048266250842052</c:v>
                </c:pt>
              </c:numCache>
            </c:numRef>
          </c:val>
          <c:extLst>
            <c:ext xmlns:c16="http://schemas.microsoft.com/office/drawing/2014/chart" uri="{C3380CC4-5D6E-409C-BE32-E72D297353CC}">
              <c16:uniqueId val="{00000001-985A-49B4-B974-145966A493AF}"/>
            </c:ext>
          </c:extLst>
        </c:ser>
        <c:dLbls>
          <c:showLegendKey val="0"/>
          <c:showVal val="0"/>
          <c:showCatName val="0"/>
          <c:showSerName val="0"/>
          <c:showPercent val="0"/>
          <c:showBubbleSize val="0"/>
        </c:dLbls>
        <c:gapWidth val="30"/>
        <c:overlap val="100"/>
        <c:axId val="112768128"/>
        <c:axId val="112769664"/>
      </c:barChart>
      <c:lineChart>
        <c:grouping val="standard"/>
        <c:varyColors val="0"/>
        <c:ser>
          <c:idx val="0"/>
          <c:order val="0"/>
          <c:tx>
            <c:strRef>
              <c:f>'výkonnost odvětví 3'!$X$10</c:f>
              <c:strCache>
                <c:ptCount val="1"/>
                <c:pt idx="0">
                  <c:v>Total construction output (y-o-y in %)</c:v>
                </c:pt>
              </c:strCache>
            </c:strRef>
          </c:tx>
          <c:spPr>
            <a:ln>
              <a:noFill/>
            </a:ln>
          </c:spPr>
          <c:marker>
            <c:symbol val="dash"/>
            <c:size val="5"/>
            <c:spPr>
              <a:solidFill>
                <a:schemeClr val="bg1"/>
              </a:solidFill>
              <a:ln>
                <a:solidFill>
                  <a:schemeClr val="tx1">
                    <a:lumMod val="95000"/>
                    <a:lumOff val="5000"/>
                  </a:schemeClr>
                </a:solidFill>
              </a:ln>
            </c:spPr>
          </c:marker>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3'!$X$31:$X$69</c:f>
              <c:numCache>
                <c:formatCode>0.0</c:formatCode>
                <c:ptCount val="39"/>
                <c:pt idx="0">
                  <c:v>9.6141618855778006</c:v>
                </c:pt>
                <c:pt idx="1">
                  <c:v>13.156425150080381</c:v>
                </c:pt>
                <c:pt idx="2">
                  <c:v>9.2651169385864023</c:v>
                </c:pt>
                <c:pt idx="3">
                  <c:v>1.7832858585842644</c:v>
                </c:pt>
                <c:pt idx="4">
                  <c:v>-6.0456295668121669</c:v>
                </c:pt>
                <c:pt idx="5">
                  <c:v>-11.28594194638309</c:v>
                </c:pt>
                <c:pt idx="6">
                  <c:v>-7.2614553931968828</c:v>
                </c:pt>
                <c:pt idx="7">
                  <c:v>-3.2796939005406927</c:v>
                </c:pt>
                <c:pt idx="8">
                  <c:v>-2.3288964674777475</c:v>
                </c:pt>
                <c:pt idx="9">
                  <c:v>8.3799597044495187</c:v>
                </c:pt>
                <c:pt idx="10">
                  <c:v>1.5652786039197224</c:v>
                </c:pt>
                <c:pt idx="11">
                  <c:v>2.4971726228915543</c:v>
                </c:pt>
                <c:pt idx="12">
                  <c:v>15.353314524041295</c:v>
                </c:pt>
                <c:pt idx="13">
                  <c:v>7.1284624405345767</c:v>
                </c:pt>
                <c:pt idx="14">
                  <c:v>12.84136926562492</c:v>
                </c:pt>
                <c:pt idx="15">
                  <c:v>4.4126298578941885</c:v>
                </c:pt>
                <c:pt idx="16">
                  <c:v>5.355974896433608</c:v>
                </c:pt>
                <c:pt idx="17">
                  <c:v>5.2258134143760913</c:v>
                </c:pt>
                <c:pt idx="18">
                  <c:v>-0.54784466537279286</c:v>
                </c:pt>
                <c:pt idx="19">
                  <c:v>2.5188573109170278</c:v>
                </c:pt>
                <c:pt idx="20">
                  <c:v>1.9281218451025097</c:v>
                </c:pt>
                <c:pt idx="21">
                  <c:v>-7.4891926247433531</c:v>
                </c:pt>
                <c:pt idx="22">
                  <c:v>-10.409381095155553</c:v>
                </c:pt>
                <c:pt idx="23">
                  <c:v>-8.1696233848860089</c:v>
                </c:pt>
                <c:pt idx="24">
                  <c:v>-5.4700415884168763</c:v>
                </c:pt>
                <c:pt idx="25">
                  <c:v>4.3059636462799773</c:v>
                </c:pt>
                <c:pt idx="26">
                  <c:v>3.236976485464595</c:v>
                </c:pt>
                <c:pt idx="27">
                  <c:v>4.3178016323770265</c:v>
                </c:pt>
                <c:pt idx="28">
                  <c:v>12.592666840325293</c:v>
                </c:pt>
                <c:pt idx="29">
                  <c:v>4.8697533048639201</c:v>
                </c:pt>
                <c:pt idx="30">
                  <c:v>-9.4982849791520607E-2</c:v>
                </c:pt>
                <c:pt idx="31">
                  <c:v>-4.5999056825962725E-3</c:v>
                </c:pt>
                <c:pt idx="32">
                  <c:v>-1.778842991701012</c:v>
                </c:pt>
                <c:pt idx="33">
                  <c:v>-4.1260578204398399</c:v>
                </c:pt>
                <c:pt idx="34">
                  <c:v>-0.55775198358671219</c:v>
                </c:pt>
                <c:pt idx="35">
                  <c:v>-2.9163921398058505</c:v>
                </c:pt>
                <c:pt idx="36">
                  <c:v>-4.2692933444123611</c:v>
                </c:pt>
                <c:pt idx="37">
                  <c:v>-6.0410388923450427</c:v>
                </c:pt>
              </c:numCache>
            </c:numRef>
          </c:val>
          <c:smooth val="0"/>
          <c:extLst>
            <c:ext xmlns:c16="http://schemas.microsoft.com/office/drawing/2014/chart" uri="{C3380CC4-5D6E-409C-BE32-E72D297353CC}">
              <c16:uniqueId val="{00000002-985A-49B4-B974-145966A493AF}"/>
            </c:ext>
          </c:extLst>
        </c:ser>
        <c:ser>
          <c:idx val="3"/>
          <c:order val="3"/>
          <c:tx>
            <c:strRef>
              <c:f>'výkonnost odvětví 3'!$AA$10</c:f>
              <c:strCache>
                <c:ptCount val="1"/>
                <c:pt idx="0">
                  <c:v>New domestic construction orders </c:v>
                </c:pt>
              </c:strCache>
            </c:strRef>
          </c:tx>
          <c:spPr>
            <a:ln w="9525">
              <a:solidFill>
                <a:srgbClr val="984807"/>
              </a:solidFill>
              <a:prstDash val="sysDot"/>
            </a:ln>
          </c:spPr>
          <c:marker>
            <c:symbol val="diamond"/>
            <c:size val="4"/>
            <c:spPr>
              <a:solidFill>
                <a:srgbClr val="996633"/>
              </a:solidFill>
              <a:ln>
                <a:solidFill>
                  <a:srgbClr val="984807"/>
                </a:solidFill>
              </a:ln>
            </c:spPr>
          </c:marker>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3'!$AA$31:$AA$69</c:f>
              <c:numCache>
                <c:formatCode>0.0</c:formatCode>
                <c:ptCount val="39"/>
                <c:pt idx="0">
                  <c:v>-3.1547956675580053</c:v>
                </c:pt>
                <c:pt idx="1">
                  <c:v>9.7504961091663205</c:v>
                </c:pt>
                <c:pt idx="2">
                  <c:v>-1.097606022761255</c:v>
                </c:pt>
                <c:pt idx="3">
                  <c:v>-2.3987783410040464</c:v>
                </c:pt>
                <c:pt idx="4">
                  <c:v>-6.6406358945753823</c:v>
                </c:pt>
                <c:pt idx="5">
                  <c:v>-0.49977652269311079</c:v>
                </c:pt>
                <c:pt idx="6">
                  <c:v>-7.0322087253454839</c:v>
                </c:pt>
                <c:pt idx="7">
                  <c:v>10.122126124559955</c:v>
                </c:pt>
                <c:pt idx="8">
                  <c:v>16.177217458847437</c:v>
                </c:pt>
                <c:pt idx="9">
                  <c:v>9.5350878984013008</c:v>
                </c:pt>
                <c:pt idx="10">
                  <c:v>-1.2817324431350698</c:v>
                </c:pt>
                <c:pt idx="11">
                  <c:v>15.620806693503823</c:v>
                </c:pt>
                <c:pt idx="12">
                  <c:v>30.10697387368856</c:v>
                </c:pt>
                <c:pt idx="13">
                  <c:v>32.836878110611963</c:v>
                </c:pt>
                <c:pt idx="14">
                  <c:v>5.2768249907951201</c:v>
                </c:pt>
                <c:pt idx="15">
                  <c:v>1.8944565811032277</c:v>
                </c:pt>
                <c:pt idx="16">
                  <c:v>14.157245632065781</c:v>
                </c:pt>
                <c:pt idx="17">
                  <c:v>-9.3849543241233135</c:v>
                </c:pt>
                <c:pt idx="18">
                  <c:v>17.407871000993993</c:v>
                </c:pt>
                <c:pt idx="19">
                  <c:v>5.8323004254463768</c:v>
                </c:pt>
                <c:pt idx="20">
                  <c:v>-12.441635069859245</c:v>
                </c:pt>
                <c:pt idx="21">
                  <c:v>7.497345722028669</c:v>
                </c:pt>
                <c:pt idx="22">
                  <c:v>2.0599736606932879</c:v>
                </c:pt>
                <c:pt idx="23">
                  <c:v>7.5507850088630164</c:v>
                </c:pt>
                <c:pt idx="24">
                  <c:v>28.856340981154403</c:v>
                </c:pt>
                <c:pt idx="25">
                  <c:v>22.047871359987184</c:v>
                </c:pt>
                <c:pt idx="26">
                  <c:v>10.015015612184257</c:v>
                </c:pt>
                <c:pt idx="27">
                  <c:v>1.0053213537781147</c:v>
                </c:pt>
                <c:pt idx="28">
                  <c:v>13.067478460417874</c:v>
                </c:pt>
                <c:pt idx="29">
                  <c:v>17.619163607261129</c:v>
                </c:pt>
                <c:pt idx="30">
                  <c:v>12.421954480552543</c:v>
                </c:pt>
                <c:pt idx="31">
                  <c:v>13.031852753748723</c:v>
                </c:pt>
                <c:pt idx="32">
                  <c:v>-10.144501025957553</c:v>
                </c:pt>
                <c:pt idx="33">
                  <c:v>-18.697561390531931</c:v>
                </c:pt>
                <c:pt idx="34">
                  <c:v>27.514816854662882</c:v>
                </c:pt>
                <c:pt idx="35">
                  <c:v>9.3063425617587541</c:v>
                </c:pt>
                <c:pt idx="36">
                  <c:v>30.591327492018308</c:v>
                </c:pt>
                <c:pt idx="37">
                  <c:v>24.637718081535937</c:v>
                </c:pt>
              </c:numCache>
            </c:numRef>
          </c:val>
          <c:smooth val="0"/>
          <c:extLst>
            <c:ext xmlns:c16="http://schemas.microsoft.com/office/drawing/2014/chart" uri="{C3380CC4-5D6E-409C-BE32-E72D297353CC}">
              <c16:uniqueId val="{00000003-985A-49B4-B974-145966A493AF}"/>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4"/>
          <c:order val="4"/>
          <c:tx>
            <c:strRef>
              <c:f>'výkonnost odvětví 3'!$AB$10</c:f>
              <c:strCache>
                <c:ptCount val="1"/>
                <c:pt idx="0">
                  <c:v>Barrier: inadequate demand</c:v>
                </c:pt>
              </c:strCache>
            </c:strRef>
          </c:tx>
          <c:spPr>
            <a:ln w="15875">
              <a:solidFill>
                <a:srgbClr val="00B050"/>
              </a:solidFill>
              <a:prstDash val="solid"/>
            </a:ln>
          </c:spPr>
          <c:marker>
            <c:symbol val="none"/>
          </c:marker>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3'!$AB$31:$AB$69</c:f>
              <c:numCache>
                <c:formatCode>#\ ##0.0</c:formatCode>
                <c:ptCount val="39"/>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pt idx="31">
                  <c:v>20.6</c:v>
                </c:pt>
                <c:pt idx="32">
                  <c:v>31.9</c:v>
                </c:pt>
                <c:pt idx="33">
                  <c:v>32.299999999999997</c:v>
                </c:pt>
                <c:pt idx="34">
                  <c:v>36.299999999999997</c:v>
                </c:pt>
                <c:pt idx="35">
                  <c:v>29.2</c:v>
                </c:pt>
                <c:pt idx="36">
                  <c:v>20.5</c:v>
                </c:pt>
                <c:pt idx="37">
                  <c:v>22.3</c:v>
                </c:pt>
                <c:pt idx="38">
                  <c:v>24</c:v>
                </c:pt>
              </c:numCache>
            </c:numRef>
          </c:val>
          <c:smooth val="0"/>
          <c:extLst>
            <c:ext xmlns:c16="http://schemas.microsoft.com/office/drawing/2014/chart" uri="{C3380CC4-5D6E-409C-BE32-E72D297353CC}">
              <c16:uniqueId val="{00000004-985A-49B4-B974-145966A493AF}"/>
            </c:ext>
          </c:extLst>
        </c:ser>
        <c:ser>
          <c:idx val="5"/>
          <c:order val="5"/>
          <c:tx>
            <c:strRef>
              <c:f>'výkonnost odvětví 3'!$AC$10</c:f>
              <c:strCache>
                <c:ptCount val="1"/>
                <c:pt idx="0">
                  <c:v>Barrier: lack of workers</c:v>
                </c:pt>
              </c:strCache>
            </c:strRef>
          </c:tx>
          <c:spPr>
            <a:ln w="15875">
              <a:solidFill>
                <a:schemeClr val="accent3">
                  <a:lumMod val="75000"/>
                </a:schemeClr>
              </a:solidFill>
              <a:prstDash val="dash"/>
            </a:ln>
          </c:spPr>
          <c:marker>
            <c:symbol val="none"/>
          </c:marker>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3'!$AC$31:$AC$69</c:f>
              <c:numCache>
                <c:formatCode>#\ ##0.0</c:formatCode>
                <c:ptCount val="39"/>
                <c:pt idx="0">
                  <c:v>8.3000000000000007</c:v>
                </c:pt>
                <c:pt idx="1">
                  <c:v>8.1</c:v>
                </c:pt>
                <c:pt idx="2">
                  <c:v>6.1</c:v>
                </c:pt>
                <c:pt idx="3">
                  <c:v>6</c:v>
                </c:pt>
                <c:pt idx="4">
                  <c:v>6.5</c:v>
                </c:pt>
                <c:pt idx="5">
                  <c:v>7.2</c:v>
                </c:pt>
                <c:pt idx="6">
                  <c:v>7.1</c:v>
                </c:pt>
                <c:pt idx="7">
                  <c:v>10.4</c:v>
                </c:pt>
                <c:pt idx="8">
                  <c:v>13.9</c:v>
                </c:pt>
                <c:pt idx="9">
                  <c:v>14.9</c:v>
                </c:pt>
                <c:pt idx="10">
                  <c:v>21.7</c:v>
                </c:pt>
                <c:pt idx="11">
                  <c:v>21.3</c:v>
                </c:pt>
                <c:pt idx="12">
                  <c:v>27</c:v>
                </c:pt>
                <c:pt idx="13">
                  <c:v>30.1</c:v>
                </c:pt>
                <c:pt idx="14">
                  <c:v>28.5</c:v>
                </c:pt>
                <c:pt idx="15">
                  <c:v>38.4</c:v>
                </c:pt>
                <c:pt idx="16">
                  <c:v>36.4</c:v>
                </c:pt>
                <c:pt idx="17">
                  <c:v>43.4</c:v>
                </c:pt>
                <c:pt idx="18">
                  <c:v>50.4</c:v>
                </c:pt>
                <c:pt idx="19">
                  <c:v>46.4</c:v>
                </c:pt>
                <c:pt idx="20">
                  <c:v>51.8</c:v>
                </c:pt>
                <c:pt idx="21">
                  <c:v>46</c:v>
                </c:pt>
                <c:pt idx="22">
                  <c:v>35.9</c:v>
                </c:pt>
                <c:pt idx="23" formatCode="0.0">
                  <c:v>32.1</c:v>
                </c:pt>
                <c:pt idx="24">
                  <c:v>47.9</c:v>
                </c:pt>
                <c:pt idx="25">
                  <c:v>31.7</c:v>
                </c:pt>
                <c:pt idx="26">
                  <c:v>41.4</c:v>
                </c:pt>
                <c:pt idx="27">
                  <c:v>42.5</c:v>
                </c:pt>
                <c:pt idx="28">
                  <c:v>57.2</c:v>
                </c:pt>
                <c:pt idx="29">
                  <c:v>44.3</c:v>
                </c:pt>
                <c:pt idx="30">
                  <c:v>39.4</c:v>
                </c:pt>
                <c:pt idx="31">
                  <c:v>47.3</c:v>
                </c:pt>
                <c:pt idx="32">
                  <c:v>39.299999999999997</c:v>
                </c:pt>
                <c:pt idx="33">
                  <c:v>35.4</c:v>
                </c:pt>
                <c:pt idx="34">
                  <c:v>30.5</c:v>
                </c:pt>
                <c:pt idx="35">
                  <c:v>30.9</c:v>
                </c:pt>
                <c:pt idx="36">
                  <c:v>54.2</c:v>
                </c:pt>
                <c:pt idx="37">
                  <c:v>46.6</c:v>
                </c:pt>
                <c:pt idx="38">
                  <c:v>42.2</c:v>
                </c:pt>
              </c:numCache>
            </c:numRef>
          </c:val>
          <c:smooth val="0"/>
          <c:extLst>
            <c:ext xmlns:c16="http://schemas.microsoft.com/office/drawing/2014/chart" uri="{C3380CC4-5D6E-409C-BE32-E72D297353CC}">
              <c16:uniqueId val="{00000005-985A-49B4-B974-145966A493AF}"/>
            </c:ext>
          </c:extLst>
        </c:ser>
        <c:ser>
          <c:idx val="6"/>
          <c:order val="6"/>
          <c:tx>
            <c:strRef>
              <c:f>'výkonnost odvětví 3'!$AD$10</c:f>
              <c:strCache>
                <c:ptCount val="1"/>
                <c:pt idx="0">
                  <c:v>Barrier: shortage of material/equipment</c:v>
                </c:pt>
              </c:strCache>
            </c:strRef>
          </c:tx>
          <c:spPr>
            <a:ln w="15875">
              <a:solidFill>
                <a:srgbClr val="37DD3B"/>
              </a:solidFill>
              <a:prstDash val="sysDash"/>
            </a:ln>
          </c:spPr>
          <c:marker>
            <c:symbol val="none"/>
          </c:marker>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3'!$AD$31:$AD$69</c:f>
              <c:numCache>
                <c:formatCode>#\ ##0.0</c:formatCode>
                <c:ptCount val="39"/>
                <c:pt idx="0">
                  <c:v>0.1</c:v>
                </c:pt>
                <c:pt idx="1">
                  <c:v>0.4</c:v>
                </c:pt>
                <c:pt idx="2">
                  <c:v>4</c:v>
                </c:pt>
                <c:pt idx="3">
                  <c:v>0.5</c:v>
                </c:pt>
                <c:pt idx="4">
                  <c:v>0.4</c:v>
                </c:pt>
                <c:pt idx="5">
                  <c:v>0.5</c:v>
                </c:pt>
                <c:pt idx="6">
                  <c:v>0.5</c:v>
                </c:pt>
                <c:pt idx="7">
                  <c:v>1.5</c:v>
                </c:pt>
                <c:pt idx="8">
                  <c:v>0.3</c:v>
                </c:pt>
                <c:pt idx="9">
                  <c:v>0.3</c:v>
                </c:pt>
                <c:pt idx="10">
                  <c:v>3.3</c:v>
                </c:pt>
                <c:pt idx="11">
                  <c:v>4.2</c:v>
                </c:pt>
                <c:pt idx="12">
                  <c:v>5.5</c:v>
                </c:pt>
                <c:pt idx="13">
                  <c:v>1.2</c:v>
                </c:pt>
                <c:pt idx="14">
                  <c:v>6.8</c:v>
                </c:pt>
                <c:pt idx="15">
                  <c:v>3.5</c:v>
                </c:pt>
                <c:pt idx="16">
                  <c:v>4.3</c:v>
                </c:pt>
                <c:pt idx="17">
                  <c:v>5.7</c:v>
                </c:pt>
                <c:pt idx="18">
                  <c:v>5.3</c:v>
                </c:pt>
                <c:pt idx="19">
                  <c:v>4</c:v>
                </c:pt>
                <c:pt idx="20">
                  <c:v>1.9</c:v>
                </c:pt>
                <c:pt idx="21">
                  <c:v>3.4</c:v>
                </c:pt>
                <c:pt idx="22">
                  <c:v>1.3</c:v>
                </c:pt>
                <c:pt idx="23">
                  <c:v>0.8</c:v>
                </c:pt>
                <c:pt idx="24">
                  <c:v>1.3</c:v>
                </c:pt>
                <c:pt idx="25">
                  <c:v>4.3</c:v>
                </c:pt>
                <c:pt idx="26">
                  <c:v>16.3</c:v>
                </c:pt>
                <c:pt idx="27">
                  <c:v>22.8</c:v>
                </c:pt>
                <c:pt idx="28">
                  <c:v>24.7</c:v>
                </c:pt>
                <c:pt idx="29">
                  <c:v>41.3</c:v>
                </c:pt>
                <c:pt idx="30">
                  <c:v>38.6</c:v>
                </c:pt>
                <c:pt idx="31">
                  <c:v>23.4</c:v>
                </c:pt>
                <c:pt idx="32">
                  <c:v>19.5</c:v>
                </c:pt>
                <c:pt idx="33">
                  <c:v>17</c:v>
                </c:pt>
                <c:pt idx="34">
                  <c:v>13</c:v>
                </c:pt>
                <c:pt idx="35">
                  <c:v>13.9</c:v>
                </c:pt>
                <c:pt idx="36">
                  <c:v>22.5</c:v>
                </c:pt>
                <c:pt idx="37">
                  <c:v>22.2</c:v>
                </c:pt>
                <c:pt idx="38">
                  <c:v>22.2</c:v>
                </c:pt>
              </c:numCache>
            </c:numRef>
          </c:val>
          <c:smooth val="0"/>
          <c:extLst>
            <c:ext xmlns:c16="http://schemas.microsoft.com/office/drawing/2014/chart" uri="{C3380CC4-5D6E-409C-BE32-E72D297353CC}">
              <c16:uniqueId val="{00000006-985A-49B4-B974-145966A493AF}"/>
            </c:ext>
          </c:extLst>
        </c:ser>
        <c:ser>
          <c:idx val="7"/>
          <c:order val="7"/>
          <c:tx>
            <c:strRef>
              <c:f>'výkonnost odvětví 3'!$AE$10</c:f>
              <c:strCache>
                <c:ptCount val="1"/>
                <c:pt idx="0">
                  <c:v>Confidence indicator in construction</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3'!$AE$31:$AE$69</c:f>
              <c:numCache>
                <c:formatCode>0.0</c:formatCode>
                <c:ptCount val="39"/>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pt idx="31">
                  <c:v>-4.5</c:v>
                </c:pt>
                <c:pt idx="32">
                  <c:v>-11.5</c:v>
                </c:pt>
                <c:pt idx="33">
                  <c:v>-15.5</c:v>
                </c:pt>
                <c:pt idx="34">
                  <c:v>-16.5</c:v>
                </c:pt>
                <c:pt idx="35">
                  <c:v>-11</c:v>
                </c:pt>
                <c:pt idx="36">
                  <c:v>-7</c:v>
                </c:pt>
                <c:pt idx="37">
                  <c:v>-14</c:v>
                </c:pt>
                <c:pt idx="38">
                  <c:v>-12</c:v>
                </c:pt>
              </c:numCache>
            </c:numRef>
          </c:val>
          <c:smooth val="0"/>
          <c:extLst>
            <c:ext xmlns:c16="http://schemas.microsoft.com/office/drawing/2014/chart" uri="{C3380CC4-5D6E-409C-BE32-E72D297353CC}">
              <c16:uniqueId val="{00000007-985A-49B4-B974-145966A493AF}"/>
            </c:ext>
          </c:extLst>
        </c:ser>
        <c:dLbls>
          <c:showLegendKey val="0"/>
          <c:showVal val="0"/>
          <c:showCatName val="0"/>
          <c:showSerName val="0"/>
          <c:showPercent val="0"/>
          <c:showBubbleSize val="0"/>
        </c:dLbls>
        <c:marker val="1"/>
        <c:smooth val="0"/>
        <c:axId val="1118074639"/>
        <c:axId val="1118080463"/>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8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Construction output (contribution to the growth), orders</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10"/>
      </c:valAx>
      <c:valAx>
        <c:axId val="1118080463"/>
        <c:scaling>
          <c:orientation val="minMax"/>
          <c:max val="10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Confidence indicator, growth barriers</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18074639"/>
        <c:crosses val="max"/>
        <c:crossBetween val="between"/>
        <c:majorUnit val="20"/>
      </c:valAx>
      <c:catAx>
        <c:axId val="1118074639"/>
        <c:scaling>
          <c:orientation val="minMax"/>
        </c:scaling>
        <c:delete val="1"/>
        <c:axPos val="b"/>
        <c:numFmt formatCode="General" sourceLinked="1"/>
        <c:majorTickMark val="out"/>
        <c:minorTickMark val="none"/>
        <c:tickLblPos val="nextTo"/>
        <c:crossAx val="11180804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4.9364822180789645E-3"/>
          <c:y val="0.8593671160207601"/>
          <c:w val="0.99095124459355122"/>
          <c:h val="0.13362821778942557"/>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385677352723435E-2"/>
          <c:y val="1.5803328678987455E-2"/>
          <c:w val="0.83979584077702996"/>
          <c:h val="0.69902590308489432"/>
        </c:manualLayout>
      </c:layout>
      <c:barChart>
        <c:barDir val="col"/>
        <c:grouping val="stacked"/>
        <c:varyColors val="0"/>
        <c:ser>
          <c:idx val="0"/>
          <c:order val="1"/>
          <c:tx>
            <c:strRef>
              <c:f>'Služby-příspěvkyk růstu-4'!$D$33</c:f>
              <c:strCache>
                <c:ptCount val="1"/>
                <c:pt idx="0">
                  <c:v>Transportation and storage (p.p.)</c:v>
                </c:pt>
              </c:strCache>
            </c:strRef>
          </c:tx>
          <c:spPr>
            <a:solidFill>
              <a:srgbClr val="92D050"/>
            </a:solidFill>
            <a:ln>
              <a:noFill/>
            </a:ln>
          </c:spPr>
          <c:invertIfNegative val="0"/>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růstu-4'!$D$46:$D$84</c:f>
              <c:numCache>
                <c:formatCode>0.0</c:formatCode>
                <c:ptCount val="39"/>
                <c:pt idx="0">
                  <c:v>0.28583707131499864</c:v>
                </c:pt>
                <c:pt idx="1">
                  <c:v>9.9073319502600551E-2</c:v>
                </c:pt>
                <c:pt idx="2">
                  <c:v>0.31769782750540138</c:v>
                </c:pt>
                <c:pt idx="3">
                  <c:v>0.12210619116400009</c:v>
                </c:pt>
                <c:pt idx="4">
                  <c:v>0.28220883268199926</c:v>
                </c:pt>
                <c:pt idx="5">
                  <c:v>6.1181950046598127E-2</c:v>
                </c:pt>
                <c:pt idx="6">
                  <c:v>0.16591602609100148</c:v>
                </c:pt>
                <c:pt idx="7">
                  <c:v>0.78068825847900136</c:v>
                </c:pt>
                <c:pt idx="8">
                  <c:v>1.5613141921709988</c:v>
                </c:pt>
                <c:pt idx="9">
                  <c:v>1.122930781783998</c:v>
                </c:pt>
                <c:pt idx="10">
                  <c:v>1.0641446548009998</c:v>
                </c:pt>
                <c:pt idx="11">
                  <c:v>0.59189353382399879</c:v>
                </c:pt>
                <c:pt idx="12">
                  <c:v>1.6915596254819993</c:v>
                </c:pt>
                <c:pt idx="13">
                  <c:v>1.8149616493690008</c:v>
                </c:pt>
                <c:pt idx="14">
                  <c:v>1.4972066301569984</c:v>
                </c:pt>
                <c:pt idx="15">
                  <c:v>0.48435757114800193</c:v>
                </c:pt>
                <c:pt idx="16">
                  <c:v>8.7680447270998052E-2</c:v>
                </c:pt>
                <c:pt idx="17">
                  <c:v>-0.13218522120399967</c:v>
                </c:pt>
                <c:pt idx="18">
                  <c:v>-0.30882816758200105</c:v>
                </c:pt>
                <c:pt idx="19">
                  <c:v>-7.2429796977600117E-2</c:v>
                </c:pt>
                <c:pt idx="20">
                  <c:v>-1.5388901719333996</c:v>
                </c:pt>
                <c:pt idx="21">
                  <c:v>-6.3630415493666987</c:v>
                </c:pt>
                <c:pt idx="22">
                  <c:v>-3.9404740003479741</c:v>
                </c:pt>
                <c:pt idx="23">
                  <c:v>-1.3606128435167992</c:v>
                </c:pt>
                <c:pt idx="24">
                  <c:v>0.40899428206630034</c:v>
                </c:pt>
                <c:pt idx="25">
                  <c:v>6.4857042983519992</c:v>
                </c:pt>
                <c:pt idx="26">
                  <c:v>3.6844418834935992</c:v>
                </c:pt>
                <c:pt idx="27">
                  <c:v>3.3217790689831346</c:v>
                </c:pt>
                <c:pt idx="28">
                  <c:v>3.9514408665104899</c:v>
                </c:pt>
                <c:pt idx="29">
                  <c:v>4.0151538723392397</c:v>
                </c:pt>
                <c:pt idx="30">
                  <c:v>3.2323731249468759</c:v>
                </c:pt>
                <c:pt idx="31">
                  <c:v>0.68736316295880218</c:v>
                </c:pt>
                <c:pt idx="32">
                  <c:v>-1.2129729416320014</c:v>
                </c:pt>
                <c:pt idx="33">
                  <c:v>-3.099026668853849</c:v>
                </c:pt>
                <c:pt idx="34">
                  <c:v>-3.4692285655333293</c:v>
                </c:pt>
                <c:pt idx="35">
                  <c:v>-2.6080977613502347</c:v>
                </c:pt>
                <c:pt idx="36">
                  <c:v>0.12301447772012634</c:v>
                </c:pt>
                <c:pt idx="37">
                  <c:v>1.1719168050476052</c:v>
                </c:pt>
              </c:numCache>
            </c:numRef>
          </c:val>
          <c:extLst>
            <c:ext xmlns:c16="http://schemas.microsoft.com/office/drawing/2014/chart" uri="{C3380CC4-5D6E-409C-BE32-E72D297353CC}">
              <c16:uniqueId val="{00000000-6694-4590-9561-BD0750717353}"/>
            </c:ext>
          </c:extLst>
        </c:ser>
        <c:ser>
          <c:idx val="1"/>
          <c:order val="2"/>
          <c:tx>
            <c:strRef>
              <c:f>'Služby-příspěvkyk růstu-4'!$E$33</c:f>
              <c:strCache>
                <c:ptCount val="1"/>
                <c:pt idx="0">
                  <c:v>Accommodation, food service (p.p.)</c:v>
                </c:pt>
              </c:strCache>
            </c:strRef>
          </c:tx>
          <c:spPr>
            <a:solidFill>
              <a:srgbClr val="00B0F0"/>
            </a:solidFill>
            <a:ln>
              <a:noFill/>
            </a:ln>
          </c:spPr>
          <c:invertIfNegative val="0"/>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růstu-4'!$E$46:$E$84</c:f>
              <c:numCache>
                <c:formatCode>0.0</c:formatCode>
                <c:ptCount val="39"/>
                <c:pt idx="0">
                  <c:v>0.22716240604080018</c:v>
                </c:pt>
                <c:pt idx="1">
                  <c:v>0.65001523589900034</c:v>
                </c:pt>
                <c:pt idx="2">
                  <c:v>0.65043885271950042</c:v>
                </c:pt>
                <c:pt idx="3">
                  <c:v>0.40286531384040036</c:v>
                </c:pt>
                <c:pt idx="4">
                  <c:v>0.47082926396040031</c:v>
                </c:pt>
                <c:pt idx="5">
                  <c:v>0.17677577920749962</c:v>
                </c:pt>
                <c:pt idx="6">
                  <c:v>0.57113528170200001</c:v>
                </c:pt>
                <c:pt idx="7">
                  <c:v>0.60157631975219972</c:v>
                </c:pt>
                <c:pt idx="8">
                  <c:v>0.9154231899449996</c:v>
                </c:pt>
                <c:pt idx="9">
                  <c:v>1.2344281014258005</c:v>
                </c:pt>
                <c:pt idx="10">
                  <c:v>0.55621615324820017</c:v>
                </c:pt>
                <c:pt idx="11">
                  <c:v>0.45646654612940007</c:v>
                </c:pt>
                <c:pt idx="12">
                  <c:v>0.20372087178279991</c:v>
                </c:pt>
                <c:pt idx="13">
                  <c:v>5.3418687620000245E-2</c:v>
                </c:pt>
                <c:pt idx="14">
                  <c:v>6.3072083089999523E-2</c:v>
                </c:pt>
                <c:pt idx="15">
                  <c:v>-3.690856285000052E-2</c:v>
                </c:pt>
                <c:pt idx="16">
                  <c:v>-0.36352759744700047</c:v>
                </c:pt>
                <c:pt idx="17">
                  <c:v>-0.66972254409340026</c:v>
                </c:pt>
                <c:pt idx="18">
                  <c:v>0.55939150605359955</c:v>
                </c:pt>
                <c:pt idx="19">
                  <c:v>0.81136645955399955</c:v>
                </c:pt>
                <c:pt idx="20">
                  <c:v>-1.02121923221554</c:v>
                </c:pt>
                <c:pt idx="21">
                  <c:v>-4.7572576440565006</c:v>
                </c:pt>
                <c:pt idx="22">
                  <c:v>-1.8794605145432095</c:v>
                </c:pt>
                <c:pt idx="23">
                  <c:v>-4.4951618716172961</c:v>
                </c:pt>
                <c:pt idx="24">
                  <c:v>-3.6369333050125001</c:v>
                </c:pt>
                <c:pt idx="25">
                  <c:v>1.4031540944905208</c:v>
                </c:pt>
                <c:pt idx="26">
                  <c:v>0.65992665946500029</c:v>
                </c:pt>
                <c:pt idx="27">
                  <c:v>2.8955262444650116</c:v>
                </c:pt>
                <c:pt idx="28">
                  <c:v>2.8318183263071997</c:v>
                </c:pt>
                <c:pt idx="29">
                  <c:v>2.4351378857488077</c:v>
                </c:pt>
                <c:pt idx="30">
                  <c:v>-0.45787271333559287</c:v>
                </c:pt>
                <c:pt idx="31">
                  <c:v>0.56724882175460012</c:v>
                </c:pt>
                <c:pt idx="32">
                  <c:v>0.47232775791700016</c:v>
                </c:pt>
                <c:pt idx="33">
                  <c:v>-2.9380545797294239E-2</c:v>
                </c:pt>
                <c:pt idx="34">
                  <c:v>0.13034872931637551</c:v>
                </c:pt>
                <c:pt idx="35">
                  <c:v>7.6431753799216448E-2</c:v>
                </c:pt>
                <c:pt idx="36">
                  <c:v>0.15978861624508284</c:v>
                </c:pt>
                <c:pt idx="37">
                  <c:v>0.18872901032163661</c:v>
                </c:pt>
              </c:numCache>
            </c:numRef>
          </c:val>
          <c:extLst>
            <c:ext xmlns:c16="http://schemas.microsoft.com/office/drawing/2014/chart" uri="{C3380CC4-5D6E-409C-BE32-E72D297353CC}">
              <c16:uniqueId val="{00000001-6694-4590-9561-BD0750717353}"/>
            </c:ext>
          </c:extLst>
        </c:ser>
        <c:ser>
          <c:idx val="2"/>
          <c:order val="3"/>
          <c:tx>
            <c:strRef>
              <c:f>'Služby-příspěvkyk růstu-4'!$F$33</c:f>
              <c:strCache>
                <c:ptCount val="1"/>
                <c:pt idx="0">
                  <c:v>Information and communication (p.p.)</c:v>
                </c:pt>
              </c:strCache>
            </c:strRef>
          </c:tx>
          <c:spPr>
            <a:solidFill>
              <a:srgbClr val="E6E100"/>
            </a:solidFill>
            <a:ln>
              <a:noFill/>
            </a:ln>
          </c:spPr>
          <c:invertIfNegative val="0"/>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růstu-4'!$F$46:$F$84</c:f>
              <c:numCache>
                <c:formatCode>0.0</c:formatCode>
                <c:ptCount val="39"/>
                <c:pt idx="0">
                  <c:v>1.3475600006119992</c:v>
                </c:pt>
                <c:pt idx="1">
                  <c:v>0.66866302459200067</c:v>
                </c:pt>
                <c:pt idx="2">
                  <c:v>0.76957802431699907</c:v>
                </c:pt>
                <c:pt idx="3">
                  <c:v>1.4886414789369995</c:v>
                </c:pt>
                <c:pt idx="4">
                  <c:v>0.31877743705500039</c:v>
                </c:pt>
                <c:pt idx="5">
                  <c:v>0.20661529177999968</c:v>
                </c:pt>
                <c:pt idx="6">
                  <c:v>0.33414735394100048</c:v>
                </c:pt>
                <c:pt idx="7">
                  <c:v>-1.5907952160003447E-3</c:v>
                </c:pt>
                <c:pt idx="8">
                  <c:v>0.81368973776000075</c:v>
                </c:pt>
                <c:pt idx="9">
                  <c:v>0.85417546131300082</c:v>
                </c:pt>
                <c:pt idx="10">
                  <c:v>0.70502890964199894</c:v>
                </c:pt>
                <c:pt idx="11">
                  <c:v>0.57956639880599936</c:v>
                </c:pt>
                <c:pt idx="12">
                  <c:v>1.4478889516160005</c:v>
                </c:pt>
                <c:pt idx="13">
                  <c:v>0.80994689822300014</c:v>
                </c:pt>
                <c:pt idx="14">
                  <c:v>1.4688126825399994</c:v>
                </c:pt>
                <c:pt idx="15">
                  <c:v>1.086122449493</c:v>
                </c:pt>
                <c:pt idx="16">
                  <c:v>0.58941772132699954</c:v>
                </c:pt>
                <c:pt idx="17">
                  <c:v>1.4226829106699992</c:v>
                </c:pt>
                <c:pt idx="18">
                  <c:v>1.6743952337219994</c:v>
                </c:pt>
                <c:pt idx="19">
                  <c:v>0.80346819102189926</c:v>
                </c:pt>
                <c:pt idx="20">
                  <c:v>0.70778641415200061</c:v>
                </c:pt>
                <c:pt idx="21">
                  <c:v>-0.1282918788954005</c:v>
                </c:pt>
                <c:pt idx="22">
                  <c:v>-0.45078576191000025</c:v>
                </c:pt>
                <c:pt idx="23">
                  <c:v>-0.76558883395124844</c:v>
                </c:pt>
                <c:pt idx="24">
                  <c:v>0.73366723394700006</c:v>
                </c:pt>
                <c:pt idx="25">
                  <c:v>1.7207045513606583</c:v>
                </c:pt>
                <c:pt idx="26">
                  <c:v>1.7361457132958011</c:v>
                </c:pt>
                <c:pt idx="27">
                  <c:v>2.1189808181123286</c:v>
                </c:pt>
                <c:pt idx="28">
                  <c:v>1.7513568138013991</c:v>
                </c:pt>
                <c:pt idx="29">
                  <c:v>0.98399950600799913</c:v>
                </c:pt>
                <c:pt idx="30">
                  <c:v>0.77268922490967784</c:v>
                </c:pt>
                <c:pt idx="31">
                  <c:v>0.37460811931764648</c:v>
                </c:pt>
                <c:pt idx="32">
                  <c:v>0.58485544392239908</c:v>
                </c:pt>
                <c:pt idx="33">
                  <c:v>-1.1415645740895557E-2</c:v>
                </c:pt>
                <c:pt idx="34">
                  <c:v>-0.79502750900049046</c:v>
                </c:pt>
                <c:pt idx="35">
                  <c:v>-0.7938046823104834</c:v>
                </c:pt>
                <c:pt idx="36">
                  <c:v>0.10083125511494737</c:v>
                </c:pt>
                <c:pt idx="37">
                  <c:v>0.36817298322197645</c:v>
                </c:pt>
              </c:numCache>
            </c:numRef>
          </c:val>
          <c:extLst>
            <c:ext xmlns:c16="http://schemas.microsoft.com/office/drawing/2014/chart" uri="{C3380CC4-5D6E-409C-BE32-E72D297353CC}">
              <c16:uniqueId val="{00000002-6694-4590-9561-BD0750717353}"/>
            </c:ext>
          </c:extLst>
        </c:ser>
        <c:ser>
          <c:idx val="4"/>
          <c:order val="4"/>
          <c:tx>
            <c:strRef>
              <c:f>'Služby-příspěvkyk růstu-4'!$G$33</c:f>
              <c:strCache>
                <c:ptCount val="1"/>
                <c:pt idx="0">
                  <c:v>Real estate activities (p.p.)</c:v>
                </c:pt>
              </c:strCache>
            </c:strRef>
          </c:tx>
          <c:spPr>
            <a:solidFill>
              <a:schemeClr val="accent5">
                <a:lumMod val="60000"/>
                <a:lumOff val="40000"/>
              </a:schemeClr>
            </a:solidFill>
            <a:ln>
              <a:noFill/>
              <a:prstDash val="sysDash"/>
            </a:ln>
          </c:spPr>
          <c:invertIfNegative val="0"/>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růstu-4'!$G$46:$G$84</c:f>
              <c:numCache>
                <c:formatCode>0.0</c:formatCode>
                <c:ptCount val="39"/>
                <c:pt idx="0">
                  <c:v>4.746770298419966E-2</c:v>
                </c:pt>
                <c:pt idx="1">
                  <c:v>-7.1736494634002381E-3</c:v>
                </c:pt>
                <c:pt idx="2">
                  <c:v>0.12594742008660062</c:v>
                </c:pt>
                <c:pt idx="3">
                  <c:v>2.5503553016999546E-2</c:v>
                </c:pt>
                <c:pt idx="4">
                  <c:v>0.25581412202700016</c:v>
                </c:pt>
                <c:pt idx="5">
                  <c:v>-5.8871280300053285E-4</c:v>
                </c:pt>
                <c:pt idx="6">
                  <c:v>0.14820611830979977</c:v>
                </c:pt>
                <c:pt idx="7">
                  <c:v>-6.673245353100031E-2</c:v>
                </c:pt>
                <c:pt idx="8">
                  <c:v>0.21337518275449996</c:v>
                </c:pt>
                <c:pt idx="9">
                  <c:v>0.44510148149939993</c:v>
                </c:pt>
                <c:pt idx="10">
                  <c:v>-2.3161044655499695E-2</c:v>
                </c:pt>
                <c:pt idx="11">
                  <c:v>0.13973557355700003</c:v>
                </c:pt>
                <c:pt idx="12">
                  <c:v>2.4776891451000493E-2</c:v>
                </c:pt>
                <c:pt idx="13">
                  <c:v>-0.24771466350479987</c:v>
                </c:pt>
                <c:pt idx="14">
                  <c:v>-0.12634060942140016</c:v>
                </c:pt>
                <c:pt idx="15">
                  <c:v>-0.22296155792339972</c:v>
                </c:pt>
                <c:pt idx="16">
                  <c:v>-0.59230274151539974</c:v>
                </c:pt>
                <c:pt idx="17">
                  <c:v>-0.14941666489739952</c:v>
                </c:pt>
                <c:pt idx="18">
                  <c:v>0.15857003378880019</c:v>
                </c:pt>
                <c:pt idx="19">
                  <c:v>0.41231320665960003</c:v>
                </c:pt>
                <c:pt idx="20">
                  <c:v>0.43752910629419994</c:v>
                </c:pt>
                <c:pt idx="21">
                  <c:v>-0.31303453713669938</c:v>
                </c:pt>
                <c:pt idx="22">
                  <c:v>-0.26031344919999999</c:v>
                </c:pt>
                <c:pt idx="23">
                  <c:v>-0.23208025015669992</c:v>
                </c:pt>
                <c:pt idx="24">
                  <c:v>-0.20717928801940017</c:v>
                </c:pt>
                <c:pt idx="25">
                  <c:v>0.47457604296674993</c:v>
                </c:pt>
                <c:pt idx="26">
                  <c:v>-4.0996780129997036E-3</c:v>
                </c:pt>
                <c:pt idx="27">
                  <c:v>0.24096930540479963</c:v>
                </c:pt>
                <c:pt idx="28">
                  <c:v>0.94475021021679939</c:v>
                </c:pt>
                <c:pt idx="29">
                  <c:v>0.4723015234319996</c:v>
                </c:pt>
                <c:pt idx="30">
                  <c:v>0.21987990588947368</c:v>
                </c:pt>
                <c:pt idx="31">
                  <c:v>0.34935607946666636</c:v>
                </c:pt>
                <c:pt idx="32">
                  <c:v>0.14370495810719947</c:v>
                </c:pt>
                <c:pt idx="33">
                  <c:v>-0.15312531256454071</c:v>
                </c:pt>
                <c:pt idx="34">
                  <c:v>-0.26269128038412337</c:v>
                </c:pt>
                <c:pt idx="35">
                  <c:v>-0.20581433335534355</c:v>
                </c:pt>
                <c:pt idx="36">
                  <c:v>-7.6998825414431121E-2</c:v>
                </c:pt>
                <c:pt idx="37">
                  <c:v>0.16535812627071414</c:v>
                </c:pt>
              </c:numCache>
            </c:numRef>
          </c:val>
          <c:extLst>
            <c:ext xmlns:c16="http://schemas.microsoft.com/office/drawing/2014/chart" uri="{C3380CC4-5D6E-409C-BE32-E72D297353CC}">
              <c16:uniqueId val="{00000003-6694-4590-9561-BD0750717353}"/>
            </c:ext>
          </c:extLst>
        </c:ser>
        <c:ser>
          <c:idx val="5"/>
          <c:order val="5"/>
          <c:tx>
            <c:strRef>
              <c:f>'Služby-příspěvkyk růstu-4'!$H$33</c:f>
              <c:strCache>
                <c:ptCount val="1"/>
                <c:pt idx="0">
                  <c:v>Professional, scientific, technical act. (p.p.)</c:v>
                </c:pt>
              </c:strCache>
            </c:strRef>
          </c:tx>
          <c:spPr>
            <a:solidFill>
              <a:schemeClr val="accent6">
                <a:lumMod val="60000"/>
                <a:lumOff val="40000"/>
              </a:schemeClr>
            </a:solidFill>
            <a:ln>
              <a:noFill/>
            </a:ln>
          </c:spPr>
          <c:invertIfNegative val="0"/>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růstu-4'!$H$46:$H$84</c:f>
              <c:numCache>
                <c:formatCode>0.0</c:formatCode>
                <c:ptCount val="39"/>
                <c:pt idx="0">
                  <c:v>1.0880520996029996</c:v>
                </c:pt>
                <c:pt idx="1">
                  <c:v>0.74361697973999985</c:v>
                </c:pt>
                <c:pt idx="2">
                  <c:v>1.1124163133600007</c:v>
                </c:pt>
                <c:pt idx="3">
                  <c:v>-4.565689538760101E-2</c:v>
                </c:pt>
                <c:pt idx="4">
                  <c:v>-0.42777544952319951</c:v>
                </c:pt>
                <c:pt idx="5">
                  <c:v>-1.3881659651599989</c:v>
                </c:pt>
                <c:pt idx="6">
                  <c:v>3.2450629870800683E-2</c:v>
                </c:pt>
                <c:pt idx="7">
                  <c:v>-0.31316142237530059</c:v>
                </c:pt>
                <c:pt idx="8">
                  <c:v>0.97301367041999931</c:v>
                </c:pt>
                <c:pt idx="9">
                  <c:v>0.61036630698759931</c:v>
                </c:pt>
                <c:pt idx="10">
                  <c:v>0.29822562376110068</c:v>
                </c:pt>
                <c:pt idx="11">
                  <c:v>0.39661775964799895</c:v>
                </c:pt>
                <c:pt idx="12">
                  <c:v>1.0432277278803002</c:v>
                </c:pt>
                <c:pt idx="13">
                  <c:v>0.5277616084097011</c:v>
                </c:pt>
                <c:pt idx="14">
                  <c:v>0.33063617776669868</c:v>
                </c:pt>
                <c:pt idx="15">
                  <c:v>-0.3275368981885991</c:v>
                </c:pt>
                <c:pt idx="16">
                  <c:v>-0.22084952351709861</c:v>
                </c:pt>
                <c:pt idx="17">
                  <c:v>0.93052352491439916</c:v>
                </c:pt>
                <c:pt idx="18">
                  <c:v>-1.1995249704883002</c:v>
                </c:pt>
                <c:pt idx="19">
                  <c:v>0.1316248734900006</c:v>
                </c:pt>
                <c:pt idx="20">
                  <c:v>-1.2601566612770994</c:v>
                </c:pt>
                <c:pt idx="21">
                  <c:v>-3.4366386991859987</c:v>
                </c:pt>
                <c:pt idx="22">
                  <c:v>-1.7291196666688515</c:v>
                </c:pt>
                <c:pt idx="23">
                  <c:v>-1.6772597720676004</c:v>
                </c:pt>
                <c:pt idx="24">
                  <c:v>-1.8346424682827585</c:v>
                </c:pt>
                <c:pt idx="25">
                  <c:v>2.6510046263427998</c:v>
                </c:pt>
                <c:pt idx="26">
                  <c:v>1.7508962010128015</c:v>
                </c:pt>
                <c:pt idx="27">
                  <c:v>2.2400850079907202</c:v>
                </c:pt>
                <c:pt idx="28">
                  <c:v>2.2876079414759998</c:v>
                </c:pt>
                <c:pt idx="29">
                  <c:v>1.3872455323777775</c:v>
                </c:pt>
                <c:pt idx="30">
                  <c:v>0.99227591104347768</c:v>
                </c:pt>
                <c:pt idx="31">
                  <c:v>0.14393939496428487</c:v>
                </c:pt>
                <c:pt idx="32">
                  <c:v>0.81900948593429967</c:v>
                </c:pt>
                <c:pt idx="33">
                  <c:v>0.78508139570585855</c:v>
                </c:pt>
                <c:pt idx="34">
                  <c:v>0.13004879090092139</c:v>
                </c:pt>
                <c:pt idx="35">
                  <c:v>0.82734148939788288</c:v>
                </c:pt>
                <c:pt idx="36">
                  <c:v>0.36102471036532224</c:v>
                </c:pt>
                <c:pt idx="37">
                  <c:v>0.52723405192192407</c:v>
                </c:pt>
              </c:numCache>
            </c:numRef>
          </c:val>
          <c:extLst>
            <c:ext xmlns:c16="http://schemas.microsoft.com/office/drawing/2014/chart" uri="{C3380CC4-5D6E-409C-BE32-E72D297353CC}">
              <c16:uniqueId val="{00000004-6694-4590-9561-BD0750717353}"/>
            </c:ext>
          </c:extLst>
        </c:ser>
        <c:ser>
          <c:idx val="6"/>
          <c:order val="6"/>
          <c:tx>
            <c:strRef>
              <c:f>'Služby-příspěvkyk růstu-4'!$I$33</c:f>
              <c:strCache>
                <c:ptCount val="1"/>
                <c:pt idx="0">
                  <c:v>Admin., support service act.(contrib. in p.p.)</c:v>
                </c:pt>
              </c:strCache>
            </c:strRef>
          </c:tx>
          <c:spPr>
            <a:solidFill>
              <a:schemeClr val="accent1">
                <a:lumMod val="20000"/>
                <a:lumOff val="80000"/>
              </a:schemeClr>
            </a:solidFill>
            <a:ln>
              <a:noFill/>
            </a:ln>
          </c:spPr>
          <c:invertIfNegative val="0"/>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růstu-4'!$I$46:$I$84</c:f>
              <c:numCache>
                <c:formatCode>0.0</c:formatCode>
                <c:ptCount val="39"/>
                <c:pt idx="0">
                  <c:v>0.43712925900860061</c:v>
                </c:pt>
                <c:pt idx="1">
                  <c:v>0.52715289377499985</c:v>
                </c:pt>
                <c:pt idx="2">
                  <c:v>0.30410241097500013</c:v>
                </c:pt>
                <c:pt idx="3">
                  <c:v>0.36652377459450047</c:v>
                </c:pt>
                <c:pt idx="4">
                  <c:v>0.38200556495039989</c:v>
                </c:pt>
                <c:pt idx="5">
                  <c:v>5.5683904032899467E-2</c:v>
                </c:pt>
                <c:pt idx="6">
                  <c:v>0.25322776738810082</c:v>
                </c:pt>
                <c:pt idx="7">
                  <c:v>0.50752865690419957</c:v>
                </c:pt>
                <c:pt idx="8">
                  <c:v>1.2867283782210006</c:v>
                </c:pt>
                <c:pt idx="9">
                  <c:v>1.1106873038032994</c:v>
                </c:pt>
                <c:pt idx="10">
                  <c:v>0.67802933227800077</c:v>
                </c:pt>
                <c:pt idx="11">
                  <c:v>0.27967830350980011</c:v>
                </c:pt>
                <c:pt idx="12">
                  <c:v>0.54732406709499937</c:v>
                </c:pt>
                <c:pt idx="13">
                  <c:v>0.38206091352559962</c:v>
                </c:pt>
                <c:pt idx="14">
                  <c:v>0.39483194314119968</c:v>
                </c:pt>
                <c:pt idx="15">
                  <c:v>-3.3562302980400686E-2</c:v>
                </c:pt>
                <c:pt idx="16">
                  <c:v>-1.2004885543983994</c:v>
                </c:pt>
                <c:pt idx="17">
                  <c:v>0.45312965092039981</c:v>
                </c:pt>
                <c:pt idx="18">
                  <c:v>-0.39654158277710005</c:v>
                </c:pt>
                <c:pt idx="19">
                  <c:v>1.3094816479706997</c:v>
                </c:pt>
                <c:pt idx="20">
                  <c:v>-1.1435941660679998</c:v>
                </c:pt>
                <c:pt idx="21">
                  <c:v>-5.2829127749359994</c:v>
                </c:pt>
                <c:pt idx="22">
                  <c:v>-4.9399258629473684</c:v>
                </c:pt>
                <c:pt idx="23">
                  <c:v>-2.9775292557339998</c:v>
                </c:pt>
                <c:pt idx="24">
                  <c:v>-1.3823007427793008</c:v>
                </c:pt>
                <c:pt idx="25">
                  <c:v>2.2520526033025252</c:v>
                </c:pt>
                <c:pt idx="26">
                  <c:v>2.1161672980700006</c:v>
                </c:pt>
                <c:pt idx="27">
                  <c:v>1.4333424903022896</c:v>
                </c:pt>
                <c:pt idx="28">
                  <c:v>1.7137920826735484</c:v>
                </c:pt>
                <c:pt idx="29">
                  <c:v>3.1129083870827094</c:v>
                </c:pt>
                <c:pt idx="30">
                  <c:v>2.2148815412970997</c:v>
                </c:pt>
                <c:pt idx="31">
                  <c:v>0.75709334776319981</c:v>
                </c:pt>
                <c:pt idx="32">
                  <c:v>0.44529605054279975</c:v>
                </c:pt>
                <c:pt idx="33">
                  <c:v>0.17025495003951477</c:v>
                </c:pt>
                <c:pt idx="34">
                  <c:v>-0.14281883952654037</c:v>
                </c:pt>
                <c:pt idx="35">
                  <c:v>-4.456522643089033E-2</c:v>
                </c:pt>
                <c:pt idx="36">
                  <c:v>0.31595667469514804</c:v>
                </c:pt>
                <c:pt idx="37">
                  <c:v>0.12625409767933218</c:v>
                </c:pt>
              </c:numCache>
            </c:numRef>
          </c:val>
          <c:extLst>
            <c:ext xmlns:c16="http://schemas.microsoft.com/office/drawing/2014/chart" uri="{C3380CC4-5D6E-409C-BE32-E72D297353CC}">
              <c16:uniqueId val="{00000005-6694-4590-9561-BD0750717353}"/>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'Služby-příspěvkyk růstu-4'!$C$33</c:f>
              <c:strCache>
                <c:ptCount val="1"/>
                <c:pt idx="0">
                  <c:v>Total services sales (y-o-y in %)</c:v>
                </c:pt>
              </c:strCache>
            </c:strRef>
          </c:tx>
          <c:spPr>
            <a:ln>
              <a:noFill/>
            </a:ln>
          </c:spPr>
          <c:marker>
            <c:symbol val="dot"/>
            <c:size val="7"/>
            <c:spPr>
              <a:solidFill>
                <a:schemeClr val="tx1">
                  <a:lumMod val="95000"/>
                  <a:lumOff val="5000"/>
                </a:schemeClr>
              </a:solidFill>
              <a:ln>
                <a:noFill/>
              </a:ln>
            </c:spPr>
          </c:marker>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růstu-4'!$C$46:$C$84</c:f>
              <c:numCache>
                <c:formatCode>0.0</c:formatCode>
                <c:ptCount val="39"/>
                <c:pt idx="0">
                  <c:v>3.4824690008999966</c:v>
                </c:pt>
                <c:pt idx="1">
                  <c:v>2.7934385740000067</c:v>
                </c:pt>
                <c:pt idx="2">
                  <c:v>3.3397363911000042</c:v>
                </c:pt>
                <c:pt idx="3">
                  <c:v>2.4240605071999966</c:v>
                </c:pt>
                <c:pt idx="4">
                  <c:v>1.3060861837000033</c:v>
                </c:pt>
                <c:pt idx="5">
                  <c:v>-1.1913006246000037</c:v>
                </c:pt>
                <c:pt idx="6">
                  <c:v>1.5541405019999956</c:v>
                </c:pt>
                <c:pt idx="7">
                  <c:v>1.2878413721000044</c:v>
                </c:pt>
                <c:pt idx="8">
                  <c:v>5.6991785797000034</c:v>
                </c:pt>
                <c:pt idx="9">
                  <c:v>5.5722364333000058</c:v>
                </c:pt>
                <c:pt idx="10">
                  <c:v>3.3112064832999977</c:v>
                </c:pt>
                <c:pt idx="11">
                  <c:v>2.4385054390999983</c:v>
                </c:pt>
                <c:pt idx="12">
                  <c:v>4.8776432854999996</c:v>
                </c:pt>
                <c:pt idx="13">
                  <c:v>3.1428894752999952</c:v>
                </c:pt>
                <c:pt idx="14">
                  <c:v>3.5062767616000059</c:v>
                </c:pt>
                <c:pt idx="15">
                  <c:v>0.9447540274999966</c:v>
                </c:pt>
                <c:pt idx="16">
                  <c:v>-2.0638978244000015</c:v>
                </c:pt>
                <c:pt idx="17">
                  <c:v>2.0119271263999963</c:v>
                </c:pt>
                <c:pt idx="18">
                  <c:v>0.46201626920000649</c:v>
                </c:pt>
                <c:pt idx="19">
                  <c:v>3.6792793010999958</c:v>
                </c:pt>
                <c:pt idx="20">
                  <c:v>-3.7161332750000042</c:v>
                </c:pt>
                <c:pt idx="21">
                  <c:v>-20.482789201800003</c:v>
                </c:pt>
                <c:pt idx="22">
                  <c:v>-13.818107271499997</c:v>
                </c:pt>
                <c:pt idx="23">
                  <c:v>-12.693117899800001</c:v>
                </c:pt>
                <c:pt idx="24">
                  <c:v>-6.3685518294000047</c:v>
                </c:pt>
                <c:pt idx="25">
                  <c:v>14.4660676572</c:v>
                </c:pt>
                <c:pt idx="26">
                  <c:v>9.8421672174000037</c:v>
                </c:pt>
                <c:pt idx="27">
                  <c:v>12.461352598600001</c:v>
                </c:pt>
                <c:pt idx="28">
                  <c:v>13.594870620799995</c:v>
                </c:pt>
                <c:pt idx="29">
                  <c:v>12.575735670200004</c:v>
                </c:pt>
                <c:pt idx="30">
                  <c:v>6.8797127012000061</c:v>
                </c:pt>
                <c:pt idx="31">
                  <c:v>3.1500296932999987</c:v>
                </c:pt>
                <c:pt idx="32">
                  <c:v>1.5890558293999959</c:v>
                </c:pt>
                <c:pt idx="33">
                  <c:v>-1.6486020275000044</c:v>
                </c:pt>
                <c:pt idx="34">
                  <c:v>-3.8364665076999955</c:v>
                </c:pt>
                <c:pt idx="35">
                  <c:v>-2.1974840201999939</c:v>
                </c:pt>
                <c:pt idx="36">
                  <c:v>0.99656060149999348</c:v>
                </c:pt>
                <c:pt idx="37">
                  <c:v>2.5476530588999964</c:v>
                </c:pt>
              </c:numCache>
            </c:numRef>
          </c:val>
          <c:smooth val="0"/>
          <c:extLst>
            <c:ext xmlns:c16="http://schemas.microsoft.com/office/drawing/2014/chart" uri="{C3380CC4-5D6E-409C-BE32-E72D297353CC}">
              <c16:uniqueId val="{00000006-6694-4590-9561-BD0750717353}"/>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'Služby-příspěvkyk růstu-4'!$J$33</c:f>
              <c:strCache>
                <c:ptCount val="1"/>
                <c:pt idx="0">
                  <c:v>Confidence indicator in services</c:v>
                </c:pt>
              </c:strCache>
            </c:strRef>
          </c:tx>
          <c:spPr>
            <a:ln w="3175">
              <a:solidFill>
                <a:schemeClr val="bg1">
                  <a:lumMod val="50000"/>
                </a:schemeClr>
              </a:solidFill>
              <a:prstDash val="sysDot"/>
            </a:ln>
          </c:spPr>
          <c:marker>
            <c:symbol val="diamond"/>
            <c:size val="5"/>
            <c:spPr>
              <a:solidFill>
                <a:srgbClr val="FFFF00"/>
              </a:solidFill>
              <a:ln w="6350">
                <a:solidFill>
                  <a:schemeClr val="tx1">
                    <a:lumMod val="85000"/>
                    <a:lumOff val="15000"/>
                  </a:schemeClr>
                </a:solidFill>
              </a:ln>
            </c:spPr>
          </c:marker>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růstu-4'!$J$46:$J$84</c:f>
              <c:numCache>
                <c:formatCode>#\ ##0.0</c:formatCode>
                <c:ptCount val="39"/>
                <c:pt idx="0">
                  <c:v>29.7</c:v>
                </c:pt>
                <c:pt idx="1">
                  <c:v>28.7</c:v>
                </c:pt>
                <c:pt idx="2">
                  <c:v>31.3</c:v>
                </c:pt>
                <c:pt idx="3">
                  <c:v>32.700000000000003</c:v>
                </c:pt>
                <c:pt idx="4">
                  <c:v>32.299999999999997</c:v>
                </c:pt>
                <c:pt idx="5">
                  <c:v>33</c:v>
                </c:pt>
                <c:pt idx="6">
                  <c:v>33</c:v>
                </c:pt>
                <c:pt idx="7">
                  <c:v>37.700000000000003</c:v>
                </c:pt>
                <c:pt idx="8">
                  <c:v>35.299999999999997</c:v>
                </c:pt>
                <c:pt idx="9">
                  <c:v>37.700000000000003</c:v>
                </c:pt>
                <c:pt idx="10">
                  <c:v>37.299999999999997</c:v>
                </c:pt>
                <c:pt idx="11">
                  <c:v>35.700000000000003</c:v>
                </c:pt>
                <c:pt idx="12">
                  <c:v>38.299999999999997</c:v>
                </c:pt>
                <c:pt idx="13">
                  <c:v>37</c:v>
                </c:pt>
                <c:pt idx="14">
                  <c:v>38.299999999999997</c:v>
                </c:pt>
                <c:pt idx="15">
                  <c:v>40.700000000000003</c:v>
                </c:pt>
                <c:pt idx="16">
                  <c:v>39.299999999999997</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pt idx="31">
                  <c:v>21.3</c:v>
                </c:pt>
                <c:pt idx="32">
                  <c:v>24</c:v>
                </c:pt>
                <c:pt idx="33" formatCode="0.0">
                  <c:v>28</c:v>
                </c:pt>
                <c:pt idx="34" formatCode="0.0">
                  <c:v>25.7</c:v>
                </c:pt>
                <c:pt idx="35" formatCode="0.0">
                  <c:v>22.7</c:v>
                </c:pt>
                <c:pt idx="36" formatCode="0.0">
                  <c:v>21.3</c:v>
                </c:pt>
                <c:pt idx="37" formatCode="0.0">
                  <c:v>30.1</c:v>
                </c:pt>
                <c:pt idx="38" formatCode="0.0">
                  <c:v>21.7</c:v>
                </c:pt>
              </c:numCache>
            </c:numRef>
          </c:val>
          <c:smooth val="0"/>
          <c:extLst>
            <c:ext xmlns:c16="http://schemas.microsoft.com/office/drawing/2014/chart" uri="{C3380CC4-5D6E-409C-BE32-E72D297353CC}">
              <c16:uniqueId val="{00000007-6694-4590-9561-BD0750717353}"/>
            </c:ext>
          </c:extLst>
        </c:ser>
        <c:ser>
          <c:idx val="8"/>
          <c:order val="8"/>
          <c:tx>
            <c:strRef>
              <c:f>'Služby-příspěvkyk růstu-4'!$K$33</c:f>
              <c:strCache>
                <c:ptCount val="1"/>
                <c:pt idx="0">
                  <c:v>Growth barrier: inadequate demand
</c:v>
                </c:pt>
              </c:strCache>
            </c:strRef>
          </c:tx>
          <c:spPr>
            <a:ln w="15875">
              <a:solidFill>
                <a:srgbClr val="CA945E"/>
              </a:solidFill>
              <a:prstDash val="solid"/>
            </a:ln>
          </c:spPr>
          <c:marker>
            <c:symbol val="none"/>
          </c:marker>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růstu-4'!$K$46:$K$84</c:f>
              <c:numCache>
                <c:formatCode>#\ ##0.0</c:formatCode>
                <c:ptCount val="39"/>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34.799999999999997</c:v>
                </c:pt>
                <c:pt idx="25">
                  <c:v>36.799999999999997</c:v>
                </c:pt>
                <c:pt idx="26">
                  <c:v>28.9</c:v>
                </c:pt>
                <c:pt idx="27">
                  <c:v>26.3</c:v>
                </c:pt>
                <c:pt idx="28">
                  <c:v>31.6</c:v>
                </c:pt>
                <c:pt idx="29">
                  <c:v>15</c:v>
                </c:pt>
                <c:pt idx="30">
                  <c:v>30.2</c:v>
                </c:pt>
                <c:pt idx="31">
                  <c:v>17.600000000000001</c:v>
                </c:pt>
                <c:pt idx="32">
                  <c:v>25.4</c:v>
                </c:pt>
                <c:pt idx="33">
                  <c:v>19.100000000000001</c:v>
                </c:pt>
                <c:pt idx="34">
                  <c:v>26</c:v>
                </c:pt>
                <c:pt idx="35">
                  <c:v>23</c:v>
                </c:pt>
                <c:pt idx="36">
                  <c:v>18.5</c:v>
                </c:pt>
                <c:pt idx="37">
                  <c:v>19.2</c:v>
                </c:pt>
                <c:pt idx="38">
                  <c:v>17.8</c:v>
                </c:pt>
              </c:numCache>
            </c:numRef>
          </c:val>
          <c:smooth val="0"/>
          <c:extLst>
            <c:ext xmlns:c16="http://schemas.microsoft.com/office/drawing/2014/chart" uri="{C3380CC4-5D6E-409C-BE32-E72D297353CC}">
              <c16:uniqueId val="{00000008-6694-4590-9561-BD0750717353}"/>
            </c:ext>
          </c:extLst>
        </c:ser>
        <c:ser>
          <c:idx val="9"/>
          <c:order val="9"/>
          <c:tx>
            <c:strRef>
              <c:f>'Služby-příspěvkyk růstu-4'!$L$33</c:f>
              <c:strCache>
                <c:ptCount val="1"/>
                <c:pt idx="0">
                  <c:v>Growth barrier: lack of workers</c:v>
                </c:pt>
              </c:strCache>
            </c:strRef>
          </c:tx>
          <c:spPr>
            <a:ln w="15875">
              <a:solidFill>
                <a:srgbClr val="CA945E"/>
              </a:solidFill>
              <a:prstDash val="sysDash"/>
            </a:ln>
          </c:spPr>
          <c:marker>
            <c:symbol val="none"/>
          </c:marker>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růstu-4'!$L$46:$L$84</c:f>
              <c:numCache>
                <c:formatCode>#\ ##0.0</c:formatCode>
                <c:ptCount val="39"/>
                <c:pt idx="0">
                  <c:v>1.3</c:v>
                </c:pt>
                <c:pt idx="1">
                  <c:v>6</c:v>
                </c:pt>
                <c:pt idx="2">
                  <c:v>7.2</c:v>
                </c:pt>
                <c:pt idx="3">
                  <c:v>5.6</c:v>
                </c:pt>
                <c:pt idx="4">
                  <c:v>7.5</c:v>
                </c:pt>
                <c:pt idx="5">
                  <c:v>4.5</c:v>
                </c:pt>
                <c:pt idx="6">
                  <c:v>7.9</c:v>
                </c:pt>
                <c:pt idx="7">
                  <c:v>9.5</c:v>
                </c:pt>
                <c:pt idx="8">
                  <c:v>9.4</c:v>
                </c:pt>
                <c:pt idx="9">
                  <c:v>9.6999999999999993</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pt idx="31">
                  <c:v>6.6</c:v>
                </c:pt>
                <c:pt idx="32">
                  <c:v>9.3000000000000007</c:v>
                </c:pt>
                <c:pt idx="33">
                  <c:v>9.6999999999999993</c:v>
                </c:pt>
                <c:pt idx="34">
                  <c:v>9.1999999999999993</c:v>
                </c:pt>
                <c:pt idx="35">
                  <c:v>12.3</c:v>
                </c:pt>
                <c:pt idx="36">
                  <c:v>8.3000000000000007</c:v>
                </c:pt>
                <c:pt idx="37">
                  <c:v>8.1</c:v>
                </c:pt>
                <c:pt idx="38">
                  <c:v>8.3000000000000007</c:v>
                </c:pt>
              </c:numCache>
            </c:numRef>
          </c:val>
          <c:smooth val="0"/>
          <c:extLst>
            <c:ext xmlns:c16="http://schemas.microsoft.com/office/drawing/2014/chart" uri="{C3380CC4-5D6E-409C-BE32-E72D297353CC}">
              <c16:uniqueId val="{00000009-6694-4590-9561-BD0750717353}"/>
            </c:ext>
          </c:extLst>
        </c:ser>
        <c:ser>
          <c:idx val="10"/>
          <c:order val="10"/>
          <c:tx>
            <c:strRef>
              <c:f>'Služby-příspěvkyk růstu-4'!$M$33</c:f>
              <c:strCache>
                <c:ptCount val="1"/>
                <c:pt idx="0">
                  <c:v>Total sales (basis 2021 = 100, constant prices)</c:v>
                </c:pt>
              </c:strCache>
            </c:strRef>
          </c:tx>
          <c:spPr>
            <a:ln w="15875">
              <a:solidFill>
                <a:schemeClr val="tx1"/>
              </a:solidFill>
            </a:ln>
          </c:spPr>
          <c:marker>
            <c:symbol val="none"/>
          </c:marker>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růstu-4'!$M$46:$M$84</c:f>
              <c:numCache>
                <c:formatCode>0.0</c:formatCode>
                <c:ptCount val="39"/>
                <c:pt idx="0">
                  <c:v>96.573148776699995</c:v>
                </c:pt>
                <c:pt idx="1">
                  <c:v>97.567742240000001</c:v>
                </c:pt>
                <c:pt idx="2">
                  <c:v>97.872994153299999</c:v>
                </c:pt>
                <c:pt idx="3">
                  <c:v>98.145121336700001</c:v>
                </c:pt>
                <c:pt idx="4">
                  <c:v>97.141074036700005</c:v>
                </c:pt>
                <c:pt idx="5">
                  <c:v>97.220842383299996</c:v>
                </c:pt>
                <c:pt idx="6">
                  <c:v>99.043083436700002</c:v>
                </c:pt>
                <c:pt idx="7">
                  <c:v>100.26520352</c:v>
                </c:pt>
                <c:pt idx="8">
                  <c:v>101.4620500267</c:v>
                </c:pt>
                <c:pt idx="9">
                  <c:v>102.45930216329999</c:v>
                </c:pt>
                <c:pt idx="10">
                  <c:v>102.1784036567</c:v>
                </c:pt>
                <c:pt idx="11">
                  <c:v>103.2635152233</c:v>
                </c:pt>
                <c:pt idx="12">
                  <c:v>106.70430386</c:v>
                </c:pt>
                <c:pt idx="13">
                  <c:v>105.25291280330001</c:v>
                </c:pt>
                <c:pt idx="14">
                  <c:v>105.36498890670001</c:v>
                </c:pt>
                <c:pt idx="15">
                  <c:v>103.79346463</c:v>
                </c:pt>
                <c:pt idx="16">
                  <c:v>104.82319352330001</c:v>
                </c:pt>
                <c:pt idx="17">
                  <c:v>107.08876361</c:v>
                </c:pt>
                <c:pt idx="18">
                  <c:v>106.1526654733</c:v>
                </c:pt>
                <c:pt idx="19">
                  <c:v>106.10865794670001</c:v>
                </c:pt>
                <c:pt idx="20">
                  <c:v>100.92295789329999</c:v>
                </c:pt>
                <c:pt idx="21">
                  <c:v>86.568180609999999</c:v>
                </c:pt>
                <c:pt idx="22">
                  <c:v>93.956559496699995</c:v>
                </c:pt>
                <c:pt idx="23">
                  <c:v>92.2317662767</c:v>
                </c:pt>
                <c:pt idx="24">
                  <c:v>92.966990373300007</c:v>
                </c:pt>
                <c:pt idx="25">
                  <c:v>97.901564036699995</c:v>
                </c:pt>
                <c:pt idx="26">
                  <c:v>102.3460069133</c:v>
                </c:pt>
                <c:pt idx="27">
                  <c:v>104.43915443669999</c:v>
                </c:pt>
                <c:pt idx="28">
                  <c:v>106.4873451767</c:v>
                </c:pt>
                <c:pt idx="29">
                  <c:v>108.9169076267</c:v>
                </c:pt>
                <c:pt idx="30">
                  <c:v>109.4146881133</c:v>
                </c:pt>
                <c:pt idx="31">
                  <c:v>108.82818231669999</c:v>
                </c:pt>
                <c:pt idx="32">
                  <c:v>108.1950428</c:v>
                </c:pt>
                <c:pt idx="33">
                  <c:v>106.6725035633</c:v>
                </c:pt>
                <c:pt idx="34">
                  <c:v>105.7315530633</c:v>
                </c:pt>
                <c:pt idx="35">
                  <c:v>106.41732924670001</c:v>
                </c:pt>
                <c:pt idx="36">
                  <c:v>109.0194057067</c:v>
                </c:pt>
                <c:pt idx="37">
                  <c:v>109.31520073670001</c:v>
                </c:pt>
              </c:numCache>
            </c:numRef>
          </c:val>
          <c:smooth val="0"/>
          <c:extLst>
            <c:ext xmlns:c16="http://schemas.microsoft.com/office/drawing/2014/chart" uri="{C3380CC4-5D6E-409C-BE32-E72D297353CC}">
              <c16:uniqueId val="{0000000A-6694-4590-9561-BD0750717353}"/>
            </c:ext>
          </c:extLst>
        </c:ser>
        <c:ser>
          <c:idx val="11"/>
          <c:order val="11"/>
          <c:tx>
            <c:strRef>
              <c:f>'Služby-příspěvkyk růstu-4'!$N$33</c:f>
              <c:strCache>
                <c:ptCount val="1"/>
                <c:pt idx="0">
                  <c:v>Total sales (basis 2021 = 100, current prices)</c:v>
                </c:pt>
              </c:strCache>
            </c:strRef>
          </c:tx>
          <c:spPr>
            <a:ln w="15875">
              <a:solidFill>
                <a:schemeClr val="bg2">
                  <a:lumMod val="25000"/>
                </a:schemeClr>
              </a:solidFill>
              <a:prstDash val="sysDash"/>
            </a:ln>
          </c:spPr>
          <c:marker>
            <c:symbol val="none"/>
          </c:marker>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růstu-4'!$N$46:$N$84</c:f>
              <c:numCache>
                <c:formatCode>0.0</c:formatCode>
                <c:ptCount val="39"/>
                <c:pt idx="0">
                  <c:v>87.052195600000005</c:v>
                </c:pt>
                <c:pt idx="1">
                  <c:v>87.976303153299995</c:v>
                </c:pt>
                <c:pt idx="2">
                  <c:v>88.373010003299996</c:v>
                </c:pt>
                <c:pt idx="3">
                  <c:v>88.620892873299994</c:v>
                </c:pt>
                <c:pt idx="4">
                  <c:v>87.738386106700005</c:v>
                </c:pt>
                <c:pt idx="5">
                  <c:v>88.030049489999996</c:v>
                </c:pt>
                <c:pt idx="6">
                  <c:v>89.823697393299994</c:v>
                </c:pt>
                <c:pt idx="7">
                  <c:v>91.207866260000003</c:v>
                </c:pt>
                <c:pt idx="8">
                  <c:v>92.834550640000003</c:v>
                </c:pt>
                <c:pt idx="9">
                  <c:v>94.103815076700002</c:v>
                </c:pt>
                <c:pt idx="10">
                  <c:v>94.369418403300003</c:v>
                </c:pt>
                <c:pt idx="11">
                  <c:v>95.836186386700007</c:v>
                </c:pt>
                <c:pt idx="12">
                  <c:v>99.311500843299996</c:v>
                </c:pt>
                <c:pt idx="13">
                  <c:v>98.708597956700004</c:v>
                </c:pt>
                <c:pt idx="14">
                  <c:v>99.642436860000004</c:v>
                </c:pt>
                <c:pt idx="15">
                  <c:v>98.769212440000004</c:v>
                </c:pt>
                <c:pt idx="16">
                  <c:v>99.79161551</c:v>
                </c:pt>
                <c:pt idx="17">
                  <c:v>103.22613569329999</c:v>
                </c:pt>
                <c:pt idx="18">
                  <c:v>102.99220393</c:v>
                </c:pt>
                <c:pt idx="19">
                  <c:v>103.49625471</c:v>
                </c:pt>
                <c:pt idx="20">
                  <c:v>98.534612966699996</c:v>
                </c:pt>
                <c:pt idx="21">
                  <c:v>84.950969126700002</c:v>
                </c:pt>
                <c:pt idx="22">
                  <c:v>92.709010469999996</c:v>
                </c:pt>
                <c:pt idx="23">
                  <c:v>91.428986266699994</c:v>
                </c:pt>
                <c:pt idx="24">
                  <c:v>92.1837480433</c:v>
                </c:pt>
                <c:pt idx="25">
                  <c:v>97.224765536700005</c:v>
                </c:pt>
                <c:pt idx="26">
                  <c:v>102.4080264033</c:v>
                </c:pt>
                <c:pt idx="27">
                  <c:v>105.9641154633</c:v>
                </c:pt>
                <c:pt idx="28">
                  <c:v>109.9453975033</c:v>
                </c:pt>
                <c:pt idx="29">
                  <c:v>115.07792782</c:v>
                </c:pt>
                <c:pt idx="30">
                  <c:v>118.0408130567</c:v>
                </c:pt>
                <c:pt idx="31">
                  <c:v>119.39692180670001</c:v>
                </c:pt>
                <c:pt idx="32">
                  <c:v>120.8458229367</c:v>
                </c:pt>
                <c:pt idx="33">
                  <c:v>121.39399443329999</c:v>
                </c:pt>
                <c:pt idx="34">
                  <c:v>121.6144827933</c:v>
                </c:pt>
                <c:pt idx="35">
                  <c:v>123.72173741</c:v>
                </c:pt>
                <c:pt idx="36">
                  <c:v>127.2254213433</c:v>
                </c:pt>
                <c:pt idx="37">
                  <c:v>128.86596778329999</c:v>
                </c:pt>
              </c:numCache>
            </c:numRef>
          </c:val>
          <c:smooth val="0"/>
          <c:extLst>
            <c:ext xmlns:c16="http://schemas.microsoft.com/office/drawing/2014/chart" uri="{C3380CC4-5D6E-409C-BE32-E72D297353CC}">
              <c16:uniqueId val="{0000000B-6694-4590-9561-BD0750717353}"/>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a:t>Sales in services (contribution to the growth)</a:t>
                </a:r>
              </a:p>
            </c:rich>
          </c:tx>
          <c:layout>
            <c:manualLayout>
              <c:xMode val="edge"/>
              <c:yMode val="edge"/>
              <c:x val="2.7304100602926142E-3"/>
              <c:y val="8.411121926539411E-2"/>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5"/>
      </c:valAx>
      <c:valAx>
        <c:axId val="156575232"/>
        <c:scaling>
          <c:orientation val="minMax"/>
          <c:max val="15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a:t>Sales (basis 2021=100), confidence,</a:t>
                </a:r>
                <a:r>
                  <a:rPr lang="cs-CZ" sz="700" b="0" i="1" baseline="0"/>
                  <a:t> </a:t>
                </a:r>
                <a:r>
                  <a:rPr lang="cs-CZ" sz="700" b="0" i="1"/>
                  <a:t>barriers</a:t>
                </a:r>
              </a:p>
            </c:rich>
          </c:tx>
          <c:layout>
            <c:manualLayout>
              <c:xMode val="edge"/>
              <c:yMode val="edge"/>
              <c:x val="0.96709855877347395"/>
              <c:y val="0.11487359697314656"/>
            </c:manualLayout>
          </c:layout>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2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lumMod val="75000"/>
              <a:lumOff val="25000"/>
            </a:schemeClr>
          </a:solidFill>
        </a:ln>
      </c:spPr>
    </c:plotArea>
    <c:legend>
      <c:legendPos val="r"/>
      <c:layout>
        <c:manualLayout>
          <c:xMode val="edge"/>
          <c:yMode val="edge"/>
          <c:x val="2.7894149438737266E-3"/>
          <c:y val="0.80683901693256121"/>
          <c:w val="0.99229354112783008"/>
          <c:h val="0.18952404020147029"/>
        </c:manualLayout>
      </c:layout>
      <c:overlay val="0"/>
      <c:spPr>
        <a:ln w="6350">
          <a:solidFill>
            <a:schemeClr val="tx1"/>
          </a:solidFill>
        </a:ln>
      </c:spPr>
      <c:txPr>
        <a:bodyPr/>
        <a:lstStyle/>
        <a:p>
          <a:pPr>
            <a:defRPr sz="70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61666861125732E-2"/>
          <c:y val="1.5803328678987455E-2"/>
          <c:w val="0.85878628700879256"/>
          <c:h val="0.73450542783153383"/>
        </c:manualLayout>
      </c:layout>
      <c:barChart>
        <c:barDir val="col"/>
        <c:grouping val="stacked"/>
        <c:varyColors val="0"/>
        <c:ser>
          <c:idx val="0"/>
          <c:order val="1"/>
          <c:tx>
            <c:strRef>
              <c:f>'výkonnost odvětví 5a'!$E$66</c:f>
              <c:strCache>
                <c:ptCount val="1"/>
                <c:pt idx="0">
                  <c:v>Retail with food (contribution in p.p.)</c:v>
                </c:pt>
              </c:strCache>
            </c:strRef>
          </c:tx>
          <c:spPr>
            <a:solidFill>
              <a:srgbClr val="92D050"/>
            </a:solidFill>
            <a:ln w="15875">
              <a:noFill/>
            </a:ln>
          </c:spPr>
          <c:invertIfNegative val="0"/>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5a'!$E$67:$E$105</c:f>
              <c:numCache>
                <c:formatCode>#\ ##0.0</c:formatCode>
                <c:ptCount val="39"/>
                <c:pt idx="0">
                  <c:v>1.7523817972228575</c:v>
                </c:pt>
                <c:pt idx="1">
                  <c:v>1.1495538604575486</c:v>
                </c:pt>
                <c:pt idx="2">
                  <c:v>1.851654245012579</c:v>
                </c:pt>
                <c:pt idx="3">
                  <c:v>1.4230053336458297</c:v>
                </c:pt>
                <c:pt idx="4">
                  <c:v>1.7335386338403211</c:v>
                </c:pt>
                <c:pt idx="5">
                  <c:v>1.4057978539692639</c:v>
                </c:pt>
                <c:pt idx="6">
                  <c:v>1.0226992305466713</c:v>
                </c:pt>
                <c:pt idx="7">
                  <c:v>-4.5727948098357493E-2</c:v>
                </c:pt>
                <c:pt idx="8">
                  <c:v>0.76530947894932633</c:v>
                </c:pt>
                <c:pt idx="9">
                  <c:v>1.3628557482991555</c:v>
                </c:pt>
                <c:pt idx="10">
                  <c:v>1.1031113273196382</c:v>
                </c:pt>
                <c:pt idx="11">
                  <c:v>0.92620191285996878</c:v>
                </c:pt>
                <c:pt idx="12">
                  <c:v>1.4716867951941146</c:v>
                </c:pt>
                <c:pt idx="13">
                  <c:v>0.53065594307662001</c:v>
                </c:pt>
                <c:pt idx="14">
                  <c:v>0.93178458575098189</c:v>
                </c:pt>
                <c:pt idx="15">
                  <c:v>0.38805043936963324</c:v>
                </c:pt>
                <c:pt idx="16">
                  <c:v>-0.29388750825225862</c:v>
                </c:pt>
                <c:pt idx="17">
                  <c:v>1.4252855332899248</c:v>
                </c:pt>
                <c:pt idx="18">
                  <c:v>0.13007735319413302</c:v>
                </c:pt>
                <c:pt idx="19">
                  <c:v>1.4154025710079869</c:v>
                </c:pt>
                <c:pt idx="20">
                  <c:v>0.68707923703683382</c:v>
                </c:pt>
                <c:pt idx="21">
                  <c:v>-1.8614966729136802</c:v>
                </c:pt>
                <c:pt idx="22">
                  <c:v>-0.64766112448952962</c:v>
                </c:pt>
                <c:pt idx="23">
                  <c:v>-0.28286695735560252</c:v>
                </c:pt>
                <c:pt idx="24">
                  <c:v>-0.60033878493335169</c:v>
                </c:pt>
                <c:pt idx="25">
                  <c:v>0.49712996078350541</c:v>
                </c:pt>
                <c:pt idx="26">
                  <c:v>-0.28841482525274181</c:v>
                </c:pt>
                <c:pt idx="27">
                  <c:v>-9.977915000883754E-5</c:v>
                </c:pt>
                <c:pt idx="28">
                  <c:v>-5.6711556096241109E-2</c:v>
                </c:pt>
                <c:pt idx="29">
                  <c:v>-1.1162419066567921</c:v>
                </c:pt>
                <c:pt idx="30">
                  <c:v>-2.2908717718466018</c:v>
                </c:pt>
                <c:pt idx="31">
                  <c:v>-3.2435027623872776</c:v>
                </c:pt>
                <c:pt idx="32">
                  <c:v>-3.1069199645328642</c:v>
                </c:pt>
                <c:pt idx="33">
                  <c:v>-2.8480975877934389</c:v>
                </c:pt>
                <c:pt idx="34">
                  <c:v>-1.6900123846165827</c:v>
                </c:pt>
                <c:pt idx="35">
                  <c:v>-0.73229022215427264</c:v>
                </c:pt>
                <c:pt idx="36">
                  <c:v>0.9024483910307598</c:v>
                </c:pt>
                <c:pt idx="37">
                  <c:v>1.1520280651660322</c:v>
                </c:pt>
              </c:numCache>
            </c:numRef>
          </c:val>
          <c:extLst>
            <c:ext xmlns:c16="http://schemas.microsoft.com/office/drawing/2014/chart" uri="{C3380CC4-5D6E-409C-BE32-E72D297353CC}">
              <c16:uniqueId val="{00000000-7A32-4D91-8CFD-1E54202EB742}"/>
            </c:ext>
          </c:extLst>
        </c:ser>
        <c:ser>
          <c:idx val="1"/>
          <c:order val="2"/>
          <c:tx>
            <c:strRef>
              <c:f>'výkonnost odvětví 5a'!$F$66</c:f>
              <c:strCache>
                <c:ptCount val="1"/>
                <c:pt idx="0">
                  <c:v>Retail with non-food goods (contribution)</c:v>
                </c:pt>
              </c:strCache>
            </c:strRef>
          </c:tx>
          <c:spPr>
            <a:solidFill>
              <a:schemeClr val="accent1">
                <a:lumMod val="40000"/>
                <a:lumOff val="60000"/>
              </a:schemeClr>
            </a:solidFill>
            <a:ln w="15875">
              <a:noFill/>
            </a:ln>
          </c:spPr>
          <c:invertIfNegative val="0"/>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5a'!$F$67:$F$105</c:f>
              <c:numCache>
                <c:formatCode>#\ ##0.0</c:formatCode>
                <c:ptCount val="39"/>
                <c:pt idx="0">
                  <c:v>3.196375922725744</c:v>
                </c:pt>
                <c:pt idx="1">
                  <c:v>3.8741896087490026</c:v>
                </c:pt>
                <c:pt idx="2">
                  <c:v>2.6728850705219784</c:v>
                </c:pt>
                <c:pt idx="3">
                  <c:v>3.6626826182851304</c:v>
                </c:pt>
                <c:pt idx="4">
                  <c:v>2.7862532923580798</c:v>
                </c:pt>
                <c:pt idx="5">
                  <c:v>2.5540667218407971</c:v>
                </c:pt>
                <c:pt idx="6">
                  <c:v>3.2508787600372759</c:v>
                </c:pt>
                <c:pt idx="7">
                  <c:v>3.4435667776451586</c:v>
                </c:pt>
                <c:pt idx="8">
                  <c:v>4.1783561564843161</c:v>
                </c:pt>
                <c:pt idx="9">
                  <c:v>4.4153226755500015</c:v>
                </c:pt>
                <c:pt idx="10">
                  <c:v>4.0607561596078439</c:v>
                </c:pt>
                <c:pt idx="11">
                  <c:v>4.5695527698288956</c:v>
                </c:pt>
                <c:pt idx="12">
                  <c:v>3.963036260303999</c:v>
                </c:pt>
                <c:pt idx="13">
                  <c:v>3.3542121185564358</c:v>
                </c:pt>
                <c:pt idx="14">
                  <c:v>2.577047135089233</c:v>
                </c:pt>
                <c:pt idx="15">
                  <c:v>3.7162196737466258</c:v>
                </c:pt>
                <c:pt idx="16">
                  <c:v>1.303288764236783</c:v>
                </c:pt>
                <c:pt idx="17">
                  <c:v>2.4531469805048736</c:v>
                </c:pt>
                <c:pt idx="18">
                  <c:v>4.2934983663490245</c:v>
                </c:pt>
                <c:pt idx="19">
                  <c:v>5.6709230985066315</c:v>
                </c:pt>
                <c:pt idx="20">
                  <c:v>-5.7511622856734265E-2</c:v>
                </c:pt>
                <c:pt idx="21">
                  <c:v>-0.33300612932107432</c:v>
                </c:pt>
                <c:pt idx="22">
                  <c:v>1.4198268570219985</c:v>
                </c:pt>
                <c:pt idx="23">
                  <c:v>-1.8469460892868841</c:v>
                </c:pt>
                <c:pt idx="24">
                  <c:v>0.21061776675534943</c:v>
                </c:pt>
                <c:pt idx="25">
                  <c:v>5.5790183869169416</c:v>
                </c:pt>
                <c:pt idx="26">
                  <c:v>3.6250811084712713</c:v>
                </c:pt>
                <c:pt idx="27">
                  <c:v>5.6715980375015249</c:v>
                </c:pt>
                <c:pt idx="28">
                  <c:v>5.9931517097170435</c:v>
                </c:pt>
                <c:pt idx="29">
                  <c:v>-0.95178371016794128</c:v>
                </c:pt>
                <c:pt idx="30">
                  <c:v>-3.9413147620950633</c:v>
                </c:pt>
                <c:pt idx="31">
                  <c:v>-5.6408012480799696</c:v>
                </c:pt>
                <c:pt idx="32">
                  <c:v>-4.7805101815133124</c:v>
                </c:pt>
                <c:pt idx="33">
                  <c:v>-4.4948044033014938</c:v>
                </c:pt>
                <c:pt idx="34">
                  <c:v>-2.4601141627556746</c:v>
                </c:pt>
                <c:pt idx="35">
                  <c:v>0.4539192379309796</c:v>
                </c:pt>
                <c:pt idx="36">
                  <c:v>2.5293406235329501</c:v>
                </c:pt>
                <c:pt idx="37">
                  <c:v>2.6534593118189482</c:v>
                </c:pt>
              </c:numCache>
            </c:numRef>
          </c:val>
          <c:extLst>
            <c:ext xmlns:c16="http://schemas.microsoft.com/office/drawing/2014/chart" uri="{C3380CC4-5D6E-409C-BE32-E72D297353CC}">
              <c16:uniqueId val="{00000001-7A32-4D91-8CFD-1E54202EB742}"/>
            </c:ext>
          </c:extLst>
        </c:ser>
        <c:ser>
          <c:idx val="4"/>
          <c:order val="3"/>
          <c:tx>
            <c:strRef>
              <c:f>'výkonnost odvětví 5a'!$G$66</c:f>
              <c:strCache>
                <c:ptCount val="1"/>
                <c:pt idx="0">
                  <c:v>Retail sale of fuels (contribution in p.p.)</c:v>
                </c:pt>
              </c:strCache>
            </c:strRef>
          </c:tx>
          <c:spPr>
            <a:solidFill>
              <a:schemeClr val="accent6">
                <a:lumMod val="40000"/>
                <a:lumOff val="60000"/>
              </a:schemeClr>
            </a:solidFill>
            <a:ln w="15875">
              <a:noFill/>
            </a:ln>
          </c:spPr>
          <c:invertIfNegative val="0"/>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5a'!$G$67:$G$105</c:f>
              <c:numCache>
                <c:formatCode>#\ ##0.0</c:formatCode>
                <c:ptCount val="39"/>
                <c:pt idx="0">
                  <c:v>0.75440023430656378</c:v>
                </c:pt>
                <c:pt idx="1">
                  <c:v>0.588112843666875</c:v>
                </c:pt>
                <c:pt idx="2">
                  <c:v>0.78402402568450724</c:v>
                </c:pt>
                <c:pt idx="3">
                  <c:v>0.94331728244946667</c:v>
                </c:pt>
                <c:pt idx="4">
                  <c:v>0.6744248436917698</c:v>
                </c:pt>
                <c:pt idx="5">
                  <c:v>0.72348584188138532</c:v>
                </c:pt>
                <c:pt idx="6">
                  <c:v>0.62302098548854723</c:v>
                </c:pt>
                <c:pt idx="7">
                  <c:v>0.62533415443375595</c:v>
                </c:pt>
                <c:pt idx="8">
                  <c:v>0.54805568528260806</c:v>
                </c:pt>
                <c:pt idx="9">
                  <c:v>0.75356148860252614</c:v>
                </c:pt>
                <c:pt idx="10">
                  <c:v>0.84316485479481218</c:v>
                </c:pt>
                <c:pt idx="11">
                  <c:v>0.68534345825768528</c:v>
                </c:pt>
                <c:pt idx="12">
                  <c:v>0.66536323714663226</c:v>
                </c:pt>
                <c:pt idx="13">
                  <c:v>0.59516252422904425</c:v>
                </c:pt>
                <c:pt idx="14">
                  <c:v>0.3739332000264744</c:v>
                </c:pt>
                <c:pt idx="15">
                  <c:v>0.43257407692417521</c:v>
                </c:pt>
                <c:pt idx="16">
                  <c:v>0.17809135629917194</c:v>
                </c:pt>
                <c:pt idx="17">
                  <c:v>0.36908315571938399</c:v>
                </c:pt>
                <c:pt idx="18">
                  <c:v>0.27107333589466731</c:v>
                </c:pt>
                <c:pt idx="19">
                  <c:v>0.19660561540526125</c:v>
                </c:pt>
                <c:pt idx="20">
                  <c:v>-0.75718611502805722</c:v>
                </c:pt>
                <c:pt idx="21">
                  <c:v>-1.9736345702533769</c:v>
                </c:pt>
                <c:pt idx="22">
                  <c:v>8.4968496843834063E-2</c:v>
                </c:pt>
                <c:pt idx="23">
                  <c:v>-1.074545645994486</c:v>
                </c:pt>
                <c:pt idx="24">
                  <c:v>-0.67665927913906165</c:v>
                </c:pt>
                <c:pt idx="25">
                  <c:v>1.0671080837237854</c:v>
                </c:pt>
                <c:pt idx="26">
                  <c:v>0.37022446710666651</c:v>
                </c:pt>
                <c:pt idx="27">
                  <c:v>0.92331122739333127</c:v>
                </c:pt>
                <c:pt idx="28">
                  <c:v>1.2434054262022374</c:v>
                </c:pt>
                <c:pt idx="29">
                  <c:v>-0.71068102285792556</c:v>
                </c:pt>
                <c:pt idx="30">
                  <c:v>-1.4490861674970055</c:v>
                </c:pt>
                <c:pt idx="31">
                  <c:v>-0.43043185301112769</c:v>
                </c:pt>
                <c:pt idx="32">
                  <c:v>9.4544918290108332E-2</c:v>
                </c:pt>
                <c:pt idx="33">
                  <c:v>1.0477315332444843</c:v>
                </c:pt>
                <c:pt idx="34">
                  <c:v>1.0254379867952947</c:v>
                </c:pt>
                <c:pt idx="35">
                  <c:v>0.21063329288941432</c:v>
                </c:pt>
                <c:pt idx="36">
                  <c:v>0.48660186345901507</c:v>
                </c:pt>
                <c:pt idx="37">
                  <c:v>0.2819882960001644</c:v>
                </c:pt>
              </c:numCache>
            </c:numRef>
          </c:val>
          <c:extLst>
            <c:ext xmlns:c16="http://schemas.microsoft.com/office/drawing/2014/chart" uri="{C3380CC4-5D6E-409C-BE32-E72D297353CC}">
              <c16:uniqueId val="{00000002-7A32-4D91-8CFD-1E54202EB742}"/>
            </c:ext>
          </c:extLst>
        </c:ser>
        <c:dLbls>
          <c:showLegendKey val="0"/>
          <c:showVal val="0"/>
          <c:showCatName val="0"/>
          <c:showSerName val="0"/>
          <c:showPercent val="0"/>
          <c:showBubbleSize val="0"/>
        </c:dLbls>
        <c:gapWidth val="31"/>
        <c:overlap val="100"/>
        <c:axId val="156100864"/>
        <c:axId val="156573696"/>
      </c:barChart>
      <c:lineChart>
        <c:grouping val="standard"/>
        <c:varyColors val="0"/>
        <c:ser>
          <c:idx val="3"/>
          <c:order val="0"/>
          <c:tx>
            <c:strRef>
              <c:f>'výkonnost odvětví 5a'!$D$66</c:f>
              <c:strCache>
                <c:ptCount val="1"/>
                <c:pt idx="0">
                  <c:v>Total retail sales (y-o-y change)</c:v>
                </c:pt>
              </c:strCache>
            </c:strRef>
          </c:tx>
          <c:spPr>
            <a:ln>
              <a:noFill/>
            </a:ln>
          </c:spPr>
          <c:marker>
            <c:symbol val="dash"/>
            <c:size val="7"/>
            <c:spPr>
              <a:solidFill>
                <a:schemeClr val="tx1">
                  <a:lumMod val="85000"/>
                  <a:lumOff val="15000"/>
                </a:schemeClr>
              </a:solidFill>
              <a:ln w="6350">
                <a:noFill/>
              </a:ln>
            </c:spPr>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5a'!$D$67:$D$105</c:f>
              <c:numCache>
                <c:formatCode>#\ ##0.0</c:formatCode>
                <c:ptCount val="39"/>
                <c:pt idx="0">
                  <c:v>5.5650157121000063</c:v>
                </c:pt>
                <c:pt idx="1">
                  <c:v>5.3140316102000043</c:v>
                </c:pt>
                <c:pt idx="2">
                  <c:v>5.261668949500006</c:v>
                </c:pt>
                <c:pt idx="3">
                  <c:v>5.8260167462999988</c:v>
                </c:pt>
                <c:pt idx="4">
                  <c:v>5.1163484119999936</c:v>
                </c:pt>
                <c:pt idx="5">
                  <c:v>4.584747701699996</c:v>
                </c:pt>
                <c:pt idx="6">
                  <c:v>4.6478731618999944</c:v>
                </c:pt>
                <c:pt idx="7">
                  <c:v>3.5966109598000031</c:v>
                </c:pt>
                <c:pt idx="8">
                  <c:v>5.068305469799995</c:v>
                </c:pt>
                <c:pt idx="9">
                  <c:v>6.2034114922000043</c:v>
                </c:pt>
                <c:pt idx="10">
                  <c:v>5.6856724027999945</c:v>
                </c:pt>
                <c:pt idx="11">
                  <c:v>5.8244576314999961</c:v>
                </c:pt>
                <c:pt idx="12">
                  <c:v>5.9658330699000004</c:v>
                </c:pt>
                <c:pt idx="13">
                  <c:v>4.3854129643000022</c:v>
                </c:pt>
                <c:pt idx="14">
                  <c:v>3.8380531616000013</c:v>
                </c:pt>
                <c:pt idx="15">
                  <c:v>4.3570454750999943</c:v>
                </c:pt>
                <c:pt idx="16">
                  <c:v>1.1052891966999994</c:v>
                </c:pt>
                <c:pt idx="17">
                  <c:v>4.2167027101999963</c:v>
                </c:pt>
                <c:pt idx="18">
                  <c:v>4.5117376484000005</c:v>
                </c:pt>
                <c:pt idx="19">
                  <c:v>7.2113533302999997</c:v>
                </c:pt>
                <c:pt idx="20">
                  <c:v>-0.15887647600000321</c:v>
                </c:pt>
                <c:pt idx="21">
                  <c:v>-4.2817243594000018</c:v>
                </c:pt>
                <c:pt idx="22">
                  <c:v>0.81643935670000189</c:v>
                </c:pt>
                <c:pt idx="23">
                  <c:v>-3.1393056612999999</c:v>
                </c:pt>
                <c:pt idx="24">
                  <c:v>-1.1384093231000065</c:v>
                </c:pt>
                <c:pt idx="25">
                  <c:v>6.9739251980000034</c:v>
                </c:pt>
                <c:pt idx="26">
                  <c:v>3.5937810851000052</c:v>
                </c:pt>
                <c:pt idx="27">
                  <c:v>6.4920651895999981</c:v>
                </c:pt>
                <c:pt idx="28">
                  <c:v>6.7799917831000016</c:v>
                </c:pt>
                <c:pt idx="29">
                  <c:v>-2.8189026159000008</c:v>
                </c:pt>
                <c:pt idx="30">
                  <c:v>-7.6592009641999965</c:v>
                </c:pt>
                <c:pt idx="31">
                  <c:v>-9.312711092699999</c:v>
                </c:pt>
                <c:pt idx="32">
                  <c:v>-7.7748293415999967</c:v>
                </c:pt>
                <c:pt idx="33">
                  <c:v>-6.2743864577000039</c:v>
                </c:pt>
                <c:pt idx="34">
                  <c:v>-3.1403313782000026</c:v>
                </c:pt>
                <c:pt idx="35">
                  <c:v>-0.13130787670000643</c:v>
                </c:pt>
                <c:pt idx="36">
                  <c:v>3.9222185420999978</c:v>
                </c:pt>
                <c:pt idx="37">
                  <c:v>4.0879311621000056</c:v>
                </c:pt>
              </c:numCache>
            </c:numRef>
          </c:val>
          <c:smooth val="0"/>
          <c:extLst>
            <c:ext xmlns:c16="http://schemas.microsoft.com/office/drawing/2014/chart" uri="{C3380CC4-5D6E-409C-BE32-E72D297353CC}">
              <c16:uniqueId val="{00000003-7A32-4D91-8CFD-1E54202EB742}"/>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5"/>
          <c:order val="4"/>
          <c:tx>
            <c:strRef>
              <c:f>'výkonnost odvětví 5a'!$H$66</c:f>
              <c:strCache>
                <c:ptCount val="1"/>
                <c:pt idx="0">
                  <c:v>Retail, without motor. segment (2021=100)</c:v>
                </c:pt>
              </c:strCache>
            </c:strRef>
          </c:tx>
          <c:spPr>
            <a:ln w="15875">
              <a:solidFill>
                <a:schemeClr val="tx1">
                  <a:lumMod val="95000"/>
                  <a:lumOff val="5000"/>
                </a:schemeClr>
              </a:solidFill>
              <a:prstDash val="solid"/>
            </a:ln>
          </c:spPr>
          <c:marker>
            <c:symbol val="none"/>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5a'!$H$67:$H$105</c:f>
              <c:numCache>
                <c:formatCode>#\ ##0.0</c:formatCode>
                <c:ptCount val="39"/>
                <c:pt idx="0">
                  <c:v>79.387619700000002</c:v>
                </c:pt>
                <c:pt idx="1">
                  <c:v>80.3062253433</c:v>
                </c:pt>
                <c:pt idx="2">
                  <c:v>81.199263806700003</c:v>
                </c:pt>
                <c:pt idx="3">
                  <c:v>82.829916143299997</c:v>
                </c:pt>
                <c:pt idx="4">
                  <c:v>83.359185409999995</c:v>
                </c:pt>
                <c:pt idx="5">
                  <c:v>84.084432476700002</c:v>
                </c:pt>
                <c:pt idx="6">
                  <c:v>85.181352770000004</c:v>
                </c:pt>
                <c:pt idx="7">
                  <c:v>85.88258064</c:v>
                </c:pt>
                <c:pt idx="8">
                  <c:v>87.4984558867</c:v>
                </c:pt>
                <c:pt idx="9">
                  <c:v>89.139402750000002</c:v>
                </c:pt>
                <c:pt idx="10">
                  <c:v>90.153519266700002</c:v>
                </c:pt>
                <c:pt idx="11">
                  <c:v>90.503926663300007</c:v>
                </c:pt>
                <c:pt idx="12">
                  <c:v>93.105140056699994</c:v>
                </c:pt>
                <c:pt idx="13">
                  <c:v>93.1742804167</c:v>
                </c:pt>
                <c:pt idx="14">
                  <c:v>93.514300739999996</c:v>
                </c:pt>
                <c:pt idx="15">
                  <c:v>93.457195813300004</c:v>
                </c:pt>
                <c:pt idx="16">
                  <c:v>95.080488453300006</c:v>
                </c:pt>
                <c:pt idx="17">
                  <c:v>97.775211506700003</c:v>
                </c:pt>
                <c:pt idx="18">
                  <c:v>97.432309173299998</c:v>
                </c:pt>
                <c:pt idx="19">
                  <c:v>98.591741543300003</c:v>
                </c:pt>
                <c:pt idx="20">
                  <c:v>95.1745252467</c:v>
                </c:pt>
                <c:pt idx="21">
                  <c:v>94.2238113433</c:v>
                </c:pt>
                <c:pt idx="22">
                  <c:v>98.2489351567</c:v>
                </c:pt>
                <c:pt idx="23">
                  <c:v>95.276546670000002</c:v>
                </c:pt>
                <c:pt idx="24">
                  <c:v>93.076317346699994</c:v>
                </c:pt>
                <c:pt idx="25">
                  <c:v>100.66433415</c:v>
                </c:pt>
                <c:pt idx="26">
                  <c:v>102.05985717999999</c:v>
                </c:pt>
                <c:pt idx="27">
                  <c:v>101.6139221567</c:v>
                </c:pt>
                <c:pt idx="28">
                  <c:v>99.638154589999999</c:v>
                </c:pt>
                <c:pt idx="29">
                  <c:v>97.802940696700006</c:v>
                </c:pt>
                <c:pt idx="30">
                  <c:v>94.917986709999994</c:v>
                </c:pt>
                <c:pt idx="31">
                  <c:v>92.89213298</c:v>
                </c:pt>
                <c:pt idx="32">
                  <c:v>91.694583440000002</c:v>
                </c:pt>
                <c:pt idx="33">
                  <c:v>91.377215559999996</c:v>
                </c:pt>
                <c:pt idx="34">
                  <c:v>91.869396443300005</c:v>
                </c:pt>
                <c:pt idx="35">
                  <c:v>92.917869030000006</c:v>
                </c:pt>
                <c:pt idx="36">
                  <c:v>94.753828569999996</c:v>
                </c:pt>
                <c:pt idx="37">
                  <c:v>95.278478316700003</c:v>
                </c:pt>
              </c:numCache>
            </c:numRef>
          </c:val>
          <c:smooth val="0"/>
          <c:extLst>
            <c:ext xmlns:c16="http://schemas.microsoft.com/office/drawing/2014/chart" uri="{C3380CC4-5D6E-409C-BE32-E72D297353CC}">
              <c16:uniqueId val="{00000004-7A32-4D91-8CFD-1E54202EB742}"/>
            </c:ext>
          </c:extLst>
        </c:ser>
        <c:ser>
          <c:idx val="2"/>
          <c:order val="5"/>
          <c:tx>
            <c:strRef>
              <c:f>'výkonnost odvětví 5a'!$I$66</c:f>
              <c:strCache>
                <c:ptCount val="1"/>
                <c:pt idx="0">
                  <c:v>In that: Retail sale of fuels (2021=100)</c:v>
                </c:pt>
              </c:strCache>
            </c:strRef>
          </c:tx>
          <c:spPr>
            <a:ln w="15875">
              <a:solidFill>
                <a:schemeClr val="bg2">
                  <a:lumMod val="50000"/>
                </a:schemeClr>
              </a:solidFill>
              <a:prstDash val="sysDash"/>
            </a:ln>
          </c:spPr>
          <c:marker>
            <c:symbol val="none"/>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5a'!$I$67:$I$105</c:f>
              <c:numCache>
                <c:formatCode>#\ ##0.0</c:formatCode>
                <c:ptCount val="39"/>
                <c:pt idx="0">
                  <c:v>86.524761636700006</c:v>
                </c:pt>
                <c:pt idx="1">
                  <c:v>87.411957833299994</c:v>
                </c:pt>
                <c:pt idx="2">
                  <c:v>89.056815003300002</c:v>
                </c:pt>
                <c:pt idx="3">
                  <c:v>90.635829810000004</c:v>
                </c:pt>
                <c:pt idx="4">
                  <c:v>91.354174043300006</c:v>
                </c:pt>
                <c:pt idx="5">
                  <c:v>92.452717846699997</c:v>
                </c:pt>
                <c:pt idx="6">
                  <c:v>93.451031206699994</c:v>
                </c:pt>
                <c:pt idx="7">
                  <c:v>94.790568546700001</c:v>
                </c:pt>
                <c:pt idx="8">
                  <c:v>96.066324203299999</c:v>
                </c:pt>
                <c:pt idx="9">
                  <c:v>97.673183713300006</c:v>
                </c:pt>
                <c:pt idx="10">
                  <c:v>99.237647573299995</c:v>
                </c:pt>
                <c:pt idx="11">
                  <c:v>100.2896053067</c:v>
                </c:pt>
                <c:pt idx="12">
                  <c:v>101.9259088133</c:v>
                </c:pt>
                <c:pt idx="13">
                  <c:v>102.3498273733</c:v>
                </c:pt>
                <c:pt idx="14">
                  <c:v>102.00124114330001</c:v>
                </c:pt>
                <c:pt idx="15">
                  <c:v>101.92222832669999</c:v>
                </c:pt>
                <c:pt idx="16">
                  <c:v>105.52141971330001</c:v>
                </c:pt>
                <c:pt idx="17">
                  <c:v>106.7492027433</c:v>
                </c:pt>
                <c:pt idx="18">
                  <c:v>102.2677534367</c:v>
                </c:pt>
                <c:pt idx="19">
                  <c:v>102.38734820329999</c:v>
                </c:pt>
                <c:pt idx="20">
                  <c:v>101.74032914999999</c:v>
                </c:pt>
                <c:pt idx="21">
                  <c:v>89.521872973300006</c:v>
                </c:pt>
                <c:pt idx="22">
                  <c:v>98.536132409999993</c:v>
                </c:pt>
                <c:pt idx="23">
                  <c:v>92.227044199999995</c:v>
                </c:pt>
                <c:pt idx="24">
                  <c:v>96.287305136699999</c:v>
                </c:pt>
                <c:pt idx="25">
                  <c:v>101.03971613</c:v>
                </c:pt>
                <c:pt idx="26">
                  <c:v>102.22329256</c:v>
                </c:pt>
                <c:pt idx="27">
                  <c:v>100.1426089</c:v>
                </c:pt>
                <c:pt idx="28">
                  <c:v>100.58917854000001</c:v>
                </c:pt>
                <c:pt idx="29">
                  <c:v>95.983108229999999</c:v>
                </c:pt>
                <c:pt idx="30">
                  <c:v>95.300045433299999</c:v>
                </c:pt>
                <c:pt idx="31">
                  <c:v>98.043376423300003</c:v>
                </c:pt>
                <c:pt idx="32">
                  <c:v>99.132593883300004</c:v>
                </c:pt>
                <c:pt idx="33">
                  <c:v>101.8449042567</c:v>
                </c:pt>
                <c:pt idx="34">
                  <c:v>102.91251943330001</c:v>
                </c:pt>
                <c:pt idx="35">
                  <c:v>102.55646294330001</c:v>
                </c:pt>
                <c:pt idx="36">
                  <c:v>103.51260135</c:v>
                </c:pt>
                <c:pt idx="37">
                  <c:v>103.65230502</c:v>
                </c:pt>
              </c:numCache>
            </c:numRef>
          </c:val>
          <c:smooth val="0"/>
          <c:extLst>
            <c:ext xmlns:c16="http://schemas.microsoft.com/office/drawing/2014/chart" uri="{C3380CC4-5D6E-409C-BE32-E72D297353CC}">
              <c16:uniqueId val="{00000005-7A32-4D91-8CFD-1E54202EB742}"/>
            </c:ext>
          </c:extLst>
        </c:ser>
        <c:ser>
          <c:idx val="6"/>
          <c:order val="6"/>
          <c:tx>
            <c:strRef>
              <c:f>'výkonnost odvětví 5a'!$J$66</c:f>
              <c:strCache>
                <c:ptCount val="1"/>
                <c:pt idx="0">
                  <c:v>Sale, repair of motor vehicles (2021=100)</c:v>
                </c:pt>
              </c:strCache>
            </c:strRef>
          </c:tx>
          <c:spPr>
            <a:ln w="15875">
              <a:solidFill>
                <a:srgbClr val="984807"/>
              </a:solidFill>
              <a:prstDash val="solid"/>
            </a:ln>
          </c:spPr>
          <c:marker>
            <c:symbol val="none"/>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5a'!$J$67:$J$105</c:f>
              <c:numCache>
                <c:formatCode>#\ ##0.0</c:formatCode>
                <c:ptCount val="39"/>
                <c:pt idx="0">
                  <c:v>94.876410473299998</c:v>
                </c:pt>
                <c:pt idx="1">
                  <c:v>97.695799643300006</c:v>
                </c:pt>
                <c:pt idx="2">
                  <c:v>100.06974644669999</c:v>
                </c:pt>
                <c:pt idx="3">
                  <c:v>102.95079615</c:v>
                </c:pt>
                <c:pt idx="4">
                  <c:v>104.2505530033</c:v>
                </c:pt>
                <c:pt idx="5">
                  <c:v>105.7391903267</c:v>
                </c:pt>
                <c:pt idx="6">
                  <c:v>107.83085998670001</c:v>
                </c:pt>
                <c:pt idx="7">
                  <c:v>108.3916669833</c:v>
                </c:pt>
                <c:pt idx="8">
                  <c:v>109.6607583333</c:v>
                </c:pt>
                <c:pt idx="9">
                  <c:v>110.11505321999999</c:v>
                </c:pt>
                <c:pt idx="10">
                  <c:v>109.31164355999999</c:v>
                </c:pt>
                <c:pt idx="11">
                  <c:v>110.27179532</c:v>
                </c:pt>
                <c:pt idx="12">
                  <c:v>108.78251946669999</c:v>
                </c:pt>
                <c:pt idx="13">
                  <c:v>108.49123695</c:v>
                </c:pt>
                <c:pt idx="14">
                  <c:v>108.3772654867</c:v>
                </c:pt>
                <c:pt idx="15">
                  <c:v>106.77434101</c:v>
                </c:pt>
                <c:pt idx="16">
                  <c:v>108.7007365533</c:v>
                </c:pt>
                <c:pt idx="17">
                  <c:v>109.26996463</c:v>
                </c:pt>
                <c:pt idx="18">
                  <c:v>107.48895487670001</c:v>
                </c:pt>
                <c:pt idx="19">
                  <c:v>107.35668517000001</c:v>
                </c:pt>
                <c:pt idx="20">
                  <c:v>95.100964756699994</c:v>
                </c:pt>
                <c:pt idx="21">
                  <c:v>78.817161313300005</c:v>
                </c:pt>
                <c:pt idx="22">
                  <c:v>99.582288770000005</c:v>
                </c:pt>
                <c:pt idx="23">
                  <c:v>99.444996476699998</c:v>
                </c:pt>
                <c:pt idx="24">
                  <c:v>101.4643858133</c:v>
                </c:pt>
                <c:pt idx="25">
                  <c:v>101.1992914667</c:v>
                </c:pt>
                <c:pt idx="26">
                  <c:v>98.562776299999996</c:v>
                </c:pt>
                <c:pt idx="27">
                  <c:v>97.335886576700005</c:v>
                </c:pt>
                <c:pt idx="28">
                  <c:v>96.613135783299995</c:v>
                </c:pt>
                <c:pt idx="29">
                  <c:v>95.535722896699994</c:v>
                </c:pt>
                <c:pt idx="30">
                  <c:v>95.530120973300001</c:v>
                </c:pt>
                <c:pt idx="31">
                  <c:v>96.028710586700001</c:v>
                </c:pt>
                <c:pt idx="32">
                  <c:v>98.7796721733</c:v>
                </c:pt>
                <c:pt idx="33">
                  <c:v>99.522946930000003</c:v>
                </c:pt>
                <c:pt idx="34">
                  <c:v>100.93632826</c:v>
                </c:pt>
                <c:pt idx="35">
                  <c:v>101.7949186033</c:v>
                </c:pt>
                <c:pt idx="36">
                  <c:v>101.71429467670001</c:v>
                </c:pt>
                <c:pt idx="37">
                  <c:v>100.9337705767</c:v>
                </c:pt>
              </c:numCache>
            </c:numRef>
          </c:val>
          <c:smooth val="0"/>
          <c:extLst>
            <c:ext xmlns:c16="http://schemas.microsoft.com/office/drawing/2014/chart" uri="{C3380CC4-5D6E-409C-BE32-E72D297353CC}">
              <c16:uniqueId val="{00000006-7A32-4D91-8CFD-1E54202EB742}"/>
            </c:ext>
          </c:extLst>
        </c:ser>
        <c:ser>
          <c:idx val="7"/>
          <c:order val="7"/>
          <c:tx>
            <c:strRef>
              <c:f>'výkonnost odvětví 5a'!$K$66</c:f>
              <c:strCache>
                <c:ptCount val="1"/>
              </c:strCache>
            </c:strRef>
          </c:tx>
          <c:spPr>
            <a:ln w="3175">
              <a:noFill/>
              <a:prstDash val="sysDash"/>
            </a:ln>
          </c:spPr>
          <c:marker>
            <c:symbol val="none"/>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5a'!$K$67:$K$105</c:f>
              <c:numCache>
                <c:formatCode>General</c:formatCode>
                <c:ptCount val="39"/>
              </c:numCache>
            </c:numRef>
          </c:val>
          <c:smooth val="0"/>
          <c:extLst>
            <c:ext xmlns:c16="http://schemas.microsoft.com/office/drawing/2014/chart" uri="{C3380CC4-5D6E-409C-BE32-E72D297353CC}">
              <c16:uniqueId val="{00000007-7A32-4D91-8CFD-1E54202EB742}"/>
            </c:ext>
          </c:extLst>
        </c:ser>
        <c:ser>
          <c:idx val="8"/>
          <c:order val="8"/>
          <c:tx>
            <c:strRef>
              <c:f>'výkonnost odvětví 5a'!$L$66</c:f>
              <c:strCache>
                <c:ptCount val="1"/>
                <c:pt idx="0">
                  <c:v>Consumer confidence indicator</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5a'!$L$67:$L$105</c:f>
              <c:numCache>
                <c:formatCode>0.0</c:formatCode>
                <c:ptCount val="39"/>
                <c:pt idx="0">
                  <c:v>-1.75</c:v>
                </c:pt>
                <c:pt idx="1">
                  <c:v>0.25</c:v>
                </c:pt>
                <c:pt idx="2">
                  <c:v>-3.75</c:v>
                </c:pt>
                <c:pt idx="3">
                  <c:v>-0.25</c:v>
                </c:pt>
                <c:pt idx="4">
                  <c:v>-1.5</c:v>
                </c:pt>
                <c:pt idx="5">
                  <c:v>0</c:v>
                </c:pt>
                <c:pt idx="6">
                  <c:v>-2.25</c:v>
                </c:pt>
                <c:pt idx="7">
                  <c:v>0.75</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pt idx="31">
                  <c:v>-30.8</c:v>
                </c:pt>
                <c:pt idx="32">
                  <c:v>-21</c:v>
                </c:pt>
                <c:pt idx="33">
                  <c:v>-20.3</c:v>
                </c:pt>
                <c:pt idx="34">
                  <c:v>-18</c:v>
                </c:pt>
                <c:pt idx="35">
                  <c:v>-18.3</c:v>
                </c:pt>
                <c:pt idx="36">
                  <c:v>-15.8</c:v>
                </c:pt>
                <c:pt idx="37">
                  <c:v>-9</c:v>
                </c:pt>
                <c:pt idx="38">
                  <c:v>-12.8</c:v>
                </c:pt>
              </c:numCache>
            </c:numRef>
          </c:val>
          <c:smooth val="0"/>
          <c:extLst>
            <c:ext xmlns:c16="http://schemas.microsoft.com/office/drawing/2014/chart" uri="{C3380CC4-5D6E-409C-BE32-E72D297353CC}">
              <c16:uniqueId val="{00000008-7A32-4D91-8CFD-1E54202EB742}"/>
            </c:ext>
          </c:extLst>
        </c:ser>
        <c:ser>
          <c:idx val="9"/>
          <c:order val="9"/>
          <c:tx>
            <c:strRef>
              <c:f>'výkonnost odvětví 5a'!$M$66</c:f>
              <c:strCache>
                <c:ptCount val="1"/>
                <c:pt idx="0">
                  <c:v>Confidence indicator in retail</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5a'!$M$67:$M$105</c:f>
              <c:numCache>
                <c:formatCode>0.0</c:formatCode>
                <c:ptCount val="39"/>
                <c:pt idx="0">
                  <c:v>20</c:v>
                </c:pt>
                <c:pt idx="1">
                  <c:v>20.7</c:v>
                </c:pt>
                <c:pt idx="2">
                  <c:v>17.600000000000001</c:v>
                </c:pt>
                <c:pt idx="3">
                  <c:v>19.7</c:v>
                </c:pt>
                <c:pt idx="4">
                  <c:v>22.7</c:v>
                </c:pt>
                <c:pt idx="5">
                  <c:v>17.7</c:v>
                </c:pt>
                <c:pt idx="6">
                  <c:v>17.7</c:v>
                </c:pt>
                <c:pt idx="7">
                  <c:v>21</c:v>
                </c:pt>
                <c:pt idx="8">
                  <c:v>24.3</c:v>
                </c:pt>
                <c:pt idx="9">
                  <c:v>17.3</c:v>
                </c:pt>
                <c:pt idx="10">
                  <c:v>22.7</c:v>
                </c:pt>
                <c:pt idx="11">
                  <c:v>21.7</c:v>
                </c:pt>
                <c:pt idx="12">
                  <c:v>23.3</c:v>
                </c:pt>
                <c:pt idx="13">
                  <c:v>17.3</c:v>
                </c:pt>
                <c:pt idx="14">
                  <c:v>15.6</c:v>
                </c:pt>
                <c:pt idx="15">
                  <c:v>15</c:v>
                </c:pt>
                <c:pt idx="16">
                  <c:v>12.7</c:v>
                </c:pt>
                <c:pt idx="17">
                  <c:v>12.3</c:v>
                </c:pt>
                <c:pt idx="18">
                  <c:v>14.7</c:v>
                </c:pt>
                <c:pt idx="19">
                  <c:v>14.7</c:v>
                </c:pt>
                <c:pt idx="20">
                  <c:v>18.7</c:v>
                </c:pt>
                <c:pt idx="21">
                  <c:v>-1</c:v>
                </c:pt>
                <c:pt idx="22">
                  <c:v>12</c:v>
                </c:pt>
                <c:pt idx="23">
                  <c:v>7</c:v>
                </c:pt>
                <c:pt idx="24">
                  <c:v>1.3</c:v>
                </c:pt>
                <c:pt idx="25">
                  <c:v>15</c:v>
                </c:pt>
                <c:pt idx="26">
                  <c:v>18.3</c:v>
                </c:pt>
                <c:pt idx="27">
                  <c:v>21.3</c:v>
                </c:pt>
                <c:pt idx="28">
                  <c:v>19.7</c:v>
                </c:pt>
                <c:pt idx="29">
                  <c:v>19.600000000000001</c:v>
                </c:pt>
                <c:pt idx="30">
                  <c:v>10.3</c:v>
                </c:pt>
                <c:pt idx="31">
                  <c:v>14.7</c:v>
                </c:pt>
                <c:pt idx="32">
                  <c:v>9.3000000000000007</c:v>
                </c:pt>
                <c:pt idx="33">
                  <c:v>13.3</c:v>
                </c:pt>
                <c:pt idx="34">
                  <c:v>5.7</c:v>
                </c:pt>
                <c:pt idx="35">
                  <c:v>3.3</c:v>
                </c:pt>
                <c:pt idx="36">
                  <c:v>1.7</c:v>
                </c:pt>
                <c:pt idx="37">
                  <c:v>11.3</c:v>
                </c:pt>
                <c:pt idx="38">
                  <c:v>9.3000000000000007</c:v>
                </c:pt>
              </c:numCache>
            </c:numRef>
          </c:val>
          <c:smooth val="0"/>
          <c:extLst>
            <c:ext xmlns:c16="http://schemas.microsoft.com/office/drawing/2014/chart" uri="{C3380CC4-5D6E-409C-BE32-E72D297353CC}">
              <c16:uniqueId val="{00000009-7A32-4D91-8CFD-1E54202EB742}"/>
            </c:ext>
          </c:extLst>
        </c:ser>
        <c:dLbls>
          <c:showLegendKey val="0"/>
          <c:showVal val="0"/>
          <c:showCatName val="0"/>
          <c:showSerName val="0"/>
          <c:showPercent val="0"/>
          <c:showBubbleSize val="0"/>
        </c:dLbls>
        <c:marker val="1"/>
        <c:smooth val="0"/>
        <c:axId val="1875570767"/>
        <c:axId val="1875563695"/>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a:t>Sales in retail (contribution to the growth)</a:t>
                </a:r>
              </a:p>
            </c:rich>
          </c:tx>
          <c:layout>
            <c:manualLayout>
              <c:xMode val="edge"/>
              <c:yMode val="edge"/>
              <c:x val="2.6086065893343438E-3"/>
              <c:y val="0.13659281002379364"/>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2"/>
      </c:valAx>
      <c:valAx>
        <c:axId val="1875563695"/>
        <c:scaling>
          <c:orientation val="minMax"/>
          <c:max val="125"/>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Sales (basis 2021=100), confidence</a:t>
                </a:r>
              </a:p>
            </c:rich>
          </c:tx>
          <c:layout>
            <c:manualLayout>
              <c:xMode val="edge"/>
              <c:yMode val="edge"/>
              <c:x val="0.96888597029922896"/>
              <c:y val="0.15725200330021813"/>
            </c:manualLayout>
          </c:layout>
          <c:overlay val="0"/>
        </c:title>
        <c:numFmt formatCode="#,##0" sourceLinked="0"/>
        <c:majorTickMark val="out"/>
        <c:minorTickMark val="none"/>
        <c:tickLblPos val="nextTo"/>
        <c:txPr>
          <a:bodyPr/>
          <a:lstStyle/>
          <a:p>
            <a:pPr>
              <a:defRPr sz="800"/>
            </a:pPr>
            <a:endParaRPr lang="cs-CZ"/>
          </a:p>
        </c:txPr>
        <c:crossAx val="1875570767"/>
        <c:crosses val="max"/>
        <c:crossBetween val="between"/>
        <c:majorUnit val="15"/>
      </c:valAx>
      <c:catAx>
        <c:axId val="1875570767"/>
        <c:scaling>
          <c:orientation val="minMax"/>
        </c:scaling>
        <c:delete val="1"/>
        <c:axPos val="b"/>
        <c:numFmt formatCode="General" sourceLinked="1"/>
        <c:majorTickMark val="out"/>
        <c:minorTickMark val="none"/>
        <c:tickLblPos val="nextTo"/>
        <c:crossAx val="1875563695"/>
        <c:crosses val="autoZero"/>
        <c:auto val="1"/>
        <c:lblAlgn val="ctr"/>
        <c:lblOffset val="100"/>
        <c:noMultiLvlLbl val="0"/>
      </c:catAx>
      <c:spPr>
        <a:ln>
          <a:solidFill>
            <a:schemeClr val="tx1"/>
          </a:solidFill>
        </a:ln>
      </c:spPr>
    </c:plotArea>
    <c:legend>
      <c:legendPos val="r"/>
      <c:layout>
        <c:manualLayout>
          <c:xMode val="edge"/>
          <c:yMode val="edge"/>
          <c:x val="5.1385534144624996E-3"/>
          <c:y val="0.837216076019483"/>
          <c:w val="0.98691543107779145"/>
          <c:h val="0.15565653623547093"/>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3EA7F6-AA63-4BD5-8182-5548DAFDA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5236</Words>
  <Characters>30895</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36059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Kamenický Jiří</cp:lastModifiedBy>
  <cp:revision>3</cp:revision>
  <cp:lastPrinted>2014-07-17T14:07:00Z</cp:lastPrinted>
  <dcterms:created xsi:type="dcterms:W3CDTF">2024-10-16T11:31:00Z</dcterms:created>
  <dcterms:modified xsi:type="dcterms:W3CDTF">2024-10-16T11:32:00Z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