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7DD88C" w14:textId="77777777" w:rsidR="00E551F6" w:rsidRPr="001A0A01" w:rsidRDefault="00E551F6" w:rsidP="00E551F6">
      <w:pPr>
        <w:pStyle w:val="Nadpis1"/>
        <w:rPr>
          <w:lang w:val="en-GB"/>
        </w:rPr>
      </w:pPr>
      <w:bookmarkStart w:id="0" w:name="_Toc179774106"/>
      <w:bookmarkStart w:id="1" w:name="_GoBack"/>
      <w:bookmarkEnd w:id="1"/>
      <w:r w:rsidRPr="001A0A01">
        <w:rPr>
          <w:lang w:val="en-GB"/>
        </w:rPr>
        <w:t>2. Overall Economic Performance</w:t>
      </w:r>
      <w:bookmarkEnd w:id="0"/>
    </w:p>
    <w:tbl>
      <w:tblPr>
        <w:tblW w:w="9639" w:type="dxa"/>
        <w:tblInd w:w="-20" w:type="dxa"/>
        <w:tblCellMar>
          <w:left w:w="0" w:type="dxa"/>
          <w:right w:w="0" w:type="dxa"/>
        </w:tblCellMar>
        <w:tblLook w:val="00A0" w:firstRow="1" w:lastRow="0" w:firstColumn="1" w:lastColumn="0" w:noHBand="0" w:noVBand="0"/>
      </w:tblPr>
      <w:tblGrid>
        <w:gridCol w:w="1804"/>
        <w:gridCol w:w="225"/>
        <w:gridCol w:w="7610"/>
      </w:tblGrid>
      <w:tr w:rsidR="00E551F6" w:rsidRPr="001A0A01" w14:paraId="53020BD0" w14:textId="77777777" w:rsidTr="007155B7">
        <w:trPr>
          <w:trHeight w:val="145"/>
        </w:trPr>
        <w:tc>
          <w:tcPr>
            <w:tcW w:w="1814" w:type="dxa"/>
            <w:shd w:val="clear" w:color="auto" w:fill="auto"/>
            <w:tcMar>
              <w:left w:w="0" w:type="dxa"/>
            </w:tcMar>
          </w:tcPr>
          <w:p w14:paraId="4FE94FEB" w14:textId="77777777" w:rsidR="00E551F6" w:rsidRPr="001A0A01" w:rsidRDefault="00E551F6" w:rsidP="00E551F6">
            <w:pPr>
              <w:pStyle w:val="Marginlie"/>
              <w:rPr>
                <w:lang w:val="en-GB"/>
              </w:rPr>
            </w:pPr>
            <w:r w:rsidRPr="001A0A01">
              <w:rPr>
                <w:lang w:val="en-GB"/>
              </w:rPr>
              <w:t>The Czech economy continued to grow weakly.</w:t>
            </w:r>
          </w:p>
        </w:tc>
        <w:tc>
          <w:tcPr>
            <w:tcW w:w="227" w:type="dxa"/>
            <w:shd w:val="clear" w:color="auto" w:fill="auto"/>
            <w:tcMar>
              <w:left w:w="0" w:type="dxa"/>
            </w:tcMar>
          </w:tcPr>
          <w:p w14:paraId="44ABDB23" w14:textId="77777777" w:rsidR="00E551F6" w:rsidRPr="001A0A01" w:rsidRDefault="00E551F6" w:rsidP="00E551F6">
            <w:pPr>
              <w:pStyle w:val="Textpoznpodarou"/>
              <w:jc w:val="both"/>
              <w:rPr>
                <w:spacing w:val="-4"/>
                <w:lang w:val="en-GB"/>
              </w:rPr>
            </w:pPr>
          </w:p>
        </w:tc>
        <w:tc>
          <w:tcPr>
            <w:tcW w:w="7610" w:type="dxa"/>
            <w:shd w:val="clear" w:color="auto" w:fill="auto"/>
            <w:tcMar>
              <w:left w:w="0" w:type="dxa"/>
            </w:tcMar>
          </w:tcPr>
          <w:p w14:paraId="1002B5B8" w14:textId="77777777" w:rsidR="00E551F6" w:rsidRPr="001A0A01" w:rsidRDefault="00E551F6" w:rsidP="00E551F6">
            <w:pPr>
              <w:rPr>
                <w:spacing w:val="-2"/>
                <w:lang w:val="en-GB"/>
              </w:rPr>
            </w:pPr>
            <w:r w:rsidRPr="001A0A01">
              <w:rPr>
                <w:spacing w:val="-2"/>
                <w:lang w:val="en-GB"/>
              </w:rPr>
              <w:t>The lacklustre growth of the Czech economy also continued in Q2 2024. Gross domestic product (GDP) increased in real terms by 0.3%, quarter-on-quarter, and by 0.6%, year-on-year</w:t>
            </w:r>
            <w:r w:rsidRPr="001A0A01">
              <w:rPr>
                <w:rStyle w:val="Znakapoznpodarou"/>
                <w:rFonts w:cs="Arial"/>
                <w:spacing w:val="-2"/>
                <w:lang w:val="en-GB"/>
              </w:rPr>
              <w:footnoteReference w:id="2"/>
            </w:r>
            <w:r w:rsidRPr="001A0A01">
              <w:rPr>
                <w:spacing w:val="-2"/>
                <w:lang w:val="en-GB"/>
              </w:rPr>
              <w:t xml:space="preserve">. The quarter-on-quarter GDP growth was slightly supported by investment activity, consumption expenditure as well as external demand. Consumption was dominated mainly by the general government sector, while in case of households, the increase of consumption moderated. By contrast, the inventories significantly slowed the quarter-on-quarter GDP growth. The domestic consumption had a large share in the year-on-year growth of the Czech economy. The effect of growth of expenditure on gross fixed capital formation and external demand was weaker, but also positive. On the contrary, the year-on-year decrease of inventory creation continued.      </w:t>
            </w:r>
          </w:p>
        </w:tc>
      </w:tr>
      <w:tr w:rsidR="00E551F6" w:rsidRPr="001A0A01" w14:paraId="06E0C0C9" w14:textId="77777777" w:rsidTr="007155B7">
        <w:trPr>
          <w:trHeight w:val="170"/>
        </w:trPr>
        <w:tc>
          <w:tcPr>
            <w:tcW w:w="1814" w:type="dxa"/>
            <w:vMerge w:val="restart"/>
            <w:shd w:val="clear" w:color="auto" w:fill="auto"/>
            <w:tcMar>
              <w:left w:w="0" w:type="dxa"/>
            </w:tcMar>
          </w:tcPr>
          <w:p w14:paraId="108C1EB4" w14:textId="77777777" w:rsidR="00E551F6" w:rsidRPr="001A0A01" w:rsidRDefault="00E551F6" w:rsidP="00E551F6">
            <w:pPr>
              <w:pStyle w:val="Marginlie"/>
              <w:rPr>
                <w:lang w:val="en-GB"/>
              </w:rPr>
            </w:pPr>
          </w:p>
        </w:tc>
        <w:tc>
          <w:tcPr>
            <w:tcW w:w="227" w:type="dxa"/>
            <w:vMerge w:val="restart"/>
            <w:shd w:val="clear" w:color="auto" w:fill="auto"/>
            <w:tcMar>
              <w:left w:w="0" w:type="dxa"/>
            </w:tcMar>
          </w:tcPr>
          <w:p w14:paraId="6A82A7B2" w14:textId="77777777" w:rsidR="00E551F6" w:rsidRPr="001A0A01" w:rsidRDefault="00E551F6" w:rsidP="00E551F6">
            <w:pPr>
              <w:pStyle w:val="Textpoznpodarou"/>
              <w:jc w:val="both"/>
              <w:rPr>
                <w:spacing w:val="-4"/>
                <w:lang w:val="en-GB"/>
              </w:rPr>
            </w:pPr>
          </w:p>
        </w:tc>
        <w:tc>
          <w:tcPr>
            <w:tcW w:w="7610" w:type="dxa"/>
            <w:shd w:val="clear" w:color="auto" w:fill="auto"/>
            <w:tcMar>
              <w:left w:w="0" w:type="dxa"/>
            </w:tcMar>
          </w:tcPr>
          <w:p w14:paraId="31683C5E" w14:textId="77777777" w:rsidR="00E551F6" w:rsidRPr="001A0A01" w:rsidRDefault="00E551F6" w:rsidP="00E551F6">
            <w:pPr>
              <w:spacing w:after="0"/>
              <w:rPr>
                <w:b/>
                <w:szCs w:val="20"/>
                <w:lang w:val="en-GB"/>
              </w:rPr>
            </w:pPr>
            <w:r w:rsidRPr="001A0A01">
              <w:rPr>
                <w:rFonts w:cs="Arial"/>
                <w:b/>
                <w:bCs/>
                <w:color w:val="000000"/>
                <w:szCs w:val="20"/>
                <w:lang w:val="en-GB"/>
              </w:rPr>
              <w:t xml:space="preserve">Chart 1 GDP </w:t>
            </w:r>
            <w:r w:rsidRPr="001A0A01">
              <w:rPr>
                <w:rFonts w:cs="Arial"/>
                <w:bCs/>
                <w:szCs w:val="20"/>
                <w:lang w:val="en-GB" w:eastAsia="en-US"/>
              </w:rPr>
              <w:t>(volume indices, adjusted for seasonal and calendar effects, in %)</w:t>
            </w:r>
          </w:p>
        </w:tc>
      </w:tr>
      <w:tr w:rsidR="00E551F6" w:rsidRPr="001A0A01" w14:paraId="07C94AD0" w14:textId="77777777" w:rsidTr="007155B7">
        <w:tblPrEx>
          <w:tblCellMar>
            <w:left w:w="70" w:type="dxa"/>
            <w:right w:w="70" w:type="dxa"/>
          </w:tblCellMar>
        </w:tblPrEx>
        <w:trPr>
          <w:trHeight w:val="170"/>
        </w:trPr>
        <w:tc>
          <w:tcPr>
            <w:tcW w:w="1814" w:type="dxa"/>
            <w:vMerge/>
          </w:tcPr>
          <w:p w14:paraId="7750A24D" w14:textId="77777777" w:rsidR="00E551F6" w:rsidRPr="001A0A01" w:rsidRDefault="00E551F6" w:rsidP="00E551F6">
            <w:pPr>
              <w:pStyle w:val="Marginlie"/>
              <w:rPr>
                <w:lang w:val="en-GB"/>
              </w:rPr>
            </w:pPr>
          </w:p>
        </w:tc>
        <w:tc>
          <w:tcPr>
            <w:tcW w:w="227" w:type="dxa"/>
            <w:vMerge/>
          </w:tcPr>
          <w:p w14:paraId="6B6F6885" w14:textId="77777777" w:rsidR="00E551F6" w:rsidRPr="001A0A01" w:rsidRDefault="00E551F6" w:rsidP="00E551F6">
            <w:pPr>
              <w:pStyle w:val="Textpoznpodarou"/>
              <w:jc w:val="both"/>
              <w:rPr>
                <w:spacing w:val="-4"/>
                <w:lang w:val="en-GB"/>
              </w:rPr>
            </w:pPr>
          </w:p>
        </w:tc>
        <w:tc>
          <w:tcPr>
            <w:tcW w:w="7610" w:type="dxa"/>
            <w:shd w:val="clear" w:color="auto" w:fill="auto"/>
          </w:tcPr>
          <w:p w14:paraId="2C099C98" w14:textId="1CCBC9C0" w:rsidR="00E551F6" w:rsidRPr="001A0A01" w:rsidRDefault="00AE6221" w:rsidP="00E551F6">
            <w:pPr>
              <w:spacing w:after="0"/>
              <w:rPr>
                <w:lang w:val="en-GB"/>
              </w:rPr>
            </w:pPr>
            <w:r>
              <w:rPr>
                <w:noProof/>
              </w:rPr>
              <w:drawing>
                <wp:inline distT="0" distB="0" distL="0" distR="0" wp14:anchorId="510782DF" wp14:editId="2E98ABD0">
                  <wp:extent cx="4737600" cy="3420000"/>
                  <wp:effectExtent l="0" t="0" r="6350" b="0"/>
                  <wp:docPr id="6" name="Graf 6">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E551F6" w:rsidRPr="001A0A01" w14:paraId="7A663543" w14:textId="77777777" w:rsidTr="007155B7">
        <w:trPr>
          <w:trHeight w:val="170"/>
        </w:trPr>
        <w:tc>
          <w:tcPr>
            <w:tcW w:w="1814" w:type="dxa"/>
            <w:vMerge/>
            <w:tcMar>
              <w:left w:w="0" w:type="dxa"/>
            </w:tcMar>
          </w:tcPr>
          <w:p w14:paraId="5047CE00" w14:textId="77777777" w:rsidR="00E551F6" w:rsidRPr="001A0A01" w:rsidRDefault="00E551F6" w:rsidP="00E551F6">
            <w:pPr>
              <w:pStyle w:val="Marginlie"/>
              <w:rPr>
                <w:lang w:val="en-GB"/>
              </w:rPr>
            </w:pPr>
          </w:p>
        </w:tc>
        <w:tc>
          <w:tcPr>
            <w:tcW w:w="227" w:type="dxa"/>
            <w:vMerge/>
            <w:tcMar>
              <w:left w:w="0" w:type="dxa"/>
            </w:tcMar>
          </w:tcPr>
          <w:p w14:paraId="6DB6B7EE" w14:textId="77777777" w:rsidR="00E551F6" w:rsidRPr="001A0A01" w:rsidRDefault="00E551F6" w:rsidP="00E551F6">
            <w:pPr>
              <w:pStyle w:val="Textpoznpodarou"/>
              <w:jc w:val="both"/>
              <w:rPr>
                <w:spacing w:val="-4"/>
                <w:lang w:val="en-GB"/>
              </w:rPr>
            </w:pPr>
          </w:p>
        </w:tc>
        <w:tc>
          <w:tcPr>
            <w:tcW w:w="7610" w:type="dxa"/>
            <w:shd w:val="clear" w:color="auto" w:fill="auto"/>
            <w:tcMar>
              <w:left w:w="0" w:type="dxa"/>
            </w:tcMar>
          </w:tcPr>
          <w:p w14:paraId="50196C8D" w14:textId="6838B166" w:rsidR="00E551F6" w:rsidRPr="001A0A01" w:rsidRDefault="00E551F6" w:rsidP="00E551F6">
            <w:pPr>
              <w:spacing w:after="220"/>
              <w:rPr>
                <w:sz w:val="14"/>
                <w:szCs w:val="14"/>
                <w:lang w:val="en-GB"/>
              </w:rPr>
            </w:pPr>
            <w:r w:rsidRPr="001A0A01">
              <w:rPr>
                <w:sz w:val="14"/>
                <w:szCs w:val="14"/>
                <w:lang w:val="en-GB"/>
              </w:rPr>
              <w:t>Source: CZSO, Eurostat</w:t>
            </w:r>
          </w:p>
        </w:tc>
      </w:tr>
      <w:tr w:rsidR="00E551F6" w:rsidRPr="001A0A01" w14:paraId="556755D6" w14:textId="77777777" w:rsidTr="007155B7">
        <w:trPr>
          <w:trHeight w:val="145"/>
        </w:trPr>
        <w:tc>
          <w:tcPr>
            <w:tcW w:w="1814" w:type="dxa"/>
            <w:shd w:val="clear" w:color="auto" w:fill="auto"/>
            <w:tcMar>
              <w:left w:w="0" w:type="dxa"/>
            </w:tcMar>
          </w:tcPr>
          <w:p w14:paraId="3E163597" w14:textId="77777777" w:rsidR="00E551F6" w:rsidRPr="001A0A01" w:rsidRDefault="00E551F6" w:rsidP="00E551F6">
            <w:pPr>
              <w:shd w:val="clear" w:color="auto" w:fill="FDFDFD"/>
              <w:jc w:val="left"/>
              <w:rPr>
                <w:lang w:val="en-GB"/>
              </w:rPr>
            </w:pPr>
            <w:r w:rsidRPr="001A0A01">
              <w:rPr>
                <w:spacing w:val="-2"/>
                <w:sz w:val="16"/>
                <w:szCs w:val="16"/>
                <w:lang w:val="en-GB"/>
              </w:rPr>
              <w:t>Central European economies generally remained in a zone of weak growth and stagnation.</w:t>
            </w:r>
          </w:p>
        </w:tc>
        <w:tc>
          <w:tcPr>
            <w:tcW w:w="227" w:type="dxa"/>
            <w:shd w:val="clear" w:color="auto" w:fill="auto"/>
            <w:tcMar>
              <w:left w:w="0" w:type="dxa"/>
            </w:tcMar>
          </w:tcPr>
          <w:p w14:paraId="7512AB35" w14:textId="77777777" w:rsidR="00E551F6" w:rsidRPr="001A0A01" w:rsidRDefault="00E551F6" w:rsidP="00E551F6">
            <w:pPr>
              <w:pStyle w:val="Textpoznpodarou"/>
              <w:jc w:val="both"/>
              <w:rPr>
                <w:spacing w:val="-4"/>
                <w:lang w:val="en-GB"/>
              </w:rPr>
            </w:pPr>
          </w:p>
        </w:tc>
        <w:tc>
          <w:tcPr>
            <w:tcW w:w="7610" w:type="dxa"/>
            <w:shd w:val="clear" w:color="auto" w:fill="auto"/>
            <w:tcMar>
              <w:left w:w="0" w:type="dxa"/>
            </w:tcMar>
          </w:tcPr>
          <w:p w14:paraId="683F09C9" w14:textId="77777777" w:rsidR="00E551F6" w:rsidRPr="001A0A01" w:rsidRDefault="00E551F6" w:rsidP="00E551F6">
            <w:pPr>
              <w:rPr>
                <w:lang w:val="en-GB"/>
              </w:rPr>
            </w:pPr>
            <w:r w:rsidRPr="001A0A01">
              <w:rPr>
                <w:lang w:val="en-GB"/>
              </w:rPr>
              <w:t xml:space="preserve">The Gross domestic product increased by 0.2%, quarter-on-quarter, in the EU in Q2 and was 0.8% higher, year-on-year. In Q2, the GDP grew in most EU countries, quarter-on-quarter. Ireland (−1.0%), Latvia (−0.9%), Austria (−0.4%), Sweden (−0.3%), Hungary (−0.2%) and Germany (−0.1%) represented the exceptions. On the contrary, a significant recovery of growth was recorded in Poland (1.5%), the Netherlands (1.0%) and similarly by 0.8% in Spain and Croatia. The economic performance was rather weak within the Central Europe. Declines were recorded in Hungary and Germany, and Austria, which, together with Germany, is experiencing a period of decrease and stagnation, also plunged. Moderate growth continued in the Czech Republic and Slovakia, which was the only Central European economy not to experience a contraction in the period since the beginning of 2022, fared a little better. The strongly growing Poland was the exception in the region. The quarter-on-quarter growth was also mild in other large economies – France and Italy (both by 0.2%). In the year-on-year comparison, the GDP lagged behind in Ireland (−4.1%), Estonia (−1.3%), Finland </w:t>
            </w:r>
            <w:r w:rsidRPr="001A0A01">
              <w:rPr>
                <w:lang w:val="en-GB"/>
              </w:rPr>
              <w:lastRenderedPageBreak/>
              <w:t xml:space="preserve">(−1.3%), Austria (−0.6%) and Latvia (−0.1%). The most significant year-on-year GDP growth was recorded in Poland (4.0%), Cyprus (3.7%) and Croatia (3.0%) in Q2. </w:t>
            </w:r>
          </w:p>
        </w:tc>
      </w:tr>
      <w:tr w:rsidR="00E551F6" w:rsidRPr="001A0A01" w14:paraId="76116941" w14:textId="77777777" w:rsidTr="007155B7">
        <w:trPr>
          <w:trHeight w:val="145"/>
        </w:trPr>
        <w:tc>
          <w:tcPr>
            <w:tcW w:w="1814" w:type="dxa"/>
            <w:shd w:val="clear" w:color="auto" w:fill="auto"/>
            <w:tcMar>
              <w:left w:w="0" w:type="dxa"/>
            </w:tcMar>
          </w:tcPr>
          <w:p w14:paraId="7854C935" w14:textId="77777777" w:rsidR="00E551F6" w:rsidRPr="001A0A01" w:rsidRDefault="00E551F6" w:rsidP="00E551F6">
            <w:pPr>
              <w:pStyle w:val="Marginlie"/>
              <w:rPr>
                <w:lang w:val="en-GB"/>
              </w:rPr>
            </w:pPr>
            <w:r w:rsidRPr="001A0A01">
              <w:rPr>
                <w:lang w:val="en-GB"/>
              </w:rPr>
              <w:lastRenderedPageBreak/>
              <w:t xml:space="preserve">Wages grew, quarter-on-quarter, in real terms. </w:t>
            </w:r>
          </w:p>
        </w:tc>
        <w:tc>
          <w:tcPr>
            <w:tcW w:w="227" w:type="dxa"/>
            <w:shd w:val="clear" w:color="auto" w:fill="auto"/>
            <w:tcMar>
              <w:left w:w="0" w:type="dxa"/>
            </w:tcMar>
          </w:tcPr>
          <w:p w14:paraId="67B7E79E" w14:textId="77777777" w:rsidR="00E551F6" w:rsidRPr="001A0A01" w:rsidRDefault="00E551F6" w:rsidP="00E551F6">
            <w:pPr>
              <w:pStyle w:val="Textpoznpodarou"/>
              <w:jc w:val="both"/>
              <w:rPr>
                <w:spacing w:val="-4"/>
                <w:lang w:val="en-GB"/>
              </w:rPr>
            </w:pPr>
          </w:p>
        </w:tc>
        <w:tc>
          <w:tcPr>
            <w:tcW w:w="7610" w:type="dxa"/>
            <w:shd w:val="clear" w:color="auto" w:fill="auto"/>
            <w:tcMar>
              <w:left w:w="0" w:type="dxa"/>
            </w:tcMar>
          </w:tcPr>
          <w:p w14:paraId="153D91DC" w14:textId="6C2F7D03" w:rsidR="00E551F6" w:rsidRPr="001A0A01" w:rsidRDefault="00E551F6" w:rsidP="004C59A5">
            <w:pPr>
              <w:rPr>
                <w:lang w:val="en-GB"/>
              </w:rPr>
            </w:pPr>
            <w:r w:rsidRPr="001A0A01">
              <w:rPr>
                <w:lang w:val="en-GB"/>
              </w:rPr>
              <w:t>The volume of wages and salaries paid out in the Czech Republic in Q2 increased by 0.9%, quarter-on-quarter, while employment increased by 0.5%</w:t>
            </w:r>
            <w:r w:rsidRPr="001A0A01">
              <w:rPr>
                <w:rStyle w:val="Znakapoznpodarou"/>
                <w:spacing w:val="-2"/>
                <w:lang w:val="en-GB"/>
              </w:rPr>
              <w:footnoteReference w:id="3"/>
            </w:r>
            <w:r w:rsidRPr="001A0A01">
              <w:rPr>
                <w:lang w:val="en-GB"/>
              </w:rPr>
              <w:t>. Price growth weakened, thus the wages and salaries went up by 0.5%</w:t>
            </w:r>
            <w:r w:rsidRPr="001A0A01">
              <w:rPr>
                <w:rStyle w:val="Znakapoznpodarou"/>
                <w:spacing w:val="-2"/>
                <w:lang w:val="en-GB"/>
              </w:rPr>
              <w:footnoteReference w:id="4"/>
            </w:r>
            <w:r w:rsidRPr="001A0A01">
              <w:rPr>
                <w:lang w:val="en-GB"/>
              </w:rPr>
              <w:t>, quarter on quarter, in real terms. The volume of wages and salaries increased the most in real estate activities (7.0% with an increase of employment by 2.5%), in financial and insurance activities (2.8% with a decrease of employment by 1.2%) and in other activities</w:t>
            </w:r>
            <w:r w:rsidRPr="001A0A01">
              <w:rPr>
                <w:rStyle w:val="Znakapoznpodarou"/>
                <w:spacing w:val="-2"/>
                <w:lang w:val="en-GB"/>
              </w:rPr>
              <w:footnoteReference w:id="5"/>
            </w:r>
            <w:r w:rsidRPr="001A0A01">
              <w:rPr>
                <w:lang w:val="en-GB"/>
              </w:rPr>
              <w:t xml:space="preserve"> (2.5%, however employment increased by 3.0%) in Q2. A quarter-on-quarter increase was also recorded in professional, scientific, technical and administrative activities (1.9%, employment −0.6%), information and communication (1.3%, employment −3.3%), in manufacturing (1.0%, employment −0.1%), and public administration, education, health and social work activities (0.5%, employment</w:t>
            </w:r>
            <w:r w:rsidR="004C59A5">
              <w:rPr>
                <w:lang w:val="en-GB"/>
              </w:rPr>
              <w:t xml:space="preserve"> +</w:t>
            </w:r>
            <w:r w:rsidRPr="001A0A01">
              <w:rPr>
                <w:lang w:val="en-GB"/>
              </w:rPr>
              <w:t xml:space="preserve">0.3%). In the quarter-on-quarter comparison, wages and salaries decreased similarly by 0.2% in construction (employment +0.8%) and in group trade, transport, accommodation and food service (employment +1.4%). </w:t>
            </w:r>
          </w:p>
        </w:tc>
      </w:tr>
      <w:tr w:rsidR="00E551F6" w:rsidRPr="001A0A01" w14:paraId="107237E4" w14:textId="77777777" w:rsidTr="007155B7">
        <w:trPr>
          <w:trHeight w:val="145"/>
        </w:trPr>
        <w:tc>
          <w:tcPr>
            <w:tcW w:w="1814" w:type="dxa"/>
            <w:shd w:val="clear" w:color="auto" w:fill="auto"/>
            <w:tcMar>
              <w:left w:w="0" w:type="dxa"/>
            </w:tcMar>
          </w:tcPr>
          <w:p w14:paraId="14FFD5A2" w14:textId="77777777" w:rsidR="00E551F6" w:rsidRPr="001A0A01" w:rsidRDefault="00E551F6" w:rsidP="00E551F6">
            <w:pPr>
              <w:pStyle w:val="Marginlie"/>
              <w:rPr>
                <w:lang w:val="en-GB"/>
              </w:rPr>
            </w:pPr>
            <w:r w:rsidRPr="001A0A01">
              <w:rPr>
                <w:lang w:val="en-GB"/>
              </w:rPr>
              <w:t xml:space="preserve">Wages and salaries grew in all sections of the Classification of economic activities, year-on-year. </w:t>
            </w:r>
          </w:p>
        </w:tc>
        <w:tc>
          <w:tcPr>
            <w:tcW w:w="227" w:type="dxa"/>
            <w:shd w:val="clear" w:color="auto" w:fill="auto"/>
            <w:tcMar>
              <w:left w:w="0" w:type="dxa"/>
            </w:tcMar>
          </w:tcPr>
          <w:p w14:paraId="35B3546F" w14:textId="77777777" w:rsidR="00E551F6" w:rsidRPr="001A0A01" w:rsidRDefault="00E551F6" w:rsidP="00E551F6">
            <w:pPr>
              <w:pStyle w:val="Textpoznpodarou"/>
              <w:jc w:val="both"/>
              <w:rPr>
                <w:spacing w:val="-4"/>
                <w:lang w:val="en-GB"/>
              </w:rPr>
            </w:pPr>
          </w:p>
        </w:tc>
        <w:tc>
          <w:tcPr>
            <w:tcW w:w="7610" w:type="dxa"/>
            <w:shd w:val="clear" w:color="auto" w:fill="auto"/>
            <w:tcMar>
              <w:left w:w="0" w:type="dxa"/>
            </w:tcMar>
          </w:tcPr>
          <w:p w14:paraId="3BBB0316" w14:textId="53F955BA" w:rsidR="00E551F6" w:rsidRPr="001A0A01" w:rsidRDefault="00E551F6" w:rsidP="00E551F6">
            <w:pPr>
              <w:rPr>
                <w:lang w:val="en-GB"/>
              </w:rPr>
            </w:pPr>
            <w:r w:rsidRPr="001A0A01">
              <w:rPr>
                <w:lang w:val="en-GB"/>
              </w:rPr>
              <w:t>The volume of wages and salaries paid out increased by 5.7%, year-on-year, in Q2, which is a slight slowdown and represents the slowest growth in more than three years. Employment was higher by 0.2%, year-on-year. In real terms, the volume of wages and salaries increased by 2.3%, year-on-year. Wages and salaries were nominally higher in all sections in Q2, year-on-year. However, the highest increase in earnings was recorded in real estate activities (17.8% with an increase of employment by 2.7%), professional, scientific, technical and administrative activities (7.8%, employment +0.8%) and other activities (7.2%, employment increased by 2.9%). An increase above the average of the total economy was also recorded in financial and insurance activities (6.9% with a decrease of employment by 0.9%), in information and communication (6.6%, employment +0.4%) and in the group trade, transport, accommodation and food service (6.0%, employment +1.7%). The volume of wages and salaries paid out in manufacturing (5.1%, employment −2.6%), construction (4.8%, employment −0.8%), public administration, education, health and</w:t>
            </w:r>
            <w:r w:rsidR="004C59A5">
              <w:rPr>
                <w:lang w:val="en-GB"/>
              </w:rPr>
              <w:t xml:space="preserve"> social work (4.3%, employment +</w:t>
            </w:r>
            <w:r w:rsidRPr="001A0A01">
              <w:rPr>
                <w:lang w:val="en-GB"/>
              </w:rPr>
              <w:t xml:space="preserve">1.4%) and agriculture, forestry and fishing (2.1% with an increase of employment by 1.6%) increased at below average pace, year-on-year. </w:t>
            </w:r>
          </w:p>
        </w:tc>
      </w:tr>
      <w:tr w:rsidR="00E551F6" w:rsidRPr="001A0A01" w14:paraId="4BBA253D" w14:textId="77777777" w:rsidTr="007155B7">
        <w:trPr>
          <w:trHeight w:val="145"/>
        </w:trPr>
        <w:tc>
          <w:tcPr>
            <w:tcW w:w="1814" w:type="dxa"/>
            <w:shd w:val="clear" w:color="auto" w:fill="auto"/>
            <w:tcMar>
              <w:left w:w="0" w:type="dxa"/>
            </w:tcMar>
          </w:tcPr>
          <w:p w14:paraId="08D6D197" w14:textId="77777777" w:rsidR="00E551F6" w:rsidRPr="001A0A01" w:rsidRDefault="00E551F6" w:rsidP="00E551F6">
            <w:pPr>
              <w:pStyle w:val="Marginlie"/>
              <w:rPr>
                <w:lang w:val="en-GB"/>
              </w:rPr>
            </w:pPr>
            <w:r w:rsidRPr="001A0A01">
              <w:rPr>
                <w:lang w:val="en-GB"/>
              </w:rPr>
              <w:t xml:space="preserve">Consumption growth continued. </w:t>
            </w:r>
          </w:p>
        </w:tc>
        <w:tc>
          <w:tcPr>
            <w:tcW w:w="227" w:type="dxa"/>
            <w:shd w:val="clear" w:color="auto" w:fill="auto"/>
            <w:tcMar>
              <w:left w:w="0" w:type="dxa"/>
            </w:tcMar>
          </w:tcPr>
          <w:p w14:paraId="34334454" w14:textId="77777777" w:rsidR="00E551F6" w:rsidRPr="001A0A01" w:rsidRDefault="00E551F6" w:rsidP="00E551F6">
            <w:pPr>
              <w:pStyle w:val="Textpoznpodarou"/>
              <w:jc w:val="both"/>
              <w:rPr>
                <w:spacing w:val="-4"/>
                <w:lang w:val="en-GB"/>
              </w:rPr>
            </w:pPr>
          </w:p>
        </w:tc>
        <w:tc>
          <w:tcPr>
            <w:tcW w:w="7610" w:type="dxa"/>
            <w:shd w:val="clear" w:color="auto" w:fill="auto"/>
            <w:tcMar>
              <w:left w:w="0" w:type="dxa"/>
            </w:tcMar>
          </w:tcPr>
          <w:p w14:paraId="2DD12661" w14:textId="77777777" w:rsidR="00E551F6" w:rsidRPr="001A0A01" w:rsidRDefault="00E551F6" w:rsidP="00E551F6">
            <w:pPr>
              <w:rPr>
                <w:lang w:val="en-GB"/>
              </w:rPr>
            </w:pPr>
            <w:r w:rsidRPr="001A0A01">
              <w:rPr>
                <w:lang w:val="en-GB"/>
              </w:rPr>
              <w:t>The quarter-on-quarter increase of consumption weakened only slightly to 0.6% in Q2. This is mainly due to a strengthening of government expenditure (1.5%), as the growth of the household consumption following two solid increases slowed down again (0.2%). In total, the consumption contributed 0.4 p. p. to the quarter-on-quarter GDP growth</w:t>
            </w:r>
            <w:r w:rsidRPr="001A0A01">
              <w:rPr>
                <w:rStyle w:val="Znakapoznpodarou"/>
                <w:spacing w:val="-2"/>
                <w:lang w:val="en-GB"/>
              </w:rPr>
              <w:footnoteReference w:id="6"/>
            </w:r>
            <w:r w:rsidRPr="001A0A01">
              <w:rPr>
                <w:lang w:val="en-GB"/>
              </w:rPr>
              <w:t xml:space="preserve"> and general government consumption accounted for 0.3 p. p. A view of the consumption classified by durability</w:t>
            </w:r>
            <w:r w:rsidRPr="001A0A01">
              <w:rPr>
                <w:rStyle w:val="Znakapoznpodarou"/>
                <w:lang w:val="en-GB"/>
              </w:rPr>
              <w:footnoteReference w:id="7"/>
            </w:r>
            <w:r w:rsidRPr="001A0A01">
              <w:rPr>
                <w:lang w:val="en-GB"/>
              </w:rPr>
              <w:t xml:space="preserve"> shows that medium-term (2.9%) as well as long-term (3.6%) consumption grew in real terms, quarter-on-quarter, but the growth of the short-term</w:t>
            </w:r>
            <w:r w:rsidRPr="001A0A01">
              <w:rPr>
                <w:spacing w:val="-2"/>
                <w:lang w:val="en-GB"/>
              </w:rPr>
              <w:t xml:space="preserve"> consumption recorded in the previous quarter did not persist (-3.0%). On the contrary, there was a significant recovery in services (2.2%). The year-on-year consumption growth reached 2.0% in Q2. And similarly to the quarter-on-quarter dynamics, for households the growth slowed to 1.0%, while the government consumption grew by 4.3%, year on year, the highest since the end of 2020. Still the contribution of household consumption to GDP growth (1.2 p.p.) was stronger than the contribution of general government consumption (0.8 p.p.). The consumption of services increased, year-on-year (2.2%), and a year-on-year increase in short-term consumption (1.5%) was also recorded mainly due to the low comparative basis. Nevertheless, the medium-term (-0.5%) and long-term (-1.8%) consumption lagged behind the last year's level. </w:t>
            </w:r>
          </w:p>
        </w:tc>
      </w:tr>
      <w:tr w:rsidR="00E551F6" w:rsidRPr="001A0A01" w14:paraId="52507FB9" w14:textId="77777777" w:rsidTr="007155B7">
        <w:trPr>
          <w:trHeight w:val="145"/>
        </w:trPr>
        <w:tc>
          <w:tcPr>
            <w:tcW w:w="1814" w:type="dxa"/>
            <w:shd w:val="clear" w:color="auto" w:fill="auto"/>
            <w:tcMar>
              <w:left w:w="0" w:type="dxa"/>
            </w:tcMar>
          </w:tcPr>
          <w:p w14:paraId="3F33725F" w14:textId="77777777" w:rsidR="00E551F6" w:rsidRPr="001A0A01" w:rsidRDefault="00E551F6" w:rsidP="00E551F6">
            <w:pPr>
              <w:pStyle w:val="Marginlie"/>
              <w:rPr>
                <w:lang w:val="en-GB"/>
              </w:rPr>
            </w:pPr>
            <w:r w:rsidRPr="001A0A01">
              <w:rPr>
                <w:lang w:val="en-GB"/>
              </w:rPr>
              <w:t xml:space="preserve">Investment activity heightened. However, inventories had a significant effect on both quarter-on-quarter and year-on-year decline of the GDP. </w:t>
            </w:r>
          </w:p>
        </w:tc>
        <w:tc>
          <w:tcPr>
            <w:tcW w:w="227" w:type="dxa"/>
            <w:shd w:val="clear" w:color="auto" w:fill="auto"/>
            <w:tcMar>
              <w:left w:w="0" w:type="dxa"/>
            </w:tcMar>
          </w:tcPr>
          <w:p w14:paraId="33B77EDA" w14:textId="77777777" w:rsidR="00E551F6" w:rsidRPr="001A0A01" w:rsidRDefault="00E551F6" w:rsidP="00E551F6">
            <w:pPr>
              <w:pStyle w:val="Textpoznpodarou"/>
              <w:jc w:val="both"/>
              <w:rPr>
                <w:spacing w:val="-4"/>
                <w:lang w:val="en-GB"/>
              </w:rPr>
            </w:pPr>
          </w:p>
        </w:tc>
        <w:tc>
          <w:tcPr>
            <w:tcW w:w="7610" w:type="dxa"/>
            <w:shd w:val="clear" w:color="auto" w:fill="auto"/>
            <w:tcMar>
              <w:left w:w="0" w:type="dxa"/>
            </w:tcMar>
          </w:tcPr>
          <w:p w14:paraId="218A50F5" w14:textId="77777777" w:rsidR="00E551F6" w:rsidRPr="001A0A01" w:rsidRDefault="00E551F6" w:rsidP="00E551F6">
            <w:pPr>
              <w:rPr>
                <w:spacing w:val="-2"/>
                <w:lang w:val="en-GB"/>
              </w:rPr>
            </w:pPr>
            <w:r w:rsidRPr="001A0A01">
              <w:rPr>
                <w:lang w:val="en-GB"/>
              </w:rPr>
              <w:t>Expenditure on gross capital formation decreased by 0.3%, quarter on quarter, in real terms. It mainly resulted from the development of inventory creation. On the contrary, expenditure on gross fixed capital formation (investment activity) expanded by 1.9%, quarter on quarter. Investments into intellectual property products (4.4%), dwellings (4.3%), ICT and other machinery and equipment (0.9%) and transport equipment (0.3%) increased, quarter-on-quarter. A decrease was recorded for investment in other buildings and structures (−0.7%). The change in inventories also had a key effect on the year-on-year decline of the capital expenditure (−7.2%)</w:t>
            </w:r>
            <w:r w:rsidRPr="001A0A01">
              <w:rPr>
                <w:rStyle w:val="Znakapoznpodarou"/>
                <w:lang w:val="en-GB"/>
              </w:rPr>
              <w:footnoteReference w:id="8"/>
            </w:r>
            <w:r w:rsidRPr="001A0A01">
              <w:rPr>
                <w:lang w:val="en-GB"/>
              </w:rPr>
              <w:t xml:space="preserve">. The investment activity featured only a modest year-on-year increase (0.7%). Investment into transport equipment increased significantly, year-on-year (8.7%). Growth was more moderate for investment in other buildings and structures (2.0%), dwellings (1.1%) and intellectual property products (0.8%). A drop was on the contrary recorded for investment in ICT and other machinery and equipment (−3.8%). </w:t>
            </w:r>
          </w:p>
        </w:tc>
      </w:tr>
      <w:tr w:rsidR="00E551F6" w:rsidRPr="001A0A01" w14:paraId="1A2D8DD2" w14:textId="77777777" w:rsidTr="007155B7">
        <w:trPr>
          <w:trHeight w:val="154"/>
        </w:trPr>
        <w:tc>
          <w:tcPr>
            <w:tcW w:w="1814" w:type="dxa"/>
            <w:vMerge w:val="restart"/>
            <w:shd w:val="clear" w:color="auto" w:fill="auto"/>
            <w:tcMar>
              <w:left w:w="0" w:type="dxa"/>
            </w:tcMar>
          </w:tcPr>
          <w:p w14:paraId="7540C94D" w14:textId="77777777" w:rsidR="00E551F6" w:rsidRPr="001A0A01" w:rsidRDefault="00E551F6" w:rsidP="00E551F6">
            <w:pPr>
              <w:pStyle w:val="Marginlie"/>
              <w:rPr>
                <w:lang w:val="en-GB"/>
              </w:rPr>
            </w:pPr>
          </w:p>
        </w:tc>
        <w:tc>
          <w:tcPr>
            <w:tcW w:w="227" w:type="dxa"/>
            <w:vMerge w:val="restart"/>
            <w:shd w:val="clear" w:color="auto" w:fill="auto"/>
            <w:tcMar>
              <w:left w:w="0" w:type="dxa"/>
            </w:tcMar>
          </w:tcPr>
          <w:p w14:paraId="51777ACB" w14:textId="77777777" w:rsidR="00E551F6" w:rsidRPr="001A0A01" w:rsidRDefault="00E551F6" w:rsidP="00E551F6">
            <w:pPr>
              <w:pStyle w:val="Textpoznpodarou"/>
              <w:jc w:val="both"/>
              <w:rPr>
                <w:spacing w:val="-4"/>
                <w:lang w:val="en-GB"/>
              </w:rPr>
            </w:pPr>
          </w:p>
        </w:tc>
        <w:tc>
          <w:tcPr>
            <w:tcW w:w="7610" w:type="dxa"/>
            <w:shd w:val="clear" w:color="auto" w:fill="auto"/>
            <w:tcMar>
              <w:left w:w="0" w:type="dxa"/>
            </w:tcMar>
          </w:tcPr>
          <w:p w14:paraId="6FAEA645" w14:textId="77777777" w:rsidR="00E551F6" w:rsidRPr="001A0A01" w:rsidRDefault="00E551F6" w:rsidP="00E551F6">
            <w:pPr>
              <w:spacing w:after="0"/>
              <w:rPr>
                <w:lang w:val="en-GB"/>
              </w:rPr>
            </w:pPr>
            <w:r w:rsidRPr="001A0A01">
              <w:rPr>
                <w:b/>
                <w:szCs w:val="20"/>
                <w:lang w:val="en-GB"/>
              </w:rPr>
              <w:t xml:space="preserve">Chart 2 Contribution of expenditure items to real GDP change* </w:t>
            </w:r>
            <w:r w:rsidRPr="001A0A01">
              <w:rPr>
                <w:bCs/>
                <w:szCs w:val="20"/>
                <w:lang w:val="en-GB"/>
              </w:rPr>
              <w:t>(volume indices, year-on-year growth, contributions in p.p., GDP in %)</w:t>
            </w:r>
          </w:p>
        </w:tc>
      </w:tr>
      <w:tr w:rsidR="00E551F6" w:rsidRPr="001A0A01" w14:paraId="0C284CF1" w14:textId="77777777" w:rsidTr="007155B7">
        <w:tblPrEx>
          <w:tblCellMar>
            <w:left w:w="70" w:type="dxa"/>
            <w:right w:w="70" w:type="dxa"/>
          </w:tblCellMar>
        </w:tblPrEx>
        <w:trPr>
          <w:trHeight w:val="154"/>
        </w:trPr>
        <w:tc>
          <w:tcPr>
            <w:tcW w:w="1814" w:type="dxa"/>
            <w:vMerge/>
          </w:tcPr>
          <w:p w14:paraId="60A6625E" w14:textId="77777777" w:rsidR="00E551F6" w:rsidRPr="001A0A01" w:rsidRDefault="00E551F6" w:rsidP="00E551F6">
            <w:pPr>
              <w:pStyle w:val="Marginlie"/>
              <w:rPr>
                <w:lang w:val="en-GB"/>
              </w:rPr>
            </w:pPr>
          </w:p>
        </w:tc>
        <w:tc>
          <w:tcPr>
            <w:tcW w:w="227" w:type="dxa"/>
            <w:vMerge/>
          </w:tcPr>
          <w:p w14:paraId="6A188903" w14:textId="77777777" w:rsidR="00E551F6" w:rsidRPr="001A0A01" w:rsidRDefault="00E551F6" w:rsidP="00E551F6">
            <w:pPr>
              <w:pStyle w:val="Textpoznpodarou"/>
              <w:jc w:val="both"/>
              <w:rPr>
                <w:spacing w:val="-4"/>
                <w:lang w:val="en-GB"/>
              </w:rPr>
            </w:pPr>
          </w:p>
        </w:tc>
        <w:tc>
          <w:tcPr>
            <w:tcW w:w="7610" w:type="dxa"/>
            <w:shd w:val="clear" w:color="auto" w:fill="auto"/>
          </w:tcPr>
          <w:p w14:paraId="4A4D2243" w14:textId="7C313041" w:rsidR="00E551F6" w:rsidRPr="001A0A01" w:rsidRDefault="00AE6221" w:rsidP="00E551F6">
            <w:pPr>
              <w:spacing w:after="0"/>
              <w:rPr>
                <w:lang w:val="en-GB"/>
              </w:rPr>
            </w:pPr>
            <w:r>
              <w:rPr>
                <w:noProof/>
              </w:rPr>
              <w:drawing>
                <wp:inline distT="0" distB="0" distL="0" distR="0" wp14:anchorId="06153AB5" wp14:editId="62AB4498">
                  <wp:extent cx="4743950" cy="3420000"/>
                  <wp:effectExtent l="0" t="0" r="0" b="0"/>
                  <wp:docPr id="7" name="Graf 7">
                    <a:extLst xmlns:a="http://schemas.openxmlformats.org/drawingml/2006/main">
                      <a:ext uri="{FF2B5EF4-FFF2-40B4-BE49-F238E27FC236}">
                        <a16:creationId xmlns:a16="http://schemas.microsoft.com/office/drawing/2014/main"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E551F6" w:rsidRPr="001A0A01" w14:paraId="4C53B8C2" w14:textId="77777777" w:rsidTr="007155B7">
        <w:trPr>
          <w:trHeight w:val="154"/>
        </w:trPr>
        <w:tc>
          <w:tcPr>
            <w:tcW w:w="1814" w:type="dxa"/>
            <w:vMerge/>
            <w:tcMar>
              <w:left w:w="0" w:type="dxa"/>
            </w:tcMar>
          </w:tcPr>
          <w:p w14:paraId="011C82E9" w14:textId="77777777" w:rsidR="00E551F6" w:rsidRPr="001A0A01" w:rsidRDefault="00E551F6" w:rsidP="00E551F6">
            <w:pPr>
              <w:pStyle w:val="Marginlie"/>
              <w:rPr>
                <w:lang w:val="en-GB"/>
              </w:rPr>
            </w:pPr>
          </w:p>
        </w:tc>
        <w:tc>
          <w:tcPr>
            <w:tcW w:w="227" w:type="dxa"/>
            <w:vMerge/>
            <w:tcMar>
              <w:left w:w="0" w:type="dxa"/>
            </w:tcMar>
          </w:tcPr>
          <w:p w14:paraId="3DD6D174" w14:textId="77777777" w:rsidR="00E551F6" w:rsidRPr="001A0A01" w:rsidRDefault="00E551F6" w:rsidP="00E551F6">
            <w:pPr>
              <w:pStyle w:val="Textpoznpodarou"/>
              <w:jc w:val="both"/>
              <w:rPr>
                <w:spacing w:val="-4"/>
                <w:lang w:val="en-GB"/>
              </w:rPr>
            </w:pPr>
          </w:p>
        </w:tc>
        <w:tc>
          <w:tcPr>
            <w:tcW w:w="7610" w:type="dxa"/>
            <w:shd w:val="clear" w:color="auto" w:fill="auto"/>
            <w:tcMar>
              <w:left w:w="0" w:type="dxa"/>
            </w:tcMar>
          </w:tcPr>
          <w:p w14:paraId="752E1A71" w14:textId="77777777" w:rsidR="00E551F6" w:rsidRPr="001A0A01" w:rsidRDefault="00E551F6" w:rsidP="00E551F6">
            <w:pPr>
              <w:spacing w:after="0"/>
              <w:rPr>
                <w:sz w:val="14"/>
                <w:szCs w:val="14"/>
                <w:lang w:val="en-GB"/>
              </w:rPr>
            </w:pPr>
            <w:r w:rsidRPr="001A0A01">
              <w:rPr>
                <w:sz w:val="14"/>
                <w:szCs w:val="14"/>
                <w:lang w:val="en-GB"/>
              </w:rPr>
              <w:t>Source: CZSO</w:t>
            </w:r>
          </w:p>
          <w:p w14:paraId="17F926D7" w14:textId="795BBDFD" w:rsidR="00E551F6" w:rsidRPr="001A0A01" w:rsidRDefault="00E551F6" w:rsidP="00AE6221">
            <w:pPr>
              <w:rPr>
                <w:b/>
                <w:bCs/>
                <w:sz w:val="16"/>
                <w:szCs w:val="16"/>
                <w:lang w:val="en-GB"/>
              </w:rPr>
            </w:pPr>
            <w:r w:rsidRPr="001A0A01">
              <w:rPr>
                <w:sz w:val="14"/>
                <w:szCs w:val="14"/>
                <w:lang w:val="en-GB"/>
              </w:rPr>
              <w:t>* after exclusion of exports for final use</w:t>
            </w:r>
          </w:p>
        </w:tc>
      </w:tr>
      <w:tr w:rsidR="00E551F6" w:rsidRPr="001A0A01" w14:paraId="4C908348" w14:textId="77777777" w:rsidTr="007155B7">
        <w:trPr>
          <w:trHeight w:val="145"/>
        </w:trPr>
        <w:tc>
          <w:tcPr>
            <w:tcW w:w="1814" w:type="dxa"/>
            <w:shd w:val="clear" w:color="auto" w:fill="auto"/>
            <w:tcMar>
              <w:left w:w="0" w:type="dxa"/>
            </w:tcMar>
          </w:tcPr>
          <w:p w14:paraId="42E3BC39" w14:textId="77777777" w:rsidR="00E551F6" w:rsidRPr="001A0A01" w:rsidRDefault="00E551F6" w:rsidP="00E551F6">
            <w:pPr>
              <w:pStyle w:val="Marginlie"/>
              <w:rPr>
                <w:lang w:val="en-GB"/>
              </w:rPr>
            </w:pPr>
            <w:r w:rsidRPr="001A0A01">
              <w:rPr>
                <w:lang w:val="en-GB"/>
              </w:rPr>
              <w:t xml:space="preserve">Balance of international trade with goods and services achieved a significant surplus. </w:t>
            </w:r>
          </w:p>
        </w:tc>
        <w:tc>
          <w:tcPr>
            <w:tcW w:w="227" w:type="dxa"/>
            <w:shd w:val="clear" w:color="auto" w:fill="auto"/>
            <w:tcMar>
              <w:left w:w="0" w:type="dxa"/>
            </w:tcMar>
          </w:tcPr>
          <w:p w14:paraId="35B8B711" w14:textId="77777777" w:rsidR="00E551F6" w:rsidRPr="001A0A01" w:rsidRDefault="00E551F6" w:rsidP="00E551F6">
            <w:pPr>
              <w:pStyle w:val="Textpoznpodarou"/>
              <w:jc w:val="both"/>
              <w:rPr>
                <w:spacing w:val="-4"/>
                <w:lang w:val="en-GB"/>
              </w:rPr>
            </w:pPr>
          </w:p>
        </w:tc>
        <w:tc>
          <w:tcPr>
            <w:tcW w:w="7610" w:type="dxa"/>
            <w:shd w:val="clear" w:color="auto" w:fill="auto"/>
            <w:tcMar>
              <w:left w:w="0" w:type="dxa"/>
            </w:tcMar>
          </w:tcPr>
          <w:p w14:paraId="0A53D149" w14:textId="77777777" w:rsidR="00E551F6" w:rsidRPr="001A0A01" w:rsidRDefault="00E551F6" w:rsidP="00E551F6">
            <w:pPr>
              <w:rPr>
                <w:lang w:val="en-GB"/>
              </w:rPr>
            </w:pPr>
            <w:r w:rsidRPr="001A0A01">
              <w:rPr>
                <w:lang w:val="en-GB"/>
              </w:rPr>
              <w:t>Exports of goods and services increased by 0.6%, quarter-on-quarter, in real terms in Q2</w:t>
            </w:r>
            <w:r w:rsidRPr="001A0A01">
              <w:rPr>
                <w:rStyle w:val="Znakapoznpodarou"/>
                <w:lang w:val="en-GB"/>
              </w:rPr>
              <w:footnoteReference w:id="9"/>
            </w:r>
            <w:r w:rsidRPr="001A0A01">
              <w:rPr>
                <w:lang w:val="en-GB"/>
              </w:rPr>
              <w:t xml:space="preserve">. Exports of services increased more significantly (2.1%), while the dynamics remained low (0.3%) in case of goods. The quarter-on-quarter growth of imports of goods and services was only slightly higher than the increase of exports (0.7%). Exports of goods and services increased by 0.4%, year-on-year. Again, this was mainly due to services (6.8%), while exports of goods lagged by 0.8%, year-on-year. Imports recorded a year-on-year decrease (−1.5%) for the fourth time in a row. In imports as well as exports, there has been a disproportion between strong real growth of international trade in services and, conversely, a decline or only a low real increase in trade with goods. The balance of international trade with goods and services at current prices reached a surplus of 143.0 bn CZK in Q2, which was a year-on-year improvement of 45.4 bn CZK. The surplus in trade with goods constituted 114.9 bn CZK (year-on-year increase of 35.3 bn CZK) and 28.0 bn CZK in services (+10.0 bn).      </w:t>
            </w:r>
          </w:p>
        </w:tc>
      </w:tr>
      <w:tr w:rsidR="00E551F6" w:rsidRPr="001A0A01" w14:paraId="1717535C" w14:textId="77777777" w:rsidTr="007155B7">
        <w:trPr>
          <w:trHeight w:val="145"/>
        </w:trPr>
        <w:tc>
          <w:tcPr>
            <w:tcW w:w="1814" w:type="dxa"/>
            <w:shd w:val="clear" w:color="auto" w:fill="auto"/>
            <w:tcMar>
              <w:left w:w="0" w:type="dxa"/>
            </w:tcMar>
          </w:tcPr>
          <w:p w14:paraId="5F094FF9" w14:textId="77777777" w:rsidR="00E551F6" w:rsidRPr="001A0A01" w:rsidRDefault="00E551F6" w:rsidP="00E551F6">
            <w:pPr>
              <w:pStyle w:val="Marginlie"/>
              <w:rPr>
                <w:lang w:val="en-GB"/>
              </w:rPr>
            </w:pPr>
            <w:r w:rsidRPr="001A0A01">
              <w:rPr>
                <w:lang w:val="en-GB"/>
              </w:rPr>
              <w:t xml:space="preserve">Gross value added grew slightly, quarter-on-quarter. </w:t>
            </w:r>
          </w:p>
        </w:tc>
        <w:tc>
          <w:tcPr>
            <w:tcW w:w="227" w:type="dxa"/>
            <w:shd w:val="clear" w:color="auto" w:fill="auto"/>
            <w:tcMar>
              <w:left w:w="0" w:type="dxa"/>
            </w:tcMar>
          </w:tcPr>
          <w:p w14:paraId="034DF61A" w14:textId="77777777" w:rsidR="00E551F6" w:rsidRPr="001A0A01" w:rsidRDefault="00E551F6" w:rsidP="00E551F6">
            <w:pPr>
              <w:pStyle w:val="Textpoznpodarou"/>
              <w:jc w:val="both"/>
              <w:rPr>
                <w:spacing w:val="-4"/>
                <w:lang w:val="en-GB"/>
              </w:rPr>
            </w:pPr>
          </w:p>
        </w:tc>
        <w:tc>
          <w:tcPr>
            <w:tcW w:w="7610" w:type="dxa"/>
            <w:shd w:val="clear" w:color="auto" w:fill="auto"/>
            <w:tcMar>
              <w:left w:w="0" w:type="dxa"/>
            </w:tcMar>
          </w:tcPr>
          <w:p w14:paraId="60E6F379" w14:textId="77777777" w:rsidR="00E551F6" w:rsidRPr="001A0A01" w:rsidRDefault="00E551F6" w:rsidP="00E551F6">
            <w:pPr>
              <w:rPr>
                <w:lang w:val="en-GB"/>
              </w:rPr>
            </w:pPr>
            <w:r w:rsidRPr="001A0A01">
              <w:rPr>
                <w:lang w:val="en-GB"/>
              </w:rPr>
              <w:t xml:space="preserve">The Gross value added (GVA) increased by 0.5%, quarter-on-quarter, in Q2. The quarter-on-quarter GVA growth was mainly due to services branches, which were supported by recovered domestic consumer demand. GVA increased mainly in financial and insurance activities (3.4%), in professional, scientific, technical and administrative activities (2.4%) and in trade, transport, accommodation and food service activities (2.3%). A slight quarter-on-quarter increase was registered for other activities (0.3%), real estate activities (0.3%) and information and communication (0.1%). In industry, the GVA fell by 0.6%, quarter-on-quarter, and only Q4 2023 interrupted the series of quarter-on-quarter declines lasting since the end of 2022. In manufacturing, the GVA declined even more sharply than total industry in Q2. Q2 did not bring a turnaround in the long-term subdued construction industry (−0.3%) either.  </w:t>
            </w:r>
          </w:p>
        </w:tc>
      </w:tr>
      <w:tr w:rsidR="00E551F6" w:rsidRPr="001A0A01" w14:paraId="6312E5E9" w14:textId="77777777" w:rsidTr="007155B7">
        <w:trPr>
          <w:trHeight w:val="170"/>
        </w:trPr>
        <w:tc>
          <w:tcPr>
            <w:tcW w:w="1814" w:type="dxa"/>
            <w:vMerge w:val="restart"/>
            <w:shd w:val="clear" w:color="auto" w:fill="auto"/>
            <w:tcMar>
              <w:left w:w="0" w:type="dxa"/>
            </w:tcMar>
          </w:tcPr>
          <w:p w14:paraId="74E5B833" w14:textId="77777777" w:rsidR="00E551F6" w:rsidRPr="001A0A01" w:rsidRDefault="00E551F6" w:rsidP="00E551F6">
            <w:pPr>
              <w:pStyle w:val="Marginlie"/>
              <w:rPr>
                <w:lang w:val="en-GB"/>
              </w:rPr>
            </w:pPr>
          </w:p>
        </w:tc>
        <w:tc>
          <w:tcPr>
            <w:tcW w:w="227" w:type="dxa"/>
            <w:vMerge w:val="restart"/>
            <w:shd w:val="clear" w:color="auto" w:fill="auto"/>
            <w:tcMar>
              <w:left w:w="0" w:type="dxa"/>
            </w:tcMar>
          </w:tcPr>
          <w:p w14:paraId="2BD87D2E" w14:textId="77777777" w:rsidR="00E551F6" w:rsidRPr="001A0A01" w:rsidRDefault="00E551F6" w:rsidP="00E551F6">
            <w:pPr>
              <w:pStyle w:val="Textpoznpodarou"/>
              <w:jc w:val="both"/>
              <w:rPr>
                <w:spacing w:val="-4"/>
                <w:lang w:val="en-GB"/>
              </w:rPr>
            </w:pPr>
          </w:p>
        </w:tc>
        <w:tc>
          <w:tcPr>
            <w:tcW w:w="7610" w:type="dxa"/>
            <w:shd w:val="clear" w:color="auto" w:fill="auto"/>
            <w:tcMar>
              <w:left w:w="0" w:type="dxa"/>
            </w:tcMar>
          </w:tcPr>
          <w:p w14:paraId="2B4722E8" w14:textId="77777777" w:rsidR="00E551F6" w:rsidRPr="001A0A01" w:rsidRDefault="00E551F6" w:rsidP="00E551F6">
            <w:pPr>
              <w:spacing w:after="0"/>
              <w:rPr>
                <w:lang w:val="en-GB"/>
              </w:rPr>
            </w:pPr>
            <w:r w:rsidRPr="001A0A01">
              <w:rPr>
                <w:b/>
                <w:szCs w:val="20"/>
                <w:lang w:val="en-GB"/>
              </w:rPr>
              <w:t xml:space="preserve">Chart 3 Contributions of branches to real change in GVA </w:t>
            </w:r>
            <w:r w:rsidRPr="001A0A01">
              <w:rPr>
                <w:bCs/>
                <w:szCs w:val="20"/>
                <w:lang w:val="en-GB"/>
              </w:rPr>
              <w:t xml:space="preserve">(volume indices, year-on-year contributions in p.p., GVA in %) </w:t>
            </w:r>
          </w:p>
        </w:tc>
      </w:tr>
      <w:tr w:rsidR="00E551F6" w:rsidRPr="001A0A01" w14:paraId="5558EA57" w14:textId="77777777" w:rsidTr="007155B7">
        <w:tblPrEx>
          <w:tblCellMar>
            <w:left w:w="70" w:type="dxa"/>
            <w:right w:w="70" w:type="dxa"/>
          </w:tblCellMar>
        </w:tblPrEx>
        <w:trPr>
          <w:trHeight w:val="170"/>
        </w:trPr>
        <w:tc>
          <w:tcPr>
            <w:tcW w:w="1814" w:type="dxa"/>
            <w:vMerge/>
          </w:tcPr>
          <w:p w14:paraId="670B0E5C" w14:textId="77777777" w:rsidR="00E551F6" w:rsidRPr="001A0A01" w:rsidRDefault="00E551F6" w:rsidP="00E551F6">
            <w:pPr>
              <w:pStyle w:val="Marginlie"/>
              <w:rPr>
                <w:lang w:val="en-GB"/>
              </w:rPr>
            </w:pPr>
          </w:p>
        </w:tc>
        <w:tc>
          <w:tcPr>
            <w:tcW w:w="227" w:type="dxa"/>
            <w:vMerge/>
          </w:tcPr>
          <w:p w14:paraId="2E32BCC9" w14:textId="77777777" w:rsidR="00E551F6" w:rsidRPr="001A0A01" w:rsidRDefault="00E551F6" w:rsidP="00E551F6">
            <w:pPr>
              <w:pStyle w:val="Textpoznpodarou"/>
              <w:jc w:val="both"/>
              <w:rPr>
                <w:spacing w:val="-4"/>
                <w:lang w:val="en-GB"/>
              </w:rPr>
            </w:pPr>
          </w:p>
        </w:tc>
        <w:tc>
          <w:tcPr>
            <w:tcW w:w="7610" w:type="dxa"/>
            <w:shd w:val="clear" w:color="auto" w:fill="auto"/>
          </w:tcPr>
          <w:p w14:paraId="6B812AEE" w14:textId="04775C9E" w:rsidR="00E551F6" w:rsidRPr="001A0A01" w:rsidRDefault="00AE6221" w:rsidP="00E551F6">
            <w:pPr>
              <w:spacing w:after="0"/>
              <w:rPr>
                <w:lang w:val="en-GB"/>
              </w:rPr>
            </w:pPr>
            <w:r>
              <w:rPr>
                <w:noProof/>
              </w:rPr>
              <w:drawing>
                <wp:inline distT="0" distB="0" distL="0" distR="0" wp14:anchorId="7228C1A2" wp14:editId="02A09FAF">
                  <wp:extent cx="4734425" cy="3420000"/>
                  <wp:effectExtent l="0" t="0" r="0" b="0"/>
                  <wp:docPr id="8" name="Graf 8">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E551F6" w:rsidRPr="001A0A01" w14:paraId="63844205" w14:textId="77777777" w:rsidTr="007155B7">
        <w:trPr>
          <w:trHeight w:val="170"/>
        </w:trPr>
        <w:tc>
          <w:tcPr>
            <w:tcW w:w="1814" w:type="dxa"/>
            <w:vMerge/>
            <w:tcMar>
              <w:left w:w="0" w:type="dxa"/>
            </w:tcMar>
          </w:tcPr>
          <w:p w14:paraId="4F22EB70" w14:textId="77777777" w:rsidR="00E551F6" w:rsidRPr="001A0A01" w:rsidRDefault="00E551F6" w:rsidP="00E551F6">
            <w:pPr>
              <w:pStyle w:val="Marginlie"/>
              <w:rPr>
                <w:lang w:val="en-GB"/>
              </w:rPr>
            </w:pPr>
          </w:p>
        </w:tc>
        <w:tc>
          <w:tcPr>
            <w:tcW w:w="227" w:type="dxa"/>
            <w:vMerge/>
            <w:tcMar>
              <w:left w:w="0" w:type="dxa"/>
            </w:tcMar>
          </w:tcPr>
          <w:p w14:paraId="09AF0DBE" w14:textId="77777777" w:rsidR="00E551F6" w:rsidRPr="001A0A01" w:rsidRDefault="00E551F6" w:rsidP="00E551F6">
            <w:pPr>
              <w:pStyle w:val="Textpoznpodarou"/>
              <w:jc w:val="both"/>
              <w:rPr>
                <w:spacing w:val="-4"/>
                <w:lang w:val="en-GB"/>
              </w:rPr>
            </w:pPr>
          </w:p>
        </w:tc>
        <w:tc>
          <w:tcPr>
            <w:tcW w:w="7610" w:type="dxa"/>
            <w:shd w:val="clear" w:color="auto" w:fill="auto"/>
            <w:tcMar>
              <w:left w:w="0" w:type="dxa"/>
            </w:tcMar>
          </w:tcPr>
          <w:p w14:paraId="78BC1BD2" w14:textId="56AD2B6A" w:rsidR="00E551F6" w:rsidRPr="001A0A01" w:rsidRDefault="00E551F6" w:rsidP="00AE6221">
            <w:pPr>
              <w:rPr>
                <w:b/>
                <w:bCs/>
                <w:sz w:val="16"/>
                <w:szCs w:val="16"/>
                <w:lang w:val="en-GB"/>
              </w:rPr>
            </w:pPr>
            <w:r w:rsidRPr="001A0A01">
              <w:rPr>
                <w:sz w:val="14"/>
                <w:szCs w:val="14"/>
                <w:lang w:val="en-GB"/>
              </w:rPr>
              <w:t>Source: CZSO</w:t>
            </w:r>
          </w:p>
        </w:tc>
      </w:tr>
      <w:tr w:rsidR="00E551F6" w:rsidRPr="001A0A01" w14:paraId="3991951C" w14:textId="77777777" w:rsidTr="007155B7">
        <w:trPr>
          <w:trHeight w:val="145"/>
        </w:trPr>
        <w:tc>
          <w:tcPr>
            <w:tcW w:w="1814" w:type="dxa"/>
            <w:shd w:val="clear" w:color="auto" w:fill="auto"/>
            <w:tcMar>
              <w:left w:w="0" w:type="dxa"/>
            </w:tcMar>
          </w:tcPr>
          <w:p w14:paraId="63E5A809" w14:textId="77777777" w:rsidR="00E551F6" w:rsidRPr="001A0A01" w:rsidRDefault="00E551F6" w:rsidP="00E551F6">
            <w:pPr>
              <w:pStyle w:val="Marginlie"/>
              <w:rPr>
                <w:lang w:val="en-GB"/>
              </w:rPr>
            </w:pPr>
            <w:r w:rsidRPr="001A0A01">
              <w:rPr>
                <w:lang w:val="en-GB"/>
              </w:rPr>
              <w:t>While the GVA mostly grew for services, industry did not fare well.</w:t>
            </w:r>
          </w:p>
        </w:tc>
        <w:tc>
          <w:tcPr>
            <w:tcW w:w="227" w:type="dxa"/>
            <w:shd w:val="clear" w:color="auto" w:fill="auto"/>
            <w:tcMar>
              <w:left w:w="0" w:type="dxa"/>
            </w:tcMar>
          </w:tcPr>
          <w:p w14:paraId="7C6C4286" w14:textId="77777777" w:rsidR="00E551F6" w:rsidRPr="001A0A01" w:rsidRDefault="00E551F6" w:rsidP="00E551F6">
            <w:pPr>
              <w:pStyle w:val="Textpoznpodarou"/>
              <w:jc w:val="both"/>
              <w:rPr>
                <w:spacing w:val="-4"/>
                <w:lang w:val="en-GB"/>
              </w:rPr>
            </w:pPr>
          </w:p>
        </w:tc>
        <w:tc>
          <w:tcPr>
            <w:tcW w:w="7610" w:type="dxa"/>
            <w:shd w:val="clear" w:color="auto" w:fill="auto"/>
            <w:tcMar>
              <w:left w:w="0" w:type="dxa"/>
            </w:tcMar>
          </w:tcPr>
          <w:p w14:paraId="6041060A" w14:textId="77777777" w:rsidR="00E551F6" w:rsidRPr="001A0A01" w:rsidRDefault="00E551F6" w:rsidP="0060171C">
            <w:pPr>
              <w:spacing w:after="0"/>
              <w:rPr>
                <w:lang w:val="en-GB"/>
              </w:rPr>
            </w:pPr>
            <w:r w:rsidRPr="001A0A01">
              <w:rPr>
                <w:lang w:val="en-GB"/>
              </w:rPr>
              <w:t xml:space="preserve">Similarly to quarter-on-quarter dynamics, especially services also contributed to the year-on-year GVA growth. GVA grew strongly in financial and insurance activities (7.3%), year-on-year, and more moderate increases were also recorded in trade, transport, accommodation and food service activities (2.3%), information and communication (1.1%), real estate activities (0.9%), and public administration, education, health and social work activities (0.7%). Other activities and professional, scientific, technical and administrative activities stagnated (−0.1%), year-on-year. The GVA declined in industry as a whole (−2.5%), year-on-year, of which the decrease reached 3.0% in manufacturing. The decrease of GVA in construction by 2.4% extended the continuous time series of year-on-year declines to six years in construction.   </w:t>
            </w:r>
          </w:p>
        </w:tc>
      </w:tr>
    </w:tbl>
    <w:p w14:paraId="2143296F" w14:textId="6C032581" w:rsidR="00A50D73" w:rsidRPr="00441ACC" w:rsidRDefault="00A50D73" w:rsidP="00441ACC">
      <w:pPr>
        <w:pStyle w:val="Nadpis1"/>
        <w:rPr>
          <w:sz w:val="2"/>
          <w:szCs w:val="2"/>
        </w:rPr>
      </w:pPr>
    </w:p>
    <w:sectPr w:rsidR="00A50D73" w:rsidRPr="00441ACC" w:rsidSect="006F5416">
      <w:headerReference w:type="even" r:id="rId14"/>
      <w:headerReference w:type="default" r:id="rId15"/>
      <w:footerReference w:type="even" r:id="rId16"/>
      <w:footerReference w:type="default" r:id="rId17"/>
      <w:pgSz w:w="11906" w:h="16838" w:code="9"/>
      <w:pgMar w:top="1134" w:right="1134" w:bottom="1418" w:left="1134"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2AE9CB" w14:textId="77777777" w:rsidR="00975F7A" w:rsidRDefault="00975F7A" w:rsidP="00E71A58">
      <w:r>
        <w:separator/>
      </w:r>
    </w:p>
  </w:endnote>
  <w:endnote w:type="continuationSeparator" w:id="0">
    <w:p w14:paraId="12954E60" w14:textId="77777777" w:rsidR="00975F7A" w:rsidRDefault="00975F7A" w:rsidP="00E71A58">
      <w:r>
        <w:continuationSeparator/>
      </w:r>
    </w:p>
  </w:endnote>
  <w:endnote w:type="continuationNotice" w:id="1">
    <w:p w14:paraId="7BFA3664" w14:textId="77777777" w:rsidR="00975F7A" w:rsidRDefault="00975F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8" w14:textId="6BFC125C" w:rsidR="00165465" w:rsidRPr="00932443" w:rsidRDefault="00165465" w:rsidP="00A418BC">
    <w:pPr>
      <w:pStyle w:val="Zpat"/>
      <w:rPr>
        <w:szCs w:val="16"/>
      </w:rPr>
    </w:pPr>
    <w:r>
      <w:rPr>
        <w:szCs w:val="16"/>
        <w:lang w:eastAsia="cs-CZ"/>
      </w:rPr>
      <w:drawing>
        <wp:anchor distT="0" distB="0" distL="114300" distR="114300" simplePos="0" relativeHeight="251658241" behindDoc="0" locked="0" layoutInCell="1" allowOverlap="1" wp14:anchorId="2143298A" wp14:editId="2143298B">
          <wp:simplePos x="0" y="0"/>
          <wp:positionH relativeFrom="column">
            <wp:align>right</wp:align>
          </wp:positionH>
          <wp:positionV relativeFrom="paragraph">
            <wp:posOffset>-64770</wp:posOffset>
          </wp:positionV>
          <wp:extent cx="428625" cy="201295"/>
          <wp:effectExtent l="0" t="0" r="3175" b="1905"/>
          <wp:wrapNone/>
          <wp:docPr id="21"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fldChar w:fldCharType="begin"/>
    </w:r>
    <w:r w:rsidRPr="00932443">
      <w:rPr>
        <w:szCs w:val="16"/>
      </w:rPr>
      <w:instrText>PAGE   \* MERGEFORMAT</w:instrText>
    </w:r>
    <w:r w:rsidRPr="00932443">
      <w:rPr>
        <w:szCs w:val="16"/>
      </w:rPr>
      <w:fldChar w:fldCharType="separate"/>
    </w:r>
    <w:r w:rsidR="00441ACC">
      <w:rPr>
        <w:szCs w:val="16"/>
      </w:rPr>
      <w:t>4</w:t>
    </w:r>
    <w:r w:rsidRPr="00932443">
      <w:rPr>
        <w:szCs w:val="16"/>
      </w:rPr>
      <w:fldChar w:fldCharType="end"/>
    </w:r>
    <w:r w:rsidRPr="00932443">
      <w:rPr>
        <w:szCs w:val="16"/>
      </w:rPr>
      <w:tab/>
    </w:r>
    <w:r>
      <w:rPr>
        <w:szCs w:val="16"/>
      </w:rPr>
      <w:t>First half of 2024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9" w14:textId="6E76FD0C" w:rsidR="00165465" w:rsidRPr="00932443" w:rsidRDefault="00165465" w:rsidP="00A418BC">
    <w:pPr>
      <w:pStyle w:val="Zpat"/>
      <w:rPr>
        <w:szCs w:val="16"/>
      </w:rPr>
    </w:pPr>
    <w:r>
      <w:rPr>
        <w:szCs w:val="16"/>
        <w:lang w:eastAsia="cs-CZ"/>
      </w:rPr>
      <w:drawing>
        <wp:anchor distT="0" distB="0" distL="114300" distR="114300" simplePos="0" relativeHeight="251658240" behindDoc="0" locked="0" layoutInCell="1" allowOverlap="1" wp14:anchorId="2143298C" wp14:editId="3333567D">
          <wp:simplePos x="0" y="0"/>
          <wp:positionH relativeFrom="column">
            <wp:posOffset>3810</wp:posOffset>
          </wp:positionH>
          <wp:positionV relativeFrom="paragraph">
            <wp:posOffset>-60960</wp:posOffset>
          </wp:positionV>
          <wp:extent cx="691467" cy="201600"/>
          <wp:effectExtent l="0" t="0" r="0" b="8255"/>
          <wp:wrapNone/>
          <wp:docPr id="2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91467" cy="201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Pr>
        <w:szCs w:val="16"/>
      </w:rPr>
      <w:t>First half of 2024</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975F7A">
      <w:rPr>
        <w:rStyle w:val="ZpatChar"/>
        <w:szCs w:val="16"/>
      </w:rPr>
      <w:t>1</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4FF4A8" w14:textId="77777777" w:rsidR="00975F7A" w:rsidRDefault="00975F7A" w:rsidP="00EA4302">
      <w:pPr>
        <w:spacing w:after="0"/>
      </w:pPr>
      <w:r>
        <w:separator/>
      </w:r>
    </w:p>
  </w:footnote>
  <w:footnote w:type="continuationSeparator" w:id="0">
    <w:p w14:paraId="0D93D84B" w14:textId="77777777" w:rsidR="00975F7A" w:rsidRDefault="00975F7A" w:rsidP="00E71A58">
      <w:r>
        <w:continuationSeparator/>
      </w:r>
    </w:p>
  </w:footnote>
  <w:footnote w:type="continuationNotice" w:id="1">
    <w:p w14:paraId="7982C1CE" w14:textId="77777777" w:rsidR="00975F7A" w:rsidRDefault="00975F7A">
      <w:pPr>
        <w:spacing w:after="0" w:line="240" w:lineRule="auto"/>
      </w:pPr>
    </w:p>
  </w:footnote>
  <w:footnote w:id="2">
    <w:p w14:paraId="2BE9A2AF" w14:textId="77777777" w:rsidR="00165465" w:rsidRPr="000348AF" w:rsidRDefault="00165465" w:rsidP="00E551F6">
      <w:pPr>
        <w:pStyle w:val="Textpoznpodarou"/>
        <w:rPr>
          <w:sz w:val="16"/>
          <w:szCs w:val="16"/>
        </w:rPr>
      </w:pPr>
      <w:r w:rsidRPr="000348AF">
        <w:rPr>
          <w:rStyle w:val="Znakapoznpodarou"/>
          <w:sz w:val="16"/>
          <w:szCs w:val="16"/>
        </w:rPr>
        <w:footnoteRef/>
      </w:r>
      <w:r w:rsidRPr="000348AF">
        <w:rPr>
          <w:sz w:val="16"/>
          <w:szCs w:val="16"/>
        </w:rPr>
        <w:t xml:space="preserve"> </w:t>
      </w:r>
      <w:r w:rsidRPr="00CE719A">
        <w:rPr>
          <w:sz w:val="16"/>
          <w:szCs w:val="16"/>
          <w:lang w:val="en-GB"/>
        </w:rPr>
        <w:t xml:space="preserve">The development of the GDP, gross value added and their components is expressed with the help of the volume indices (i.e. adjusted for changes in prices) and adjusted for seasonal and calendar effects. Data are valid as of </w:t>
      </w:r>
      <w:r>
        <w:rPr>
          <w:sz w:val="16"/>
          <w:szCs w:val="16"/>
          <w:lang w:val="en-GB"/>
        </w:rPr>
        <w:t>31</w:t>
      </w:r>
      <w:r w:rsidRPr="00FB790C">
        <w:rPr>
          <w:sz w:val="16"/>
          <w:szCs w:val="16"/>
          <w:vertAlign w:val="superscript"/>
          <w:lang w:val="en-GB"/>
        </w:rPr>
        <w:t>st</w:t>
      </w:r>
      <w:r>
        <w:rPr>
          <w:sz w:val="16"/>
          <w:szCs w:val="16"/>
          <w:lang w:val="en-GB"/>
        </w:rPr>
        <w:t xml:space="preserve"> May </w:t>
      </w:r>
      <w:r w:rsidRPr="000348AF">
        <w:rPr>
          <w:sz w:val="16"/>
          <w:szCs w:val="16"/>
        </w:rPr>
        <w:t>202</w:t>
      </w:r>
      <w:r>
        <w:rPr>
          <w:sz w:val="16"/>
          <w:szCs w:val="16"/>
        </w:rPr>
        <w:t>4</w:t>
      </w:r>
      <w:r w:rsidRPr="000348AF">
        <w:rPr>
          <w:sz w:val="16"/>
          <w:szCs w:val="16"/>
        </w:rPr>
        <w:t>.</w:t>
      </w:r>
    </w:p>
  </w:footnote>
  <w:footnote w:id="3">
    <w:p w14:paraId="3D12CB8C" w14:textId="77777777" w:rsidR="00165465" w:rsidRDefault="00165465" w:rsidP="00E551F6">
      <w:pPr>
        <w:pStyle w:val="Textpoznpodarou"/>
      </w:pPr>
      <w:r w:rsidRPr="009C6EA8">
        <w:rPr>
          <w:rStyle w:val="Znakapoznpodarou"/>
          <w:sz w:val="16"/>
          <w:szCs w:val="16"/>
        </w:rPr>
        <w:footnoteRef/>
      </w:r>
      <w:r w:rsidRPr="009C6EA8">
        <w:rPr>
          <w:sz w:val="16"/>
          <w:szCs w:val="16"/>
        </w:rPr>
        <w:t xml:space="preserve"> </w:t>
      </w:r>
      <w:r w:rsidRPr="00645D71">
        <w:rPr>
          <w:sz w:val="16"/>
          <w:szCs w:val="16"/>
        </w:rPr>
        <w:t xml:space="preserve">Employment data are in the national accounts conception (persons), figure seasonally adjusted.  </w:t>
      </w:r>
    </w:p>
  </w:footnote>
  <w:footnote w:id="4">
    <w:p w14:paraId="151787A3" w14:textId="77777777" w:rsidR="00165465" w:rsidRPr="005F75B1" w:rsidRDefault="00165465" w:rsidP="00E551F6">
      <w:pPr>
        <w:pStyle w:val="Textpoznpodarou"/>
        <w:jc w:val="both"/>
        <w:rPr>
          <w:sz w:val="16"/>
          <w:szCs w:val="16"/>
        </w:rPr>
      </w:pPr>
      <w:r w:rsidRPr="005F75B1">
        <w:rPr>
          <w:rStyle w:val="Znakapoznpodarou"/>
          <w:sz w:val="16"/>
          <w:szCs w:val="16"/>
        </w:rPr>
        <w:footnoteRef/>
      </w:r>
      <w:r w:rsidRPr="005F75B1">
        <w:rPr>
          <w:sz w:val="16"/>
          <w:szCs w:val="16"/>
        </w:rPr>
        <w:t xml:space="preserve"> </w:t>
      </w:r>
      <w:r w:rsidRPr="0029268D">
        <w:rPr>
          <w:sz w:val="16"/>
          <w:szCs w:val="16"/>
          <w:lang w:val="en-GB"/>
        </w:rPr>
        <w:t>Converted into the real expression using the deflator of household consumption.</w:t>
      </w:r>
    </w:p>
  </w:footnote>
  <w:footnote w:id="5">
    <w:p w14:paraId="42BB4085" w14:textId="77777777" w:rsidR="00165465" w:rsidRPr="0053191D" w:rsidRDefault="00165465" w:rsidP="00E551F6">
      <w:pPr>
        <w:pStyle w:val="Textpoznpodarou"/>
        <w:jc w:val="both"/>
        <w:rPr>
          <w:sz w:val="16"/>
          <w:szCs w:val="16"/>
        </w:rPr>
      </w:pPr>
      <w:r w:rsidRPr="0053191D">
        <w:rPr>
          <w:rStyle w:val="Znakapoznpodarou"/>
          <w:sz w:val="16"/>
          <w:szCs w:val="16"/>
        </w:rPr>
        <w:footnoteRef/>
      </w:r>
      <w:r w:rsidRPr="0053191D">
        <w:rPr>
          <w:sz w:val="16"/>
          <w:szCs w:val="16"/>
        </w:rPr>
        <w:t xml:space="preserve"> </w:t>
      </w:r>
      <w:r w:rsidRPr="008A3F26">
        <w:rPr>
          <w:sz w:val="16"/>
          <w:szCs w:val="16"/>
        </w:rPr>
        <w:t>This section contains activities of common interests organisations, repairs of computers and mainly personal and household goods and a number of other personal services (beauty, hairdressing treatment etc.).</w:t>
      </w:r>
    </w:p>
  </w:footnote>
  <w:footnote w:id="6">
    <w:p w14:paraId="24A71306" w14:textId="77777777" w:rsidR="00165465" w:rsidRPr="009C6EA8" w:rsidRDefault="00165465" w:rsidP="00E551F6">
      <w:pPr>
        <w:pStyle w:val="Textpoznpodarou"/>
        <w:rPr>
          <w:sz w:val="16"/>
          <w:szCs w:val="16"/>
        </w:rPr>
      </w:pPr>
      <w:r w:rsidRPr="009C6EA8">
        <w:rPr>
          <w:rStyle w:val="Znakapoznpodarou"/>
          <w:sz w:val="16"/>
          <w:szCs w:val="16"/>
        </w:rPr>
        <w:footnoteRef/>
      </w:r>
      <w:r w:rsidRPr="009C6EA8">
        <w:rPr>
          <w:sz w:val="16"/>
          <w:szCs w:val="16"/>
        </w:rPr>
        <w:t xml:space="preserve"> </w:t>
      </w:r>
      <w:r w:rsidRPr="0029268D">
        <w:rPr>
          <w:sz w:val="16"/>
          <w:szCs w:val="16"/>
          <w:lang w:val="en-GB"/>
        </w:rPr>
        <w:t>Additions to the GDP change after exclusion of imports for final use.</w:t>
      </w:r>
    </w:p>
  </w:footnote>
  <w:footnote w:id="7">
    <w:p w14:paraId="38918574" w14:textId="77777777" w:rsidR="00165465" w:rsidRPr="00954992" w:rsidRDefault="00165465" w:rsidP="00E551F6">
      <w:pPr>
        <w:pStyle w:val="Textpoznpodarou"/>
        <w:rPr>
          <w:sz w:val="16"/>
          <w:szCs w:val="16"/>
        </w:rPr>
      </w:pPr>
      <w:r w:rsidRPr="00954992">
        <w:rPr>
          <w:rStyle w:val="Znakapoznpodarou"/>
          <w:sz w:val="16"/>
          <w:szCs w:val="16"/>
        </w:rPr>
        <w:footnoteRef/>
      </w:r>
      <w:r w:rsidRPr="00954992">
        <w:rPr>
          <w:sz w:val="16"/>
          <w:szCs w:val="16"/>
        </w:rPr>
        <w:t xml:space="preserve"> </w:t>
      </w:r>
      <w:r w:rsidRPr="001C0409">
        <w:rPr>
          <w:sz w:val="16"/>
          <w:szCs w:val="16"/>
          <w:lang w:val="en-GB"/>
        </w:rPr>
        <w:t>Data regarding consumption based on durability are in domestic conception</w:t>
      </w:r>
      <w:r>
        <w:rPr>
          <w:sz w:val="16"/>
          <w:szCs w:val="16"/>
          <w:lang w:val="en-GB"/>
        </w:rPr>
        <w:t xml:space="preserve">. </w:t>
      </w:r>
    </w:p>
  </w:footnote>
  <w:footnote w:id="8">
    <w:p w14:paraId="41B9766D" w14:textId="77777777" w:rsidR="00165465" w:rsidRPr="004831F6" w:rsidRDefault="00165465" w:rsidP="00E551F6">
      <w:pPr>
        <w:pStyle w:val="Textpoznpodarou"/>
        <w:rPr>
          <w:sz w:val="16"/>
          <w:szCs w:val="16"/>
        </w:rPr>
      </w:pPr>
      <w:r w:rsidRPr="004831F6">
        <w:rPr>
          <w:rStyle w:val="Znakapoznpodarou"/>
          <w:sz w:val="16"/>
          <w:szCs w:val="16"/>
        </w:rPr>
        <w:footnoteRef/>
      </w:r>
      <w:r w:rsidRPr="004831F6">
        <w:rPr>
          <w:sz w:val="16"/>
          <w:szCs w:val="16"/>
        </w:rPr>
        <w:t xml:space="preserve"> </w:t>
      </w:r>
      <w:r w:rsidRPr="008909F8">
        <w:rPr>
          <w:sz w:val="16"/>
          <w:szCs w:val="16"/>
        </w:rPr>
        <w:t xml:space="preserve">Change of the inventory stock (in current prices and not seasonally adjusted) </w:t>
      </w:r>
      <w:r>
        <w:rPr>
          <w:sz w:val="16"/>
          <w:szCs w:val="16"/>
        </w:rPr>
        <w:t xml:space="preserve">attained 8.1 bn CZK in Q2 2024, while it was 35.2 bn in year 2023.  </w:t>
      </w:r>
    </w:p>
  </w:footnote>
  <w:footnote w:id="9">
    <w:p w14:paraId="030111C9" w14:textId="77777777" w:rsidR="00165465" w:rsidRPr="00167B30" w:rsidRDefault="00165465" w:rsidP="00E551F6">
      <w:pPr>
        <w:pStyle w:val="Textpoznpodarou"/>
        <w:rPr>
          <w:sz w:val="16"/>
          <w:szCs w:val="16"/>
        </w:rPr>
      </w:pPr>
      <w:r w:rsidRPr="00167B30">
        <w:rPr>
          <w:rStyle w:val="Znakapoznpodarou"/>
          <w:sz w:val="16"/>
          <w:szCs w:val="16"/>
        </w:rPr>
        <w:footnoteRef/>
      </w:r>
      <w:r w:rsidRPr="00167B30">
        <w:rPr>
          <w:sz w:val="16"/>
          <w:szCs w:val="16"/>
        </w:rPr>
        <w:t xml:space="preserve"> </w:t>
      </w:r>
      <w:r w:rsidRPr="004C4C7E">
        <w:rPr>
          <w:sz w:val="16"/>
          <w:szCs w:val="16"/>
        </w:rPr>
        <w:t xml:space="preserve">According to the methodology of quarterly national accounts (export and import in FOB/FOB prices). </w:t>
      </w:r>
      <w:r>
        <w:rPr>
          <w:sz w:val="16"/>
          <w:szCs w:val="16"/>
        </w:rPr>
        <w:t xml:space="preserve">International </w:t>
      </w:r>
      <w:r w:rsidRPr="004C4C7E">
        <w:rPr>
          <w:sz w:val="16"/>
          <w:szCs w:val="16"/>
        </w:rPr>
        <w:t xml:space="preserve">trade balance in current prices and seasonally adjusted.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6" w14:textId="33008622" w:rsidR="00165465" w:rsidRPr="00C27E4F" w:rsidRDefault="00165465" w:rsidP="00C27E4F">
    <w:pPr>
      <w:pStyle w:val="Zhlav"/>
    </w:pPr>
    <w:r>
      <w:t>The Czech Economy Development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7" w14:textId="66FE4D49" w:rsidR="00165465" w:rsidRPr="006F5416" w:rsidRDefault="00165465" w:rsidP="00937AE2">
    <w:pPr>
      <w:pStyle w:val="Zhlav"/>
    </w:pPr>
    <w:r>
      <w:t>The Czech Economy Development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1"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0"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69B048D2"/>
    <w:multiLevelType w:val="hybridMultilevel"/>
    <w:tmpl w:val="D2A0FC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87747AF"/>
    <w:multiLevelType w:val="hybridMultilevel"/>
    <w:tmpl w:val="76204D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20"/>
  </w:num>
  <w:num w:numId="14">
    <w:abstractNumId w:val="10"/>
  </w:num>
  <w:num w:numId="15">
    <w:abstractNumId w:val="16"/>
  </w:num>
  <w:num w:numId="16">
    <w:abstractNumId w:val="12"/>
  </w:num>
  <w:num w:numId="17">
    <w:abstractNumId w:val="21"/>
  </w:num>
  <w:num w:numId="18">
    <w:abstractNumId w:val="17"/>
  </w:num>
  <w:num w:numId="19">
    <w:abstractNumId w:val="22"/>
  </w:num>
  <w:num w:numId="20">
    <w:abstractNumId w:val="25"/>
  </w:num>
  <w:num w:numId="21">
    <w:abstractNumId w:val="19"/>
  </w:num>
  <w:num w:numId="22">
    <w:abstractNumId w:val="15"/>
  </w:num>
  <w:num w:numId="23">
    <w:abstractNumId w:val="13"/>
  </w:num>
  <w:num w:numId="24">
    <w:abstractNumId w:val="14"/>
  </w:num>
  <w:num w:numId="25">
    <w:abstractNumId w:val="23"/>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savePreviewPicture/>
  <w:hdrShapeDefaults>
    <o:shapedefaults v:ext="edit" spidmax="2049">
      <o:colormru v:ext="edit" colors="#ecf4dd,#eaecee,#fcec0a,#fcecdb,#f1daf5"/>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062"/>
    <w:rsid w:val="0000209D"/>
    <w:rsid w:val="00004D5A"/>
    <w:rsid w:val="000056D5"/>
    <w:rsid w:val="00006ABD"/>
    <w:rsid w:val="0000767A"/>
    <w:rsid w:val="00010256"/>
    <w:rsid w:val="00010702"/>
    <w:rsid w:val="00011912"/>
    <w:rsid w:val="000165E9"/>
    <w:rsid w:val="0002195D"/>
    <w:rsid w:val="000234D6"/>
    <w:rsid w:val="00023D29"/>
    <w:rsid w:val="00026389"/>
    <w:rsid w:val="00031AE0"/>
    <w:rsid w:val="000322EF"/>
    <w:rsid w:val="00033FCD"/>
    <w:rsid w:val="00040A98"/>
    <w:rsid w:val="00040D10"/>
    <w:rsid w:val="00041CEC"/>
    <w:rsid w:val="00042F74"/>
    <w:rsid w:val="0004694F"/>
    <w:rsid w:val="000522E4"/>
    <w:rsid w:val="000610E1"/>
    <w:rsid w:val="00061186"/>
    <w:rsid w:val="00062EC5"/>
    <w:rsid w:val="00062F22"/>
    <w:rsid w:val="000674C7"/>
    <w:rsid w:val="000712B3"/>
    <w:rsid w:val="00074573"/>
    <w:rsid w:val="0008263E"/>
    <w:rsid w:val="00082C19"/>
    <w:rsid w:val="00083363"/>
    <w:rsid w:val="00085395"/>
    <w:rsid w:val="00087634"/>
    <w:rsid w:val="00087F2B"/>
    <w:rsid w:val="00095135"/>
    <w:rsid w:val="000974D1"/>
    <w:rsid w:val="0009799E"/>
    <w:rsid w:val="000A1183"/>
    <w:rsid w:val="000A256D"/>
    <w:rsid w:val="000A3A2C"/>
    <w:rsid w:val="000A57D4"/>
    <w:rsid w:val="000B7C8D"/>
    <w:rsid w:val="000C3408"/>
    <w:rsid w:val="000C6AFD"/>
    <w:rsid w:val="000D0754"/>
    <w:rsid w:val="000D3968"/>
    <w:rsid w:val="000D5637"/>
    <w:rsid w:val="000E5D6A"/>
    <w:rsid w:val="000E6FBD"/>
    <w:rsid w:val="00100F5C"/>
    <w:rsid w:val="00101CDA"/>
    <w:rsid w:val="00104C4C"/>
    <w:rsid w:val="00111F50"/>
    <w:rsid w:val="00117623"/>
    <w:rsid w:val="0012192F"/>
    <w:rsid w:val="00125D69"/>
    <w:rsid w:val="001405FA"/>
    <w:rsid w:val="001425C3"/>
    <w:rsid w:val="001443DB"/>
    <w:rsid w:val="001476BD"/>
    <w:rsid w:val="001612F4"/>
    <w:rsid w:val="0016256B"/>
    <w:rsid w:val="00163793"/>
    <w:rsid w:val="00165465"/>
    <w:rsid w:val="001706D6"/>
    <w:rsid w:val="001714F2"/>
    <w:rsid w:val="00175B9F"/>
    <w:rsid w:val="00181BBC"/>
    <w:rsid w:val="00184B08"/>
    <w:rsid w:val="00185010"/>
    <w:rsid w:val="0019143B"/>
    <w:rsid w:val="0019301D"/>
    <w:rsid w:val="001A0487"/>
    <w:rsid w:val="001A552F"/>
    <w:rsid w:val="001B2CA9"/>
    <w:rsid w:val="001B3110"/>
    <w:rsid w:val="001B4729"/>
    <w:rsid w:val="001B6310"/>
    <w:rsid w:val="001B6C09"/>
    <w:rsid w:val="001C05CD"/>
    <w:rsid w:val="001D48D4"/>
    <w:rsid w:val="001D68B2"/>
    <w:rsid w:val="001E504C"/>
    <w:rsid w:val="001E6062"/>
    <w:rsid w:val="001F2AEE"/>
    <w:rsid w:val="001F4597"/>
    <w:rsid w:val="00203DA4"/>
    <w:rsid w:val="002118B9"/>
    <w:rsid w:val="00214CF7"/>
    <w:rsid w:val="00217C5B"/>
    <w:rsid w:val="0022139E"/>
    <w:rsid w:val="00222729"/>
    <w:rsid w:val="002252E0"/>
    <w:rsid w:val="002255F6"/>
    <w:rsid w:val="00227850"/>
    <w:rsid w:val="00227A53"/>
    <w:rsid w:val="00230C6E"/>
    <w:rsid w:val="00236443"/>
    <w:rsid w:val="00241B06"/>
    <w:rsid w:val="002436BA"/>
    <w:rsid w:val="00244A15"/>
    <w:rsid w:val="00246358"/>
    <w:rsid w:val="00247319"/>
    <w:rsid w:val="0024799E"/>
    <w:rsid w:val="00253C0F"/>
    <w:rsid w:val="002558C1"/>
    <w:rsid w:val="00255B91"/>
    <w:rsid w:val="00271465"/>
    <w:rsid w:val="00285412"/>
    <w:rsid w:val="00291640"/>
    <w:rsid w:val="002A16D4"/>
    <w:rsid w:val="002A230C"/>
    <w:rsid w:val="002B2299"/>
    <w:rsid w:val="002B4845"/>
    <w:rsid w:val="002C43BD"/>
    <w:rsid w:val="002C544F"/>
    <w:rsid w:val="002D0E59"/>
    <w:rsid w:val="002D4EE0"/>
    <w:rsid w:val="002E02A1"/>
    <w:rsid w:val="002E278F"/>
    <w:rsid w:val="002E42AC"/>
    <w:rsid w:val="002E4E4C"/>
    <w:rsid w:val="002F39EC"/>
    <w:rsid w:val="00302ADD"/>
    <w:rsid w:val="00304771"/>
    <w:rsid w:val="0030495D"/>
    <w:rsid w:val="003052D4"/>
    <w:rsid w:val="00306C5B"/>
    <w:rsid w:val="003103E0"/>
    <w:rsid w:val="00314F9F"/>
    <w:rsid w:val="00316A85"/>
    <w:rsid w:val="003209D6"/>
    <w:rsid w:val="00321924"/>
    <w:rsid w:val="00322607"/>
    <w:rsid w:val="0032656E"/>
    <w:rsid w:val="00332190"/>
    <w:rsid w:val="0034335E"/>
    <w:rsid w:val="00344668"/>
    <w:rsid w:val="003462D9"/>
    <w:rsid w:val="003500C2"/>
    <w:rsid w:val="00360C86"/>
    <w:rsid w:val="00360FBC"/>
    <w:rsid w:val="00362E90"/>
    <w:rsid w:val="00364FA0"/>
    <w:rsid w:val="003657F3"/>
    <w:rsid w:val="003818DC"/>
    <w:rsid w:val="00384327"/>
    <w:rsid w:val="00385D98"/>
    <w:rsid w:val="003A2B4D"/>
    <w:rsid w:val="003A2D12"/>
    <w:rsid w:val="003A478C"/>
    <w:rsid w:val="003A5525"/>
    <w:rsid w:val="003A6B38"/>
    <w:rsid w:val="003B461F"/>
    <w:rsid w:val="003B5A32"/>
    <w:rsid w:val="003C3490"/>
    <w:rsid w:val="003C7E62"/>
    <w:rsid w:val="003D1AE0"/>
    <w:rsid w:val="003D4488"/>
    <w:rsid w:val="003D6920"/>
    <w:rsid w:val="003E0A6F"/>
    <w:rsid w:val="003E48F2"/>
    <w:rsid w:val="003E4C91"/>
    <w:rsid w:val="003F313C"/>
    <w:rsid w:val="003F37FC"/>
    <w:rsid w:val="003F3E6A"/>
    <w:rsid w:val="003F4B2C"/>
    <w:rsid w:val="003F551C"/>
    <w:rsid w:val="003F59AA"/>
    <w:rsid w:val="003F72ED"/>
    <w:rsid w:val="003F7D23"/>
    <w:rsid w:val="004018AC"/>
    <w:rsid w:val="00407C13"/>
    <w:rsid w:val="0041041D"/>
    <w:rsid w:val="00410638"/>
    <w:rsid w:val="0041501E"/>
    <w:rsid w:val="004159C3"/>
    <w:rsid w:val="0041630C"/>
    <w:rsid w:val="00416C72"/>
    <w:rsid w:val="00432A58"/>
    <w:rsid w:val="00434617"/>
    <w:rsid w:val="004350ED"/>
    <w:rsid w:val="00440900"/>
    <w:rsid w:val="00441ACC"/>
    <w:rsid w:val="00441BF6"/>
    <w:rsid w:val="004441A0"/>
    <w:rsid w:val="004455BA"/>
    <w:rsid w:val="004479D4"/>
    <w:rsid w:val="0045078A"/>
    <w:rsid w:val="0045086D"/>
    <w:rsid w:val="00451504"/>
    <w:rsid w:val="00460FB3"/>
    <w:rsid w:val="0046627E"/>
    <w:rsid w:val="004738EA"/>
    <w:rsid w:val="00473D3B"/>
    <w:rsid w:val="00476240"/>
    <w:rsid w:val="00476439"/>
    <w:rsid w:val="0047735C"/>
    <w:rsid w:val="004776BC"/>
    <w:rsid w:val="0048139F"/>
    <w:rsid w:val="00481E40"/>
    <w:rsid w:val="00484ECE"/>
    <w:rsid w:val="004915CB"/>
    <w:rsid w:val="004924DC"/>
    <w:rsid w:val="004A14E4"/>
    <w:rsid w:val="004A3212"/>
    <w:rsid w:val="004A5494"/>
    <w:rsid w:val="004A61C5"/>
    <w:rsid w:val="004A77DF"/>
    <w:rsid w:val="004B1417"/>
    <w:rsid w:val="004B55B7"/>
    <w:rsid w:val="004B6468"/>
    <w:rsid w:val="004B7125"/>
    <w:rsid w:val="004C384C"/>
    <w:rsid w:val="004C3867"/>
    <w:rsid w:val="004C4CD0"/>
    <w:rsid w:val="004C59A5"/>
    <w:rsid w:val="004C697D"/>
    <w:rsid w:val="004C70DC"/>
    <w:rsid w:val="004D0211"/>
    <w:rsid w:val="004D0794"/>
    <w:rsid w:val="004F06F5"/>
    <w:rsid w:val="004F33A0"/>
    <w:rsid w:val="0050689D"/>
    <w:rsid w:val="005108C0"/>
    <w:rsid w:val="00511873"/>
    <w:rsid w:val="00512A2F"/>
    <w:rsid w:val="00513B7E"/>
    <w:rsid w:val="00515C74"/>
    <w:rsid w:val="0052007E"/>
    <w:rsid w:val="0052337A"/>
    <w:rsid w:val="00525137"/>
    <w:rsid w:val="005251DD"/>
    <w:rsid w:val="00530702"/>
    <w:rsid w:val="00532CE7"/>
    <w:rsid w:val="0053324C"/>
    <w:rsid w:val="00534A28"/>
    <w:rsid w:val="00541508"/>
    <w:rsid w:val="00543498"/>
    <w:rsid w:val="0055599F"/>
    <w:rsid w:val="00556D68"/>
    <w:rsid w:val="00563EB8"/>
    <w:rsid w:val="005647BF"/>
    <w:rsid w:val="00564AF1"/>
    <w:rsid w:val="005710B6"/>
    <w:rsid w:val="0057364B"/>
    <w:rsid w:val="00574773"/>
    <w:rsid w:val="00583FFD"/>
    <w:rsid w:val="00586A86"/>
    <w:rsid w:val="005911BE"/>
    <w:rsid w:val="00593152"/>
    <w:rsid w:val="005A10F2"/>
    <w:rsid w:val="005A21E0"/>
    <w:rsid w:val="005A28FF"/>
    <w:rsid w:val="005A3DF8"/>
    <w:rsid w:val="005A5549"/>
    <w:rsid w:val="005A7038"/>
    <w:rsid w:val="005B121D"/>
    <w:rsid w:val="005C06ED"/>
    <w:rsid w:val="005C159F"/>
    <w:rsid w:val="005C2609"/>
    <w:rsid w:val="005D5802"/>
    <w:rsid w:val="005D7119"/>
    <w:rsid w:val="005D7890"/>
    <w:rsid w:val="005E7C78"/>
    <w:rsid w:val="005F18C5"/>
    <w:rsid w:val="005F3EB1"/>
    <w:rsid w:val="005F46D8"/>
    <w:rsid w:val="005F5469"/>
    <w:rsid w:val="005F7B4A"/>
    <w:rsid w:val="0060171C"/>
    <w:rsid w:val="00603FF5"/>
    <w:rsid w:val="00604307"/>
    <w:rsid w:val="0060487F"/>
    <w:rsid w:val="00604EAD"/>
    <w:rsid w:val="006104FB"/>
    <w:rsid w:val="00612A2F"/>
    <w:rsid w:val="00616E05"/>
    <w:rsid w:val="00622E30"/>
    <w:rsid w:val="006233F9"/>
    <w:rsid w:val="00624093"/>
    <w:rsid w:val="00625F8F"/>
    <w:rsid w:val="006350D5"/>
    <w:rsid w:val="006404A7"/>
    <w:rsid w:val="006451E4"/>
    <w:rsid w:val="00645B33"/>
    <w:rsid w:val="006516CB"/>
    <w:rsid w:val="00656FC8"/>
    <w:rsid w:val="00657E87"/>
    <w:rsid w:val="00664803"/>
    <w:rsid w:val="00665BA4"/>
    <w:rsid w:val="00667AF2"/>
    <w:rsid w:val="006710C9"/>
    <w:rsid w:val="00673BDC"/>
    <w:rsid w:val="006741AC"/>
    <w:rsid w:val="00674D89"/>
    <w:rsid w:val="00675E37"/>
    <w:rsid w:val="0068174E"/>
    <w:rsid w:val="00681DCE"/>
    <w:rsid w:val="0068260E"/>
    <w:rsid w:val="00695BEF"/>
    <w:rsid w:val="006977F6"/>
    <w:rsid w:val="00697A13"/>
    <w:rsid w:val="006A109C"/>
    <w:rsid w:val="006B0F92"/>
    <w:rsid w:val="006B344A"/>
    <w:rsid w:val="006B78D8"/>
    <w:rsid w:val="006C113F"/>
    <w:rsid w:val="006C123E"/>
    <w:rsid w:val="006C1752"/>
    <w:rsid w:val="006C4AC1"/>
    <w:rsid w:val="006C56D4"/>
    <w:rsid w:val="006C6924"/>
    <w:rsid w:val="006C7CA6"/>
    <w:rsid w:val="006D3E8A"/>
    <w:rsid w:val="006D61F6"/>
    <w:rsid w:val="006E279A"/>
    <w:rsid w:val="006E313B"/>
    <w:rsid w:val="006E7124"/>
    <w:rsid w:val="006E7227"/>
    <w:rsid w:val="006F19D3"/>
    <w:rsid w:val="006F438E"/>
    <w:rsid w:val="006F5416"/>
    <w:rsid w:val="006F7076"/>
    <w:rsid w:val="00705242"/>
    <w:rsid w:val="00706AD4"/>
    <w:rsid w:val="00707150"/>
    <w:rsid w:val="007140BE"/>
    <w:rsid w:val="007155B7"/>
    <w:rsid w:val="007211F5"/>
    <w:rsid w:val="00723946"/>
    <w:rsid w:val="007240E2"/>
    <w:rsid w:val="00725BB5"/>
    <w:rsid w:val="00730AE8"/>
    <w:rsid w:val="00730F1B"/>
    <w:rsid w:val="00741493"/>
    <w:rsid w:val="00752180"/>
    <w:rsid w:val="00753CAB"/>
    <w:rsid w:val="00755202"/>
    <w:rsid w:val="00755D3A"/>
    <w:rsid w:val="007578D3"/>
    <w:rsid w:val="007609C6"/>
    <w:rsid w:val="00760EA4"/>
    <w:rsid w:val="0076175D"/>
    <w:rsid w:val="0076324B"/>
    <w:rsid w:val="00763B85"/>
    <w:rsid w:val="0076521E"/>
    <w:rsid w:val="007661E9"/>
    <w:rsid w:val="007701DE"/>
    <w:rsid w:val="00770D15"/>
    <w:rsid w:val="00771C27"/>
    <w:rsid w:val="007750EE"/>
    <w:rsid w:val="00776160"/>
    <w:rsid w:val="00776169"/>
    <w:rsid w:val="00776527"/>
    <w:rsid w:val="00780EF1"/>
    <w:rsid w:val="00790764"/>
    <w:rsid w:val="00793CA9"/>
    <w:rsid w:val="0079453C"/>
    <w:rsid w:val="00794677"/>
    <w:rsid w:val="00797445"/>
    <w:rsid w:val="007A516D"/>
    <w:rsid w:val="007B6689"/>
    <w:rsid w:val="007C21D2"/>
    <w:rsid w:val="007C6BBD"/>
    <w:rsid w:val="007D40DF"/>
    <w:rsid w:val="007E29B4"/>
    <w:rsid w:val="007E3731"/>
    <w:rsid w:val="007E435A"/>
    <w:rsid w:val="007E7E61"/>
    <w:rsid w:val="007E7FCE"/>
    <w:rsid w:val="007F0845"/>
    <w:rsid w:val="007F708D"/>
    <w:rsid w:val="00800216"/>
    <w:rsid w:val="00801E13"/>
    <w:rsid w:val="00807C82"/>
    <w:rsid w:val="00814B15"/>
    <w:rsid w:val="00816905"/>
    <w:rsid w:val="00821777"/>
    <w:rsid w:val="00821FF6"/>
    <w:rsid w:val="00822574"/>
    <w:rsid w:val="00825C4D"/>
    <w:rsid w:val="0083143E"/>
    <w:rsid w:val="00831CDE"/>
    <w:rsid w:val="00834304"/>
    <w:rsid w:val="00834FAA"/>
    <w:rsid w:val="00836086"/>
    <w:rsid w:val="00846121"/>
    <w:rsid w:val="0084708F"/>
    <w:rsid w:val="008477C8"/>
    <w:rsid w:val="0085114D"/>
    <w:rsid w:val="00852217"/>
    <w:rsid w:val="00855408"/>
    <w:rsid w:val="00856D65"/>
    <w:rsid w:val="008602EC"/>
    <w:rsid w:val="00861B41"/>
    <w:rsid w:val="00861BE3"/>
    <w:rsid w:val="00863434"/>
    <w:rsid w:val="00865E4C"/>
    <w:rsid w:val="008701E4"/>
    <w:rsid w:val="00871069"/>
    <w:rsid w:val="0087271C"/>
    <w:rsid w:val="00875A32"/>
    <w:rsid w:val="00876086"/>
    <w:rsid w:val="008825B0"/>
    <w:rsid w:val="00884AD6"/>
    <w:rsid w:val="008873D4"/>
    <w:rsid w:val="0089126C"/>
    <w:rsid w:val="0089296D"/>
    <w:rsid w:val="00893E85"/>
    <w:rsid w:val="00894031"/>
    <w:rsid w:val="00895508"/>
    <w:rsid w:val="008A6CB4"/>
    <w:rsid w:val="008A7D9B"/>
    <w:rsid w:val="008B5CF6"/>
    <w:rsid w:val="008B7C02"/>
    <w:rsid w:val="008B7D2B"/>
    <w:rsid w:val="008C0049"/>
    <w:rsid w:val="008C0E88"/>
    <w:rsid w:val="008C53CB"/>
    <w:rsid w:val="008D1E6A"/>
    <w:rsid w:val="008D2A16"/>
    <w:rsid w:val="008E2C57"/>
    <w:rsid w:val="008E31FF"/>
    <w:rsid w:val="008E6F06"/>
    <w:rsid w:val="008E6F7F"/>
    <w:rsid w:val="008E7FC9"/>
    <w:rsid w:val="008F029B"/>
    <w:rsid w:val="008F3FC9"/>
    <w:rsid w:val="008F585B"/>
    <w:rsid w:val="009003A8"/>
    <w:rsid w:val="00902500"/>
    <w:rsid w:val="00902EFF"/>
    <w:rsid w:val="00906401"/>
    <w:rsid w:val="0091155E"/>
    <w:rsid w:val="00912A92"/>
    <w:rsid w:val="00914DDD"/>
    <w:rsid w:val="0091728D"/>
    <w:rsid w:val="0092180B"/>
    <w:rsid w:val="00921F14"/>
    <w:rsid w:val="00922D58"/>
    <w:rsid w:val="009231A3"/>
    <w:rsid w:val="00924AC8"/>
    <w:rsid w:val="0092597A"/>
    <w:rsid w:val="00930FB1"/>
    <w:rsid w:val="0093139F"/>
    <w:rsid w:val="00932443"/>
    <w:rsid w:val="00937AE2"/>
    <w:rsid w:val="0094427A"/>
    <w:rsid w:val="00945245"/>
    <w:rsid w:val="0095759C"/>
    <w:rsid w:val="009721DB"/>
    <w:rsid w:val="00974923"/>
    <w:rsid w:val="00975F7A"/>
    <w:rsid w:val="00980D3D"/>
    <w:rsid w:val="00987A30"/>
    <w:rsid w:val="00992CF3"/>
    <w:rsid w:val="009930C0"/>
    <w:rsid w:val="00994868"/>
    <w:rsid w:val="009968D6"/>
    <w:rsid w:val="009A1CAB"/>
    <w:rsid w:val="009A60D1"/>
    <w:rsid w:val="009A75AE"/>
    <w:rsid w:val="009B6FD3"/>
    <w:rsid w:val="009C1750"/>
    <w:rsid w:val="009C2E29"/>
    <w:rsid w:val="009C554B"/>
    <w:rsid w:val="009C719E"/>
    <w:rsid w:val="009C7A10"/>
    <w:rsid w:val="009D3ACD"/>
    <w:rsid w:val="009D73B5"/>
    <w:rsid w:val="009E1B59"/>
    <w:rsid w:val="009E5273"/>
    <w:rsid w:val="009E5DDB"/>
    <w:rsid w:val="009F4CA7"/>
    <w:rsid w:val="00A10D66"/>
    <w:rsid w:val="00A119FE"/>
    <w:rsid w:val="00A14114"/>
    <w:rsid w:val="00A16413"/>
    <w:rsid w:val="00A16E1D"/>
    <w:rsid w:val="00A17D5B"/>
    <w:rsid w:val="00A23E43"/>
    <w:rsid w:val="00A25216"/>
    <w:rsid w:val="00A30F65"/>
    <w:rsid w:val="00A33A89"/>
    <w:rsid w:val="00A40EAC"/>
    <w:rsid w:val="00A418BC"/>
    <w:rsid w:val="00A46DE0"/>
    <w:rsid w:val="00A50D73"/>
    <w:rsid w:val="00A52CAD"/>
    <w:rsid w:val="00A53FC7"/>
    <w:rsid w:val="00A62CE1"/>
    <w:rsid w:val="00A668A3"/>
    <w:rsid w:val="00A6741E"/>
    <w:rsid w:val="00A75E40"/>
    <w:rsid w:val="00A77D1D"/>
    <w:rsid w:val="00A84A6A"/>
    <w:rsid w:val="00A857C0"/>
    <w:rsid w:val="00A90FED"/>
    <w:rsid w:val="00AA2996"/>
    <w:rsid w:val="00AA52BF"/>
    <w:rsid w:val="00AA559A"/>
    <w:rsid w:val="00AB2AF1"/>
    <w:rsid w:val="00AC45BD"/>
    <w:rsid w:val="00AD168E"/>
    <w:rsid w:val="00AD306C"/>
    <w:rsid w:val="00AD68C4"/>
    <w:rsid w:val="00AE09B3"/>
    <w:rsid w:val="00AE0ED3"/>
    <w:rsid w:val="00AE1A83"/>
    <w:rsid w:val="00AE299B"/>
    <w:rsid w:val="00AE31A7"/>
    <w:rsid w:val="00AE31F4"/>
    <w:rsid w:val="00AE6221"/>
    <w:rsid w:val="00AF5165"/>
    <w:rsid w:val="00AF6128"/>
    <w:rsid w:val="00B00913"/>
    <w:rsid w:val="00B01593"/>
    <w:rsid w:val="00B023F2"/>
    <w:rsid w:val="00B04705"/>
    <w:rsid w:val="00B10A4D"/>
    <w:rsid w:val="00B14BC1"/>
    <w:rsid w:val="00B17E71"/>
    <w:rsid w:val="00B17FDE"/>
    <w:rsid w:val="00B2379C"/>
    <w:rsid w:val="00B25189"/>
    <w:rsid w:val="00B2687D"/>
    <w:rsid w:val="00B32DDB"/>
    <w:rsid w:val="00B34528"/>
    <w:rsid w:val="00B34CC9"/>
    <w:rsid w:val="00B35AAE"/>
    <w:rsid w:val="00B402FC"/>
    <w:rsid w:val="00B439DA"/>
    <w:rsid w:val="00B46604"/>
    <w:rsid w:val="00B530CD"/>
    <w:rsid w:val="00B55F5E"/>
    <w:rsid w:val="00B5752E"/>
    <w:rsid w:val="00B61F47"/>
    <w:rsid w:val="00B63A11"/>
    <w:rsid w:val="00B63B6A"/>
    <w:rsid w:val="00B64C24"/>
    <w:rsid w:val="00B6608F"/>
    <w:rsid w:val="00B67298"/>
    <w:rsid w:val="00B679FB"/>
    <w:rsid w:val="00B76D1E"/>
    <w:rsid w:val="00B80EC6"/>
    <w:rsid w:val="00B84CF6"/>
    <w:rsid w:val="00B92D1D"/>
    <w:rsid w:val="00B938C5"/>
    <w:rsid w:val="00B95940"/>
    <w:rsid w:val="00BA6C2B"/>
    <w:rsid w:val="00BA7CB2"/>
    <w:rsid w:val="00BB46F3"/>
    <w:rsid w:val="00BB4CB1"/>
    <w:rsid w:val="00BB4F98"/>
    <w:rsid w:val="00BB73B5"/>
    <w:rsid w:val="00BC5C12"/>
    <w:rsid w:val="00BC7154"/>
    <w:rsid w:val="00BC731E"/>
    <w:rsid w:val="00BD366B"/>
    <w:rsid w:val="00BD6D50"/>
    <w:rsid w:val="00BE18B9"/>
    <w:rsid w:val="00BE2495"/>
    <w:rsid w:val="00BE6FF8"/>
    <w:rsid w:val="00BE7090"/>
    <w:rsid w:val="00BF1578"/>
    <w:rsid w:val="00C04E28"/>
    <w:rsid w:val="00C050C9"/>
    <w:rsid w:val="00C21F94"/>
    <w:rsid w:val="00C2492A"/>
    <w:rsid w:val="00C27913"/>
    <w:rsid w:val="00C27E4F"/>
    <w:rsid w:val="00C32964"/>
    <w:rsid w:val="00C33B68"/>
    <w:rsid w:val="00C36A79"/>
    <w:rsid w:val="00C401D2"/>
    <w:rsid w:val="00C405D4"/>
    <w:rsid w:val="00C4293F"/>
    <w:rsid w:val="00C4431F"/>
    <w:rsid w:val="00C4513B"/>
    <w:rsid w:val="00C47052"/>
    <w:rsid w:val="00C503A6"/>
    <w:rsid w:val="00C5390B"/>
    <w:rsid w:val="00C54697"/>
    <w:rsid w:val="00C65535"/>
    <w:rsid w:val="00C71E85"/>
    <w:rsid w:val="00C72884"/>
    <w:rsid w:val="00C73885"/>
    <w:rsid w:val="00C747B1"/>
    <w:rsid w:val="00C8030A"/>
    <w:rsid w:val="00C82191"/>
    <w:rsid w:val="00C83134"/>
    <w:rsid w:val="00C85545"/>
    <w:rsid w:val="00C90CF4"/>
    <w:rsid w:val="00C9222E"/>
    <w:rsid w:val="00C92EB6"/>
    <w:rsid w:val="00C93389"/>
    <w:rsid w:val="00CA0914"/>
    <w:rsid w:val="00CA3057"/>
    <w:rsid w:val="00CA6AB4"/>
    <w:rsid w:val="00CB4930"/>
    <w:rsid w:val="00CC2E7D"/>
    <w:rsid w:val="00CD10A5"/>
    <w:rsid w:val="00CD2076"/>
    <w:rsid w:val="00CD29B5"/>
    <w:rsid w:val="00CD6331"/>
    <w:rsid w:val="00CE670B"/>
    <w:rsid w:val="00CF4908"/>
    <w:rsid w:val="00CF51EC"/>
    <w:rsid w:val="00CF73AE"/>
    <w:rsid w:val="00D01CDA"/>
    <w:rsid w:val="00D040DD"/>
    <w:rsid w:val="00D075BE"/>
    <w:rsid w:val="00D13986"/>
    <w:rsid w:val="00D21D83"/>
    <w:rsid w:val="00D235B7"/>
    <w:rsid w:val="00D23C02"/>
    <w:rsid w:val="00D25F28"/>
    <w:rsid w:val="00D26071"/>
    <w:rsid w:val="00D27973"/>
    <w:rsid w:val="00D35E1A"/>
    <w:rsid w:val="00D42211"/>
    <w:rsid w:val="00D50F46"/>
    <w:rsid w:val="00D54978"/>
    <w:rsid w:val="00D57677"/>
    <w:rsid w:val="00D66223"/>
    <w:rsid w:val="00D71625"/>
    <w:rsid w:val="00D8084C"/>
    <w:rsid w:val="00D915EA"/>
    <w:rsid w:val="00DA7C0C"/>
    <w:rsid w:val="00DB08A9"/>
    <w:rsid w:val="00DB2A7E"/>
    <w:rsid w:val="00DB2EC8"/>
    <w:rsid w:val="00DC5B3B"/>
    <w:rsid w:val="00DD129F"/>
    <w:rsid w:val="00DE02BD"/>
    <w:rsid w:val="00DF42FF"/>
    <w:rsid w:val="00E01C0E"/>
    <w:rsid w:val="00E03F9A"/>
    <w:rsid w:val="00E04694"/>
    <w:rsid w:val="00E063CE"/>
    <w:rsid w:val="00E12B1E"/>
    <w:rsid w:val="00E17262"/>
    <w:rsid w:val="00E200EF"/>
    <w:rsid w:val="00E2206E"/>
    <w:rsid w:val="00E253A2"/>
    <w:rsid w:val="00E3309D"/>
    <w:rsid w:val="00E43C1C"/>
    <w:rsid w:val="00E47EBA"/>
    <w:rsid w:val="00E50156"/>
    <w:rsid w:val="00E51643"/>
    <w:rsid w:val="00E53470"/>
    <w:rsid w:val="00E539F6"/>
    <w:rsid w:val="00E551F6"/>
    <w:rsid w:val="00E61613"/>
    <w:rsid w:val="00E62166"/>
    <w:rsid w:val="00E6519D"/>
    <w:rsid w:val="00E67696"/>
    <w:rsid w:val="00E71A58"/>
    <w:rsid w:val="00E72A7A"/>
    <w:rsid w:val="00E75C94"/>
    <w:rsid w:val="00E93820"/>
    <w:rsid w:val="00E94A86"/>
    <w:rsid w:val="00E96143"/>
    <w:rsid w:val="00E97D7E"/>
    <w:rsid w:val="00EA0987"/>
    <w:rsid w:val="00EA0C68"/>
    <w:rsid w:val="00EA32BC"/>
    <w:rsid w:val="00EA4302"/>
    <w:rsid w:val="00EB4511"/>
    <w:rsid w:val="00EB75B3"/>
    <w:rsid w:val="00EC03D7"/>
    <w:rsid w:val="00ED4F37"/>
    <w:rsid w:val="00ED62C6"/>
    <w:rsid w:val="00ED64C1"/>
    <w:rsid w:val="00EE3446"/>
    <w:rsid w:val="00EE3E78"/>
    <w:rsid w:val="00EE4B1B"/>
    <w:rsid w:val="00EE7F19"/>
    <w:rsid w:val="00EF089C"/>
    <w:rsid w:val="00EF150D"/>
    <w:rsid w:val="00EF1F5A"/>
    <w:rsid w:val="00EF3741"/>
    <w:rsid w:val="00EF47BF"/>
    <w:rsid w:val="00F04811"/>
    <w:rsid w:val="00F0488C"/>
    <w:rsid w:val="00F10F11"/>
    <w:rsid w:val="00F15AAA"/>
    <w:rsid w:val="00F15BEF"/>
    <w:rsid w:val="00F24407"/>
    <w:rsid w:val="00F24931"/>
    <w:rsid w:val="00F24FAA"/>
    <w:rsid w:val="00F312E5"/>
    <w:rsid w:val="00F3364D"/>
    <w:rsid w:val="00F437CC"/>
    <w:rsid w:val="00F44537"/>
    <w:rsid w:val="00F44B6A"/>
    <w:rsid w:val="00F47067"/>
    <w:rsid w:val="00F50FC3"/>
    <w:rsid w:val="00F525EB"/>
    <w:rsid w:val="00F63DDE"/>
    <w:rsid w:val="00F63FB7"/>
    <w:rsid w:val="00F6421B"/>
    <w:rsid w:val="00F649D2"/>
    <w:rsid w:val="00F6602B"/>
    <w:rsid w:val="00F73A0C"/>
    <w:rsid w:val="00F756DB"/>
    <w:rsid w:val="00F77810"/>
    <w:rsid w:val="00F84E7D"/>
    <w:rsid w:val="00F85066"/>
    <w:rsid w:val="00F87A4D"/>
    <w:rsid w:val="00F9785E"/>
    <w:rsid w:val="00FA5D4D"/>
    <w:rsid w:val="00FB0EE2"/>
    <w:rsid w:val="00FB542E"/>
    <w:rsid w:val="00FC0E5F"/>
    <w:rsid w:val="00FC1A95"/>
    <w:rsid w:val="00FC50BA"/>
    <w:rsid w:val="00FC56DE"/>
    <w:rsid w:val="00FC684B"/>
    <w:rsid w:val="00FD3265"/>
    <w:rsid w:val="00FD5F92"/>
    <w:rsid w:val="00FE2F78"/>
    <w:rsid w:val="00FE65D5"/>
    <w:rsid w:val="00FF7B96"/>
    <w:rsid w:val="11D0C0D9"/>
    <w:rsid w:val="7BDB84E4"/>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1432897"/>
  <w15:docId w15:val="{3A7C6927-7F52-4209-ABA9-A0ACA8657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EA0987"/>
    <w:pPr>
      <w:keepNext/>
      <w:keepLines/>
      <w:spacing w:after="100" w:line="276" w:lineRule="auto"/>
      <w:contextualSpacing/>
      <w:outlineLvl w:val="0"/>
    </w:pPr>
    <w:rPr>
      <w:rFonts w:ascii="Arial" w:eastAsia="MS Gothic" w:hAnsi="Arial"/>
      <w:b/>
      <w:bCs/>
      <w:color w:val="86BF5E"/>
      <w:sz w:val="32"/>
      <w:szCs w:val="28"/>
      <w:lang w:eastAsia="cs-CZ"/>
    </w:rPr>
  </w:style>
  <w:style w:type="paragraph" w:styleId="Nadpis2">
    <w:name w:val="heading 2"/>
    <w:next w:val="Normln"/>
    <w:link w:val="Nadpis2Char"/>
    <w:uiPriority w:val="9"/>
    <w:qFormat/>
    <w:rsid w:val="00EA0987"/>
    <w:pPr>
      <w:keepNext/>
      <w:keepLines/>
      <w:spacing w:line="276" w:lineRule="auto"/>
      <w:outlineLvl w:val="1"/>
    </w:pPr>
    <w:rPr>
      <w:rFonts w:ascii="Arial" w:eastAsia="MS Gothic" w:hAnsi="Arial"/>
      <w:b/>
      <w:bCs/>
      <w:color w:val="86BF5E"/>
      <w:sz w:val="28"/>
      <w:szCs w:val="26"/>
      <w:lang w:eastAsia="cs-CZ"/>
    </w:rPr>
  </w:style>
  <w:style w:type="paragraph" w:styleId="Nadpis3">
    <w:name w:val="heading 3"/>
    <w:next w:val="Normln"/>
    <w:link w:val="Nadpis3Char"/>
    <w:uiPriority w:val="9"/>
    <w:qFormat/>
    <w:rsid w:val="00EA0987"/>
    <w:pPr>
      <w:keepNext/>
      <w:keepLines/>
      <w:spacing w:line="276" w:lineRule="auto"/>
      <w:outlineLvl w:val="2"/>
    </w:pPr>
    <w:rPr>
      <w:rFonts w:ascii="Arial" w:eastAsia="MS Gothic" w:hAnsi="Arial"/>
      <w:b/>
      <w:bCs/>
      <w:color w:val="86BF5E"/>
      <w:sz w:val="24"/>
      <w:szCs w:val="24"/>
      <w:lang w:eastAsia="cs-CZ"/>
    </w:rPr>
  </w:style>
  <w:style w:type="paragraph" w:styleId="Nadpis4">
    <w:name w:val="heading 4"/>
    <w:next w:val="Normln"/>
    <w:link w:val="Nadpis4Char"/>
    <w:uiPriority w:val="9"/>
    <w:qFormat/>
    <w:rsid w:val="0041041D"/>
    <w:pPr>
      <w:keepNext/>
      <w:keepLines/>
      <w:spacing w:line="276" w:lineRule="auto"/>
      <w:outlineLvl w:val="3"/>
    </w:pPr>
    <w:rPr>
      <w:rFonts w:ascii="Arial" w:eastAsia="MS Gothic" w:hAnsi="Arial"/>
      <w:b/>
      <w:bCs/>
      <w:iCs/>
      <w:color w:val="86BF5E"/>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EA0987"/>
    <w:rPr>
      <w:rFonts w:ascii="Arial" w:eastAsia="MS Gothic" w:hAnsi="Arial"/>
      <w:b/>
      <w:bCs/>
      <w:color w:val="86BF5E"/>
      <w:sz w:val="32"/>
      <w:szCs w:val="28"/>
      <w:lang w:eastAsia="cs-CZ"/>
    </w:rPr>
  </w:style>
  <w:style w:type="character" w:customStyle="1" w:styleId="Nadpis2Char">
    <w:name w:val="Nadpis 2 Char"/>
    <w:link w:val="Nadpis2"/>
    <w:uiPriority w:val="9"/>
    <w:rsid w:val="00EA0987"/>
    <w:rPr>
      <w:rFonts w:ascii="Arial" w:eastAsia="MS Gothic" w:hAnsi="Arial"/>
      <w:b/>
      <w:bCs/>
      <w:color w:val="86BF5E"/>
      <w:sz w:val="28"/>
      <w:szCs w:val="26"/>
      <w:lang w:eastAsia="cs-CZ"/>
    </w:rPr>
  </w:style>
  <w:style w:type="character" w:customStyle="1" w:styleId="Nadpis3Char">
    <w:name w:val="Nadpis 3 Char"/>
    <w:link w:val="Nadpis3"/>
    <w:uiPriority w:val="9"/>
    <w:rsid w:val="00EA0987"/>
    <w:rPr>
      <w:rFonts w:ascii="Arial" w:eastAsia="MS Gothic" w:hAnsi="Arial"/>
      <w:b/>
      <w:bCs/>
      <w:color w:val="86BF5E"/>
      <w:sz w:val="24"/>
      <w:szCs w:val="24"/>
      <w:lang w:eastAsia="cs-CZ"/>
    </w:rPr>
  </w:style>
  <w:style w:type="character" w:customStyle="1" w:styleId="Nadpis4Char">
    <w:name w:val="Nadpis 4 Char"/>
    <w:link w:val="Nadpis4"/>
    <w:uiPriority w:val="9"/>
    <w:rsid w:val="0041041D"/>
    <w:rPr>
      <w:rFonts w:ascii="Arial" w:eastAsia="MS Gothic" w:hAnsi="Arial"/>
      <w:b/>
      <w:bCs/>
      <w:iCs/>
      <w:color w:val="86BF5E"/>
      <w:szCs w:val="24"/>
      <w:lang w:eastAsia="cs-CZ"/>
    </w:r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0A57D4"/>
    <w:pPr>
      <w:spacing w:after="80" w:line="288" w:lineRule="auto"/>
    </w:pPr>
    <w:rPr>
      <w:rFonts w:ascii="Arial" w:eastAsia="Times New Roman" w:hAnsi="Arial"/>
      <w:b/>
      <w:color w:val="86BF5E"/>
      <w:sz w:val="32"/>
      <w:szCs w:val="24"/>
      <w:lang w:eastAsia="cs-CZ"/>
    </w:rPr>
  </w:style>
  <w:style w:type="paragraph" w:customStyle="1" w:styleId="A-Box1">
    <w:name w:val="A-Box 1"/>
    <w:next w:val="Normln"/>
    <w:qFormat/>
    <w:rsid w:val="00EA0987"/>
    <w:pPr>
      <w:shd w:val="clear" w:color="auto" w:fill="F0F6E9"/>
      <w:spacing w:before="240" w:after="240" w:line="276" w:lineRule="auto"/>
      <w:contextualSpacing/>
      <w:jc w:val="both"/>
    </w:pPr>
    <w:rPr>
      <w:rFonts w:ascii="Arial" w:hAnsi="Arial" w:cs="Arial"/>
      <w:lang w:eastAsia="cs-CZ"/>
    </w:rPr>
  </w:style>
  <w:style w:type="paragraph" w:customStyle="1" w:styleId="A-Box2">
    <w:name w:val="A-Box 2"/>
    <w:next w:val="Normln"/>
    <w:qFormat/>
    <w:rsid w:val="00EA0987"/>
    <w:pPr>
      <w:spacing w:before="240" w:after="240" w:line="276" w:lineRule="auto"/>
      <w:contextualSpacing/>
      <w:jc w:val="both"/>
    </w:pPr>
    <w:rPr>
      <w:rFonts w:ascii="Arial" w:hAnsi="Arial" w:cs="Arial"/>
      <w:color w:val="86BF5E"/>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0A57D4"/>
    <w:pPr>
      <w:spacing w:after="40"/>
      <w:contextualSpacing/>
    </w:pPr>
    <w:rPr>
      <w:b/>
      <w:caps/>
      <w:sz w:val="24"/>
    </w:rPr>
  </w:style>
  <w:style w:type="paragraph" w:customStyle="1" w:styleId="TLKontakty">
    <w:name w:val="TL Kontakty"/>
    <w:qFormat/>
    <w:rsid w:val="000A57D4"/>
    <w:pPr>
      <w:spacing w:after="160" w:line="259" w:lineRule="auto"/>
      <w:contextualSpacing/>
    </w:pPr>
    <w:rPr>
      <w:rFonts w:ascii="Arial" w:eastAsia="Times New Roman" w:hAnsi="Arial"/>
      <w:b/>
      <w:color w:val="86BF5E"/>
      <w:lang w:eastAsia="cs-CZ"/>
    </w:rPr>
  </w:style>
  <w:style w:type="paragraph" w:styleId="Nzev">
    <w:name w:val="Title"/>
    <w:link w:val="NzevChar"/>
    <w:uiPriority w:val="10"/>
    <w:qFormat/>
    <w:rsid w:val="001E6062"/>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1E6062"/>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1E6062"/>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1E6062"/>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EA0987"/>
    <w:pPr>
      <w:shd w:val="clear" w:color="auto" w:fill="F0F6E9"/>
      <w:spacing w:before="240" w:after="240" w:line="276" w:lineRule="auto"/>
      <w:ind w:left="709"/>
      <w:contextualSpacing/>
      <w:jc w:val="both"/>
    </w:pPr>
    <w:rPr>
      <w:rFonts w:ascii="Arial" w:hAnsi="Arial" w:cs="Arial"/>
      <w:lang w:eastAsia="cs-CZ"/>
    </w:rPr>
  </w:style>
  <w:style w:type="paragraph" w:customStyle="1" w:styleId="Box2">
    <w:name w:val="Box 2"/>
    <w:next w:val="Normln"/>
    <w:qFormat/>
    <w:rsid w:val="00EA0987"/>
    <w:pPr>
      <w:spacing w:before="240" w:after="240" w:line="276" w:lineRule="auto"/>
      <w:ind w:left="709"/>
      <w:contextualSpacing/>
      <w:jc w:val="both"/>
    </w:pPr>
    <w:rPr>
      <w:rFonts w:ascii="Arial" w:hAnsi="Arial" w:cs="Arial"/>
      <w:b/>
      <w:color w:val="86BF5E"/>
      <w:lang w:eastAsia="cs-CZ"/>
    </w:rPr>
  </w:style>
  <w:style w:type="character" w:styleId="Zdraznnintenzivn">
    <w:name w:val="Intense Emphasis"/>
    <w:basedOn w:val="Standardnpsmoodstavce"/>
    <w:uiPriority w:val="21"/>
    <w:qFormat/>
    <w:rsid w:val="001E6062"/>
    <w:rPr>
      <w:i/>
      <w:iCs/>
      <w:color w:val="000000" w:themeColor="text1"/>
    </w:rPr>
  </w:style>
  <w:style w:type="character" w:styleId="Odkazintenzivn">
    <w:name w:val="Intense Reference"/>
    <w:basedOn w:val="Standardnpsmoodstavce"/>
    <w:uiPriority w:val="32"/>
    <w:qFormat/>
    <w:rsid w:val="001E6062"/>
    <w:rPr>
      <w:b/>
      <w:bCs/>
      <w:smallCaps/>
      <w:color w:val="000000" w:themeColor="text1"/>
      <w:spacing w:val="5"/>
    </w:rPr>
  </w:style>
  <w:style w:type="character" w:styleId="Znakapoznpodarou">
    <w:name w:val="footnote reference"/>
    <w:basedOn w:val="Standardnpsmoodstavce"/>
    <w:rsid w:val="00E063CE"/>
    <w:rPr>
      <w:rFonts w:cs="Times New Roman"/>
      <w:vertAlign w:val="superscript"/>
    </w:rPr>
  </w:style>
  <w:style w:type="paragraph" w:customStyle="1" w:styleId="Nadpis11">
    <w:name w:val="Nadpis 11"/>
    <w:basedOn w:val="Normln"/>
    <w:uiPriority w:val="9"/>
    <w:qFormat/>
    <w:rsid w:val="008A6CB4"/>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8A6CB4"/>
    <w:pPr>
      <w:spacing w:after="0" w:line="240" w:lineRule="auto"/>
      <w:jc w:val="left"/>
    </w:pPr>
    <w:rPr>
      <w:rFonts w:eastAsia="Calibri"/>
      <w:szCs w:val="20"/>
    </w:rPr>
  </w:style>
  <w:style w:type="character" w:styleId="Zdraznn">
    <w:name w:val="Emphasis"/>
    <w:basedOn w:val="Standardnpsmoodstavce"/>
    <w:uiPriority w:val="20"/>
    <w:qFormat/>
    <w:rsid w:val="00C4431F"/>
    <w:rPr>
      <w:i/>
      <w:iCs/>
    </w:rPr>
  </w:style>
  <w:style w:type="character" w:customStyle="1" w:styleId="normaltextrun">
    <w:name w:val="normaltextrun"/>
    <w:basedOn w:val="Standardnpsmoodstavce"/>
    <w:rsid w:val="00C4431F"/>
  </w:style>
  <w:style w:type="paragraph" w:customStyle="1" w:styleId="paragraph">
    <w:name w:val="paragraph"/>
    <w:basedOn w:val="Normln"/>
    <w:rsid w:val="00C4431F"/>
    <w:pPr>
      <w:spacing w:before="100" w:beforeAutospacing="1" w:after="100" w:afterAutospacing="1" w:line="240" w:lineRule="auto"/>
      <w:jc w:val="left"/>
    </w:pPr>
    <w:rPr>
      <w:rFonts w:ascii="Times New Roman" w:hAnsi="Times New Roman"/>
      <w:sz w:val="24"/>
    </w:rPr>
  </w:style>
  <w:style w:type="character" w:customStyle="1" w:styleId="eop">
    <w:name w:val="eop"/>
    <w:basedOn w:val="Standardnpsmoodstavce"/>
    <w:rsid w:val="00C4431F"/>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adpisobsahu">
    <w:name w:val="TOC Heading"/>
    <w:basedOn w:val="Nadpis1"/>
    <w:next w:val="Normln"/>
    <w:uiPriority w:val="39"/>
    <w:unhideWhenUsed/>
    <w:qFormat/>
    <w:rsid w:val="00603FF5"/>
    <w:pPr>
      <w:spacing w:before="240" w:after="0" w:line="259" w:lineRule="auto"/>
      <w:contextualSpacing w:val="0"/>
      <w:outlineLvl w:val="9"/>
    </w:pPr>
    <w:rPr>
      <w:rFonts w:asciiTheme="majorHAnsi" w:eastAsiaTheme="majorEastAsia" w:hAnsiTheme="majorHAnsi" w:cstheme="majorBidi"/>
      <w:b w:val="0"/>
      <w:bCs w:val="0"/>
      <w:color w:val="365F91" w:themeColor="accent1" w:themeShade="BF"/>
      <w:szCs w:val="32"/>
    </w:rPr>
  </w:style>
  <w:style w:type="character" w:customStyle="1" w:styleId="ts-alignment-element">
    <w:name w:val="ts-alignment-element"/>
    <w:basedOn w:val="Standardnpsmoodstavce"/>
    <w:rsid w:val="00E551F6"/>
  </w:style>
  <w:style w:type="character" w:customStyle="1" w:styleId="ts-alignment-element-highlighted">
    <w:name w:val="ts-alignment-element-highlighted"/>
    <w:basedOn w:val="Standardnpsmoodstavce"/>
    <w:rsid w:val="00E551F6"/>
  </w:style>
  <w:style w:type="character" w:styleId="Sledovanodkaz">
    <w:name w:val="FollowedHyperlink"/>
    <w:basedOn w:val="Standardnpsmoodstavce"/>
    <w:uiPriority w:val="99"/>
    <w:semiHidden/>
    <w:unhideWhenUsed/>
    <w:rsid w:val="003F3E6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112676334">
      <w:bodyDiv w:val="1"/>
      <w:marLeft w:val="0"/>
      <w:marRight w:val="0"/>
      <w:marTop w:val="0"/>
      <w:marBottom w:val="0"/>
      <w:divBdr>
        <w:top w:val="none" w:sz="0" w:space="0" w:color="auto"/>
        <w:left w:val="none" w:sz="0" w:space="0" w:color="auto"/>
        <w:bottom w:val="none" w:sz="0" w:space="0" w:color="auto"/>
        <w:right w:val="none" w:sz="0" w:space="0" w:color="auto"/>
      </w:divBdr>
    </w:div>
    <w:div w:id="243729605">
      <w:bodyDiv w:val="1"/>
      <w:marLeft w:val="0"/>
      <w:marRight w:val="0"/>
      <w:marTop w:val="0"/>
      <w:marBottom w:val="0"/>
      <w:divBdr>
        <w:top w:val="none" w:sz="0" w:space="0" w:color="auto"/>
        <w:left w:val="none" w:sz="0" w:space="0" w:color="auto"/>
        <w:bottom w:val="none" w:sz="0" w:space="0" w:color="auto"/>
        <w:right w:val="none" w:sz="0" w:space="0" w:color="auto"/>
      </w:divBdr>
    </w:div>
    <w:div w:id="255015632">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87458773">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883518353">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76136441">
      <w:bodyDiv w:val="1"/>
      <w:marLeft w:val="0"/>
      <w:marRight w:val="0"/>
      <w:marTop w:val="0"/>
      <w:marBottom w:val="0"/>
      <w:divBdr>
        <w:top w:val="none" w:sz="0" w:space="0" w:color="auto"/>
        <w:left w:val="none" w:sz="0" w:space="0" w:color="auto"/>
        <w:bottom w:val="none" w:sz="0" w:space="0" w:color="auto"/>
        <w:right w:val="none" w:sz="0" w:space="0" w:color="auto"/>
      </w:divBdr>
    </w:div>
    <w:div w:id="1283000633">
      <w:bodyDiv w:val="1"/>
      <w:marLeft w:val="0"/>
      <w:marRight w:val="0"/>
      <w:marTop w:val="0"/>
      <w:marBottom w:val="0"/>
      <w:divBdr>
        <w:top w:val="none" w:sz="0" w:space="0" w:color="auto"/>
        <w:left w:val="none" w:sz="0" w:space="0" w:color="auto"/>
        <w:bottom w:val="none" w:sz="0" w:space="0" w:color="auto"/>
        <w:right w:val="none" w:sz="0" w:space="0" w:color="auto"/>
      </w:divBdr>
    </w:div>
    <w:div w:id="1403985577">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56962653">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3.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https://czsocz-my.sharepoint.com/personal/karolina_zabojnikova_czso_cz/Documents/Dokumenty/Anal&#253;za/Q/2024Q2/ENG/Makroanal&#253;za%20grafy_eng.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https://czsocz-my.sharepoint.com/personal/karolina_zabojnikova_czso_cz/Documents/Dokumenty/Anal&#253;za/Q/2024Q2/ENG/Makroanal&#253;za%20grafy_eng.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https://czsocz-my.sharepoint.com/personal/karolina_zabojnikova_czso_cz/Documents/Dokumenty/Anal&#253;za/Q/2024Q2/ENG/Makroanal&#253;za%20grafy_eng.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2240163796014418E-2"/>
          <c:y val="2.3046636085626952E-2"/>
          <c:w val="0.93617042384329663"/>
          <c:h val="0.74192840256670856"/>
        </c:manualLayout>
      </c:layout>
      <c:barChart>
        <c:barDir val="col"/>
        <c:grouping val="clustered"/>
        <c:varyColors val="0"/>
        <c:ser>
          <c:idx val="0"/>
          <c:order val="0"/>
          <c:tx>
            <c:strRef>
              <c:f>'souhrnná výkonnost 1'!$C$4</c:f>
              <c:strCache>
                <c:ptCount val="1"/>
                <c:pt idx="0">
                  <c:v>CR year-on-year change</c:v>
                </c:pt>
              </c:strCache>
            </c:strRef>
          </c:tx>
          <c:spPr>
            <a:solidFill>
              <a:schemeClr val="bg1">
                <a:lumMod val="65000"/>
              </a:schemeClr>
            </a:solidFill>
            <a:ln>
              <a:noFill/>
            </a:ln>
          </c:spPr>
          <c:invertIfNegative val="0"/>
          <c:cat>
            <c:multiLvlStrRef>
              <c:f>'souhrnná výkonnost 1'!$A$9:$B$30</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'souhrnná výkonnost 1'!$C$9:$C$30</c:f>
              <c:numCache>
                <c:formatCode>0.0</c:formatCode>
                <c:ptCount val="22"/>
                <c:pt idx="0">
                  <c:v>3.4189856936099829</c:v>
                </c:pt>
                <c:pt idx="1">
                  <c:v>3.6131741333642537</c:v>
                </c:pt>
                <c:pt idx="2">
                  <c:v>3.6825803056472921</c:v>
                </c:pt>
                <c:pt idx="3">
                  <c:v>3.3199919158713271</c:v>
                </c:pt>
                <c:pt idx="4">
                  <c:v>-1.5501786832516729</c:v>
                </c:pt>
                <c:pt idx="5">
                  <c:v>-10.594932915034789</c:v>
                </c:pt>
                <c:pt idx="6">
                  <c:v>-4.7011751782364399</c:v>
                </c:pt>
                <c:pt idx="7">
                  <c:v>-4.4366398308301314</c:v>
                </c:pt>
                <c:pt idx="8">
                  <c:v>-1.2288638498452684</c:v>
                </c:pt>
                <c:pt idx="9">
                  <c:v>9.7404575003667162</c:v>
                </c:pt>
                <c:pt idx="10">
                  <c:v>3.9736849039729805</c:v>
                </c:pt>
                <c:pt idx="11">
                  <c:v>3.9029603596385698</c:v>
                </c:pt>
                <c:pt idx="12">
                  <c:v>4.8437098358771209</c:v>
                </c:pt>
                <c:pt idx="13">
                  <c:v>3.6483773841026448</c:v>
                </c:pt>
                <c:pt idx="14">
                  <c:v>2.0520198238941418</c:v>
                </c:pt>
                <c:pt idx="15">
                  <c:v>0.95157210327245423</c:v>
                </c:pt>
                <c:pt idx="16">
                  <c:v>0.28194122653326303</c:v>
                </c:pt>
                <c:pt idx="17">
                  <c:v>0.17520468854441162</c:v>
                </c:pt>
                <c:pt idx="18" formatCode="General">
                  <c:v>-0.36641834862845712</c:v>
                </c:pt>
                <c:pt idx="19" formatCode="General">
                  <c:v>4.80414775099689E-2</c:v>
                </c:pt>
                <c:pt idx="20" formatCode="General">
                  <c:v>0.40552379101710301</c:v>
                </c:pt>
                <c:pt idx="21" formatCode="General">
                  <c:v>0.59788490150663165</c:v>
                </c:pt>
              </c:numCache>
            </c:numRef>
          </c:val>
          <c:extLst>
            <c:ext xmlns:c16="http://schemas.microsoft.com/office/drawing/2014/chart" uri="{C3380CC4-5D6E-409C-BE32-E72D297353CC}">
              <c16:uniqueId val="{00000000-EC1F-4B73-8EAA-6334A7408EE3}"/>
            </c:ext>
          </c:extLst>
        </c:ser>
        <c:ser>
          <c:idx val="1"/>
          <c:order val="1"/>
          <c:tx>
            <c:strRef>
              <c:f>'souhrnná výkonnost 1'!$D$4</c:f>
              <c:strCache>
                <c:ptCount val="1"/>
                <c:pt idx="0">
                  <c:v>EU28 year-on-year change</c:v>
                </c:pt>
              </c:strCache>
            </c:strRef>
          </c:tx>
          <c:spPr>
            <a:solidFill>
              <a:schemeClr val="bg1">
                <a:lumMod val="50000"/>
              </a:schemeClr>
            </a:solidFill>
            <a:ln>
              <a:noFill/>
            </a:ln>
          </c:spPr>
          <c:invertIfNegative val="0"/>
          <c:cat>
            <c:multiLvlStrRef>
              <c:f>'souhrnná výkonnost 1'!$A$9:$B$30</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'souhrnná výkonnost 1'!$D$9:$D$30</c:f>
              <c:numCache>
                <c:formatCode>#\ ##0.0</c:formatCode>
                <c:ptCount val="22"/>
                <c:pt idx="0" formatCode="#\ ##0.##########">
                  <c:v>2</c:v>
                </c:pt>
                <c:pt idx="1">
                  <c:v>2</c:v>
                </c:pt>
                <c:pt idx="2" formatCode="#\ ##0.##########">
                  <c:v>2.1</c:v>
                </c:pt>
                <c:pt idx="3" formatCode="#\ ##0.##########">
                  <c:v>1.4</c:v>
                </c:pt>
                <c:pt idx="4" formatCode="#\ ##0.##########">
                  <c:v>-2.2999999999999998</c:v>
                </c:pt>
                <c:pt idx="5" formatCode="#\ ##0.##########">
                  <c:v>-13.2</c:v>
                </c:pt>
                <c:pt idx="6" formatCode="#\ ##0.##########">
                  <c:v>-4</c:v>
                </c:pt>
                <c:pt idx="7" formatCode="#\ ##0.##########">
                  <c:v>-3.7</c:v>
                </c:pt>
                <c:pt idx="8" formatCode="#\ ##0.##########">
                  <c:v>0</c:v>
                </c:pt>
                <c:pt idx="9" formatCode="#\ ##0.##########">
                  <c:v>14.6</c:v>
                </c:pt>
                <c:pt idx="10" formatCode="#\ ##0.##########">
                  <c:v>5.2</c:v>
                </c:pt>
                <c:pt idx="11" formatCode="#\ ##0.##########">
                  <c:v>5.8</c:v>
                </c:pt>
                <c:pt idx="12" formatCode="#\ ##0.##########">
                  <c:v>5.5</c:v>
                </c:pt>
                <c:pt idx="13" formatCode="#\ ##0.##########">
                  <c:v>4</c:v>
                </c:pt>
                <c:pt idx="14" formatCode="#\ ##0.##########">
                  <c:v>2.6</c:v>
                </c:pt>
                <c:pt idx="15" formatCode="#\ ##0.##########">
                  <c:v>1.5</c:v>
                </c:pt>
                <c:pt idx="16" formatCode="#\ ##0.##########">
                  <c:v>1.2</c:v>
                </c:pt>
                <c:pt idx="17" formatCode="#\ ##0.##########">
                  <c:v>0.5</c:v>
                </c:pt>
                <c:pt idx="18" formatCode="#\ ##0.##########">
                  <c:v>0.1</c:v>
                </c:pt>
                <c:pt idx="19" formatCode="#\ ##0.##########">
                  <c:v>0.4</c:v>
                </c:pt>
                <c:pt idx="20" formatCode="#\ ##0.##########">
                  <c:v>0.7</c:v>
                </c:pt>
                <c:pt idx="21" formatCode="#\ ##0.##########">
                  <c:v>0.8</c:v>
                </c:pt>
              </c:numCache>
            </c:numRef>
          </c:val>
          <c:extLst>
            <c:ext xmlns:c16="http://schemas.microsoft.com/office/drawing/2014/chart" uri="{C3380CC4-5D6E-409C-BE32-E72D297353CC}">
              <c16:uniqueId val="{00000001-EC1F-4B73-8EAA-6334A7408EE3}"/>
            </c:ext>
          </c:extLst>
        </c:ser>
        <c:dLbls>
          <c:showLegendKey val="0"/>
          <c:showVal val="0"/>
          <c:showCatName val="0"/>
          <c:showSerName val="0"/>
          <c:showPercent val="0"/>
          <c:showBubbleSize val="0"/>
        </c:dLbls>
        <c:gapWidth val="100"/>
        <c:axId val="115054080"/>
        <c:axId val="115056000"/>
      </c:barChart>
      <c:lineChart>
        <c:grouping val="standard"/>
        <c:varyColors val="0"/>
        <c:ser>
          <c:idx val="2"/>
          <c:order val="2"/>
          <c:tx>
            <c:strRef>
              <c:f>'souhrnná výkonnost 1'!$E$4</c:f>
              <c:strCache>
                <c:ptCount val="1"/>
                <c:pt idx="0">
                  <c:v>ČR quarter-on-quarter change</c:v>
                </c:pt>
              </c:strCache>
            </c:strRef>
          </c:tx>
          <c:spPr>
            <a:ln w="19050">
              <a:noFill/>
            </a:ln>
          </c:spPr>
          <c:marker>
            <c:symbol val="dash"/>
            <c:size val="8"/>
            <c:spPr>
              <a:solidFill>
                <a:schemeClr val="accent1"/>
              </a:solidFill>
              <a:ln>
                <a:noFill/>
              </a:ln>
            </c:spPr>
          </c:marker>
          <c:cat>
            <c:multiLvlStrRef>
              <c:f>'souhrnná výkonnost 1'!$A$9:$B$30</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'souhrnná výkonnost 1'!$E$9:$E$30</c:f>
              <c:numCache>
                <c:formatCode>0.0</c:formatCode>
                <c:ptCount val="22"/>
                <c:pt idx="0">
                  <c:v>1.3072240756125382</c:v>
                </c:pt>
                <c:pt idx="1">
                  <c:v>0.49696583288741181</c:v>
                </c:pt>
                <c:pt idx="2">
                  <c:v>0.73496507853789694</c:v>
                </c:pt>
                <c:pt idx="3">
                  <c:v>0.74204395610576057</c:v>
                </c:pt>
                <c:pt idx="4">
                  <c:v>-3.4680711506351827</c:v>
                </c:pt>
                <c:pt idx="5">
                  <c:v>-8.7358630828085069</c:v>
                </c:pt>
                <c:pt idx="6">
                  <c:v>7.3756119585801656</c:v>
                </c:pt>
                <c:pt idx="7">
                  <c:v>1.0216888693163071</c:v>
                </c:pt>
                <c:pt idx="8">
                  <c:v>-0.22778321796964462</c:v>
                </c:pt>
                <c:pt idx="9">
                  <c:v>1.3997462117176838</c:v>
                </c:pt>
                <c:pt idx="10">
                  <c:v>1.7331100894615759</c:v>
                </c:pt>
                <c:pt idx="11">
                  <c:v>0.95297231935684579</c:v>
                </c:pt>
                <c:pt idx="12">
                  <c:v>0.67556602593998605</c:v>
                </c:pt>
                <c:pt idx="13">
                  <c:v>0.24367869523720742</c:v>
                </c:pt>
                <c:pt idx="14">
                  <c:v>0.16625083402912821</c:v>
                </c:pt>
                <c:pt idx="15">
                  <c:v>-0.13562414811659096</c:v>
                </c:pt>
                <c:pt idx="16">
                  <c:v>7.7659497292046353E-3</c:v>
                </c:pt>
                <c:pt idx="17">
                  <c:v>0.13698288252822977</c:v>
                </c:pt>
                <c:pt idx="18" formatCode="General">
                  <c:v>-0.37532379182387388</c:v>
                </c:pt>
                <c:pt idx="19" formatCode="General">
                  <c:v>0.27979574512603733</c:v>
                </c:pt>
                <c:pt idx="20" formatCode="General">
                  <c:v>0.36510435448376199</c:v>
                </c:pt>
                <c:pt idx="21" formatCode="General">
                  <c:v>0.32882951109067449</c:v>
                </c:pt>
              </c:numCache>
            </c:numRef>
          </c:val>
          <c:smooth val="0"/>
          <c:extLst>
            <c:ext xmlns:c16="http://schemas.microsoft.com/office/drawing/2014/chart" uri="{C3380CC4-5D6E-409C-BE32-E72D297353CC}">
              <c16:uniqueId val="{00000002-EC1F-4B73-8EAA-6334A7408EE3}"/>
            </c:ext>
          </c:extLst>
        </c:ser>
        <c:ser>
          <c:idx val="3"/>
          <c:order val="3"/>
          <c:tx>
            <c:strRef>
              <c:f>'souhrnná výkonnost 1'!$F$4</c:f>
              <c:strCache>
                <c:ptCount val="1"/>
                <c:pt idx="0">
                  <c:v>EU28 quarter-on-quarter change</c:v>
                </c:pt>
              </c:strCache>
            </c:strRef>
          </c:tx>
          <c:spPr>
            <a:ln w="19050">
              <a:noFill/>
            </a:ln>
          </c:spPr>
          <c:marker>
            <c:symbol val="dash"/>
            <c:size val="8"/>
            <c:spPr>
              <a:solidFill>
                <a:schemeClr val="accent2"/>
              </a:solidFill>
              <a:ln>
                <a:noFill/>
              </a:ln>
            </c:spPr>
          </c:marker>
          <c:cat>
            <c:multiLvlStrRef>
              <c:f>'souhrnná výkonnost 1'!$A$9:$B$30</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'souhrnná výkonnost 1'!$F$9:$F$30</c:f>
              <c:numCache>
                <c:formatCode>#\ ##0.##########</c:formatCode>
                <c:ptCount val="22"/>
                <c:pt idx="0">
                  <c:v>0.7</c:v>
                </c:pt>
                <c:pt idx="1">
                  <c:v>0.4</c:v>
                </c:pt>
                <c:pt idx="2">
                  <c:v>0.3</c:v>
                </c:pt>
                <c:pt idx="3" formatCode="#\ ##0.0">
                  <c:v>0</c:v>
                </c:pt>
                <c:pt idx="4">
                  <c:v>-3.1</c:v>
                </c:pt>
                <c:pt idx="5">
                  <c:v>-10.7</c:v>
                </c:pt>
                <c:pt idx="6">
                  <c:v>10.8</c:v>
                </c:pt>
                <c:pt idx="7">
                  <c:v>0.4</c:v>
                </c:pt>
                <c:pt idx="8">
                  <c:v>0.7</c:v>
                </c:pt>
                <c:pt idx="9">
                  <c:v>2.2999999999999998</c:v>
                </c:pt>
                <c:pt idx="10">
                  <c:v>1.8</c:v>
                </c:pt>
                <c:pt idx="11">
                  <c:v>0.9</c:v>
                </c:pt>
                <c:pt idx="12">
                  <c:v>0.4</c:v>
                </c:pt>
                <c:pt idx="13">
                  <c:v>0.8</c:v>
                </c:pt>
                <c:pt idx="14">
                  <c:v>0.5</c:v>
                </c:pt>
                <c:pt idx="15">
                  <c:v>-0.2</c:v>
                </c:pt>
                <c:pt idx="16">
                  <c:v>0.1</c:v>
                </c:pt>
                <c:pt idx="17">
                  <c:v>0.1</c:v>
                </c:pt>
                <c:pt idx="18">
                  <c:v>0.2</c:v>
                </c:pt>
                <c:pt idx="19">
                  <c:v>0.1</c:v>
                </c:pt>
                <c:pt idx="20">
                  <c:v>0.3</c:v>
                </c:pt>
                <c:pt idx="21">
                  <c:v>0.2</c:v>
                </c:pt>
              </c:numCache>
            </c:numRef>
          </c:val>
          <c:smooth val="0"/>
          <c:extLst>
            <c:ext xmlns:c16="http://schemas.microsoft.com/office/drawing/2014/chart" uri="{C3380CC4-5D6E-409C-BE32-E72D297353CC}">
              <c16:uniqueId val="{00000003-EC1F-4B73-8EAA-6334A7408EE3}"/>
            </c:ext>
          </c:extLst>
        </c:ser>
        <c:dLbls>
          <c:showLegendKey val="0"/>
          <c:showVal val="0"/>
          <c:showCatName val="0"/>
          <c:showSerName val="0"/>
          <c:showPercent val="0"/>
          <c:showBubbleSize val="0"/>
        </c:dLbls>
        <c:marker val="1"/>
        <c:smooth val="0"/>
        <c:axId val="115054080"/>
        <c:axId val="115056000"/>
      </c:lineChart>
      <c:catAx>
        <c:axId val="115054080"/>
        <c:scaling>
          <c:orientation val="minMax"/>
        </c:scaling>
        <c:delete val="0"/>
        <c:axPos val="b"/>
        <c:numFmt formatCode="General" sourceLinked="0"/>
        <c:majorTickMark val="out"/>
        <c:minorTickMark val="none"/>
        <c:tickLblPos val="low"/>
        <c:spPr>
          <a:ln>
            <a:solidFill>
              <a:schemeClr val="tx1"/>
            </a:solidFill>
          </a:ln>
        </c:spPr>
        <c:txPr>
          <a:bodyPr rot="0" vert="horz"/>
          <a:lstStyle/>
          <a:p>
            <a:pPr>
              <a:defRPr/>
            </a:pPr>
            <a:endParaRPr lang="cs-CZ"/>
          </a:p>
        </c:txPr>
        <c:crossAx val="115056000"/>
        <c:crosses val="autoZero"/>
        <c:auto val="1"/>
        <c:lblAlgn val="ctr"/>
        <c:lblOffset val="100"/>
        <c:noMultiLvlLbl val="0"/>
      </c:catAx>
      <c:valAx>
        <c:axId val="115056000"/>
        <c:scaling>
          <c:orientation val="minMax"/>
          <c:max val="15"/>
          <c:min val="-15"/>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15054080"/>
        <c:crosses val="autoZero"/>
        <c:crossBetween val="between"/>
        <c:majorUnit val="3"/>
      </c:valAx>
      <c:spPr>
        <a:ln>
          <a:solidFill>
            <a:schemeClr val="tx1"/>
          </a:solidFill>
        </a:ln>
      </c:spPr>
    </c:plotArea>
    <c:legend>
      <c:legendPos val="b"/>
      <c:layout>
        <c:manualLayout>
          <c:xMode val="edge"/>
          <c:yMode val="edge"/>
          <c:x val="5.0375530939407026E-2"/>
          <c:y val="0.89437255125717996"/>
          <c:w val="0.92644083516900477"/>
          <c:h val="9.0301755758791014E-2"/>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948352704928246E-2"/>
          <c:y val="2.8458510079622041E-2"/>
          <c:w val="0.93956464282120367"/>
          <c:h val="0.6497469886299676"/>
        </c:manualLayout>
      </c:layout>
      <c:barChart>
        <c:barDir val="col"/>
        <c:grouping val="stacked"/>
        <c:varyColors val="0"/>
        <c:ser>
          <c:idx val="1"/>
          <c:order val="0"/>
          <c:tx>
            <c:strRef>
              <c:f>'souhrnná výkonnost 3'!$F$5</c:f>
              <c:strCache>
                <c:ptCount val="1"/>
                <c:pt idx="0">
                  <c:v>Foreign trade balance</c:v>
                </c:pt>
              </c:strCache>
            </c:strRef>
          </c:tx>
          <c:spPr>
            <a:solidFill>
              <a:srgbClr val="7DBB2D"/>
            </a:solidFill>
            <a:ln>
              <a:noFill/>
            </a:ln>
          </c:spPr>
          <c:invertIfNegative val="0"/>
          <c:cat>
            <c:multiLvlStrRef>
              <c:f>'souhrnná výkonnost 3'!$A$10:$B$31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'souhrnná výkonnost 3'!$F$10:$F$31</c:f>
              <c:numCache>
                <c:formatCode>#\ ##0.0</c:formatCode>
                <c:ptCount val="22"/>
                <c:pt idx="0">
                  <c:v>-6.5470917658757233E-2</c:v>
                </c:pt>
                <c:pt idx="1">
                  <c:v>1.4494397815262756</c:v>
                </c:pt>
                <c:pt idx="2">
                  <c:v>1.519520930710476</c:v>
                </c:pt>
                <c:pt idx="3">
                  <c:v>-1.1386552968129167</c:v>
                </c:pt>
                <c:pt idx="4">
                  <c:v>-1.5054961152095412</c:v>
                </c:pt>
                <c:pt idx="5">
                  <c:v>-8.5652935026312509</c:v>
                </c:pt>
                <c:pt idx="6">
                  <c:v>-0.91701615307186923</c:v>
                </c:pt>
                <c:pt idx="7">
                  <c:v>1.6441945082634004</c:v>
                </c:pt>
                <c:pt idx="8">
                  <c:v>0.90880127021110413</c:v>
                </c:pt>
                <c:pt idx="9">
                  <c:v>6.124141351147399</c:v>
                </c:pt>
                <c:pt idx="10">
                  <c:v>-3.6522086207896334</c:v>
                </c:pt>
                <c:pt idx="11">
                  <c:v>-3.5019135769376728</c:v>
                </c:pt>
                <c:pt idx="12">
                  <c:v>-1.6832006565895616</c:v>
                </c:pt>
                <c:pt idx="13">
                  <c:v>-0.3806378126415233</c:v>
                </c:pt>
                <c:pt idx="14">
                  <c:v>3.408239118939032</c:v>
                </c:pt>
                <c:pt idx="15">
                  <c:v>1.4700226511684527</c:v>
                </c:pt>
                <c:pt idx="16">
                  <c:v>0.99148226513822246</c:v>
                </c:pt>
                <c:pt idx="17">
                  <c:v>1.5486267337540123</c:v>
                </c:pt>
                <c:pt idx="18">
                  <c:v>-0.56176321449408628</c:v>
                </c:pt>
                <c:pt idx="19">
                  <c:v>1.6209759868613784</c:v>
                </c:pt>
                <c:pt idx="20">
                  <c:v>0.69612604798797095</c:v>
                </c:pt>
                <c:pt idx="21">
                  <c:v>0.25076561158815486</c:v>
                </c:pt>
              </c:numCache>
            </c:numRef>
          </c:val>
          <c:extLst>
            <c:ext xmlns:c16="http://schemas.microsoft.com/office/drawing/2014/chart" uri="{C3380CC4-5D6E-409C-BE32-E72D297353CC}">
              <c16:uniqueId val="{00000000-ABAA-4BFE-A8F2-B708657D7305}"/>
            </c:ext>
          </c:extLst>
        </c:ser>
        <c:ser>
          <c:idx val="2"/>
          <c:order val="1"/>
          <c:tx>
            <c:strRef>
              <c:f>'souhrnná výkonnost 3'!$H$5</c:f>
              <c:strCache>
                <c:ptCount val="1"/>
                <c:pt idx="0">
                  <c:v>Change in inventories</c:v>
                </c:pt>
              </c:strCache>
            </c:strRef>
          </c:tx>
          <c:spPr>
            <a:solidFill>
              <a:srgbClr val="E8AFB2"/>
            </a:solidFill>
            <a:ln>
              <a:noFill/>
            </a:ln>
          </c:spPr>
          <c:invertIfNegative val="0"/>
          <c:cat>
            <c:multiLvlStrRef>
              <c:f>'souhrnná výkonnost 3'!$A$10:$B$31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'souhrnná výkonnost 3'!$H$10:$H$31</c:f>
              <c:numCache>
                <c:formatCode>#\ ##0.0</c:formatCode>
                <c:ptCount val="22"/>
                <c:pt idx="0">
                  <c:v>-3.4866839032703018E-2</c:v>
                </c:pt>
                <c:pt idx="1">
                  <c:v>-1.2132673218827674</c:v>
                </c:pt>
                <c:pt idx="2">
                  <c:v>-0.61640554015347881</c:v>
                </c:pt>
                <c:pt idx="3">
                  <c:v>1.8990615757299067</c:v>
                </c:pt>
                <c:pt idx="4">
                  <c:v>-0.40340689033643318</c:v>
                </c:pt>
                <c:pt idx="5">
                  <c:v>0.49746610716149758</c:v>
                </c:pt>
                <c:pt idx="6">
                  <c:v>-1.209597715652736</c:v>
                </c:pt>
                <c:pt idx="7">
                  <c:v>-2.2124027001017974</c:v>
                </c:pt>
                <c:pt idx="8">
                  <c:v>0.41264966656715685</c:v>
                </c:pt>
                <c:pt idx="9">
                  <c:v>0.57206005966288753</c:v>
                </c:pt>
                <c:pt idx="10">
                  <c:v>2.5716584196045469</c:v>
                </c:pt>
                <c:pt idx="11">
                  <c:v>1.3737502139548177</c:v>
                </c:pt>
                <c:pt idx="12">
                  <c:v>0.60915917645428019</c:v>
                </c:pt>
                <c:pt idx="13">
                  <c:v>1.6317613698141717</c:v>
                </c:pt>
                <c:pt idx="14">
                  <c:v>-0.7854278742999391</c:v>
                </c:pt>
                <c:pt idx="15">
                  <c:v>1.1886488133455293</c:v>
                </c:pt>
                <c:pt idx="16">
                  <c:v>0.43754644515722202</c:v>
                </c:pt>
                <c:pt idx="17">
                  <c:v>-1.3395842037813757</c:v>
                </c:pt>
                <c:pt idx="18">
                  <c:v>-0.17438299598556015</c:v>
                </c:pt>
                <c:pt idx="19">
                  <c:v>-3.4468378946903475</c:v>
                </c:pt>
                <c:pt idx="20">
                  <c:v>-2.7750590345431059</c:v>
                </c:pt>
                <c:pt idx="21">
                  <c:v>-2.121585305126906</c:v>
                </c:pt>
              </c:numCache>
            </c:numRef>
          </c:val>
          <c:extLst>
            <c:ext xmlns:c16="http://schemas.microsoft.com/office/drawing/2014/chart" uri="{C3380CC4-5D6E-409C-BE32-E72D297353CC}">
              <c16:uniqueId val="{00000001-ABAA-4BFE-A8F2-B708657D7305}"/>
            </c:ext>
          </c:extLst>
        </c:ser>
        <c:ser>
          <c:idx val="3"/>
          <c:order val="2"/>
          <c:tx>
            <c:strRef>
              <c:f>'souhrnná výkonnost 3'!$G$5</c:f>
              <c:strCache>
                <c:ptCount val="1"/>
                <c:pt idx="0">
                  <c:v>Gross fixed capital formation</c:v>
                </c:pt>
              </c:strCache>
            </c:strRef>
          </c:tx>
          <c:spPr>
            <a:solidFill>
              <a:srgbClr val="BD1B21"/>
            </a:solidFill>
            <a:ln>
              <a:noFill/>
            </a:ln>
          </c:spPr>
          <c:invertIfNegative val="0"/>
          <c:cat>
            <c:multiLvlStrRef>
              <c:f>'souhrnná výkonnost 3'!$A$10:$B$31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'souhrnná výkonnost 3'!$G$10:$G$31</c:f>
              <c:numCache>
                <c:formatCode>#\ ##0.0</c:formatCode>
                <c:ptCount val="22"/>
                <c:pt idx="0">
                  <c:v>1.8598270900589087</c:v>
                </c:pt>
                <c:pt idx="1">
                  <c:v>1.4526192483422518</c:v>
                </c:pt>
                <c:pt idx="2">
                  <c:v>1.0268088605058696</c:v>
                </c:pt>
                <c:pt idx="3">
                  <c:v>0.94075204306872073</c:v>
                </c:pt>
                <c:pt idx="4">
                  <c:v>-0.26111659305966983</c:v>
                </c:pt>
                <c:pt idx="5">
                  <c:v>0.14044234588323476</c:v>
                </c:pt>
                <c:pt idx="6">
                  <c:v>-1.1114194663634265</c:v>
                </c:pt>
                <c:pt idx="7">
                  <c:v>-1.2151629007980274</c:v>
                </c:pt>
                <c:pt idx="8">
                  <c:v>0.15781509790362797</c:v>
                </c:pt>
                <c:pt idx="9">
                  <c:v>7.3809702465127386E-2</c:v>
                </c:pt>
                <c:pt idx="10">
                  <c:v>1.9668146761327148</c:v>
                </c:pt>
                <c:pt idx="11">
                  <c:v>2.0385637566612256</c:v>
                </c:pt>
                <c:pt idx="12">
                  <c:v>2.1230773688868023</c:v>
                </c:pt>
                <c:pt idx="13">
                  <c:v>1.4912941413364145</c:v>
                </c:pt>
                <c:pt idx="14">
                  <c:v>0.94577481141240138</c:v>
                </c:pt>
                <c:pt idx="15">
                  <c:v>0.73322343987834782</c:v>
                </c:pt>
                <c:pt idx="16">
                  <c:v>0.4888139719141027</c:v>
                </c:pt>
                <c:pt idx="17">
                  <c:v>0.90164501226849947</c:v>
                </c:pt>
                <c:pt idx="18">
                  <c:v>0.75955977787894546</c:v>
                </c:pt>
                <c:pt idx="19">
                  <c:v>0.85240290842308541</c:v>
                </c:pt>
                <c:pt idx="20">
                  <c:v>0.28189570227017335</c:v>
                </c:pt>
                <c:pt idx="21">
                  <c:v>0.39041168569167112</c:v>
                </c:pt>
              </c:numCache>
            </c:numRef>
          </c:val>
          <c:extLst>
            <c:ext xmlns:c16="http://schemas.microsoft.com/office/drawing/2014/chart" uri="{C3380CC4-5D6E-409C-BE32-E72D297353CC}">
              <c16:uniqueId val="{00000002-ABAA-4BFE-A8F2-B708657D7305}"/>
            </c:ext>
          </c:extLst>
        </c:ser>
        <c:ser>
          <c:idx val="5"/>
          <c:order val="4"/>
          <c:tx>
            <c:strRef>
              <c:f>'souhrnná výkonnost 3'!$D$5</c:f>
              <c:strCache>
                <c:ptCount val="1"/>
                <c:pt idx="0">
                  <c:v>Final consumption expenditure of households (inc. non-profit inst.)</c:v>
                </c:pt>
              </c:strCache>
            </c:strRef>
          </c:tx>
          <c:spPr>
            <a:solidFill>
              <a:srgbClr val="0071BC"/>
            </a:solidFill>
            <a:ln>
              <a:noFill/>
            </a:ln>
          </c:spPr>
          <c:invertIfNegative val="0"/>
          <c:cat>
            <c:multiLvlStrRef>
              <c:f>'souhrnná výkonnost 3'!$A$10:$B$31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'souhrnná výkonnost 3'!$D$10:$D$31</c:f>
              <c:numCache>
                <c:formatCode>#\ ##0.0</c:formatCode>
                <c:ptCount val="22"/>
                <c:pt idx="0">
                  <c:v>1.0610692201073997</c:v>
                </c:pt>
                <c:pt idx="1">
                  <c:v>1.3164628896440984</c:v>
                </c:pt>
                <c:pt idx="2">
                  <c:v>1.1800657067488647</c:v>
                </c:pt>
                <c:pt idx="3">
                  <c:v>1.3325646204971671</c:v>
                </c:pt>
                <c:pt idx="4">
                  <c:v>-0.2398228716655057</c:v>
                </c:pt>
                <c:pt idx="5">
                  <c:v>-3.2567035122644707</c:v>
                </c:pt>
                <c:pt idx="6">
                  <c:v>-1.7740710022653545</c:v>
                </c:pt>
                <c:pt idx="7">
                  <c:v>-4.0888509658039061</c:v>
                </c:pt>
                <c:pt idx="8">
                  <c:v>-2.6303429796363251</c:v>
                </c:pt>
                <c:pt idx="9">
                  <c:v>3.0130078291252422</c:v>
                </c:pt>
                <c:pt idx="10">
                  <c:v>1.9847068901687124</c:v>
                </c:pt>
                <c:pt idx="11">
                  <c:v>3.7365176773416025</c:v>
                </c:pt>
                <c:pt idx="12">
                  <c:v>3.291044005952056</c:v>
                </c:pt>
                <c:pt idx="13">
                  <c:v>0.17808535886856286</c:v>
                </c:pt>
                <c:pt idx="14">
                  <c:v>-1.2688125161868613</c:v>
                </c:pt>
                <c:pt idx="15">
                  <c:v>-2.1014518367129478</c:v>
                </c:pt>
                <c:pt idx="16">
                  <c:v>-2.3008050226579631</c:v>
                </c:pt>
                <c:pt idx="17">
                  <c:v>-1.4637608387691801</c:v>
                </c:pt>
                <c:pt idx="18">
                  <c:v>-1.0832185050335064</c:v>
                </c:pt>
                <c:pt idx="19">
                  <c:v>0.19677657995487871</c:v>
                </c:pt>
                <c:pt idx="20">
                  <c:v>1.5774431462536993</c:v>
                </c:pt>
                <c:pt idx="21">
                  <c:v>1.1764624308243887</c:v>
                </c:pt>
              </c:numCache>
            </c:numRef>
          </c:val>
          <c:extLst>
            <c:ext xmlns:c16="http://schemas.microsoft.com/office/drawing/2014/chart" uri="{C3380CC4-5D6E-409C-BE32-E72D297353CC}">
              <c16:uniqueId val="{00000003-ABAA-4BFE-A8F2-B708657D7305}"/>
            </c:ext>
          </c:extLst>
        </c:ser>
        <c:ser>
          <c:idx val="4"/>
          <c:order val="5"/>
          <c:tx>
            <c:strRef>
              <c:f>'souhrnná výkonnost 3'!$E$5</c:f>
              <c:strCache>
                <c:ptCount val="1"/>
                <c:pt idx="0">
                  <c:v>Final consumption expenditure of government institutions</c:v>
                </c:pt>
              </c:strCache>
            </c:strRef>
          </c:tx>
          <c:spPr>
            <a:solidFill>
              <a:srgbClr val="A6CDE8"/>
            </a:solidFill>
            <a:ln>
              <a:noFill/>
            </a:ln>
          </c:spPr>
          <c:invertIfNegative val="0"/>
          <c:cat>
            <c:multiLvlStrRef>
              <c:f>'souhrnná výkonnost 3'!$A$10:$B$31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'souhrnná výkonnost 3'!$E$10:$E$31</c:f>
              <c:numCache>
                <c:formatCode>#\ ##0.0</c:formatCode>
                <c:ptCount val="22"/>
                <c:pt idx="0">
                  <c:v>0.52373870610125262</c:v>
                </c:pt>
                <c:pt idx="1">
                  <c:v>0.54525241929613355</c:v>
                </c:pt>
                <c:pt idx="2">
                  <c:v>0.53390853668406757</c:v>
                </c:pt>
                <c:pt idx="3">
                  <c:v>0.2780405319991846</c:v>
                </c:pt>
                <c:pt idx="4">
                  <c:v>0.85273575497086629</c:v>
                </c:pt>
                <c:pt idx="5">
                  <c:v>0.57219907272847048</c:v>
                </c:pt>
                <c:pt idx="6">
                  <c:v>0.31382004358461796</c:v>
                </c:pt>
                <c:pt idx="7">
                  <c:v>1.4192241054465731</c:v>
                </c:pt>
                <c:pt idx="8">
                  <c:v>-0.12340214907979793</c:v>
                </c:pt>
                <c:pt idx="9">
                  <c:v>-7.2907474861005656E-2</c:v>
                </c:pt>
                <c:pt idx="10">
                  <c:v>1.000714083725422</c:v>
                </c:pt>
                <c:pt idx="11">
                  <c:v>8.8247719969204746E-2</c:v>
                </c:pt>
                <c:pt idx="12">
                  <c:v>0.37181697618378928</c:v>
                </c:pt>
                <c:pt idx="13">
                  <c:v>0.57371034145730837</c:v>
                </c:pt>
                <c:pt idx="14">
                  <c:v>-0.32873762938072321</c:v>
                </c:pt>
                <c:pt idx="15">
                  <c:v>-0.30389432882498219</c:v>
                </c:pt>
                <c:pt idx="16">
                  <c:v>0.62053959222904453</c:v>
                </c:pt>
                <c:pt idx="17">
                  <c:v>0.55825256660682321</c:v>
                </c:pt>
                <c:pt idx="18">
                  <c:v>0.71530175534262508</c:v>
                </c:pt>
                <c:pt idx="19">
                  <c:v>0.74432066621940118</c:v>
                </c:pt>
                <c:pt idx="20">
                  <c:v>0.64383243200948259</c:v>
                </c:pt>
                <c:pt idx="21">
                  <c:v>0.84131512461671965</c:v>
                </c:pt>
              </c:numCache>
            </c:numRef>
          </c:val>
          <c:extLst>
            <c:ext xmlns:c16="http://schemas.microsoft.com/office/drawing/2014/chart" uri="{C3380CC4-5D6E-409C-BE32-E72D297353CC}">
              <c16:uniqueId val="{00000004-ABAA-4BFE-A8F2-B708657D7305}"/>
            </c:ext>
          </c:extLst>
        </c:ser>
        <c:dLbls>
          <c:showLegendKey val="0"/>
          <c:showVal val="0"/>
          <c:showCatName val="0"/>
          <c:showSerName val="0"/>
          <c:showPercent val="0"/>
          <c:showBubbleSize val="0"/>
        </c:dLbls>
        <c:gapWidth val="90"/>
        <c:overlap val="100"/>
        <c:axId val="115206784"/>
        <c:axId val="115286400"/>
      </c:barChart>
      <c:lineChart>
        <c:grouping val="standard"/>
        <c:varyColors val="0"/>
        <c:ser>
          <c:idx val="0"/>
          <c:order val="3"/>
          <c:tx>
            <c:strRef>
              <c:f>'souhrnná výkonnost 3'!$C$5</c:f>
              <c:strCache>
                <c:ptCount val="1"/>
                <c:pt idx="0">
                  <c:v>GDP</c:v>
                </c:pt>
              </c:strCache>
            </c:strRef>
          </c:tx>
          <c:spPr>
            <a:ln>
              <a:solidFill>
                <a:prstClr val="black"/>
              </a:solidFill>
            </a:ln>
          </c:spPr>
          <c:marker>
            <c:symbol val="none"/>
          </c:marker>
          <c:cat>
            <c:multiLvlStrRef>
              <c:f>'souhrnná výkonnost 3'!$A$10:$B$31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'souhrnná výkonnost 3'!$C$10:$C$31</c:f>
              <c:numCache>
                <c:formatCode>#\ ##0.0</c:formatCode>
                <c:ptCount val="22"/>
                <c:pt idx="0">
                  <c:v>3.4189743822717418</c:v>
                </c:pt>
                <c:pt idx="1">
                  <c:v>3.6132085037347395</c:v>
                </c:pt>
                <c:pt idx="2">
                  <c:v>3.68258658026825</c:v>
                </c:pt>
                <c:pt idx="3">
                  <c:v>3.3200025771466812</c:v>
                </c:pt>
                <c:pt idx="4">
                  <c:v>-1.5502005609675251</c:v>
                </c:pt>
                <c:pt idx="5">
                  <c:v>-10.594910497246218</c:v>
                </c:pt>
                <c:pt idx="6">
                  <c:v>-4.701156102682063</c:v>
                </c:pt>
                <c:pt idx="7">
                  <c:v>-4.4366371482296927</c:v>
                </c:pt>
                <c:pt idx="8">
                  <c:v>-1.2288405930294743</c:v>
                </c:pt>
                <c:pt idx="9">
                  <c:v>9.7404194240672268</c:v>
                </c:pt>
                <c:pt idx="10">
                  <c:v>3.9736917575390152</c:v>
                </c:pt>
                <c:pt idx="11">
                  <c:v>3.9029621018868283</c:v>
                </c:pt>
                <c:pt idx="12">
                  <c:v>4.8436882638427221</c:v>
                </c:pt>
                <c:pt idx="13">
                  <c:v>3.6483483455527903</c:v>
                </c:pt>
                <c:pt idx="14">
                  <c:v>2.0520278440471884</c:v>
                </c:pt>
                <c:pt idx="15">
                  <c:v>0.95155160469528255</c:v>
                </c:pt>
                <c:pt idx="16">
                  <c:v>0.28193578758093452</c:v>
                </c:pt>
                <c:pt idx="17">
                  <c:v>0.17520415357661534</c:v>
                </c:pt>
                <c:pt idx="18">
                  <c:v>-0.36641485385997896</c:v>
                </c:pt>
                <c:pt idx="19">
                  <c:v>4.8036623275507395E-2</c:v>
                </c:pt>
                <c:pt idx="20">
                  <c:v>0.40555411620755422</c:v>
                </c:pt>
                <c:pt idx="21">
                  <c:v>0.59789277379722705</c:v>
                </c:pt>
              </c:numCache>
            </c:numRef>
          </c:val>
          <c:smooth val="0"/>
          <c:extLst>
            <c:ext xmlns:c16="http://schemas.microsoft.com/office/drawing/2014/chart" uri="{C3380CC4-5D6E-409C-BE32-E72D297353CC}">
              <c16:uniqueId val="{00000005-ABAA-4BFE-A8F2-B708657D7305}"/>
            </c:ext>
          </c:extLst>
        </c:ser>
        <c:dLbls>
          <c:showLegendKey val="0"/>
          <c:showVal val="0"/>
          <c:showCatName val="0"/>
          <c:showSerName val="0"/>
          <c:showPercent val="0"/>
          <c:showBubbleSize val="0"/>
        </c:dLbls>
        <c:marker val="1"/>
        <c:smooth val="0"/>
        <c:axId val="115206784"/>
        <c:axId val="115286400"/>
      </c:lineChart>
      <c:catAx>
        <c:axId val="115206784"/>
        <c:scaling>
          <c:orientation val="minMax"/>
        </c:scaling>
        <c:delete val="0"/>
        <c:axPos val="b"/>
        <c:numFmt formatCode="General" sourceLinked="1"/>
        <c:majorTickMark val="out"/>
        <c:minorTickMark val="none"/>
        <c:tickLblPos val="low"/>
        <c:spPr>
          <a:ln>
            <a:solidFill>
              <a:schemeClr val="tx1"/>
            </a:solidFill>
          </a:ln>
        </c:spPr>
        <c:txPr>
          <a:bodyPr rot="0" vert="horz"/>
          <a:lstStyle/>
          <a:p>
            <a:pPr>
              <a:defRPr/>
            </a:pPr>
            <a:endParaRPr lang="cs-CZ"/>
          </a:p>
        </c:txPr>
        <c:crossAx val="115286400"/>
        <c:crosses val="autoZero"/>
        <c:auto val="1"/>
        <c:lblAlgn val="ctr"/>
        <c:lblOffset val="100"/>
        <c:noMultiLvlLbl val="0"/>
      </c:catAx>
      <c:valAx>
        <c:axId val="115286400"/>
        <c:scaling>
          <c:orientation val="minMax"/>
          <c:max val="10"/>
          <c:min val="-12"/>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15206784"/>
        <c:crosses val="autoZero"/>
        <c:crossBetween val="between"/>
        <c:majorUnit val="2"/>
      </c:valAx>
      <c:spPr>
        <a:ln>
          <a:solidFill>
            <a:schemeClr val="tx1"/>
          </a:solidFill>
        </a:ln>
      </c:spPr>
    </c:plotArea>
    <c:legend>
      <c:legendPos val="b"/>
      <c:layout>
        <c:manualLayout>
          <c:xMode val="edge"/>
          <c:yMode val="edge"/>
          <c:x val="5.2922564529558701E-2"/>
          <c:y val="0.79687874638673362"/>
          <c:w val="0.93952929520758033"/>
          <c:h val="0.20312125361326638"/>
        </c:manualLayout>
      </c:layout>
      <c:overlay val="0"/>
      <c:spPr>
        <a:ln w="6350">
          <a:no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4404035346808687E-2"/>
          <c:y val="3.7154479717354444E-2"/>
          <c:w val="0.93674937195830332"/>
          <c:h val="0.63445260610154264"/>
        </c:manualLayout>
      </c:layout>
      <c:barChart>
        <c:barDir val="col"/>
        <c:grouping val="stacked"/>
        <c:varyColors val="0"/>
        <c:ser>
          <c:idx val="4"/>
          <c:order val="0"/>
          <c:tx>
            <c:strRef>
              <c:f>'souhrnná výkonnost 4'!$C$5</c:f>
              <c:strCache>
                <c:ptCount val="1"/>
                <c:pt idx="0">
                  <c:v>Agriculture, forestry and fishing</c:v>
                </c:pt>
              </c:strCache>
            </c:strRef>
          </c:tx>
          <c:spPr>
            <a:solidFill>
              <a:srgbClr val="7DBB2D"/>
            </a:solidFill>
            <a:ln>
              <a:noFill/>
            </a:ln>
          </c:spPr>
          <c:invertIfNegative val="0"/>
          <c:cat>
            <c:multiLvlStrRef>
              <c:f>'souhrnná výkonnost 4'!$A$10:$B$31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'souhrnná výkonnost 4'!$C$10:$C$31</c:f>
              <c:numCache>
                <c:formatCode>#\ ##0.0</c:formatCode>
                <c:ptCount val="22"/>
                <c:pt idx="0">
                  <c:v>6.9952669722000996E-2</c:v>
                </c:pt>
                <c:pt idx="1">
                  <c:v>8.174334759303449E-2</c:v>
                </c:pt>
                <c:pt idx="2">
                  <c:v>0.11063000390967299</c:v>
                </c:pt>
                <c:pt idx="3">
                  <c:v>0.14033996982585203</c:v>
                </c:pt>
                <c:pt idx="4">
                  <c:v>0.15822035579434848</c:v>
                </c:pt>
                <c:pt idx="5">
                  <c:v>0.16572640891485885</c:v>
                </c:pt>
                <c:pt idx="6">
                  <c:v>0.14884192396827553</c:v>
                </c:pt>
                <c:pt idx="7">
                  <c:v>0.10349029376913045</c:v>
                </c:pt>
                <c:pt idx="8">
                  <c:v>-0.20943707470562339</c:v>
                </c:pt>
                <c:pt idx="9">
                  <c:v>-0.34449179443466599</c:v>
                </c:pt>
                <c:pt idx="10">
                  <c:v>-0.32209602561974893</c:v>
                </c:pt>
                <c:pt idx="11">
                  <c:v>-0.29333634112949242</c:v>
                </c:pt>
                <c:pt idx="12">
                  <c:v>1.4650416130809454E-3</c:v>
                </c:pt>
                <c:pt idx="13">
                  <c:v>7.8507188492409424E-2</c:v>
                </c:pt>
                <c:pt idx="14">
                  <c:v>3.9960777137645544E-2</c:v>
                </c:pt>
                <c:pt idx="15">
                  <c:v>-2.0459404335135881E-2</c:v>
                </c:pt>
                <c:pt idx="16">
                  <c:v>-3.2655587870534268E-3</c:v>
                </c:pt>
                <c:pt idx="17">
                  <c:v>-3.3619257921654828E-2</c:v>
                </c:pt>
                <c:pt idx="18">
                  <c:v>-3.1390438780173682E-2</c:v>
                </c:pt>
                <c:pt idx="19">
                  <c:v>-1.8726041672651388E-2</c:v>
                </c:pt>
                <c:pt idx="20">
                  <c:v>2.5899734689125427E-3</c:v>
                </c:pt>
                <c:pt idx="21">
                  <c:v>-3.4539946634848225E-2</c:v>
                </c:pt>
              </c:numCache>
            </c:numRef>
          </c:val>
          <c:extLst>
            <c:ext xmlns:c16="http://schemas.microsoft.com/office/drawing/2014/chart" uri="{C3380CC4-5D6E-409C-BE32-E72D297353CC}">
              <c16:uniqueId val="{00000000-86C0-46D7-A82D-F580787E0964}"/>
            </c:ext>
          </c:extLst>
        </c:ser>
        <c:ser>
          <c:idx val="1"/>
          <c:order val="1"/>
          <c:tx>
            <c:strRef>
              <c:f>'souhrnná výkonnost 4'!$F$5</c:f>
              <c:strCache>
                <c:ptCount val="1"/>
                <c:pt idx="0">
                  <c:v>Construction</c:v>
                </c:pt>
              </c:strCache>
            </c:strRef>
          </c:tx>
          <c:spPr>
            <a:solidFill>
              <a:srgbClr val="7030A0"/>
            </a:solidFill>
            <a:ln>
              <a:noFill/>
            </a:ln>
          </c:spPr>
          <c:invertIfNegative val="0"/>
          <c:cat>
            <c:multiLvlStrRef>
              <c:f>'souhrnná výkonnost 4'!$A$10:$B$31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'souhrnná výkonnost 4'!$F$10:$F$31</c:f>
              <c:numCache>
                <c:formatCode>#\ ##0.0</c:formatCode>
                <c:ptCount val="22"/>
                <c:pt idx="0">
                  <c:v>-0.15836437304914164</c:v>
                </c:pt>
                <c:pt idx="1">
                  <c:v>-0.12253502255257109</c:v>
                </c:pt>
                <c:pt idx="2">
                  <c:v>-7.1242684146133939E-2</c:v>
                </c:pt>
                <c:pt idx="3">
                  <c:v>-0.10866493986218721</c:v>
                </c:pt>
                <c:pt idx="4">
                  <c:v>-0.30004627661730132</c:v>
                </c:pt>
                <c:pt idx="5">
                  <c:v>-0.48068129994946118</c:v>
                </c:pt>
                <c:pt idx="6">
                  <c:v>-0.45523791005942654</c:v>
                </c:pt>
                <c:pt idx="7">
                  <c:v>-0.43581518565318822</c:v>
                </c:pt>
                <c:pt idx="8">
                  <c:v>-0.33836863825135816</c:v>
                </c:pt>
                <c:pt idx="9">
                  <c:v>-6.7143304167931656E-2</c:v>
                </c:pt>
                <c:pt idx="10">
                  <c:v>-5.8092008458518342E-2</c:v>
                </c:pt>
                <c:pt idx="11">
                  <c:v>-0.10853391292600841</c:v>
                </c:pt>
                <c:pt idx="12">
                  <c:v>-9.0417570306820225E-2</c:v>
                </c:pt>
                <c:pt idx="13">
                  <c:v>-0.27691175914342508</c:v>
                </c:pt>
                <c:pt idx="14">
                  <c:v>-0.42875648302719638</c:v>
                </c:pt>
                <c:pt idx="15">
                  <c:v>-0.37973365169110213</c:v>
                </c:pt>
                <c:pt idx="16">
                  <c:v>-0.17978597945941827</c:v>
                </c:pt>
                <c:pt idx="17">
                  <c:v>-0.15007885157470846</c:v>
                </c:pt>
                <c:pt idx="18">
                  <c:v>-7.2453853961446754E-2</c:v>
                </c:pt>
                <c:pt idx="19">
                  <c:v>-0.13175576942044118</c:v>
                </c:pt>
                <c:pt idx="20">
                  <c:v>-0.20793222116020077</c:v>
                </c:pt>
                <c:pt idx="21">
                  <c:v>-0.12955672564689352</c:v>
                </c:pt>
              </c:numCache>
            </c:numRef>
          </c:val>
          <c:extLst>
            <c:ext xmlns:c16="http://schemas.microsoft.com/office/drawing/2014/chart" uri="{C3380CC4-5D6E-409C-BE32-E72D297353CC}">
              <c16:uniqueId val="{00000001-86C0-46D7-A82D-F580787E0964}"/>
            </c:ext>
          </c:extLst>
        </c:ser>
        <c:ser>
          <c:idx val="2"/>
          <c:order val="2"/>
          <c:tx>
            <c:strRef>
              <c:f>'souhrnná výkonnost 4'!$E$5</c:f>
              <c:strCache>
                <c:ptCount val="1"/>
                <c:pt idx="0">
                  <c:v>Other industrial branches (CZ-NACE B,D,E)</c:v>
                </c:pt>
              </c:strCache>
            </c:strRef>
          </c:tx>
          <c:spPr>
            <a:solidFill>
              <a:srgbClr val="A6CDE8"/>
            </a:solidFill>
            <a:ln>
              <a:noFill/>
            </a:ln>
          </c:spPr>
          <c:invertIfNegative val="0"/>
          <c:cat>
            <c:multiLvlStrRef>
              <c:f>'souhrnná výkonnost 4'!$A$10:$B$31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'souhrnná výkonnost 4'!$E$10:$E$31</c:f>
              <c:numCache>
                <c:formatCode>General</c:formatCode>
                <c:ptCount val="22"/>
                <c:pt idx="0">
                  <c:v>4.5459612013585282E-3</c:v>
                </c:pt>
                <c:pt idx="1">
                  <c:v>-5.4299843239147494E-2</c:v>
                </c:pt>
                <c:pt idx="2">
                  <c:v>-0.26283098752928491</c:v>
                </c:pt>
                <c:pt idx="3">
                  <c:v>-9.8219621966424864E-2</c:v>
                </c:pt>
                <c:pt idx="4">
                  <c:v>-0.17620696396261137</c:v>
                </c:pt>
                <c:pt idx="5">
                  <c:v>-0.24771149792454139</c:v>
                </c:pt>
                <c:pt idx="6">
                  <c:v>-6.0935554321396967E-2</c:v>
                </c:pt>
                <c:pt idx="7">
                  <c:v>6.5525594099085982E-2</c:v>
                </c:pt>
                <c:pt idx="8">
                  <c:v>0.38896231887529847</c:v>
                </c:pt>
                <c:pt idx="9">
                  <c:v>0.46371609807310366</c:v>
                </c:pt>
                <c:pt idx="10">
                  <c:v>0.33807449475314627</c:v>
                </c:pt>
                <c:pt idx="11">
                  <c:v>-5.8765796805848813E-2</c:v>
                </c:pt>
                <c:pt idx="12">
                  <c:v>-0.43983407410669084</c:v>
                </c:pt>
                <c:pt idx="13">
                  <c:v>-0.35269776369716466</c:v>
                </c:pt>
                <c:pt idx="14">
                  <c:v>-0.58798697249592147</c:v>
                </c:pt>
                <c:pt idx="15">
                  <c:v>-0.91369938251265959</c:v>
                </c:pt>
                <c:pt idx="16">
                  <c:v>-1.0565359725214909</c:v>
                </c:pt>
                <c:pt idx="17">
                  <c:v>-1.1922043462900702</c:v>
                </c:pt>
                <c:pt idx="18">
                  <c:v>-1.1433067648135005</c:v>
                </c:pt>
                <c:pt idx="19">
                  <c:v>-0.88617705016962645</c:v>
                </c:pt>
                <c:pt idx="20">
                  <c:v>-0.36173671865889367</c:v>
                </c:pt>
                <c:pt idx="21">
                  <c:v>-5.1703354204711949E-2</c:v>
                </c:pt>
              </c:numCache>
            </c:numRef>
          </c:val>
          <c:extLst>
            <c:ext xmlns:c16="http://schemas.microsoft.com/office/drawing/2014/chart" uri="{C3380CC4-5D6E-409C-BE32-E72D297353CC}">
              <c16:uniqueId val="{00000002-86C0-46D7-A82D-F580787E0964}"/>
            </c:ext>
          </c:extLst>
        </c:ser>
        <c:ser>
          <c:idx val="3"/>
          <c:order val="3"/>
          <c:tx>
            <c:strRef>
              <c:f>'souhrnná výkonnost 4'!$D$5</c:f>
              <c:strCache>
                <c:ptCount val="1"/>
                <c:pt idx="0">
                  <c:v>Manufacturing (CZ-NACE C)</c:v>
                </c:pt>
              </c:strCache>
            </c:strRef>
          </c:tx>
          <c:spPr>
            <a:solidFill>
              <a:srgbClr val="0071BC"/>
            </a:solidFill>
            <a:ln>
              <a:noFill/>
            </a:ln>
          </c:spPr>
          <c:invertIfNegative val="0"/>
          <c:cat>
            <c:multiLvlStrRef>
              <c:f>'souhrnná výkonnost 4'!$A$10:$B$31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'souhrnná výkonnost 4'!$D$10:$D$31</c:f>
              <c:numCache>
                <c:formatCode>#\ ##0.0</c:formatCode>
                <c:ptCount val="22"/>
                <c:pt idx="0">
                  <c:v>0.79286837781479091</c:v>
                </c:pt>
                <c:pt idx="1">
                  <c:v>1.3034853573072027</c:v>
                </c:pt>
                <c:pt idx="2">
                  <c:v>1.2859805485632667</c:v>
                </c:pt>
                <c:pt idx="3">
                  <c:v>0.76399660901596278</c:v>
                </c:pt>
                <c:pt idx="4">
                  <c:v>-1.006029365184558</c:v>
                </c:pt>
                <c:pt idx="5">
                  <c:v>-5.8707476654845019</c:v>
                </c:pt>
                <c:pt idx="6">
                  <c:v>-2.1566635032660484</c:v>
                </c:pt>
                <c:pt idx="7">
                  <c:v>-1.5364269842490534</c:v>
                </c:pt>
                <c:pt idx="8">
                  <c:v>-0.81082301657390887</c:v>
                </c:pt>
                <c:pt idx="9">
                  <c:v>3.9743747095561068</c:v>
                </c:pt>
                <c:pt idx="10">
                  <c:v>-0.74888372469617781</c:v>
                </c:pt>
                <c:pt idx="11">
                  <c:v>-0.87291327125667473</c:v>
                </c:pt>
                <c:pt idx="12">
                  <c:v>0.64528350075532714</c:v>
                </c:pt>
                <c:pt idx="13">
                  <c:v>1.5767749269534403</c:v>
                </c:pt>
                <c:pt idx="14">
                  <c:v>2.2578630988104651</c:v>
                </c:pt>
                <c:pt idx="15">
                  <c:v>2.6492927635274892</c:v>
                </c:pt>
                <c:pt idx="16">
                  <c:v>1.5080733306136302</c:v>
                </c:pt>
                <c:pt idx="17">
                  <c:v>0.73424780372392695</c:v>
                </c:pt>
                <c:pt idx="18">
                  <c:v>0.18208075989036024</c:v>
                </c:pt>
                <c:pt idx="19">
                  <c:v>0.32030491527239691</c:v>
                </c:pt>
                <c:pt idx="20">
                  <c:v>-0.40635422888252737</c:v>
                </c:pt>
                <c:pt idx="21">
                  <c:v>-0.65443528808704077</c:v>
                </c:pt>
              </c:numCache>
            </c:numRef>
          </c:val>
          <c:extLst>
            <c:ext xmlns:c16="http://schemas.microsoft.com/office/drawing/2014/chart" uri="{C3380CC4-5D6E-409C-BE32-E72D297353CC}">
              <c16:uniqueId val="{00000003-86C0-46D7-A82D-F580787E0964}"/>
            </c:ext>
          </c:extLst>
        </c:ser>
        <c:ser>
          <c:idx val="0"/>
          <c:order val="4"/>
          <c:tx>
            <c:strRef>
              <c:f>'souhrnná výkonnost 4'!$G$5</c:f>
              <c:strCache>
                <c:ptCount val="1"/>
                <c:pt idx="0">
                  <c:v>Services (CZ-NACE G to U)</c:v>
                </c:pt>
              </c:strCache>
            </c:strRef>
          </c:tx>
          <c:spPr>
            <a:solidFill>
              <a:srgbClr val="BD1B21"/>
            </a:solidFill>
            <a:ln>
              <a:noFill/>
            </a:ln>
          </c:spPr>
          <c:invertIfNegative val="0"/>
          <c:cat>
            <c:multiLvlStrRef>
              <c:f>'souhrnná výkonnost 4'!$A$10:$B$31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'souhrnná výkonnost 4'!$G$10:$G$31</c:f>
              <c:numCache>
                <c:formatCode>General</c:formatCode>
                <c:ptCount val="22"/>
                <c:pt idx="0">
                  <c:v>2.7152016193024755</c:v>
                </c:pt>
                <c:pt idx="1">
                  <c:v>2.5568894010177439</c:v>
                </c:pt>
                <c:pt idx="2">
                  <c:v>2.5806630267772652</c:v>
                </c:pt>
                <c:pt idx="3">
                  <c:v>2.6155761339131312</c:v>
                </c:pt>
                <c:pt idx="4">
                  <c:v>0.1069034272001633</c:v>
                </c:pt>
                <c:pt idx="5">
                  <c:v>-4.2921319772752993</c:v>
                </c:pt>
                <c:pt idx="6">
                  <c:v>-1.7505754010952781</c:v>
                </c:pt>
                <c:pt idx="7">
                  <c:v>-2.2464479137063273</c:v>
                </c:pt>
                <c:pt idx="8">
                  <c:v>-0.13953156252945553</c:v>
                </c:pt>
                <c:pt idx="9">
                  <c:v>5.9943506299525042</c:v>
                </c:pt>
                <c:pt idx="10">
                  <c:v>4.4243917423347074</c:v>
                </c:pt>
                <c:pt idx="11">
                  <c:v>4.7971483856259507</c:v>
                </c:pt>
                <c:pt idx="12">
                  <c:v>4.2170828841115204</c:v>
                </c:pt>
                <c:pt idx="13">
                  <c:v>2.6617211255203492</c:v>
                </c:pt>
                <c:pt idx="14">
                  <c:v>0.7676089117890853</c:v>
                </c:pt>
                <c:pt idx="15">
                  <c:v>0.29041678067472676</c:v>
                </c:pt>
                <c:pt idx="16">
                  <c:v>1.2589748995853525</c:v>
                </c:pt>
                <c:pt idx="17">
                  <c:v>1.2817734210173399</c:v>
                </c:pt>
                <c:pt idx="18">
                  <c:v>1.3261284382955532</c:v>
                </c:pt>
                <c:pt idx="19">
                  <c:v>0.56483538142502965</c:v>
                </c:pt>
                <c:pt idx="20">
                  <c:v>0.38305051399584844</c:v>
                </c:pt>
                <c:pt idx="21">
                  <c:v>0.95709818011786907</c:v>
                </c:pt>
              </c:numCache>
            </c:numRef>
          </c:val>
          <c:extLst>
            <c:ext xmlns:c16="http://schemas.microsoft.com/office/drawing/2014/chart" uri="{C3380CC4-5D6E-409C-BE32-E72D297353CC}">
              <c16:uniqueId val="{00000004-86C0-46D7-A82D-F580787E0964}"/>
            </c:ext>
          </c:extLst>
        </c:ser>
        <c:dLbls>
          <c:showLegendKey val="0"/>
          <c:showVal val="0"/>
          <c:showCatName val="0"/>
          <c:showSerName val="0"/>
          <c:showPercent val="0"/>
          <c:showBubbleSize val="0"/>
        </c:dLbls>
        <c:gapWidth val="70"/>
        <c:overlap val="100"/>
        <c:axId val="115446144"/>
        <c:axId val="115447680"/>
      </c:barChart>
      <c:lineChart>
        <c:grouping val="standard"/>
        <c:varyColors val="0"/>
        <c:ser>
          <c:idx val="5"/>
          <c:order val="5"/>
          <c:tx>
            <c:strRef>
              <c:f>'souhrnná výkonnost 4'!$H$5</c:f>
              <c:strCache>
                <c:ptCount val="1"/>
                <c:pt idx="0">
                  <c:v>Total gross value added</c:v>
                </c:pt>
              </c:strCache>
            </c:strRef>
          </c:tx>
          <c:spPr>
            <a:ln w="19050">
              <a:solidFill>
                <a:prstClr val="black"/>
              </a:solidFill>
            </a:ln>
          </c:spPr>
          <c:marker>
            <c:symbol val="none"/>
          </c:marker>
          <c:cat>
            <c:multiLvlStrRef>
              <c:f>'souhrnná výkonnost 4'!$A$10:$B$31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'souhrnná výkonnost 4'!$H$10:$H$31</c:f>
              <c:numCache>
                <c:formatCode>#\ ##0.0</c:formatCode>
                <c:ptCount val="22"/>
                <c:pt idx="0">
                  <c:v>3.4241020823594539</c:v>
                </c:pt>
                <c:pt idx="1">
                  <c:v>3.7654261763610037</c:v>
                </c:pt>
                <c:pt idx="2">
                  <c:v>3.6432533192545407</c:v>
                </c:pt>
                <c:pt idx="3">
                  <c:v>3.3129891367830879</c:v>
                </c:pt>
                <c:pt idx="4">
                  <c:v>-1.2169604796506661</c:v>
                </c:pt>
                <c:pt idx="5">
                  <c:v>-10.72573587437293</c:v>
                </c:pt>
                <c:pt idx="6">
                  <c:v>-4.2745842128591107</c:v>
                </c:pt>
                <c:pt idx="7">
                  <c:v>-4.0497053295080292</c:v>
                </c:pt>
                <c:pt idx="8">
                  <c:v>-1.1092326662295733</c:v>
                </c:pt>
                <c:pt idx="9">
                  <c:v>10.020922752811231</c:v>
                </c:pt>
                <c:pt idx="10">
                  <c:v>3.6334340143173023</c:v>
                </c:pt>
                <c:pt idx="11">
                  <c:v>3.4636121873782457</c:v>
                </c:pt>
                <c:pt idx="12">
                  <c:v>4.3335548202223748</c:v>
                </c:pt>
                <c:pt idx="13">
                  <c:v>3.6873115442208899</c:v>
                </c:pt>
                <c:pt idx="14">
                  <c:v>2.0486348171819628</c:v>
                </c:pt>
                <c:pt idx="15">
                  <c:v>1.6260683441280008</c:v>
                </c:pt>
                <c:pt idx="16">
                  <c:v>1.5274059601490251</c:v>
                </c:pt>
                <c:pt idx="17">
                  <c:v>0.64023838798151189</c:v>
                </c:pt>
                <c:pt idx="18">
                  <c:v>0.26107587152959866</c:v>
                </c:pt>
                <c:pt idx="19">
                  <c:v>-0.15185209829762414</c:v>
                </c:pt>
                <c:pt idx="20">
                  <c:v>-0.59029982486376298</c:v>
                </c:pt>
                <c:pt idx="21">
                  <c:v>8.6784794688583133E-2</c:v>
                </c:pt>
              </c:numCache>
            </c:numRef>
          </c:val>
          <c:smooth val="0"/>
          <c:extLst>
            <c:ext xmlns:c16="http://schemas.microsoft.com/office/drawing/2014/chart" uri="{C3380CC4-5D6E-409C-BE32-E72D297353CC}">
              <c16:uniqueId val="{00000005-86C0-46D7-A82D-F580787E0964}"/>
            </c:ext>
          </c:extLst>
        </c:ser>
        <c:dLbls>
          <c:showLegendKey val="0"/>
          <c:showVal val="0"/>
          <c:showCatName val="0"/>
          <c:showSerName val="0"/>
          <c:showPercent val="0"/>
          <c:showBubbleSize val="0"/>
        </c:dLbls>
        <c:marker val="1"/>
        <c:smooth val="0"/>
        <c:axId val="115446144"/>
        <c:axId val="115447680"/>
      </c:lineChart>
      <c:catAx>
        <c:axId val="115446144"/>
        <c:scaling>
          <c:orientation val="minMax"/>
        </c:scaling>
        <c:delete val="0"/>
        <c:axPos val="b"/>
        <c:numFmt formatCode="General" sourceLinked="1"/>
        <c:majorTickMark val="out"/>
        <c:minorTickMark val="none"/>
        <c:tickLblPos val="low"/>
        <c:spPr>
          <a:ln>
            <a:solidFill>
              <a:schemeClr val="tx1"/>
            </a:solidFill>
          </a:ln>
        </c:spPr>
        <c:txPr>
          <a:bodyPr rot="0" vert="horz"/>
          <a:lstStyle/>
          <a:p>
            <a:pPr>
              <a:defRPr/>
            </a:pPr>
            <a:endParaRPr lang="cs-CZ"/>
          </a:p>
        </c:txPr>
        <c:crossAx val="115447680"/>
        <c:crosses val="autoZero"/>
        <c:auto val="1"/>
        <c:lblAlgn val="ctr"/>
        <c:lblOffset val="100"/>
        <c:noMultiLvlLbl val="0"/>
      </c:catAx>
      <c:valAx>
        <c:axId val="115447680"/>
        <c:scaling>
          <c:orientation val="minMax"/>
          <c:max val="12"/>
          <c:min val="-12"/>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15446144"/>
        <c:crosses val="autoZero"/>
        <c:crossBetween val="between"/>
        <c:majorUnit val="2"/>
      </c:valAx>
      <c:spPr>
        <a:ln>
          <a:solidFill>
            <a:schemeClr val="tx1"/>
          </a:solidFill>
        </a:ln>
      </c:spPr>
    </c:plotArea>
    <c:legend>
      <c:legendPos val="b"/>
      <c:layout>
        <c:manualLayout>
          <c:xMode val="edge"/>
          <c:yMode val="edge"/>
          <c:x val="4.8782884397989404E-2"/>
          <c:y val="0.79016604750647301"/>
          <c:w val="0.92922619274506457"/>
          <c:h val="0.19462484520995055"/>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0204C7C21F48A488F44995C5F8FB06D" ma:contentTypeVersion="11" ma:contentTypeDescription="Vytvoří nový dokument" ma:contentTypeScope="" ma:versionID="1df8c39b067b5d25b5f5e865a8e6deb3">
  <xsd:schema xmlns:xsd="http://www.w3.org/2001/XMLSchema" xmlns:xs="http://www.w3.org/2001/XMLSchema" xmlns:p="http://schemas.microsoft.com/office/2006/metadata/properties" xmlns:ns3="b8c0c86d-151e-4fca-b0d5-747e6692fa1d" targetNamespace="http://schemas.microsoft.com/office/2006/metadata/properties" ma:root="true" ma:fieldsID="0a1e36cc980726b26aea9439dfb6e5b7" ns3:_="">
    <xsd:import namespace="b8c0c86d-151e-4fca-b0d5-747e6692fa1d"/>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0c86d-151e-4fca-b0d5-747e6692fa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8A1E1-1E99-4B4F-B9B5-70567730AA3A}">
  <ds:schemaRefs>
    <ds:schemaRef ds:uri="http://schemas.microsoft.com/sharepoint/v3/contenttype/forms"/>
  </ds:schemaRefs>
</ds:datastoreItem>
</file>

<file path=customXml/itemProps2.xml><?xml version="1.0" encoding="utf-8"?>
<ds:datastoreItem xmlns:ds="http://schemas.openxmlformats.org/officeDocument/2006/customXml" ds:itemID="{1E7681AD-41B0-431A-9D34-CF6700A12FA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E43242F-3FB6-473C-87F1-89DD6C1DF5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c0c86d-151e-4fca-b0d5-747e6692fa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D316E1-6EAA-4B02-92E6-426AF2854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1592</Words>
  <Characters>9394</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10965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Kučerová Jana</dc:creator>
  <cp:keywords/>
  <cp:lastModifiedBy>Kamenický Jiří</cp:lastModifiedBy>
  <cp:revision>3</cp:revision>
  <cp:lastPrinted>2014-07-17T14:07:00Z</cp:lastPrinted>
  <dcterms:created xsi:type="dcterms:W3CDTF">2024-10-16T11:29:00Z</dcterms:created>
  <dcterms:modified xsi:type="dcterms:W3CDTF">2024-10-16T11:31:00Z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0x01010070204C7C21F48A488F44995C5F8FB06D</vt:lpwstr>
  </property>
  <property fmtid="{D5CDD505-2E9C-101B-9397-08002B2CF9AE}" pid="3" name="Názevformuláře">
    <vt:lpwstr>Publikace CZ barevné - vícetematické analýzy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2018-04-17T07:00:00Z</vt:filetime>
  </property>
  <property fmtid="{D5CDD505-2E9C-101B-9397-08002B2CF9AE}" pid="8" name="Označení">
    <vt:lpwstr>Form_c444</vt:lpwstr>
  </property>
  <property fmtid="{D5CDD505-2E9C-101B-9397-08002B2CF9AE}" pid="9" name="MediaServiceImageTags">
    <vt:lpwstr/>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ies>
</file>