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15FD6" w14:textId="77777777" w:rsidR="00E551F6" w:rsidRPr="001A0A01" w:rsidRDefault="00E551F6" w:rsidP="00E551F6">
      <w:pPr>
        <w:pStyle w:val="Nadpis1"/>
        <w:rPr>
          <w:lang w:val="en-GB"/>
        </w:rPr>
      </w:pPr>
      <w:bookmarkStart w:id="0" w:name="_Toc179774110"/>
      <w:bookmarkStart w:id="1" w:name="_Toc161914427"/>
      <w:bookmarkStart w:id="2" w:name="_GoBack"/>
      <w:bookmarkEnd w:id="2"/>
      <w:r w:rsidRPr="001A0A01">
        <w:rPr>
          <w:lang w:val="en-GB"/>
        </w:rPr>
        <w:t>6. Labour Market</w:t>
      </w:r>
      <w:bookmarkEnd w:id="0"/>
    </w:p>
    <w:tbl>
      <w:tblPr>
        <w:tblW w:w="9674" w:type="dxa"/>
        <w:tblInd w:w="-35" w:type="dxa"/>
        <w:tblCellMar>
          <w:left w:w="0" w:type="dxa"/>
          <w:right w:w="0" w:type="dxa"/>
        </w:tblCellMar>
        <w:tblLook w:val="00A0" w:firstRow="1" w:lastRow="0" w:firstColumn="1" w:lastColumn="0" w:noHBand="0" w:noVBand="0"/>
      </w:tblPr>
      <w:tblGrid>
        <w:gridCol w:w="1746"/>
        <w:gridCol w:w="198"/>
        <w:gridCol w:w="7730"/>
      </w:tblGrid>
      <w:tr w:rsidR="00E551F6" w:rsidRPr="001A0A01" w14:paraId="0BC8AE8F" w14:textId="77777777" w:rsidTr="003D1AE0">
        <w:trPr>
          <w:trHeight w:val="155"/>
        </w:trPr>
        <w:tc>
          <w:tcPr>
            <w:tcW w:w="1768" w:type="dxa"/>
            <w:shd w:val="clear" w:color="auto" w:fill="auto"/>
            <w:tcMar>
              <w:left w:w="0" w:type="dxa"/>
            </w:tcMar>
          </w:tcPr>
          <w:p w14:paraId="57F0172C" w14:textId="77777777" w:rsidR="0019301D" w:rsidRDefault="00E551F6" w:rsidP="00E551F6">
            <w:pPr>
              <w:jc w:val="left"/>
              <w:rPr>
                <w:color w:val="0D0D0D" w:themeColor="text1" w:themeTint="F2"/>
                <w:spacing w:val="-4"/>
                <w:sz w:val="16"/>
                <w:szCs w:val="16"/>
                <w:lang w:val="en-GB"/>
              </w:rPr>
            </w:pPr>
            <w:r w:rsidRPr="001A0A01">
              <w:rPr>
                <w:color w:val="0D0D0D" w:themeColor="text1" w:themeTint="F2"/>
                <w:spacing w:val="-4"/>
                <w:sz w:val="16"/>
                <w:szCs w:val="16"/>
                <w:lang w:val="en-GB"/>
              </w:rPr>
              <w:t>The situation on the labour market was stabilis</w:t>
            </w:r>
            <w:r w:rsidR="0019301D">
              <w:rPr>
                <w:color w:val="0D0D0D" w:themeColor="text1" w:themeTint="F2"/>
                <w:spacing w:val="-4"/>
                <w:sz w:val="16"/>
                <w:szCs w:val="16"/>
                <w:lang w:val="en-GB"/>
              </w:rPr>
              <w:t>ed in H1. Especially in case</w:t>
            </w:r>
            <w:r w:rsidRPr="001A0A01">
              <w:rPr>
                <w:color w:val="0D0D0D" w:themeColor="text1" w:themeTint="F2"/>
                <w:spacing w:val="-4"/>
                <w:sz w:val="16"/>
                <w:szCs w:val="16"/>
                <w:lang w:val="en-GB"/>
              </w:rPr>
              <w:t xml:space="preserve"> of employment, the effects of last year's economic stagnation were still reflected retrospectively. </w:t>
            </w:r>
          </w:p>
          <w:p w14:paraId="61C67540" w14:textId="1C1B21E5" w:rsidR="00E551F6" w:rsidRPr="001A0A01" w:rsidRDefault="00E551F6" w:rsidP="00E551F6">
            <w:pPr>
              <w:jc w:val="left"/>
              <w:rPr>
                <w:color w:val="0D0D0D" w:themeColor="text1" w:themeTint="F2"/>
                <w:spacing w:val="-4"/>
                <w:lang w:val="en-GB"/>
              </w:rPr>
            </w:pPr>
            <w:r w:rsidRPr="001A0A01">
              <w:rPr>
                <w:color w:val="0D0D0D" w:themeColor="text1" w:themeTint="F2"/>
                <w:spacing w:val="-4"/>
                <w:sz w:val="16"/>
                <w:szCs w:val="16"/>
                <w:lang w:val="en-GB"/>
              </w:rPr>
              <w:t xml:space="preserve">Growth of the purchasing power of wages has resumed, and wages have thus gradually begun to eliminate their deep losses from 2022 and 2023. </w:t>
            </w:r>
          </w:p>
        </w:tc>
        <w:tc>
          <w:tcPr>
            <w:tcW w:w="200" w:type="dxa"/>
            <w:shd w:val="clear" w:color="auto" w:fill="auto"/>
            <w:tcMar>
              <w:left w:w="0" w:type="dxa"/>
            </w:tcMar>
          </w:tcPr>
          <w:p w14:paraId="158CF04B"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5AEB3121" w14:textId="77777777" w:rsidR="00E551F6" w:rsidRPr="001A0A01" w:rsidRDefault="00E551F6" w:rsidP="00E551F6">
            <w:pPr>
              <w:spacing w:after="200"/>
              <w:rPr>
                <w:color w:val="0D0D0D" w:themeColor="text1" w:themeTint="F2"/>
                <w:spacing w:val="-5"/>
                <w:szCs w:val="20"/>
                <w:lang w:val="en-GB"/>
              </w:rPr>
            </w:pPr>
            <w:r w:rsidRPr="001A0A01">
              <w:rPr>
                <w:color w:val="0D0D0D" w:themeColor="text1" w:themeTint="F2"/>
                <w:spacing w:val="-5"/>
                <w:szCs w:val="20"/>
                <w:lang w:val="en-GB"/>
              </w:rPr>
              <w:t xml:space="preserve">The effects of last year's stagnation of economic performance continued to be reflected on the labour market with a delay this year. Employment growth remained rather weak. Despite the recovery of most services and small and medium businesses in general, the unfavourable situation persisted in industry and construction. Entrepreneurs in most key sectors also remain cautious regarding their short-term expectations of their own employment. However, in spite of the uncertain economic outlook, companies still increasingly demanded a cheaper labour force from abroad, and in addition, the integration of Ukrainian refugees into the labour market in the Czech Republic gradually continued, which partly addressed the longer-term shortage of available labour force in the country. Unemployment, including its long-term component, remained at a very low level without any significant changes. The specific situation in individual economic activities was reflected in heterogeneous wage growth, nevertheless its nominal year-on-year pace overall slightly weakened. This was also due to the fact that wage growth was subdued in most areas of the public sector as a result of the fiscal consolidation efforts. However, thanks to the stabilisation of the price level in the economy, the year-on-year decrease of the purchasing power of wages has stopped in all regions as well as main sectors (except for education). The purchasing power of average wages nevertheless still reached only the 2018 level. </w:t>
            </w:r>
          </w:p>
        </w:tc>
      </w:tr>
      <w:tr w:rsidR="00E551F6" w:rsidRPr="001A0A01" w14:paraId="13894D6F" w14:textId="77777777" w:rsidTr="003D1AE0">
        <w:trPr>
          <w:trHeight w:val="155"/>
        </w:trPr>
        <w:tc>
          <w:tcPr>
            <w:tcW w:w="1768" w:type="dxa"/>
            <w:shd w:val="clear" w:color="auto" w:fill="auto"/>
            <w:tcMar>
              <w:left w:w="0" w:type="dxa"/>
            </w:tcMar>
          </w:tcPr>
          <w:p w14:paraId="2CDD692F" w14:textId="77777777" w:rsidR="00E551F6" w:rsidRPr="001A0A01" w:rsidRDefault="00E551F6" w:rsidP="00E551F6">
            <w:pPr>
              <w:pStyle w:val="Marginlie"/>
              <w:spacing w:after="120"/>
              <w:rPr>
                <w:color w:val="0D0D0D" w:themeColor="text1" w:themeTint="F2"/>
                <w:spacing w:val="-4"/>
                <w:lang w:val="en-GB"/>
              </w:rPr>
            </w:pPr>
            <w:r w:rsidRPr="001A0A01">
              <w:rPr>
                <w:color w:val="0D0D0D" w:themeColor="text1" w:themeTint="F2"/>
                <w:spacing w:val="-4"/>
                <w:lang w:val="en-GB"/>
              </w:rPr>
              <w:t xml:space="preserve">Total employment slightly increased, quarter-on-quarter, in Q2, mainly due to the development of small businesses. </w:t>
            </w:r>
          </w:p>
          <w:p w14:paraId="4519039F" w14:textId="77777777" w:rsidR="00E551F6" w:rsidRPr="001A0A01" w:rsidRDefault="00E551F6" w:rsidP="00E551F6">
            <w:pPr>
              <w:pStyle w:val="Marginlie"/>
              <w:spacing w:after="120"/>
              <w:rPr>
                <w:color w:val="0D0D0D" w:themeColor="text1" w:themeTint="F2"/>
                <w:spacing w:val="-4"/>
                <w:lang w:val="en-GB"/>
              </w:rPr>
            </w:pPr>
          </w:p>
          <w:p w14:paraId="6BACB28A" w14:textId="77777777" w:rsidR="00E551F6" w:rsidRPr="001A0A01" w:rsidRDefault="00E551F6" w:rsidP="00E551F6">
            <w:pPr>
              <w:pStyle w:val="Marginlie"/>
              <w:spacing w:after="120"/>
              <w:rPr>
                <w:color w:val="0D0D0D" w:themeColor="text1" w:themeTint="F2"/>
                <w:spacing w:val="-4"/>
                <w:lang w:val="en-GB"/>
              </w:rPr>
            </w:pPr>
          </w:p>
          <w:p w14:paraId="5B4A58C9" w14:textId="77777777" w:rsidR="00E551F6" w:rsidRPr="001A0A01" w:rsidRDefault="00E551F6" w:rsidP="00E551F6">
            <w:pPr>
              <w:pStyle w:val="Marginlie"/>
              <w:spacing w:after="120"/>
              <w:rPr>
                <w:color w:val="0D0D0D" w:themeColor="text1" w:themeTint="F2"/>
                <w:spacing w:val="-4"/>
                <w:lang w:val="en-GB"/>
              </w:rPr>
            </w:pPr>
          </w:p>
          <w:p w14:paraId="4E3CEC36" w14:textId="77777777" w:rsidR="00E551F6" w:rsidRPr="001A0A01" w:rsidRDefault="00E551F6" w:rsidP="00E551F6">
            <w:pPr>
              <w:pStyle w:val="Marginlie"/>
              <w:spacing w:after="120"/>
              <w:rPr>
                <w:color w:val="0D0D0D" w:themeColor="text1" w:themeTint="F2"/>
                <w:spacing w:val="-4"/>
                <w:lang w:val="en-GB"/>
              </w:rPr>
            </w:pPr>
          </w:p>
          <w:p w14:paraId="123EC19D" w14:textId="77777777" w:rsidR="00E551F6" w:rsidRPr="001A0A01" w:rsidRDefault="00E551F6" w:rsidP="00E551F6">
            <w:pPr>
              <w:pStyle w:val="Marginlie"/>
              <w:spacing w:after="120"/>
              <w:rPr>
                <w:color w:val="0D0D0D" w:themeColor="text1" w:themeTint="F2"/>
                <w:spacing w:val="-4"/>
                <w:lang w:val="en-GB"/>
              </w:rPr>
            </w:pPr>
            <w:r w:rsidRPr="001A0A01">
              <w:rPr>
                <w:color w:val="0D0D0D" w:themeColor="text1" w:themeTint="F2"/>
                <w:spacing w:val="-4"/>
                <w:lang w:val="en-GB"/>
              </w:rPr>
              <w:t xml:space="preserve">The year-on-year growth was driven by public services for employees, and by trade and tourism-related activities for the self-employed. </w:t>
            </w:r>
          </w:p>
        </w:tc>
        <w:tc>
          <w:tcPr>
            <w:tcW w:w="200" w:type="dxa"/>
            <w:shd w:val="clear" w:color="auto" w:fill="auto"/>
            <w:tcMar>
              <w:left w:w="0" w:type="dxa"/>
            </w:tcMar>
          </w:tcPr>
          <w:p w14:paraId="0C967064"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02626354" w14:textId="2F91D023" w:rsidR="00E551F6" w:rsidRPr="001A0A01" w:rsidRDefault="00E551F6" w:rsidP="00E551F6">
            <w:pPr>
              <w:rPr>
                <w:spacing w:val="-4"/>
                <w:lang w:val="en-GB"/>
              </w:rPr>
            </w:pPr>
            <w:r w:rsidRPr="001A0A01">
              <w:rPr>
                <w:spacing w:val="-4"/>
                <w:lang w:val="en-GB"/>
              </w:rPr>
              <w:t>While the total employment</w:t>
            </w:r>
            <w:r w:rsidRPr="001A0A01">
              <w:rPr>
                <w:color w:val="0D0D0D" w:themeColor="text1" w:themeTint="F2"/>
                <w:spacing w:val="-4"/>
                <w:vertAlign w:val="superscript"/>
                <w:lang w:val="en-GB"/>
              </w:rPr>
              <w:footnoteReference w:id="2"/>
            </w:r>
            <w:r w:rsidRPr="001A0A01">
              <w:rPr>
                <w:spacing w:val="-4"/>
                <w:lang w:val="en-GB"/>
              </w:rPr>
              <w:t xml:space="preserve"> in Czechia was only stagnating, quarter-on-quarter, at the beginning of this year (as in the second half of last year), it increased by 0.5% during Q2 2024. This recovery was mainly driven by some sectors of market services (trade, tourism-related activities, real estate) as well as construction. Rathe</w:t>
            </w:r>
            <w:r w:rsidR="0019301D">
              <w:rPr>
                <w:spacing w:val="-4"/>
                <w:lang w:val="en-GB"/>
              </w:rPr>
              <w:t>r than an increase of employee</w:t>
            </w:r>
            <w:r w:rsidRPr="001A0A01">
              <w:rPr>
                <w:spacing w:val="-4"/>
                <w:lang w:val="en-GB"/>
              </w:rPr>
              <w:t xml:space="preserve"> positions, the development of small businesses man</w:t>
            </w:r>
            <w:r w:rsidR="0019301D">
              <w:rPr>
                <w:spacing w:val="-4"/>
                <w:lang w:val="en-GB"/>
              </w:rPr>
              <w:t>ifested. The number of persons working</w:t>
            </w:r>
            <w:r w:rsidRPr="001A0A01">
              <w:rPr>
                <w:spacing w:val="-4"/>
                <w:lang w:val="en-GB"/>
              </w:rPr>
              <w:t xml:space="preserve"> in the national economy has already reached 5.41 million. Compared to the maximum value from the last boom (Q4 2018), it was higher by 0.7%, mainly due to the development of public services. Total employment has grown, year-on-year, for more than three years in a row, but the current pace in Q2 2024 was the weakest for the entire period (+0.2%</w:t>
            </w:r>
            <w:r w:rsidRPr="001A0A01">
              <w:rPr>
                <w:rStyle w:val="Znakapoznpodarou"/>
                <w:color w:val="0D0D0D" w:themeColor="text1" w:themeTint="F2"/>
                <w:spacing w:val="-4"/>
                <w:lang w:val="en-GB"/>
              </w:rPr>
              <w:footnoteReference w:id="3"/>
            </w:r>
            <w:r w:rsidRPr="001A0A01">
              <w:rPr>
                <w:spacing w:val="-4"/>
                <w:lang w:val="en-GB"/>
              </w:rPr>
              <w:t>). The delayed effect of last year's stagnation of the total economic performance was reflected in this project. The nu</w:t>
            </w:r>
            <w:r w:rsidR="00E2206E">
              <w:rPr>
                <w:spacing w:val="-4"/>
                <w:lang w:val="en-GB"/>
              </w:rPr>
              <w:t>mber of employees grew negligibly</w:t>
            </w:r>
            <w:r w:rsidRPr="001A0A01">
              <w:rPr>
                <w:spacing w:val="-4"/>
                <w:lang w:val="en-GB"/>
              </w:rPr>
              <w:t xml:space="preserve"> (+0.1%), which is related to persistent difficulties in the mining as well as manufacturing industries and the related transport branch. In contrast, most services prospered. Only the financial sector has significantly reduced the number of employees here, where this decline has a longer-term character and is mainly connected to the development of digitization. The number of self-employed persons in the total economy increased by 0.7%. Their numbers have thus grown more rapidly than in the case of employees, specifically for more than two years. The branch trade, transport, accommodation and food serv</w:t>
            </w:r>
            <w:r w:rsidR="00E2206E">
              <w:rPr>
                <w:spacing w:val="-4"/>
                <w:lang w:val="en-GB"/>
              </w:rPr>
              <w:t>ice, and to a lesser extent</w:t>
            </w:r>
            <w:r w:rsidRPr="001A0A01">
              <w:rPr>
                <w:spacing w:val="-4"/>
                <w:lang w:val="en-GB"/>
              </w:rPr>
              <w:t xml:space="preserve"> the public s</w:t>
            </w:r>
            <w:r w:rsidR="00E2206E">
              <w:rPr>
                <w:spacing w:val="-4"/>
                <w:lang w:val="en-GB"/>
              </w:rPr>
              <w:t>ector and also financial activities (</w:t>
            </w:r>
            <w:r w:rsidRPr="001A0A01">
              <w:rPr>
                <w:spacing w:val="-4"/>
                <w:lang w:val="en-GB"/>
              </w:rPr>
              <w:t>w</w:t>
            </w:r>
            <w:r>
              <w:rPr>
                <w:spacing w:val="-4"/>
                <w:lang w:val="en-GB"/>
              </w:rPr>
              <w:t>here there could be “spillovers”</w:t>
            </w:r>
            <w:r w:rsidR="00E2206E">
              <w:rPr>
                <w:spacing w:val="-4"/>
                <w:lang w:val="en-GB"/>
              </w:rPr>
              <w:t xml:space="preserve"> from employee</w:t>
            </w:r>
            <w:r w:rsidRPr="001A0A01">
              <w:rPr>
                <w:spacing w:val="-4"/>
                <w:lang w:val="en-GB"/>
              </w:rPr>
              <w:t xml:space="preserve"> status</w:t>
            </w:r>
            <w:r w:rsidR="00E2206E">
              <w:rPr>
                <w:spacing w:val="-4"/>
                <w:lang w:val="en-GB"/>
              </w:rPr>
              <w:t>)</w:t>
            </w:r>
            <w:r w:rsidRPr="001A0A01">
              <w:rPr>
                <w:spacing w:val="-4"/>
                <w:lang w:val="en-GB"/>
              </w:rPr>
              <w:t xml:space="preserve"> were behind the growing number of small entrepreneurs currently. The number of self-employed decreased due to the persisting recession and weakened demand in both industry and construction. </w:t>
            </w:r>
            <w:r w:rsidRPr="001A0A01">
              <w:rPr>
                <w:color w:val="0D0D0D" w:themeColor="text1" w:themeTint="F2"/>
                <w:spacing w:val="-4"/>
                <w:lang w:val="en-GB"/>
              </w:rPr>
              <w:t xml:space="preserve"> </w:t>
            </w:r>
          </w:p>
        </w:tc>
      </w:tr>
      <w:tr w:rsidR="00E551F6" w:rsidRPr="001A0A01" w14:paraId="50A218BE" w14:textId="77777777" w:rsidTr="003D1AE0">
        <w:trPr>
          <w:trHeight w:val="155"/>
        </w:trPr>
        <w:tc>
          <w:tcPr>
            <w:tcW w:w="1768" w:type="dxa"/>
            <w:shd w:val="clear" w:color="auto" w:fill="auto"/>
            <w:tcMar>
              <w:left w:w="0" w:type="dxa"/>
            </w:tcMar>
          </w:tcPr>
          <w:p w14:paraId="156C4C7C" w14:textId="77777777" w:rsidR="00E551F6" w:rsidRPr="001A0A01" w:rsidRDefault="00E551F6" w:rsidP="00E551F6">
            <w:pPr>
              <w:pStyle w:val="Marginlie"/>
              <w:spacing w:after="120"/>
              <w:rPr>
                <w:color w:val="0D0D0D" w:themeColor="text1" w:themeTint="F2"/>
                <w:spacing w:val="-4"/>
                <w:lang w:val="en-GB"/>
              </w:rPr>
            </w:pPr>
            <w:r w:rsidRPr="001A0A01">
              <w:rPr>
                <w:color w:val="0D0D0D" w:themeColor="text1" w:themeTint="F2"/>
                <w:spacing w:val="-4"/>
                <w:lang w:val="en-GB"/>
              </w:rPr>
              <w:t xml:space="preserve">Most services sectors contributed to the very </w:t>
            </w:r>
            <w:r w:rsidRPr="001A0A01">
              <w:rPr>
                <w:color w:val="0D0D0D" w:themeColor="text1" w:themeTint="F2"/>
                <w:spacing w:val="-4"/>
                <w:lang w:val="en-GB"/>
              </w:rPr>
              <w:lastRenderedPageBreak/>
              <w:t>modest year-on-year growth of employment, however both industry and construction were losing workers.</w:t>
            </w:r>
          </w:p>
          <w:p w14:paraId="76BEDB27" w14:textId="77777777" w:rsidR="00E551F6" w:rsidRPr="001A0A01" w:rsidRDefault="00E551F6" w:rsidP="00E551F6">
            <w:pPr>
              <w:pStyle w:val="Marginlie"/>
              <w:spacing w:after="120"/>
              <w:rPr>
                <w:color w:val="0D0D0D" w:themeColor="text1" w:themeTint="F2"/>
                <w:spacing w:val="-4"/>
                <w:lang w:val="en-GB"/>
              </w:rPr>
            </w:pPr>
          </w:p>
        </w:tc>
        <w:tc>
          <w:tcPr>
            <w:tcW w:w="200" w:type="dxa"/>
            <w:shd w:val="clear" w:color="auto" w:fill="auto"/>
            <w:tcMar>
              <w:left w:w="0" w:type="dxa"/>
            </w:tcMar>
          </w:tcPr>
          <w:p w14:paraId="12EA6A85"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460533D4" w14:textId="58F73A50" w:rsidR="00E551F6" w:rsidRPr="001A0A01" w:rsidRDefault="00E551F6" w:rsidP="00E551F6">
            <w:pPr>
              <w:rPr>
                <w:spacing w:val="-4"/>
                <w:lang w:val="en-GB"/>
              </w:rPr>
            </w:pPr>
            <w:r w:rsidRPr="001A0A01">
              <w:rPr>
                <w:spacing w:val="-4"/>
                <w:lang w:val="en-GB"/>
              </w:rPr>
              <w:t>The year-on-year growth of total employment (+0.3%) was driven by public services</w:t>
            </w:r>
            <w:r w:rsidRPr="001A0A01">
              <w:rPr>
                <w:rStyle w:val="Znakapoznpodarou"/>
                <w:spacing w:val="-4"/>
                <w:lang w:val="en-GB"/>
              </w:rPr>
              <w:footnoteReference w:id="4"/>
            </w:r>
            <w:r w:rsidRPr="001A0A01">
              <w:rPr>
                <w:spacing w:val="-4"/>
                <w:lang w:val="en-GB"/>
              </w:rPr>
              <w:t xml:space="preserve"> (+1.6%) in H1</w:t>
            </w:r>
            <w:r w:rsidR="00C2492A">
              <w:rPr>
                <w:spacing w:val="-4"/>
                <w:lang w:val="en-GB"/>
              </w:rPr>
              <w:t xml:space="preserve"> 2024</w:t>
            </w:r>
            <w:r w:rsidRPr="001A0A01">
              <w:rPr>
                <w:spacing w:val="-4"/>
                <w:lang w:val="en-GB"/>
              </w:rPr>
              <w:t xml:space="preserve">, which gradually responded to the rising demand related mainly to longer-term </w:t>
            </w:r>
            <w:r w:rsidRPr="001A0A01">
              <w:rPr>
                <w:spacing w:val="-4"/>
                <w:lang w:val="en-GB"/>
              </w:rPr>
              <w:lastRenderedPageBreak/>
              <w:t xml:space="preserve">changes in the age structure of the population (in the area of education, </w:t>
            </w:r>
            <w:r w:rsidR="00C2492A">
              <w:rPr>
                <w:spacing w:val="-4"/>
                <w:lang w:val="en-GB"/>
              </w:rPr>
              <w:t>health and social care). Moreover</w:t>
            </w:r>
            <w:r w:rsidRPr="001A0A01">
              <w:rPr>
                <w:spacing w:val="-4"/>
                <w:lang w:val="en-GB"/>
              </w:rPr>
              <w:t xml:space="preserve"> nearly all major branches of the tertiary sector</w:t>
            </w:r>
            <w:r w:rsidRPr="001A0A01">
              <w:rPr>
                <w:rStyle w:val="Znakapoznpodarou"/>
                <w:spacing w:val="-4"/>
                <w:lang w:val="en-GB"/>
              </w:rPr>
              <w:footnoteReference w:id="5"/>
            </w:r>
            <w:r w:rsidRPr="001A0A01">
              <w:rPr>
                <w:spacing w:val="-4"/>
                <w:lang w:val="en-GB"/>
              </w:rPr>
              <w:t xml:space="preserve"> registered only slightly lower growth. On the contrary, industry, where the employment fell by more than 2% this year </w:t>
            </w:r>
            <w:r w:rsidR="00C2492A">
              <w:rPr>
                <w:spacing w:val="-4"/>
                <w:lang w:val="en-GB"/>
              </w:rPr>
              <w:t>(</w:t>
            </w:r>
            <w:r w:rsidRPr="001A0A01">
              <w:rPr>
                <w:spacing w:val="-4"/>
                <w:lang w:val="en-GB"/>
              </w:rPr>
              <w:t>after stagnating in the previous three years</w:t>
            </w:r>
            <w:r w:rsidR="00C2492A">
              <w:rPr>
                <w:spacing w:val="-4"/>
                <w:lang w:val="en-GB"/>
              </w:rPr>
              <w:t>)</w:t>
            </w:r>
            <w:r w:rsidRPr="001A0A01">
              <w:rPr>
                <w:spacing w:val="-4"/>
                <w:lang w:val="en-GB"/>
              </w:rPr>
              <w:t xml:space="preserve"> did not fare well. It was associated with the recession of the total branch accompanied by the heightened cost pressures as well as weakened demand in a number of traditional export branches</w:t>
            </w:r>
            <w:r w:rsidRPr="001A0A01">
              <w:rPr>
                <w:rStyle w:val="Znakapoznpodarou"/>
                <w:spacing w:val="-4"/>
                <w:lang w:val="en-GB"/>
              </w:rPr>
              <w:footnoteReference w:id="6"/>
            </w:r>
            <w:r w:rsidRPr="001A0A01">
              <w:rPr>
                <w:spacing w:val="-4"/>
                <w:lang w:val="en-GB"/>
              </w:rPr>
              <w:t xml:space="preserve">. The number of workers also decreased (−1.0%) in construction, specifically for the first time after 2020. </w:t>
            </w:r>
          </w:p>
        </w:tc>
      </w:tr>
      <w:tr w:rsidR="00E551F6" w:rsidRPr="001A0A01" w14:paraId="5AE2D9BB" w14:textId="77777777" w:rsidTr="003D1AE0">
        <w:trPr>
          <w:trHeight w:val="155"/>
        </w:trPr>
        <w:tc>
          <w:tcPr>
            <w:tcW w:w="1768" w:type="dxa"/>
            <w:shd w:val="clear" w:color="auto" w:fill="auto"/>
            <w:tcMar>
              <w:left w:w="0" w:type="dxa"/>
            </w:tcMar>
          </w:tcPr>
          <w:p w14:paraId="759C0ADC" w14:textId="77777777" w:rsidR="00E551F6" w:rsidRPr="001A0A01" w:rsidRDefault="00E551F6" w:rsidP="00E551F6">
            <w:pPr>
              <w:jc w:val="left"/>
              <w:rPr>
                <w:color w:val="0D0D0D" w:themeColor="text1" w:themeTint="F2"/>
                <w:spacing w:val="-4"/>
                <w:lang w:val="en-GB"/>
              </w:rPr>
            </w:pPr>
            <w:r w:rsidRPr="001A0A01">
              <w:rPr>
                <w:color w:val="0D0D0D" w:themeColor="text1" w:themeTint="F2"/>
                <w:spacing w:val="-4"/>
                <w:sz w:val="16"/>
                <w:szCs w:val="16"/>
                <w:lang w:val="en-GB"/>
              </w:rPr>
              <w:lastRenderedPageBreak/>
              <w:t xml:space="preserve">The number of hours worked in the economy decreased slightly for the first time in three years. Part-time work has expanded. </w:t>
            </w:r>
          </w:p>
        </w:tc>
        <w:tc>
          <w:tcPr>
            <w:tcW w:w="200" w:type="dxa"/>
            <w:shd w:val="clear" w:color="auto" w:fill="auto"/>
            <w:tcMar>
              <w:left w:w="0" w:type="dxa"/>
            </w:tcMar>
          </w:tcPr>
          <w:p w14:paraId="7E5991F4"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4D413D8B" w14:textId="47F2B3BD" w:rsidR="00E551F6" w:rsidRPr="001A0A01" w:rsidRDefault="00E551F6" w:rsidP="00E551F6">
            <w:pPr>
              <w:rPr>
                <w:color w:val="0D0D0D" w:themeColor="text1" w:themeTint="F2"/>
                <w:spacing w:val="-4"/>
                <w:lang w:val="en-GB"/>
              </w:rPr>
            </w:pPr>
            <w:r w:rsidRPr="001A0A01">
              <w:rPr>
                <w:color w:val="0D0D0D" w:themeColor="text1" w:themeTint="F2"/>
                <w:spacing w:val="-4"/>
                <w:lang w:val="en-GB"/>
              </w:rPr>
              <w:t xml:space="preserve">The total number of hours worked in the economy, which returned to the 2019 level for the first-time last year, fell by 1.2%, year-on-year, in Q1 this year (falling for the first time after Q1 2021) and the subsequent quarter confirmed this development. Employment </w:t>
            </w:r>
            <w:r w:rsidR="0076324B">
              <w:rPr>
                <w:color w:val="0D0D0D" w:themeColor="text1" w:themeTint="F2"/>
                <w:spacing w:val="-4"/>
                <w:lang w:val="en-GB"/>
              </w:rPr>
              <w:t>(</w:t>
            </w:r>
            <w:r w:rsidRPr="001A0A01">
              <w:rPr>
                <w:color w:val="0D0D0D" w:themeColor="text1" w:themeTint="F2"/>
                <w:spacing w:val="-4"/>
                <w:lang w:val="en-GB"/>
              </w:rPr>
              <w:t>gauged in number of persons</w:t>
            </w:r>
            <w:r w:rsidR="0076324B">
              <w:rPr>
                <w:color w:val="0D0D0D" w:themeColor="text1" w:themeTint="F2"/>
                <w:spacing w:val="-4"/>
                <w:lang w:val="en-GB"/>
              </w:rPr>
              <w:t>)</w:t>
            </w:r>
            <w:r w:rsidRPr="001A0A01">
              <w:rPr>
                <w:color w:val="0D0D0D" w:themeColor="text1" w:themeTint="F2"/>
                <w:spacing w:val="-4"/>
                <w:lang w:val="en-GB"/>
              </w:rPr>
              <w:t xml:space="preserve"> grew faster than the number of hours worked not only this year, but also for most of the last year. Lower need for overtime work in some sectors affected by the recession, the expansion of part-time work</w:t>
            </w:r>
            <w:r w:rsidRPr="001A0A01">
              <w:rPr>
                <w:rStyle w:val="Znakapoznpodarou"/>
                <w:color w:val="0D0D0D" w:themeColor="text1" w:themeTint="F2"/>
                <w:spacing w:val="-4"/>
                <w:lang w:val="en-GB"/>
              </w:rPr>
              <w:footnoteReference w:id="7"/>
            </w:r>
            <w:r w:rsidRPr="001A0A01">
              <w:rPr>
                <w:color w:val="0D0D0D" w:themeColor="text1" w:themeTint="F2"/>
                <w:spacing w:val="-4"/>
                <w:lang w:val="en-GB"/>
              </w:rPr>
              <w:t xml:space="preserve"> (related to the growing employment of women supported by the refugee wave from Ukraine as well as the tax relief of part-time work introduced last year) or a decrease in the number of persons working on agreements</w:t>
            </w:r>
            <w:r w:rsidRPr="001A0A01">
              <w:rPr>
                <w:rStyle w:val="Znakapoznpodarou"/>
                <w:color w:val="0D0D0D" w:themeColor="text1" w:themeTint="F2"/>
                <w:spacing w:val="-4"/>
                <w:lang w:val="en-GB"/>
              </w:rPr>
              <w:footnoteReference w:id="8"/>
            </w:r>
            <w:r w:rsidRPr="001A0A01">
              <w:rPr>
                <w:color w:val="0D0D0D" w:themeColor="text1" w:themeTint="F2"/>
                <w:spacing w:val="-4"/>
                <w:lang w:val="en-GB"/>
              </w:rPr>
              <w:t xml:space="preserve">  (due to legislative changes reducing the financial benefits of these forms of work for employees and, conversely, increasing administrative burdens for companies) could have been reflected here. The highest decrease of the number of hours worked occurred in manufac</w:t>
            </w:r>
            <w:r w:rsidR="0076324B">
              <w:rPr>
                <w:color w:val="0D0D0D" w:themeColor="text1" w:themeTint="F2"/>
                <w:spacing w:val="-4"/>
                <w:lang w:val="en-GB"/>
              </w:rPr>
              <w:t>turing (−4.3%) in H1 2024 and</w:t>
            </w:r>
            <w:r w:rsidRPr="001A0A01">
              <w:rPr>
                <w:color w:val="0D0D0D" w:themeColor="text1" w:themeTint="F2"/>
                <w:spacing w:val="-4"/>
                <w:lang w:val="en-GB"/>
              </w:rPr>
              <w:t xml:space="preserve"> a significant year-on-year decrease was also recorded e.g. in public services (−1.7%). </w:t>
            </w:r>
          </w:p>
        </w:tc>
      </w:tr>
      <w:tr w:rsidR="00E551F6" w:rsidRPr="001A0A01" w14:paraId="1204A1B8" w14:textId="77777777" w:rsidTr="003D1AE0">
        <w:trPr>
          <w:trHeight w:val="155"/>
        </w:trPr>
        <w:tc>
          <w:tcPr>
            <w:tcW w:w="1768" w:type="dxa"/>
            <w:shd w:val="clear" w:color="auto" w:fill="auto"/>
            <w:tcMar>
              <w:left w:w="0" w:type="dxa"/>
            </w:tcMar>
          </w:tcPr>
          <w:p w14:paraId="4BC7CBC6" w14:textId="77777777" w:rsidR="00E551F6" w:rsidRPr="001A0A01" w:rsidRDefault="00E551F6" w:rsidP="00E551F6">
            <w:pPr>
              <w:jc w:val="left"/>
              <w:rPr>
                <w:color w:val="0D0D0D" w:themeColor="text1" w:themeTint="F2"/>
                <w:spacing w:val="-4"/>
                <w:lang w:val="en-GB"/>
              </w:rPr>
            </w:pPr>
            <w:r w:rsidRPr="001A0A01">
              <w:rPr>
                <w:color w:val="0D0D0D" w:themeColor="text1" w:themeTint="F2"/>
                <w:spacing w:val="-4"/>
                <w:sz w:val="16"/>
                <w:szCs w:val="16"/>
                <w:lang w:val="en-GB"/>
              </w:rPr>
              <w:t xml:space="preserve">The number of foreigners in employment status rose to a record 828 thousand. Ukrainians formed more than half of its year-on-year increase. The influx of workers from some Asian countries has accelerated. </w:t>
            </w:r>
          </w:p>
        </w:tc>
        <w:tc>
          <w:tcPr>
            <w:tcW w:w="200" w:type="dxa"/>
            <w:shd w:val="clear" w:color="auto" w:fill="auto"/>
            <w:tcMar>
              <w:left w:w="0" w:type="dxa"/>
            </w:tcMar>
          </w:tcPr>
          <w:p w14:paraId="4AE159E6"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4242A6C5" w14:textId="1CC6F3E7" w:rsidR="00E551F6" w:rsidRPr="001A0A01" w:rsidRDefault="00E551F6" w:rsidP="003D1AE0">
            <w:pPr>
              <w:rPr>
                <w:color w:val="0D0D0D" w:themeColor="text1" w:themeTint="F2"/>
                <w:spacing w:val="-6"/>
                <w:lang w:val="en-GB"/>
              </w:rPr>
            </w:pPr>
            <w:r w:rsidRPr="001A0A01">
              <w:rPr>
                <w:color w:val="0D0D0D" w:themeColor="text1" w:themeTint="F2"/>
                <w:spacing w:val="-4"/>
                <w:lang w:val="en-GB"/>
              </w:rPr>
              <w:t>The long-term limited pool of available labour force in the Czech Republic together with the heightened pressure on companies to optimise the production costs stimulated the growing demand of domestic employers for workers from abroad. Legislative changes reducing the administrative burden in this area aid the easier employment of foreigners. This applies both to citizens of Ukraine</w:t>
            </w:r>
            <w:r w:rsidRPr="001A0A01">
              <w:rPr>
                <w:rStyle w:val="Znakapoznpodarou"/>
                <w:color w:val="0D0D0D" w:themeColor="text1" w:themeTint="F2"/>
                <w:spacing w:val="-4"/>
                <w:lang w:val="en-GB"/>
              </w:rPr>
              <w:footnoteReference w:id="9"/>
            </w:r>
            <w:r w:rsidRPr="001A0A01">
              <w:rPr>
                <w:color w:val="0D0D0D" w:themeColor="text1" w:themeTint="F2"/>
                <w:spacing w:val="-4"/>
                <w:lang w:val="en-GB"/>
              </w:rPr>
              <w:t xml:space="preserve"> and foreigners from other, not only economically less developed countries outside the EU</w:t>
            </w:r>
            <w:r w:rsidRPr="001A0A01">
              <w:rPr>
                <w:rStyle w:val="Znakapoznpodarou"/>
                <w:color w:val="0D0D0D" w:themeColor="text1" w:themeTint="F2"/>
                <w:spacing w:val="-4"/>
                <w:lang w:val="en-GB"/>
              </w:rPr>
              <w:footnoteReference w:id="10"/>
            </w:r>
            <w:r w:rsidRPr="001A0A01">
              <w:rPr>
                <w:color w:val="0D0D0D" w:themeColor="text1" w:themeTint="F2"/>
                <w:spacing w:val="-4"/>
                <w:lang w:val="en-GB"/>
              </w:rPr>
              <w:t>. The long-term growth of the influx of foreign workers to the Czech Republic thus continued. The number of working foreigners in the Czech Republic grew at a similar pace as last year, e.g. there were a record 828 thousand persons</w:t>
            </w:r>
            <w:r w:rsidR="003D1AE0">
              <w:rPr>
                <w:color w:val="0D0D0D" w:themeColor="text1" w:themeTint="F2"/>
                <w:spacing w:val="-4"/>
                <w:lang w:val="en-GB"/>
              </w:rPr>
              <w:t xml:space="preserve"> in employee positions</w:t>
            </w:r>
            <w:r w:rsidRPr="001A0A01">
              <w:rPr>
                <w:color w:val="0D0D0D" w:themeColor="text1" w:themeTint="F2"/>
                <w:spacing w:val="-4"/>
                <w:lang w:val="en-GB"/>
              </w:rPr>
              <w:t xml:space="preserve"> (+32 thousand, year-on-year)</w:t>
            </w:r>
            <w:r w:rsidRPr="001A0A01">
              <w:rPr>
                <w:rStyle w:val="Znakapoznpodarou"/>
                <w:color w:val="0D0D0D" w:themeColor="text1" w:themeTint="F2"/>
                <w:spacing w:val="-4"/>
                <w:lang w:val="en-GB"/>
              </w:rPr>
              <w:t xml:space="preserve"> </w:t>
            </w:r>
            <w:r w:rsidRPr="001A0A01">
              <w:rPr>
                <w:rStyle w:val="Znakapoznpodarou"/>
                <w:color w:val="0D0D0D" w:themeColor="text1" w:themeTint="F2"/>
                <w:spacing w:val="-4"/>
                <w:lang w:val="en-GB"/>
              </w:rPr>
              <w:footnoteReference w:id="11"/>
            </w:r>
            <w:r w:rsidRPr="001A0A01">
              <w:rPr>
                <w:color w:val="0D0D0D" w:themeColor="text1" w:themeTint="F2"/>
                <w:spacing w:val="-4"/>
                <w:lang w:val="en-GB"/>
              </w:rPr>
              <w:t xml:space="preserve"> at the end of June this year. Ukrainians, of whom 286 thousand worked as employees in the Czech Republic (their increase was evenly distributed among men and women unlike in the previous years) comprised more than one half of the increase. The percentage share of citizens of India, the Philippines, China and Turkey also increased rapidly. On the other hand, the number of Poles, Hungarians and Bulgarians slightly reduced. From the regional point of view, the year-on-year increase in the number of foreigners in the employment status was highest in Prague (+6.5%) and in the </w:t>
            </w:r>
            <w:r w:rsidRPr="001A0A01">
              <w:rPr>
                <w:i/>
                <w:iCs/>
                <w:color w:val="0D0D0D" w:themeColor="text1" w:themeTint="F2"/>
                <w:spacing w:val="-4"/>
                <w:lang w:val="en-GB"/>
              </w:rPr>
              <w:t>Vysočina</w:t>
            </w:r>
            <w:r w:rsidRPr="001A0A01">
              <w:rPr>
                <w:color w:val="0D0D0D" w:themeColor="text1" w:themeTint="F2"/>
                <w:spacing w:val="-4"/>
                <w:lang w:val="en-GB"/>
              </w:rPr>
              <w:t xml:space="preserve"> Region (+6.4%) – i.e. at the same time in the regions currently the least affected by unemployment. Labour offices in Prague registered more than 30% of all employed foreigners in the Czech Republic and further 17% then in the Central Bohemia.  </w:t>
            </w:r>
          </w:p>
        </w:tc>
      </w:tr>
      <w:tr w:rsidR="00E551F6" w:rsidRPr="001A0A01" w14:paraId="137B8DE4" w14:textId="77777777" w:rsidTr="003D1AE0">
        <w:trPr>
          <w:trHeight w:val="155"/>
        </w:trPr>
        <w:tc>
          <w:tcPr>
            <w:tcW w:w="1768" w:type="dxa"/>
            <w:vMerge w:val="restart"/>
            <w:shd w:val="clear" w:color="auto" w:fill="auto"/>
            <w:tcMar>
              <w:left w:w="0" w:type="dxa"/>
            </w:tcMar>
          </w:tcPr>
          <w:p w14:paraId="3DD78A5F" w14:textId="77777777" w:rsidR="00E551F6" w:rsidRPr="001A0A01" w:rsidRDefault="00E551F6" w:rsidP="00E551F6">
            <w:pPr>
              <w:pStyle w:val="Marginlie"/>
              <w:spacing w:after="120"/>
              <w:rPr>
                <w:spacing w:val="-4"/>
                <w:lang w:val="en-GB"/>
              </w:rPr>
            </w:pPr>
          </w:p>
        </w:tc>
        <w:tc>
          <w:tcPr>
            <w:tcW w:w="200" w:type="dxa"/>
            <w:vMerge w:val="restart"/>
            <w:shd w:val="clear" w:color="auto" w:fill="auto"/>
            <w:tcMar>
              <w:left w:w="0" w:type="dxa"/>
            </w:tcMar>
          </w:tcPr>
          <w:p w14:paraId="10E4264C" w14:textId="77777777" w:rsidR="00E551F6" w:rsidRPr="001A0A01" w:rsidRDefault="00E551F6" w:rsidP="00E551F6">
            <w:pPr>
              <w:pStyle w:val="Textpoznpodarou"/>
              <w:spacing w:after="120"/>
              <w:jc w:val="both"/>
              <w:rPr>
                <w:spacing w:val="-4"/>
                <w:lang w:val="en-GB"/>
              </w:rPr>
            </w:pPr>
          </w:p>
        </w:tc>
        <w:tc>
          <w:tcPr>
            <w:tcW w:w="7706" w:type="dxa"/>
            <w:shd w:val="clear" w:color="auto" w:fill="auto"/>
            <w:tcMar>
              <w:left w:w="0" w:type="dxa"/>
            </w:tcMar>
          </w:tcPr>
          <w:p w14:paraId="1B9DE58A" w14:textId="7F9EE3A9" w:rsidR="00E551F6" w:rsidRPr="001A0A01" w:rsidRDefault="00E551F6" w:rsidP="00E551F6">
            <w:pPr>
              <w:spacing w:after="0"/>
              <w:rPr>
                <w:spacing w:val="-2"/>
                <w:lang w:val="en-GB"/>
              </w:rPr>
            </w:pPr>
            <w:r w:rsidRPr="001A0A01">
              <w:rPr>
                <w:rFonts w:cs="Arial"/>
                <w:b/>
                <w:bCs/>
                <w:color w:val="000000"/>
                <w:szCs w:val="20"/>
                <w:lang w:val="en-GB"/>
              </w:rPr>
              <w:t>Chart 13</w:t>
            </w:r>
            <w:r w:rsidRPr="001A0A01">
              <w:rPr>
                <w:rFonts w:cs="Arial"/>
                <w:b/>
                <w:bCs/>
                <w:color w:val="000000"/>
                <w:sz w:val="18"/>
                <w:szCs w:val="18"/>
                <w:lang w:val="en-GB"/>
              </w:rPr>
              <w:t xml:space="preserve"> </w:t>
            </w:r>
            <w:r w:rsidRPr="001A0A01">
              <w:rPr>
                <w:rFonts w:cs="Arial"/>
                <w:b/>
                <w:bCs/>
                <w:color w:val="000000"/>
                <w:spacing w:val="-3"/>
                <w:szCs w:val="20"/>
                <w:lang w:val="en-GB"/>
              </w:rPr>
              <w:t xml:space="preserve">Total employment </w:t>
            </w:r>
            <w:r w:rsidRPr="001A0A01">
              <w:rPr>
                <w:rFonts w:cs="Arial"/>
                <w:color w:val="000000"/>
                <w:spacing w:val="-3"/>
                <w:szCs w:val="20"/>
                <w:lang w:val="en-GB"/>
              </w:rPr>
              <w:t>(year-on-year in %),</w:t>
            </w:r>
            <w:r w:rsidRPr="001A0A01">
              <w:rPr>
                <w:rFonts w:cs="Arial"/>
                <w:b/>
                <w:bCs/>
                <w:color w:val="000000"/>
                <w:spacing w:val="-3"/>
                <w:szCs w:val="20"/>
                <w:lang w:val="en-GB"/>
              </w:rPr>
              <w:t xml:space="preserve"> contributions of b</w:t>
            </w:r>
            <w:r w:rsidR="00D01CDA">
              <w:rPr>
                <w:rFonts w:cs="Arial"/>
                <w:b/>
                <w:bCs/>
                <w:color w:val="000000"/>
                <w:spacing w:val="-3"/>
                <w:szCs w:val="20"/>
                <w:lang w:val="en-GB"/>
              </w:rPr>
              <w:t>ranches to year-on-year growth</w:t>
            </w:r>
            <w:r w:rsidRPr="001A0A01">
              <w:rPr>
                <w:rFonts w:cs="Arial"/>
                <w:b/>
                <w:bCs/>
                <w:color w:val="000000"/>
                <w:spacing w:val="-3"/>
                <w:szCs w:val="20"/>
                <w:lang w:val="en-GB"/>
              </w:rPr>
              <w:t xml:space="preserve"> of employment </w:t>
            </w:r>
            <w:r w:rsidRPr="001A0A01">
              <w:rPr>
                <w:rFonts w:cs="Arial"/>
                <w:color w:val="000000"/>
                <w:spacing w:val="-3"/>
                <w:szCs w:val="20"/>
                <w:lang w:val="en-GB"/>
              </w:rPr>
              <w:t>(in p.p.)</w:t>
            </w:r>
            <w:r w:rsidRPr="001A0A01">
              <w:rPr>
                <w:rFonts w:cs="Arial"/>
                <w:b/>
                <w:bCs/>
                <w:color w:val="000000"/>
                <w:spacing w:val="-3"/>
                <w:szCs w:val="20"/>
                <w:lang w:val="en-GB"/>
              </w:rPr>
              <w:t xml:space="preserve"> and expectations of employment</w:t>
            </w:r>
            <w:r w:rsidRPr="001A0A01">
              <w:rPr>
                <w:rFonts w:cs="Arial"/>
                <w:color w:val="000000"/>
                <w:spacing w:val="-3"/>
                <w:szCs w:val="20"/>
                <w:lang w:val="en-GB"/>
              </w:rPr>
              <w:t xml:space="preserve"> (balance in p. p.) </w:t>
            </w:r>
          </w:p>
        </w:tc>
      </w:tr>
      <w:tr w:rsidR="00E551F6" w:rsidRPr="001A0A01" w14:paraId="601EC3CF" w14:textId="77777777" w:rsidTr="003D1AE0">
        <w:tblPrEx>
          <w:tblCellMar>
            <w:left w:w="70" w:type="dxa"/>
            <w:right w:w="70" w:type="dxa"/>
          </w:tblCellMar>
        </w:tblPrEx>
        <w:trPr>
          <w:trHeight w:val="155"/>
        </w:trPr>
        <w:tc>
          <w:tcPr>
            <w:tcW w:w="1768" w:type="dxa"/>
            <w:vMerge/>
          </w:tcPr>
          <w:p w14:paraId="05FF247F" w14:textId="77777777" w:rsidR="00E551F6" w:rsidRPr="001A0A01" w:rsidRDefault="00E551F6" w:rsidP="00E551F6">
            <w:pPr>
              <w:pStyle w:val="Marginlie"/>
              <w:spacing w:after="120"/>
              <w:rPr>
                <w:spacing w:val="-4"/>
                <w:lang w:val="en-GB"/>
              </w:rPr>
            </w:pPr>
          </w:p>
        </w:tc>
        <w:tc>
          <w:tcPr>
            <w:tcW w:w="200" w:type="dxa"/>
            <w:vMerge/>
          </w:tcPr>
          <w:p w14:paraId="2827C640" w14:textId="77777777" w:rsidR="00E551F6" w:rsidRPr="001A0A01" w:rsidRDefault="00E551F6" w:rsidP="00E551F6">
            <w:pPr>
              <w:pStyle w:val="Textpoznpodarou"/>
              <w:spacing w:after="120"/>
              <w:jc w:val="both"/>
              <w:rPr>
                <w:spacing w:val="-4"/>
                <w:lang w:val="en-GB"/>
              </w:rPr>
            </w:pPr>
          </w:p>
        </w:tc>
        <w:tc>
          <w:tcPr>
            <w:tcW w:w="7706" w:type="dxa"/>
            <w:shd w:val="clear" w:color="auto" w:fill="auto"/>
          </w:tcPr>
          <w:p w14:paraId="18ED3BE0" w14:textId="47FB1FE3" w:rsidR="00E551F6" w:rsidRPr="001A0A01" w:rsidRDefault="00D01CDA" w:rsidP="00D01CDA">
            <w:pPr>
              <w:spacing w:before="40" w:after="0"/>
              <w:rPr>
                <w:spacing w:val="-4"/>
                <w:lang w:val="en-GB"/>
              </w:rPr>
            </w:pPr>
            <w:r>
              <w:rPr>
                <w:noProof/>
              </w:rPr>
              <w:drawing>
                <wp:inline distT="0" distB="0" distL="0" distR="0" wp14:anchorId="080321FB" wp14:editId="01CF2FE2">
                  <wp:extent cx="4804410" cy="3736883"/>
                  <wp:effectExtent l="0" t="0" r="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E551F6" w:rsidRPr="001A0A01" w14:paraId="6E7D8BCA" w14:textId="77777777" w:rsidTr="003D1AE0">
        <w:trPr>
          <w:trHeight w:val="671"/>
        </w:trPr>
        <w:tc>
          <w:tcPr>
            <w:tcW w:w="1768" w:type="dxa"/>
            <w:vMerge/>
            <w:tcMar>
              <w:left w:w="0" w:type="dxa"/>
            </w:tcMar>
          </w:tcPr>
          <w:p w14:paraId="174AC853" w14:textId="77777777" w:rsidR="00E551F6" w:rsidRPr="001A0A01" w:rsidRDefault="00E551F6" w:rsidP="00E551F6">
            <w:pPr>
              <w:pStyle w:val="Marginlie"/>
              <w:spacing w:after="120"/>
              <w:rPr>
                <w:spacing w:val="-4"/>
                <w:lang w:val="en-GB"/>
              </w:rPr>
            </w:pPr>
          </w:p>
        </w:tc>
        <w:tc>
          <w:tcPr>
            <w:tcW w:w="200" w:type="dxa"/>
            <w:vMerge/>
            <w:tcMar>
              <w:left w:w="0" w:type="dxa"/>
            </w:tcMar>
          </w:tcPr>
          <w:p w14:paraId="2AF3CFC0" w14:textId="77777777" w:rsidR="00E551F6" w:rsidRPr="001A0A01" w:rsidRDefault="00E551F6" w:rsidP="00E551F6">
            <w:pPr>
              <w:pStyle w:val="Textpoznpodarou"/>
              <w:spacing w:after="120"/>
              <w:jc w:val="both"/>
              <w:rPr>
                <w:spacing w:val="-4"/>
                <w:lang w:val="en-GB"/>
              </w:rPr>
            </w:pPr>
          </w:p>
        </w:tc>
        <w:tc>
          <w:tcPr>
            <w:tcW w:w="7706" w:type="dxa"/>
            <w:shd w:val="clear" w:color="auto" w:fill="auto"/>
            <w:tcMar>
              <w:left w:w="0" w:type="dxa"/>
            </w:tcMar>
          </w:tcPr>
          <w:p w14:paraId="6675CA0C" w14:textId="77777777" w:rsidR="00E551F6" w:rsidRPr="001A0A01" w:rsidRDefault="00E551F6" w:rsidP="00E551F6">
            <w:pPr>
              <w:spacing w:after="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 xml:space="preserve">* Mining and energetics; Financial and insurance activities; Real estate activities; Arts, entertainment and recreation activities. </w:t>
            </w:r>
          </w:p>
          <w:p w14:paraId="4FD50B45" w14:textId="77777777" w:rsidR="00E551F6" w:rsidRPr="001A0A01" w:rsidRDefault="00E551F6" w:rsidP="00E551F6">
            <w:pPr>
              <w:spacing w:after="0" w:line="240" w:lineRule="auto"/>
              <w:rPr>
                <w:rFonts w:cs="Arial"/>
                <w:sz w:val="14"/>
                <w:szCs w:val="14"/>
                <w:lang w:val="en-GB"/>
              </w:rPr>
            </w:pPr>
            <w:r w:rsidRPr="001A0A01">
              <w:rPr>
                <w:rFonts w:cs="Arial"/>
                <w:color w:val="0D0D0D" w:themeColor="text1" w:themeTint="F2"/>
                <w:spacing w:val="-2"/>
                <w:sz w:val="14"/>
                <w:szCs w:val="14"/>
                <w:lang w:val="en-GB"/>
              </w:rPr>
              <w:t xml:space="preserve">Note: Balance of expectations expresses the difference in p.p. between categories growth vs. decrease of employment in the nearest three months. Data are seasonally adjusted and relate to the second month of the given quarter. </w:t>
            </w:r>
          </w:p>
          <w:p w14:paraId="64AD7C11" w14:textId="5375539A" w:rsidR="00E551F6" w:rsidRPr="00D01CDA" w:rsidRDefault="00E551F6" w:rsidP="003D1AE0">
            <w:pPr>
              <w:spacing w:after="180" w:line="240" w:lineRule="auto"/>
              <w:rPr>
                <w:rFonts w:cs="Arial"/>
                <w:sz w:val="14"/>
                <w:szCs w:val="14"/>
                <w:lang w:val="en-GB"/>
              </w:rPr>
            </w:pPr>
            <w:r w:rsidRPr="001A0A01">
              <w:rPr>
                <w:rFonts w:cs="Arial"/>
                <w:sz w:val="14"/>
                <w:szCs w:val="14"/>
                <w:lang w:val="en-GB"/>
              </w:rPr>
              <w:t>Source: CZSO (national accounts), Eur</w:t>
            </w:r>
            <w:r w:rsidR="00D01CDA">
              <w:rPr>
                <w:rFonts w:cs="Arial"/>
                <w:sz w:val="14"/>
                <w:szCs w:val="14"/>
                <w:lang w:val="en-GB"/>
              </w:rPr>
              <w:t>ostat (business cycle surveys).</w:t>
            </w:r>
          </w:p>
        </w:tc>
      </w:tr>
      <w:tr w:rsidR="00D01CDA" w:rsidRPr="001A0A01" w14:paraId="776E6693" w14:textId="77777777" w:rsidTr="003D1AE0">
        <w:trPr>
          <w:trHeight w:val="145"/>
        </w:trPr>
        <w:tc>
          <w:tcPr>
            <w:tcW w:w="1768" w:type="dxa"/>
            <w:shd w:val="clear" w:color="auto" w:fill="auto"/>
            <w:tcMar>
              <w:left w:w="0" w:type="dxa"/>
            </w:tcMar>
          </w:tcPr>
          <w:p w14:paraId="64128B20" w14:textId="77777777" w:rsidR="00D01CDA" w:rsidRPr="001A0A01" w:rsidRDefault="00D01CDA" w:rsidP="00D01CDA">
            <w:pPr>
              <w:jc w:val="left"/>
              <w:rPr>
                <w:color w:val="0D0D0D" w:themeColor="text1" w:themeTint="F2"/>
                <w:spacing w:val="-4"/>
                <w:lang w:val="en-GB"/>
              </w:rPr>
            </w:pPr>
            <w:r w:rsidRPr="001A0A01">
              <w:rPr>
                <w:color w:val="0D0D0D" w:themeColor="text1" w:themeTint="F2"/>
                <w:spacing w:val="-4"/>
                <w:sz w:val="16"/>
                <w:szCs w:val="16"/>
                <w:lang w:val="en-GB"/>
              </w:rPr>
              <w:t xml:space="preserve">The mild recovery of the economy has not been accompanied by a reduction in negative outlooks of businesses regarding employment so far this year. </w:t>
            </w:r>
          </w:p>
          <w:p w14:paraId="36703E64" w14:textId="77777777" w:rsidR="00D01CDA" w:rsidRPr="001A0A01" w:rsidRDefault="00D01CDA" w:rsidP="00D01CDA">
            <w:pPr>
              <w:pStyle w:val="Marginlie"/>
              <w:spacing w:after="120"/>
              <w:rPr>
                <w:color w:val="0D0D0D" w:themeColor="text1" w:themeTint="F2"/>
                <w:spacing w:val="-4"/>
                <w:lang w:val="en-GB"/>
              </w:rPr>
            </w:pPr>
          </w:p>
          <w:p w14:paraId="0B164E29" w14:textId="77777777" w:rsidR="00D01CDA" w:rsidRPr="001A0A01" w:rsidRDefault="00D01CDA" w:rsidP="00D01CDA">
            <w:pPr>
              <w:pStyle w:val="Marginlie"/>
              <w:spacing w:after="120"/>
              <w:rPr>
                <w:color w:val="0D0D0D" w:themeColor="text1" w:themeTint="F2"/>
                <w:spacing w:val="-4"/>
                <w:lang w:val="en-GB"/>
              </w:rPr>
            </w:pPr>
          </w:p>
          <w:p w14:paraId="2BAC6230" w14:textId="71C12779" w:rsidR="00D01CDA" w:rsidRPr="001A0A01" w:rsidRDefault="00D01CDA" w:rsidP="00D01CDA">
            <w:pPr>
              <w:pStyle w:val="Marginlie"/>
              <w:rPr>
                <w:color w:val="0D0D0D" w:themeColor="text1" w:themeTint="F2"/>
                <w:spacing w:val="-5"/>
                <w:lang w:val="en-GB"/>
              </w:rPr>
            </w:pPr>
            <w:r w:rsidRPr="001A0A01">
              <w:rPr>
                <w:color w:val="0D0D0D" w:themeColor="text1" w:themeTint="F2"/>
                <w:spacing w:val="-4"/>
                <w:lang w:val="en-GB"/>
              </w:rPr>
              <w:t xml:space="preserve">The role of lack of labour force as a significant growth barrier of businesses is slightly shrinking this year. </w:t>
            </w:r>
          </w:p>
        </w:tc>
        <w:tc>
          <w:tcPr>
            <w:tcW w:w="200" w:type="dxa"/>
            <w:shd w:val="clear" w:color="auto" w:fill="auto"/>
            <w:tcMar>
              <w:left w:w="0" w:type="dxa"/>
            </w:tcMar>
          </w:tcPr>
          <w:p w14:paraId="0F3F90C0" w14:textId="77777777" w:rsidR="00D01CDA" w:rsidRPr="001A0A01" w:rsidRDefault="00D01CDA" w:rsidP="00D01CDA">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14A0C9E7" w14:textId="00FE1B23" w:rsidR="00D01CDA" w:rsidRPr="001A0A01" w:rsidRDefault="00D01CDA" w:rsidP="003D1AE0">
            <w:pPr>
              <w:spacing w:after="0"/>
              <w:rPr>
                <w:color w:val="0D0D0D" w:themeColor="text1" w:themeTint="F2"/>
                <w:lang w:val="en-GB"/>
              </w:rPr>
            </w:pPr>
            <w:r w:rsidRPr="001A0A01">
              <w:rPr>
                <w:color w:val="0D0D0D" w:themeColor="text1" w:themeTint="F2"/>
                <w:spacing w:val="-4"/>
                <w:lang w:val="en-GB"/>
              </w:rPr>
              <w:t>Short-term expectations of businesses in the area of their own employment remain slightly negative in the domestic economy (the same as throughout the last year). Despite a modest increase of the economic output, they stayed close to a three-year low in August this year. Among the main sectors, optimism persisted only in trade. The proportion of businesses that want to hire people (10%) exceeded those that want to lay off (9%) here. Negative expectations prevailed especially in services, where over 30% of businesses were considering laying off workers in the three-month horizon (but 15% want to on the contrary hire), while it was around 16% in industry as well as construction. The situation at the level of sub-branches within both industry and services naturally differed</w:t>
            </w:r>
            <w:r w:rsidRPr="001A0A01">
              <w:rPr>
                <w:rStyle w:val="Znakapoznpodarou"/>
                <w:color w:val="0D0D0D" w:themeColor="text1" w:themeTint="F2"/>
                <w:spacing w:val="-4"/>
                <w:lang w:val="en-GB"/>
              </w:rPr>
              <w:footnoteReference w:id="12"/>
            </w:r>
            <w:r w:rsidRPr="001A0A01">
              <w:rPr>
                <w:color w:val="0D0D0D" w:themeColor="text1" w:themeTint="F2"/>
                <w:spacing w:val="-4"/>
                <w:lang w:val="en-GB"/>
              </w:rPr>
              <w:t>. Construction was the only major sector in which expectations improved slightly, year-on-year. Since the beginning of this year, the share of companies for which the labour shortages represent one of the significant growth barriers</w:t>
            </w:r>
            <w:r w:rsidRPr="001A0A01">
              <w:rPr>
                <w:rStyle w:val="Znakapoznpodarou"/>
                <w:color w:val="0D0D0D" w:themeColor="text1" w:themeTint="F2"/>
                <w:spacing w:val="-4"/>
                <w:lang w:val="en-GB"/>
              </w:rPr>
              <w:footnoteReference w:id="13"/>
            </w:r>
            <w:r w:rsidRPr="001A0A01">
              <w:rPr>
                <w:color w:val="0D0D0D" w:themeColor="text1" w:themeTint="F2"/>
                <w:spacing w:val="-4"/>
                <w:lang w:val="en-GB"/>
              </w:rPr>
              <w:t xml:space="preserve"> has slightly decreased in industry (to 13% in August), services (8%) and </w:t>
            </w:r>
            <w:r w:rsidR="003D1AE0">
              <w:rPr>
                <w:color w:val="0D0D0D" w:themeColor="text1" w:themeTint="F2"/>
                <w:spacing w:val="-4"/>
                <w:lang w:val="en-GB"/>
              </w:rPr>
              <w:t xml:space="preserve">also in </w:t>
            </w:r>
            <w:r w:rsidRPr="001A0A01">
              <w:rPr>
                <w:color w:val="0D0D0D" w:themeColor="text1" w:themeTint="F2"/>
                <w:spacing w:val="-4"/>
                <w:lang w:val="en-GB"/>
              </w:rPr>
              <w:t xml:space="preserve">construction (42%), where, however, it has been a key barrier for more than five years, with minor interruptions. </w:t>
            </w:r>
          </w:p>
        </w:tc>
      </w:tr>
      <w:tr w:rsidR="00D01CDA" w:rsidRPr="001A0A01" w14:paraId="2FB77E05" w14:textId="77777777" w:rsidTr="003D1AE0">
        <w:trPr>
          <w:trHeight w:val="155"/>
        </w:trPr>
        <w:tc>
          <w:tcPr>
            <w:tcW w:w="1768" w:type="dxa"/>
            <w:vMerge w:val="restart"/>
            <w:shd w:val="clear" w:color="auto" w:fill="auto"/>
            <w:tcMar>
              <w:left w:w="0" w:type="dxa"/>
            </w:tcMar>
          </w:tcPr>
          <w:p w14:paraId="3FEE4E82" w14:textId="77777777" w:rsidR="00D01CDA" w:rsidRPr="001A0A01" w:rsidRDefault="00D01CDA" w:rsidP="00D01CDA">
            <w:pPr>
              <w:pStyle w:val="Marginlie"/>
              <w:spacing w:after="120"/>
              <w:rPr>
                <w:spacing w:val="-4"/>
                <w:lang w:val="en-GB"/>
              </w:rPr>
            </w:pPr>
          </w:p>
        </w:tc>
        <w:tc>
          <w:tcPr>
            <w:tcW w:w="200" w:type="dxa"/>
            <w:vMerge w:val="restart"/>
            <w:shd w:val="clear" w:color="auto" w:fill="auto"/>
            <w:tcMar>
              <w:left w:w="0" w:type="dxa"/>
            </w:tcMar>
          </w:tcPr>
          <w:p w14:paraId="3446A718" w14:textId="77777777" w:rsidR="00D01CDA" w:rsidRPr="001A0A01" w:rsidRDefault="00D01CDA" w:rsidP="00D01CDA">
            <w:pPr>
              <w:pStyle w:val="Textpoznpodarou"/>
              <w:spacing w:after="120"/>
              <w:jc w:val="both"/>
              <w:rPr>
                <w:spacing w:val="-4"/>
                <w:lang w:val="en-GB"/>
              </w:rPr>
            </w:pPr>
          </w:p>
        </w:tc>
        <w:tc>
          <w:tcPr>
            <w:tcW w:w="7706" w:type="dxa"/>
            <w:shd w:val="clear" w:color="auto" w:fill="auto"/>
            <w:tcMar>
              <w:left w:w="0" w:type="dxa"/>
            </w:tcMar>
          </w:tcPr>
          <w:p w14:paraId="158523B4" w14:textId="263B245E" w:rsidR="00D01CDA" w:rsidRPr="003D1AE0" w:rsidRDefault="00D01CDA" w:rsidP="00D01CDA">
            <w:pPr>
              <w:spacing w:after="0"/>
              <w:rPr>
                <w:rFonts w:cs="Arial"/>
                <w:b/>
                <w:bCs/>
                <w:spacing w:val="-2"/>
                <w:lang w:val="en-GB"/>
              </w:rPr>
            </w:pPr>
            <w:r w:rsidRPr="003D1AE0">
              <w:rPr>
                <w:b/>
                <w:spacing w:val="-2"/>
                <w:lang w:val="en-GB"/>
              </w:rPr>
              <w:t xml:space="preserve">Chart 14 </w:t>
            </w:r>
            <w:r w:rsidRPr="003D1AE0">
              <w:rPr>
                <w:rFonts w:cs="Arial"/>
                <w:b/>
                <w:spacing w:val="-2"/>
                <w:lang w:val="en-GB"/>
              </w:rPr>
              <w:t xml:space="preserve">General unemployment rate </w:t>
            </w:r>
            <w:r w:rsidRPr="003D1AE0">
              <w:rPr>
                <w:rFonts w:cs="Arial"/>
                <w:bCs/>
                <w:spacing w:val="-2"/>
                <w:lang w:val="en-GB"/>
              </w:rPr>
              <w:t>(in %, age 15 to 64 years)</w:t>
            </w:r>
            <w:r w:rsidRPr="003D1AE0">
              <w:rPr>
                <w:rFonts w:cs="Arial"/>
                <w:b/>
                <w:spacing w:val="-2"/>
                <w:lang w:val="en-GB"/>
              </w:rPr>
              <w:t>, unemployment expectations of households</w:t>
            </w:r>
            <w:r w:rsidRPr="003D1AE0">
              <w:rPr>
                <w:rFonts w:cs="Arial"/>
                <w:b/>
                <w:bCs/>
                <w:spacing w:val="-2"/>
                <w:lang w:val="en-GB"/>
              </w:rPr>
              <w:t xml:space="preserve">* </w:t>
            </w:r>
            <w:r w:rsidRPr="003D1AE0">
              <w:rPr>
                <w:rFonts w:cs="Arial"/>
                <w:spacing w:val="-2"/>
                <w:lang w:val="en-GB"/>
              </w:rPr>
              <w:t xml:space="preserve">(in p.p.), </w:t>
            </w:r>
            <w:r w:rsidRPr="003D1AE0">
              <w:rPr>
                <w:rFonts w:cs="Arial"/>
                <w:b/>
                <w:spacing w:val="-2"/>
                <w:lang w:val="en-GB"/>
              </w:rPr>
              <w:t>job vacancies and working foreigners in employee positions</w:t>
            </w:r>
            <w:r w:rsidR="002C544F">
              <w:rPr>
                <w:rFonts w:cs="Arial"/>
                <w:b/>
                <w:spacing w:val="-2"/>
                <w:lang w:val="en-GB"/>
              </w:rPr>
              <w:t>**</w:t>
            </w:r>
            <w:r w:rsidRPr="003D1AE0">
              <w:rPr>
                <w:rFonts w:cs="Arial"/>
                <w:b/>
                <w:spacing w:val="-2"/>
                <w:lang w:val="en-GB"/>
              </w:rPr>
              <w:t xml:space="preserve"> </w:t>
            </w:r>
            <w:r w:rsidR="002C544F">
              <w:rPr>
                <w:rFonts w:cs="Arial"/>
                <w:bCs/>
                <w:spacing w:val="-2"/>
                <w:lang w:val="en-GB"/>
              </w:rPr>
              <w:t>(in thousand)</w:t>
            </w:r>
          </w:p>
        </w:tc>
      </w:tr>
      <w:tr w:rsidR="00D01CDA" w:rsidRPr="001A0A01" w14:paraId="2240C4B9" w14:textId="77777777" w:rsidTr="003D1AE0">
        <w:tblPrEx>
          <w:tblCellMar>
            <w:left w:w="70" w:type="dxa"/>
            <w:right w:w="70" w:type="dxa"/>
          </w:tblCellMar>
        </w:tblPrEx>
        <w:trPr>
          <w:trHeight w:val="155"/>
        </w:trPr>
        <w:tc>
          <w:tcPr>
            <w:tcW w:w="1768" w:type="dxa"/>
            <w:vMerge/>
          </w:tcPr>
          <w:p w14:paraId="2D6A4030" w14:textId="77777777" w:rsidR="00D01CDA" w:rsidRPr="001A0A01" w:rsidRDefault="00D01CDA" w:rsidP="00D01CDA">
            <w:pPr>
              <w:pStyle w:val="Marginlie"/>
              <w:spacing w:after="120"/>
              <w:rPr>
                <w:spacing w:val="-4"/>
                <w:lang w:val="en-GB"/>
              </w:rPr>
            </w:pPr>
          </w:p>
        </w:tc>
        <w:tc>
          <w:tcPr>
            <w:tcW w:w="200" w:type="dxa"/>
            <w:vMerge/>
          </w:tcPr>
          <w:p w14:paraId="602D3805" w14:textId="77777777" w:rsidR="00D01CDA" w:rsidRPr="001A0A01" w:rsidRDefault="00D01CDA" w:rsidP="00D01CDA">
            <w:pPr>
              <w:pStyle w:val="Textpoznpodarou"/>
              <w:spacing w:after="120"/>
              <w:jc w:val="both"/>
              <w:rPr>
                <w:spacing w:val="-4"/>
                <w:lang w:val="en-GB"/>
              </w:rPr>
            </w:pPr>
          </w:p>
        </w:tc>
        <w:tc>
          <w:tcPr>
            <w:tcW w:w="7706" w:type="dxa"/>
            <w:shd w:val="clear" w:color="auto" w:fill="auto"/>
          </w:tcPr>
          <w:p w14:paraId="41CAF5B4" w14:textId="54FC6AB4" w:rsidR="00D01CDA" w:rsidRPr="001A0A01" w:rsidRDefault="003D1AE0" w:rsidP="00D01CDA">
            <w:pPr>
              <w:spacing w:after="0"/>
              <w:rPr>
                <w:spacing w:val="-4"/>
                <w:lang w:val="en-GB"/>
              </w:rPr>
            </w:pPr>
            <w:r>
              <w:rPr>
                <w:noProof/>
              </w:rPr>
              <w:drawing>
                <wp:inline distT="0" distB="0" distL="0" distR="0" wp14:anchorId="72966C3B" wp14:editId="3712BEC0">
                  <wp:extent cx="4817660" cy="3505200"/>
                  <wp:effectExtent l="0" t="0" r="254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D01CDA" w:rsidRPr="001A0A01" w14:paraId="48C60823" w14:textId="77777777" w:rsidTr="003D1AE0">
        <w:trPr>
          <w:trHeight w:val="132"/>
        </w:trPr>
        <w:tc>
          <w:tcPr>
            <w:tcW w:w="1768" w:type="dxa"/>
            <w:vMerge/>
            <w:tcMar>
              <w:left w:w="0" w:type="dxa"/>
            </w:tcMar>
          </w:tcPr>
          <w:p w14:paraId="29C7A7E1" w14:textId="77777777" w:rsidR="00D01CDA" w:rsidRPr="001A0A01" w:rsidRDefault="00D01CDA" w:rsidP="00D01CDA">
            <w:pPr>
              <w:pStyle w:val="Marginlie"/>
              <w:rPr>
                <w:spacing w:val="-4"/>
                <w:lang w:val="en-GB"/>
              </w:rPr>
            </w:pPr>
          </w:p>
        </w:tc>
        <w:tc>
          <w:tcPr>
            <w:tcW w:w="200" w:type="dxa"/>
            <w:vMerge/>
            <w:tcMar>
              <w:left w:w="0" w:type="dxa"/>
            </w:tcMar>
          </w:tcPr>
          <w:p w14:paraId="6B801ED4" w14:textId="77777777" w:rsidR="00D01CDA" w:rsidRPr="001A0A01" w:rsidRDefault="00D01CDA" w:rsidP="00D01CDA">
            <w:pPr>
              <w:pStyle w:val="Textpoznpodarou"/>
              <w:jc w:val="both"/>
              <w:rPr>
                <w:spacing w:val="-4"/>
                <w:lang w:val="en-GB"/>
              </w:rPr>
            </w:pPr>
          </w:p>
        </w:tc>
        <w:tc>
          <w:tcPr>
            <w:tcW w:w="7706" w:type="dxa"/>
            <w:shd w:val="clear" w:color="auto" w:fill="auto"/>
            <w:tcMar>
              <w:left w:w="0" w:type="dxa"/>
            </w:tcMar>
          </w:tcPr>
          <w:p w14:paraId="2D2B9EC8" w14:textId="4F8A8E8F" w:rsidR="00D01CDA" w:rsidRPr="001A0A01" w:rsidRDefault="00D01CDA" w:rsidP="00EF089C">
            <w:pPr>
              <w:spacing w:after="0" w:line="240" w:lineRule="auto"/>
              <w:rPr>
                <w:rFonts w:cs="Arial"/>
                <w:color w:val="0D0D0D" w:themeColor="text1" w:themeTint="F2"/>
                <w:sz w:val="14"/>
                <w:szCs w:val="14"/>
                <w:lang w:val="en-GB"/>
              </w:rPr>
            </w:pPr>
            <w:r w:rsidRPr="001A0A01">
              <w:rPr>
                <w:rFonts w:cs="Arial"/>
                <w:color w:val="0D0D0D" w:themeColor="text1" w:themeTint="F2"/>
                <w:sz w:val="14"/>
                <w:szCs w:val="14"/>
                <w:lang w:val="en-GB"/>
              </w:rPr>
              <w:t>Note: Figures regarding the unemployment rate are seasonally adjusted. Job vacancies: balance at the end of quarter</w:t>
            </w:r>
            <w:r w:rsidR="00EF089C">
              <w:rPr>
                <w:rFonts w:cs="Arial"/>
                <w:color w:val="0D0D0D" w:themeColor="text1" w:themeTint="F2"/>
                <w:sz w:val="14"/>
                <w:szCs w:val="14"/>
                <w:lang w:val="en-GB"/>
              </w:rPr>
              <w:t xml:space="preserve">. </w:t>
            </w:r>
            <w:r w:rsidR="00EF089C" w:rsidRPr="00EF089C">
              <w:rPr>
                <w:rFonts w:cs="Arial"/>
                <w:color w:val="0D0D0D" w:themeColor="text1" w:themeTint="F2"/>
                <w:sz w:val="14"/>
                <w:szCs w:val="14"/>
                <w:lang w:val="en-GB"/>
              </w:rPr>
              <w:t>Vacancies for higher qualifications</w:t>
            </w:r>
            <w:r w:rsidR="00EF089C">
              <w:rPr>
                <w:rFonts w:cs="Arial"/>
                <w:color w:val="0D0D0D" w:themeColor="text1" w:themeTint="F2"/>
                <w:sz w:val="14"/>
                <w:szCs w:val="14"/>
                <w:lang w:val="en-GB"/>
              </w:rPr>
              <w:t xml:space="preserve"> include positions requiring at least secondary education</w:t>
            </w:r>
            <w:r w:rsidR="00EF089C" w:rsidRPr="00EF089C">
              <w:rPr>
                <w:rFonts w:cs="Arial"/>
                <w:color w:val="0D0D0D" w:themeColor="text1" w:themeTint="F2"/>
                <w:sz w:val="14"/>
                <w:szCs w:val="14"/>
                <w:lang w:val="en-GB"/>
              </w:rPr>
              <w:t xml:space="preserve"> with A-level</w:t>
            </w:r>
            <w:r w:rsidR="00EF089C">
              <w:rPr>
                <w:rFonts w:cs="Arial"/>
                <w:color w:val="0D0D0D" w:themeColor="text1" w:themeTint="F2"/>
                <w:sz w:val="14"/>
                <w:szCs w:val="14"/>
                <w:lang w:val="en-GB"/>
              </w:rPr>
              <w:t xml:space="preserve"> or h</w:t>
            </w:r>
            <w:r w:rsidR="00EF089C" w:rsidRPr="00EF089C">
              <w:rPr>
                <w:rFonts w:cs="Arial"/>
                <w:color w:val="0D0D0D" w:themeColor="text1" w:themeTint="F2"/>
                <w:sz w:val="14"/>
                <w:szCs w:val="14"/>
                <w:lang w:val="en-GB"/>
              </w:rPr>
              <w:t>igher education</w:t>
            </w:r>
            <w:r w:rsidR="00EF089C">
              <w:rPr>
                <w:rFonts w:cs="Arial"/>
                <w:color w:val="0D0D0D" w:themeColor="text1" w:themeTint="F2"/>
                <w:sz w:val="14"/>
                <w:szCs w:val="14"/>
                <w:lang w:val="en-GB"/>
              </w:rPr>
              <w:t>.</w:t>
            </w:r>
          </w:p>
          <w:p w14:paraId="7D772A8E" w14:textId="77777777" w:rsidR="00D01CDA" w:rsidRPr="001A0A01" w:rsidRDefault="00D01CDA" w:rsidP="00D01CDA">
            <w:pPr>
              <w:spacing w:after="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*Seasonally adjusted balance of expectations of unemployment in the next 12 months (difference between percentage freq</w:t>
            </w:r>
            <w:r>
              <w:rPr>
                <w:rFonts w:cs="Arial"/>
                <w:color w:val="0D0D0D" w:themeColor="text1" w:themeTint="F2"/>
                <w:spacing w:val="-2"/>
                <w:sz w:val="14"/>
                <w:szCs w:val="14"/>
                <w:lang w:val="en-GB"/>
              </w:rPr>
              <w:t>uency of answers of households “growth” and “</w:t>
            </w:r>
            <w:r w:rsidRPr="001A0A01">
              <w:rPr>
                <w:rFonts w:cs="Arial"/>
                <w:color w:val="0D0D0D" w:themeColor="text1" w:themeTint="F2"/>
                <w:spacing w:val="-2"/>
                <w:sz w:val="14"/>
                <w:szCs w:val="14"/>
                <w:lang w:val="en-GB"/>
              </w:rPr>
              <w:t xml:space="preserve">decrease” expressed in percentage points). Data relates to the middle month of the given quarter. </w:t>
            </w:r>
          </w:p>
          <w:p w14:paraId="5FA889DD" w14:textId="77777777" w:rsidR="00D01CDA" w:rsidRPr="001A0A01" w:rsidRDefault="00D01CDA" w:rsidP="00D01CDA">
            <w:pPr>
              <w:spacing w:after="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**Number of foreigners in the employee position registered at labour offices in the CR at the end of relevant quarter.</w:t>
            </w:r>
          </w:p>
          <w:p w14:paraId="18993655" w14:textId="35BBEA3E" w:rsidR="00D01CDA" w:rsidRPr="001A0A01" w:rsidRDefault="00D01CDA" w:rsidP="006233F9">
            <w:pPr>
              <w:spacing w:after="22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 xml:space="preserve">Source: CZSO (LFSS, business cycle survey), MLSA (job vacancies registered at labour offices </w:t>
            </w:r>
            <w:r w:rsidR="006233F9">
              <w:rPr>
                <w:rFonts w:cs="Arial"/>
                <w:color w:val="0D0D0D" w:themeColor="text1" w:themeTint="F2"/>
                <w:spacing w:val="-2"/>
                <w:sz w:val="14"/>
                <w:szCs w:val="14"/>
                <w:lang w:val="en-GB"/>
              </w:rPr>
              <w:t>in the CR, employed foreigners)</w:t>
            </w:r>
          </w:p>
        </w:tc>
      </w:tr>
      <w:tr w:rsidR="006233F9" w:rsidRPr="001A0A01" w14:paraId="263DB1E1" w14:textId="77777777" w:rsidTr="003D1AE0">
        <w:trPr>
          <w:trHeight w:val="132"/>
        </w:trPr>
        <w:tc>
          <w:tcPr>
            <w:tcW w:w="1768" w:type="dxa"/>
            <w:shd w:val="clear" w:color="auto" w:fill="auto"/>
            <w:tcMar>
              <w:left w:w="0" w:type="dxa"/>
            </w:tcMar>
          </w:tcPr>
          <w:p w14:paraId="6825EC87" w14:textId="77777777" w:rsidR="006233F9" w:rsidRPr="001A0A01" w:rsidRDefault="006233F9" w:rsidP="006233F9">
            <w:pPr>
              <w:pStyle w:val="Marginlie"/>
              <w:rPr>
                <w:color w:val="0D0D0D" w:themeColor="text1" w:themeTint="F2"/>
                <w:spacing w:val="-5"/>
                <w:lang w:val="en-GB"/>
              </w:rPr>
            </w:pPr>
            <w:r w:rsidRPr="001A0A01">
              <w:rPr>
                <w:color w:val="0D0D0D" w:themeColor="text1" w:themeTint="F2"/>
                <w:spacing w:val="-5"/>
                <w:lang w:val="en-GB"/>
              </w:rPr>
              <w:t>The general unemployment rate did not increase significantly. From a historical and international perspective, it remains very low.</w:t>
            </w:r>
          </w:p>
          <w:p w14:paraId="3D20C43C" w14:textId="77777777" w:rsidR="006233F9" w:rsidRPr="001A0A01" w:rsidRDefault="006233F9" w:rsidP="006233F9">
            <w:pPr>
              <w:pStyle w:val="Marginlie"/>
              <w:rPr>
                <w:color w:val="0D0D0D" w:themeColor="text1" w:themeTint="F2"/>
                <w:spacing w:val="-5"/>
                <w:lang w:val="en-GB"/>
              </w:rPr>
            </w:pPr>
          </w:p>
        </w:tc>
        <w:tc>
          <w:tcPr>
            <w:tcW w:w="200" w:type="dxa"/>
            <w:shd w:val="clear" w:color="auto" w:fill="auto"/>
            <w:tcMar>
              <w:left w:w="0" w:type="dxa"/>
            </w:tcMar>
          </w:tcPr>
          <w:p w14:paraId="2D1515E7"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1CF60C2C" w14:textId="11EFE963" w:rsidR="006233F9" w:rsidRPr="001A0A01" w:rsidRDefault="006233F9" w:rsidP="006233F9">
            <w:pPr>
              <w:spacing w:after="200"/>
              <w:rPr>
                <w:rStyle w:val="normaltextrun"/>
                <w:rFonts w:eastAsia="MS Gothic" w:cs="Arial"/>
                <w:szCs w:val="20"/>
                <w:lang w:val="en-GB"/>
              </w:rPr>
            </w:pPr>
            <w:r w:rsidRPr="001A0A01">
              <w:rPr>
                <w:color w:val="0D0D0D" w:themeColor="text1" w:themeTint="F2"/>
                <w:lang w:val="en-GB"/>
              </w:rPr>
              <w:t>Despite the ongoing difficulties of some businesses in various industrial branches, the general unemployment rate</w:t>
            </w:r>
            <w:r w:rsidRPr="001A0A01">
              <w:rPr>
                <w:rStyle w:val="Znakapoznpodarou"/>
                <w:color w:val="0D0D0D" w:themeColor="text1" w:themeTint="F2"/>
                <w:spacing w:val="-6"/>
                <w:lang w:val="en-GB"/>
              </w:rPr>
              <w:footnoteReference w:id="14"/>
            </w:r>
            <w:r w:rsidRPr="001A0A01">
              <w:rPr>
                <w:color w:val="0D0D0D" w:themeColor="text1" w:themeTint="F2"/>
                <w:lang w:val="en-GB"/>
              </w:rPr>
              <w:t xml:space="preserve"> has not increased significantly over the past year, rather it can be considered fluctuating – especially for females. The adjusted unemployment rate (persons aged 15–64 years) reached 2.7% in August (2.3% for males, 3.2% for females)</w:t>
            </w:r>
            <w:r w:rsidRPr="001A0A01">
              <w:rPr>
                <w:rStyle w:val="Znakapoznpodarou"/>
                <w:color w:val="0D0D0D" w:themeColor="text1" w:themeTint="F2"/>
                <w:lang w:val="en-GB"/>
              </w:rPr>
              <w:footnoteReference w:id="15"/>
            </w:r>
            <w:r w:rsidRPr="001A0A01">
              <w:rPr>
                <w:color w:val="0D0D0D" w:themeColor="text1" w:themeTint="F2"/>
                <w:lang w:val="en-GB"/>
              </w:rPr>
              <w:t>. In fact, the number of long-term unemployed did not increase either – they accounted for 30% of the total number of persons without work, which is below an average figure from both a long-term and international perspective. The size of the potential labour reserve (i.e. economically inactive persons not seeking employment but stating their willingness to work) has not changed significantly recently and remains low in the long-time view (82 thousand persons in Q2)</w:t>
            </w:r>
            <w:r w:rsidRPr="001A0A01">
              <w:rPr>
                <w:rStyle w:val="Znakapoznpodarou"/>
                <w:color w:val="0D0D0D" w:themeColor="text1" w:themeTint="F2"/>
                <w:spacing w:val="-4"/>
                <w:lang w:val="en-GB"/>
              </w:rPr>
              <w:t xml:space="preserve"> </w:t>
            </w:r>
            <w:r w:rsidRPr="001A0A01">
              <w:rPr>
                <w:rStyle w:val="Znakapoznpodarou"/>
                <w:color w:val="0D0D0D" w:themeColor="text1" w:themeTint="F2"/>
                <w:spacing w:val="-4"/>
                <w:lang w:val="en-GB"/>
              </w:rPr>
              <w:footnoteReference w:id="16"/>
            </w:r>
            <w:r w:rsidRPr="001A0A01">
              <w:rPr>
                <w:color w:val="0D0D0D" w:themeColor="text1" w:themeTint="F2"/>
                <w:lang w:val="en-GB"/>
              </w:rPr>
              <w:t>. On the one hand, this represents a significant problem for many employers, but from another point of view, it is also a positive signal indicating that the extent of hidden u</w:t>
            </w:r>
            <w:r>
              <w:rPr>
                <w:color w:val="0D0D0D" w:themeColor="text1" w:themeTint="F2"/>
                <w:lang w:val="en-GB"/>
              </w:rPr>
              <w:t>nemployment (in the form of an “escape”</w:t>
            </w:r>
            <w:r w:rsidRPr="001A0A01">
              <w:rPr>
                <w:color w:val="0D0D0D" w:themeColor="text1" w:themeTint="F2"/>
                <w:lang w:val="en-GB"/>
              </w:rPr>
              <w:t xml:space="preserve"> into economic inactivity) is currently not significant on the domestic labour market.</w:t>
            </w:r>
          </w:p>
        </w:tc>
      </w:tr>
      <w:tr w:rsidR="006233F9" w:rsidRPr="001A0A01" w14:paraId="6F8415AA" w14:textId="77777777" w:rsidTr="003D1AE0">
        <w:trPr>
          <w:trHeight w:val="132"/>
        </w:trPr>
        <w:tc>
          <w:tcPr>
            <w:tcW w:w="1768" w:type="dxa"/>
            <w:shd w:val="clear" w:color="auto" w:fill="auto"/>
            <w:tcMar>
              <w:left w:w="0" w:type="dxa"/>
            </w:tcMar>
          </w:tcPr>
          <w:p w14:paraId="7032F576" w14:textId="77777777" w:rsidR="006233F9" w:rsidRPr="001A0A01" w:rsidRDefault="006233F9" w:rsidP="006233F9">
            <w:pPr>
              <w:pStyle w:val="Marginlie"/>
              <w:rPr>
                <w:color w:val="0D0D0D" w:themeColor="text1" w:themeTint="F2"/>
                <w:spacing w:val="-5"/>
                <w:lang w:val="en-GB"/>
              </w:rPr>
            </w:pPr>
            <w:r w:rsidRPr="001A0A01">
              <w:rPr>
                <w:color w:val="0D0D0D" w:themeColor="text1" w:themeTint="F2"/>
                <w:spacing w:val="-5"/>
                <w:lang w:val="en-GB"/>
              </w:rPr>
              <w:t xml:space="preserve">The number of registered job vacancies at LO slightly decreased, year-on-year, specifically across all qualification categories. </w:t>
            </w:r>
          </w:p>
          <w:p w14:paraId="6DFFAC65" w14:textId="77777777" w:rsidR="006233F9" w:rsidRPr="001A0A01" w:rsidRDefault="006233F9" w:rsidP="006233F9">
            <w:pPr>
              <w:pStyle w:val="Marginlie"/>
              <w:rPr>
                <w:color w:val="0D0D0D" w:themeColor="text1" w:themeTint="F2"/>
                <w:spacing w:val="-4"/>
                <w:lang w:val="en-GB"/>
              </w:rPr>
            </w:pPr>
          </w:p>
        </w:tc>
        <w:tc>
          <w:tcPr>
            <w:tcW w:w="200" w:type="dxa"/>
            <w:shd w:val="clear" w:color="auto" w:fill="auto"/>
            <w:tcMar>
              <w:left w:w="0" w:type="dxa"/>
            </w:tcMar>
          </w:tcPr>
          <w:p w14:paraId="04859AB4"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148C902F" w14:textId="77777777" w:rsidR="006233F9" w:rsidRPr="001A0A01" w:rsidRDefault="006233F9" w:rsidP="006233F9">
            <w:pPr>
              <w:spacing w:after="200"/>
              <w:rPr>
                <w:color w:val="0D0D0D" w:themeColor="text1" w:themeTint="F2"/>
                <w:spacing w:val="-4"/>
                <w:lang w:val="en-GB"/>
              </w:rPr>
            </w:pPr>
            <w:bookmarkStart w:id="3" w:name="_Hlk179033001"/>
            <w:r w:rsidRPr="001A0A01">
              <w:rPr>
                <w:rStyle w:val="normaltextrun"/>
                <w:rFonts w:eastAsia="MS Gothic" w:cs="Arial"/>
                <w:szCs w:val="20"/>
                <w:lang w:val="en-GB"/>
              </w:rPr>
              <w:t>D</w:t>
            </w:r>
            <w:r w:rsidRPr="001A0A01">
              <w:rPr>
                <w:rStyle w:val="normaltextrun"/>
                <w:rFonts w:eastAsia="MS Gothic" w:cs="Arial"/>
                <w:lang w:val="en-GB"/>
              </w:rPr>
              <w:t>ata from the labour offices (LO) also confirm t</w:t>
            </w:r>
            <w:r w:rsidRPr="001A0A01">
              <w:rPr>
                <w:rStyle w:val="normaltextrun"/>
                <w:rFonts w:eastAsia="MS Gothic" w:cs="Arial"/>
                <w:szCs w:val="20"/>
                <w:lang w:val="en-GB"/>
              </w:rPr>
              <w:t xml:space="preserve">he stable state of the domestic labour market. The seasonally unadjusted share of the unemployed (available job seekers to the total population aged 15–64 years) was 3.8% (males: 3.3%, females: 4.2%) at the end of July. Although it was the highest July value in the last 4 years, the year-on-year increase of unemployment has been very mild in all months of this year so far (0.1 to 0.3 p.p.). Males are troubled by the highest unemployment in the </w:t>
            </w:r>
            <w:r w:rsidRPr="001A0A01">
              <w:rPr>
                <w:rStyle w:val="normaltextrun"/>
                <w:rFonts w:eastAsia="MS Gothic" w:cs="Arial"/>
                <w:i/>
                <w:iCs/>
                <w:szCs w:val="20"/>
                <w:lang w:val="en-GB"/>
              </w:rPr>
              <w:t>Most</w:t>
            </w:r>
            <w:r w:rsidRPr="001A0A01">
              <w:rPr>
                <w:rStyle w:val="normaltextrun"/>
                <w:rFonts w:eastAsia="MS Gothic" w:cs="Arial"/>
                <w:szCs w:val="20"/>
                <w:lang w:val="en-GB"/>
              </w:rPr>
              <w:t xml:space="preserve"> district (10.0%), females in the </w:t>
            </w:r>
            <w:r w:rsidRPr="001A0A01">
              <w:rPr>
                <w:rStyle w:val="normaltextrun"/>
                <w:rFonts w:eastAsia="MS Gothic" w:cs="Arial"/>
                <w:i/>
                <w:iCs/>
                <w:szCs w:val="20"/>
                <w:lang w:val="en-GB"/>
              </w:rPr>
              <w:t>Karviná</w:t>
            </w:r>
            <w:r w:rsidRPr="001A0A01">
              <w:rPr>
                <w:rStyle w:val="normaltextrun"/>
                <w:rFonts w:eastAsia="MS Gothic" w:cs="Arial"/>
                <w:szCs w:val="20"/>
                <w:lang w:val="en-GB"/>
              </w:rPr>
              <w:t xml:space="preserve"> region (8.4%). Despite the development of seasonal work, the number of registered job vacancies at the LO has been slightly decreasing, month-on-month, since April this year (in total by 6 thousand to 262 thousand</w:t>
            </w:r>
            <w:r w:rsidRPr="001A0A01">
              <w:rPr>
                <w:rStyle w:val="Znakapoznpodarou"/>
                <w:rFonts w:eastAsia="MS Gothic"/>
                <w:szCs w:val="20"/>
                <w:lang w:val="en-GB"/>
              </w:rPr>
              <w:footnoteReference w:id="17"/>
            </w:r>
            <w:r w:rsidRPr="001A0A01">
              <w:rPr>
                <w:rStyle w:val="normaltextrun"/>
                <w:rFonts w:eastAsia="MS Gothic" w:cs="Arial"/>
                <w:szCs w:val="20"/>
                <w:lang w:val="en-GB"/>
              </w:rPr>
              <w:t xml:space="preserve"> since July, it still grew slightly last year during H1). The number of vacancies thus lagged slightly behind the total number of job seekers (now 283 thousand) for the eighth month in a row. The number of vacancies also decreased slightly year-on-year, mostly across all qualification categories. Concerns of people regarding the growth of unemployment (expressed within the business surveys) fell to the lowest level since the onset of the pandemic in April this year. They did strengthen slightly subsequently, but did not significantly exceed their long-term average even in the summer months. </w:t>
            </w:r>
            <w:r w:rsidRPr="001A0A01">
              <w:rPr>
                <w:color w:val="0D0D0D" w:themeColor="text1" w:themeTint="F2"/>
                <w:spacing w:val="-4"/>
                <w:lang w:val="en-GB"/>
              </w:rPr>
              <w:t xml:space="preserve"> </w:t>
            </w:r>
            <w:bookmarkEnd w:id="3"/>
          </w:p>
        </w:tc>
      </w:tr>
      <w:tr w:rsidR="006233F9" w:rsidRPr="001A0A01" w14:paraId="011540C3" w14:textId="77777777" w:rsidTr="003D1AE0">
        <w:trPr>
          <w:trHeight w:val="132"/>
        </w:trPr>
        <w:tc>
          <w:tcPr>
            <w:tcW w:w="1768" w:type="dxa"/>
            <w:shd w:val="clear" w:color="auto" w:fill="auto"/>
            <w:tcMar>
              <w:left w:w="0" w:type="dxa"/>
            </w:tcMar>
          </w:tcPr>
          <w:p w14:paraId="39401C9C" w14:textId="58B1FA5D" w:rsidR="006233F9" w:rsidRPr="001A0A01" w:rsidRDefault="006233F9" w:rsidP="006233F9">
            <w:pPr>
              <w:pStyle w:val="Marginlie"/>
              <w:rPr>
                <w:color w:val="0D0D0D" w:themeColor="text1" w:themeTint="F2"/>
                <w:spacing w:val="-5"/>
                <w:lang w:val="en-GB"/>
              </w:rPr>
            </w:pPr>
            <w:bookmarkStart w:id="4" w:name="_Hlk179036571"/>
            <w:r w:rsidRPr="001A0A01">
              <w:rPr>
                <w:color w:val="0D0D0D" w:themeColor="text1" w:themeTint="F2"/>
                <w:spacing w:val="-5"/>
                <w:lang w:val="en-GB"/>
              </w:rPr>
              <w:t xml:space="preserve">Year-on-year average wage growth slowed down. With a delay, it reflected the stagnation of performance </w:t>
            </w:r>
            <w:r w:rsidR="00C47052">
              <w:rPr>
                <w:color w:val="0D0D0D" w:themeColor="text1" w:themeTint="F2"/>
                <w:spacing w:val="-5"/>
                <w:lang w:val="en-GB"/>
              </w:rPr>
              <w:t xml:space="preserve">of economy </w:t>
            </w:r>
            <w:r w:rsidRPr="001A0A01">
              <w:rPr>
                <w:color w:val="0D0D0D" w:themeColor="text1" w:themeTint="F2"/>
                <w:spacing w:val="-5"/>
                <w:lang w:val="en-GB"/>
              </w:rPr>
              <w:t>evident in the previous quarters.</w:t>
            </w:r>
            <w:bookmarkEnd w:id="4"/>
          </w:p>
        </w:tc>
        <w:tc>
          <w:tcPr>
            <w:tcW w:w="200" w:type="dxa"/>
            <w:shd w:val="clear" w:color="auto" w:fill="auto"/>
            <w:tcMar>
              <w:left w:w="0" w:type="dxa"/>
            </w:tcMar>
          </w:tcPr>
          <w:p w14:paraId="6B965E44"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02AB4F7E" w14:textId="7A71CAE8" w:rsidR="006233F9" w:rsidRPr="001A0A01" w:rsidRDefault="006233F9" w:rsidP="006233F9">
            <w:pPr>
              <w:rPr>
                <w:color w:val="0D0D0D" w:themeColor="text1" w:themeTint="F2"/>
                <w:spacing w:val="-6"/>
                <w:lang w:val="en-GB"/>
              </w:rPr>
            </w:pPr>
            <w:bookmarkStart w:id="5" w:name="_Hlk179036594"/>
            <w:r w:rsidRPr="001A0A01">
              <w:rPr>
                <w:rStyle w:val="normaltextrun"/>
                <w:rFonts w:cs="Arial"/>
                <w:spacing w:val="-2"/>
                <w:szCs w:val="20"/>
                <w:lang w:val="en-GB"/>
              </w:rPr>
              <w:t>T</w:t>
            </w:r>
            <w:r w:rsidRPr="001A0A01">
              <w:rPr>
                <w:rStyle w:val="normaltextrun"/>
                <w:rFonts w:cs="Arial"/>
                <w:spacing w:val="-2"/>
                <w:lang w:val="en-GB"/>
              </w:rPr>
              <w:t xml:space="preserve">he </w:t>
            </w:r>
            <w:r w:rsidRPr="001A0A01">
              <w:rPr>
                <w:rStyle w:val="normaltextrun"/>
                <w:rFonts w:cs="Arial"/>
                <w:spacing w:val="-2"/>
                <w:szCs w:val="20"/>
                <w:lang w:val="en-GB"/>
              </w:rPr>
              <w:t xml:space="preserve">average gross monthly nominal wage of an employee in the national economy reached 45,854 </w:t>
            </w:r>
            <w:r w:rsidRPr="001A0A01">
              <w:rPr>
                <w:rStyle w:val="normaltextrun"/>
                <w:rFonts w:cs="Arial"/>
                <w:spacing w:val="-2"/>
                <w:lang w:val="en-GB"/>
              </w:rPr>
              <w:t>CZK in Q2</w:t>
            </w:r>
            <w:r w:rsidR="00C47052">
              <w:rPr>
                <w:rStyle w:val="normaltextrun"/>
                <w:rFonts w:cs="Arial"/>
                <w:spacing w:val="-2"/>
                <w:lang w:val="en-GB"/>
              </w:rPr>
              <w:t xml:space="preserve"> 2024</w:t>
            </w:r>
            <w:r w:rsidRPr="001A0A01">
              <w:rPr>
                <w:rStyle w:val="normaltextrun"/>
                <w:rFonts w:cs="Arial"/>
                <w:spacing w:val="-2"/>
                <w:szCs w:val="20"/>
                <w:lang w:val="en-GB"/>
              </w:rPr>
              <w:t>, up by 6.5%, year-on-year. Th</w:t>
            </w:r>
            <w:r w:rsidR="00C47052">
              <w:rPr>
                <w:rStyle w:val="normaltextrun"/>
                <w:rFonts w:cs="Arial"/>
                <w:spacing w:val="-2"/>
                <w:szCs w:val="20"/>
                <w:lang w:val="en-GB"/>
              </w:rPr>
              <w:t xml:space="preserve">is pace slowed slightly </w:t>
            </w:r>
            <w:r w:rsidRPr="001A0A01">
              <w:rPr>
                <w:rStyle w:val="normaltextrun"/>
                <w:rFonts w:cs="Arial"/>
                <w:spacing w:val="-2"/>
                <w:szCs w:val="20"/>
                <w:lang w:val="en-GB"/>
              </w:rPr>
              <w:t>compared to Q</w:t>
            </w:r>
            <w:r w:rsidRPr="001A0A01">
              <w:rPr>
                <w:rStyle w:val="normaltextrun"/>
                <w:rFonts w:cs="Arial"/>
                <w:spacing w:val="-2"/>
                <w:lang w:val="en-GB"/>
              </w:rPr>
              <w:t>1</w:t>
            </w:r>
            <w:r w:rsidR="00C47052">
              <w:rPr>
                <w:rStyle w:val="normaltextrun"/>
                <w:rFonts w:cs="Arial"/>
                <w:spacing w:val="-2"/>
                <w:lang w:val="en-GB"/>
              </w:rPr>
              <w:t xml:space="preserve"> </w:t>
            </w:r>
            <w:r w:rsidR="00C47052">
              <w:rPr>
                <w:rStyle w:val="normaltextrun"/>
                <w:rFonts w:cs="Arial"/>
                <w:spacing w:val="-2"/>
                <w:szCs w:val="20"/>
                <w:lang w:val="en-GB"/>
              </w:rPr>
              <w:t>(+7.2%)</w:t>
            </w:r>
            <w:r w:rsidRPr="001A0A01">
              <w:rPr>
                <w:rStyle w:val="normaltextrun"/>
                <w:rFonts w:cs="Arial"/>
                <w:spacing w:val="-2"/>
                <w:lang w:val="en-GB"/>
              </w:rPr>
              <w:t xml:space="preserve"> </w:t>
            </w:r>
            <w:r w:rsidRPr="001A0A01">
              <w:rPr>
                <w:rStyle w:val="normaltextrun"/>
                <w:rFonts w:cs="Arial"/>
                <w:spacing w:val="-2"/>
                <w:szCs w:val="20"/>
                <w:lang w:val="en-GB"/>
              </w:rPr>
              <w:t>of this year (moderation of growth was also evident throughout t</w:t>
            </w:r>
            <w:r w:rsidRPr="001A0A01">
              <w:rPr>
                <w:rStyle w:val="normaltextrun"/>
                <w:rFonts w:cs="Arial"/>
                <w:spacing w:val="-2"/>
                <w:lang w:val="en-GB"/>
              </w:rPr>
              <w:t xml:space="preserve">he whole </w:t>
            </w:r>
            <w:r w:rsidRPr="001A0A01">
              <w:rPr>
                <w:rStyle w:val="normaltextrun"/>
                <w:rFonts w:cs="Arial"/>
                <w:spacing w:val="-2"/>
                <w:szCs w:val="20"/>
                <w:lang w:val="en-GB"/>
              </w:rPr>
              <w:t>last year). A slowdown o</w:t>
            </w:r>
            <w:r w:rsidRPr="001A0A01">
              <w:rPr>
                <w:rStyle w:val="normaltextrun"/>
                <w:rFonts w:cs="Arial"/>
                <w:spacing w:val="-2"/>
                <w:lang w:val="en-GB"/>
              </w:rPr>
              <w:t xml:space="preserve">f the </w:t>
            </w:r>
            <w:r w:rsidRPr="001A0A01">
              <w:rPr>
                <w:rStyle w:val="normaltextrun"/>
                <w:rFonts w:cs="Arial"/>
                <w:spacing w:val="-2"/>
                <w:szCs w:val="20"/>
                <w:lang w:val="en-GB"/>
              </w:rPr>
              <w:t>wage d</w:t>
            </w:r>
            <w:r w:rsidRPr="001A0A01">
              <w:rPr>
                <w:rStyle w:val="normaltextrun"/>
                <w:rFonts w:cs="Arial"/>
                <w:spacing w:val="-2"/>
                <w:lang w:val="en-GB"/>
              </w:rPr>
              <w:t xml:space="preserve">ynamics </w:t>
            </w:r>
            <w:r w:rsidRPr="001A0A01">
              <w:rPr>
                <w:rStyle w:val="normaltextrun"/>
                <w:rFonts w:cs="Arial"/>
                <w:spacing w:val="-2"/>
                <w:szCs w:val="20"/>
                <w:lang w:val="en-GB"/>
              </w:rPr>
              <w:t>can also be observed in a quarter-on-quarter comparison – the ad</w:t>
            </w:r>
            <w:r>
              <w:rPr>
                <w:rStyle w:val="normaltextrun"/>
                <w:rFonts w:cs="Arial"/>
                <w:spacing w:val="-2"/>
                <w:szCs w:val="20"/>
                <w:lang w:val="en-GB"/>
              </w:rPr>
              <w:t>justed average wage growth was “only”</w:t>
            </w:r>
            <w:r w:rsidRPr="001A0A01">
              <w:rPr>
                <w:rStyle w:val="normaltextrun"/>
                <w:rFonts w:cs="Arial"/>
                <w:spacing w:val="-2"/>
                <w:szCs w:val="20"/>
                <w:lang w:val="en-GB"/>
              </w:rPr>
              <w:t xml:space="preserve"> 1.4% in Q2 2024 (the least since Spring 2022). The registered number of employees (in full-time equivalent) stagnated, year-on-year, in both quarters of this year. The growing need for savings in the budgetary sphere as well as the rising </w:t>
            </w:r>
            <w:r>
              <w:rPr>
                <w:rStyle w:val="normaltextrun"/>
                <w:rFonts w:cs="Arial"/>
                <w:spacing w:val="-2"/>
                <w:szCs w:val="20"/>
                <w:lang w:val="en-GB"/>
              </w:rPr>
              <w:t>number of foreign workers from “third countries”</w:t>
            </w:r>
            <w:r w:rsidRPr="001A0A01">
              <w:rPr>
                <w:rStyle w:val="normaltextrun"/>
                <w:rFonts w:cs="Arial"/>
                <w:spacing w:val="-2"/>
                <w:szCs w:val="20"/>
                <w:lang w:val="en-GB"/>
              </w:rPr>
              <w:t xml:space="preserve"> dampened the wage growth in the economy. They often work in low-skilled positions and their earnings thus usually do not reach the level of Czech citizens. By contrast, the still relatively high demand of firms for labour force in some branches or an increased pressure from employees, also stemming from tight family budgets due to the fading high price grow of some consumer basket items still fostered the nominal wage growth. More dynamic wage growth in a number of branches was also enabled due to the ongoing high corporate profit rate. </w:t>
            </w:r>
            <w:r w:rsidRPr="001A0A01">
              <w:rPr>
                <w:spacing w:val="-2"/>
                <w:lang w:val="en-GB"/>
              </w:rPr>
              <w:t xml:space="preserve"> </w:t>
            </w:r>
            <w:bookmarkEnd w:id="5"/>
          </w:p>
        </w:tc>
      </w:tr>
      <w:tr w:rsidR="006233F9" w:rsidRPr="001A0A01" w14:paraId="59C4B9C7" w14:textId="77777777" w:rsidTr="003D1AE0">
        <w:trPr>
          <w:trHeight w:val="132"/>
        </w:trPr>
        <w:tc>
          <w:tcPr>
            <w:tcW w:w="1768" w:type="dxa"/>
            <w:shd w:val="clear" w:color="auto" w:fill="auto"/>
            <w:tcMar>
              <w:left w:w="0" w:type="dxa"/>
            </w:tcMar>
          </w:tcPr>
          <w:p w14:paraId="27621DDC" w14:textId="35A96B30" w:rsidR="006233F9" w:rsidRPr="001A0A01" w:rsidRDefault="006233F9" w:rsidP="006233F9">
            <w:pPr>
              <w:pStyle w:val="Marginlie"/>
              <w:rPr>
                <w:color w:val="0D0D0D" w:themeColor="text1" w:themeTint="F2"/>
                <w:spacing w:val="-4"/>
                <w:lang w:val="en-GB"/>
              </w:rPr>
            </w:pPr>
            <w:r w:rsidRPr="001A0A01">
              <w:rPr>
                <w:color w:val="0D0D0D" w:themeColor="text1" w:themeTint="F2"/>
                <w:spacing w:val="-4"/>
                <w:lang w:val="en-GB"/>
              </w:rPr>
              <w:t>The decrease of real wage in the economy has ceased for the first time in nine quarters this year. The purchasing power of the average</w:t>
            </w:r>
            <w:r w:rsidR="00C47052">
              <w:rPr>
                <w:color w:val="0D0D0D" w:themeColor="text1" w:themeTint="F2"/>
                <w:spacing w:val="-4"/>
                <w:lang w:val="en-GB"/>
              </w:rPr>
              <w:t xml:space="preserve"> wage corresponded to year 2018 only.</w:t>
            </w:r>
          </w:p>
        </w:tc>
        <w:tc>
          <w:tcPr>
            <w:tcW w:w="200" w:type="dxa"/>
            <w:shd w:val="clear" w:color="auto" w:fill="auto"/>
            <w:tcMar>
              <w:left w:w="0" w:type="dxa"/>
            </w:tcMar>
          </w:tcPr>
          <w:p w14:paraId="7A20410D"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426C8F5D" w14:textId="03A9F9CA" w:rsidR="006233F9" w:rsidRPr="001A0A01" w:rsidRDefault="006233F9" w:rsidP="006233F9">
            <w:pPr>
              <w:spacing w:after="200"/>
              <w:rPr>
                <w:color w:val="0D0D0D" w:themeColor="text1" w:themeTint="F2"/>
                <w:lang w:val="en-GB"/>
              </w:rPr>
            </w:pPr>
            <w:bookmarkStart w:id="6" w:name="_Hlk179039538"/>
            <w:r w:rsidRPr="001A0A01">
              <w:rPr>
                <w:color w:val="0D0D0D" w:themeColor="text1" w:themeTint="F2"/>
                <w:lang w:val="en-GB"/>
              </w:rPr>
              <w:t>Thanks to the calming of the price level in the economy, the expected growth of real wage continued. It amounted to 3.9%, year-on-year, in Q2 (4.5% for the entire H1</w:t>
            </w:r>
            <w:r w:rsidR="00C47052">
              <w:rPr>
                <w:color w:val="0D0D0D" w:themeColor="text1" w:themeTint="F2"/>
                <w:lang w:val="en-GB"/>
              </w:rPr>
              <w:t xml:space="preserve"> 2024</w:t>
            </w:r>
            <w:r w:rsidRPr="001A0A01">
              <w:rPr>
                <w:color w:val="0D0D0D" w:themeColor="text1" w:themeTint="F2"/>
                <w:lang w:val="en-GB"/>
              </w:rPr>
              <w:t>). The real wage growth is gradually erasing the significant drop of the real purchasing power of employees from both years 2022 and 2023 this year (in real terms, however, the average wage is still situated at the 2018 level). Th</w:t>
            </w:r>
            <w:r>
              <w:rPr>
                <w:color w:val="0D0D0D" w:themeColor="text1" w:themeTint="F2"/>
                <w:lang w:val="en-GB"/>
              </w:rPr>
              <w:t>e wage p</w:t>
            </w:r>
            <w:r w:rsidRPr="001A0A01">
              <w:rPr>
                <w:color w:val="0D0D0D" w:themeColor="text1" w:themeTint="F2"/>
                <w:lang w:val="en-GB"/>
              </w:rPr>
              <w:t xml:space="preserve">urchasing power growth is subdued by a slight increase of the tax burden on labour this year (e.g. by the reintroduction of employee health insurance premiums approved as part of the government's consolidation package). </w:t>
            </w:r>
            <w:bookmarkEnd w:id="6"/>
          </w:p>
        </w:tc>
      </w:tr>
      <w:tr w:rsidR="006233F9" w:rsidRPr="001A0A01" w14:paraId="79F9952B" w14:textId="77777777" w:rsidTr="003D1AE0">
        <w:trPr>
          <w:trHeight w:val="132"/>
        </w:trPr>
        <w:tc>
          <w:tcPr>
            <w:tcW w:w="1768" w:type="dxa"/>
            <w:shd w:val="clear" w:color="auto" w:fill="auto"/>
            <w:tcMar>
              <w:left w:w="0" w:type="dxa"/>
            </w:tcMar>
          </w:tcPr>
          <w:p w14:paraId="6B17DCB5" w14:textId="77777777" w:rsidR="006233F9" w:rsidRPr="001A0A01" w:rsidRDefault="006233F9" w:rsidP="006233F9">
            <w:pPr>
              <w:pStyle w:val="Marginlie"/>
              <w:rPr>
                <w:color w:val="0D0D0D" w:themeColor="text1" w:themeTint="F2"/>
                <w:spacing w:val="-4"/>
                <w:lang w:val="en-GB"/>
              </w:rPr>
            </w:pPr>
            <w:bookmarkStart w:id="7" w:name="_Hlk179045450"/>
            <w:r w:rsidRPr="001A0A01">
              <w:rPr>
                <w:color w:val="0D0D0D" w:themeColor="text1" w:themeTint="F2"/>
                <w:spacing w:val="-4"/>
                <w:lang w:val="en-GB"/>
              </w:rPr>
              <w:t>Wages in health and social care increased relatively the most. However, the growth was significantly below average in other branches of the non-business sphere.</w:t>
            </w:r>
            <w:bookmarkEnd w:id="7"/>
          </w:p>
        </w:tc>
        <w:tc>
          <w:tcPr>
            <w:tcW w:w="200" w:type="dxa"/>
            <w:shd w:val="clear" w:color="auto" w:fill="auto"/>
            <w:tcMar>
              <w:left w:w="0" w:type="dxa"/>
            </w:tcMar>
          </w:tcPr>
          <w:p w14:paraId="0D7B0EA8"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44EE0318" w14:textId="77777777" w:rsidR="006233F9" w:rsidRPr="001A0A01" w:rsidRDefault="006233F9" w:rsidP="006233F9">
            <w:pPr>
              <w:spacing w:after="200"/>
              <w:rPr>
                <w:color w:val="0D0D0D" w:themeColor="text1" w:themeTint="F2"/>
                <w:lang w:val="en-GB"/>
              </w:rPr>
            </w:pPr>
            <w:bookmarkStart w:id="8" w:name="_Hlk179045629"/>
            <w:r w:rsidRPr="001A0A01">
              <w:rPr>
                <w:color w:val="0D0D0D" w:themeColor="text1" w:themeTint="F2"/>
                <w:lang w:val="en-GB"/>
              </w:rPr>
              <w:t>The growth rate of the average wage masks traditionally a very diverse development at the level of individual branches of enterprises or organisations. The wages in health and social care achieved the highest year-on-year growth in Q2 this year – 11.1%</w:t>
            </w:r>
            <w:r w:rsidRPr="001A0A01">
              <w:rPr>
                <w:rStyle w:val="Znakapoznpodarou"/>
                <w:color w:val="0D0D0D" w:themeColor="text1" w:themeTint="F2"/>
                <w:lang w:val="en-GB"/>
              </w:rPr>
              <w:footnoteReference w:id="18"/>
            </w:r>
            <w:r w:rsidRPr="001A0A01">
              <w:rPr>
                <w:color w:val="0D0D0D" w:themeColor="text1" w:themeTint="F2"/>
                <w:lang w:val="en-GB"/>
              </w:rPr>
              <w:t xml:space="preserve">, employees‘ wages improved on average monthly nominally by 5.1 thousand CZK here (i.e. also the most among branches). However, the wage growth was subdued in other areas dominated by the public sector. It was 2.9% in public administration and social security, only 2.1% in education (the least of all main branches). The absolute increase of wage (+849 CZK) did not comprise even one third in comparison to the total economy. Moreover, education is the only sector that remains in a continuous decline of real wages for the third year in a row. Nominal earnings increased by 5.2% in arts, entertainment, and recreational activities, which are also partly affected by state activities, but the weaker growth is also due to a higher last year's base. The wage level lagged by one-sixth of the total economy level here in 2024 Q2. </w:t>
            </w:r>
            <w:bookmarkEnd w:id="8"/>
          </w:p>
        </w:tc>
      </w:tr>
      <w:tr w:rsidR="006233F9" w:rsidRPr="001A0A01" w14:paraId="6E71D566" w14:textId="77777777" w:rsidTr="003D1AE0">
        <w:trPr>
          <w:trHeight w:val="132"/>
        </w:trPr>
        <w:tc>
          <w:tcPr>
            <w:tcW w:w="1768" w:type="dxa"/>
            <w:shd w:val="clear" w:color="auto" w:fill="auto"/>
            <w:tcMar>
              <w:left w:w="0" w:type="dxa"/>
            </w:tcMar>
          </w:tcPr>
          <w:p w14:paraId="76DC9093" w14:textId="77777777" w:rsidR="006233F9" w:rsidRPr="001A0A01" w:rsidRDefault="006233F9" w:rsidP="006233F9">
            <w:pPr>
              <w:pStyle w:val="Marginlie"/>
              <w:rPr>
                <w:color w:val="0D0D0D" w:themeColor="text1" w:themeTint="F2"/>
                <w:spacing w:val="-4"/>
                <w:lang w:val="en-GB"/>
              </w:rPr>
            </w:pPr>
            <w:bookmarkStart w:id="9" w:name="_Hlk179053952"/>
            <w:r w:rsidRPr="001A0A01">
              <w:rPr>
                <w:color w:val="0D0D0D" w:themeColor="text1" w:themeTint="F2"/>
                <w:spacing w:val="-4"/>
                <w:lang w:val="en-GB"/>
              </w:rPr>
              <w:t xml:space="preserve">The continuing slightly above-average wage growth in both </w:t>
            </w:r>
            <w:r>
              <w:rPr>
                <w:color w:val="0D0D0D" w:themeColor="text1" w:themeTint="F2"/>
                <w:spacing w:val="-4"/>
                <w:lang w:val="en-GB"/>
              </w:rPr>
              <w:t>industry and construction was “redeemed”</w:t>
            </w:r>
            <w:r w:rsidRPr="001A0A01">
              <w:rPr>
                <w:color w:val="0D0D0D" w:themeColor="text1" w:themeTint="F2"/>
                <w:spacing w:val="-4"/>
                <w:lang w:val="en-GB"/>
              </w:rPr>
              <w:t xml:space="preserve"> by a reduction of employment. </w:t>
            </w:r>
            <w:bookmarkEnd w:id="9"/>
          </w:p>
        </w:tc>
        <w:tc>
          <w:tcPr>
            <w:tcW w:w="200" w:type="dxa"/>
            <w:shd w:val="clear" w:color="auto" w:fill="auto"/>
            <w:tcMar>
              <w:left w:w="0" w:type="dxa"/>
            </w:tcMar>
          </w:tcPr>
          <w:p w14:paraId="06A33E48"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3F9912C5" w14:textId="77777777" w:rsidR="006233F9" w:rsidRPr="001A0A01" w:rsidRDefault="006233F9" w:rsidP="006233F9">
            <w:pPr>
              <w:spacing w:after="200"/>
              <w:rPr>
                <w:color w:val="0D0D0D" w:themeColor="text1" w:themeTint="F2"/>
                <w:lang w:val="en-GB"/>
              </w:rPr>
            </w:pPr>
            <w:bookmarkStart w:id="10" w:name="_Hlk179053978"/>
            <w:r w:rsidRPr="001A0A01">
              <w:rPr>
                <w:color w:val="0D0D0D" w:themeColor="text1" w:themeTint="F2"/>
                <w:lang w:val="en-GB"/>
              </w:rPr>
              <w:t xml:space="preserve">Wages continued to grow at a slightly above-average rate in industry, by 7.5% in Q2. This is connected to both the reduction of the registered number of employees (−1.7%) and the fact that there are still few available workers on the market and the lack of labour force still represents a significant barrier in many industrial branches. The same applies to the construction industry. The manufacturing of motor vehicles (with an increase in earnings by 10.5% to 62.7 thousand CZK) together with the closest related branches contributed the most to the strengthening of wages in industry. The wage growth was below the average of total economy in branches going through recession (metalworking, building materials, engineering, mining and quarrying) and employment fell deeper here. Of the market branches, the wage increased the least in agriculture, forestry and fishing (+4.9%). </w:t>
            </w:r>
            <w:bookmarkEnd w:id="10"/>
          </w:p>
        </w:tc>
      </w:tr>
      <w:tr w:rsidR="006233F9" w:rsidRPr="001A0A01" w14:paraId="45C27EF9" w14:textId="77777777" w:rsidTr="003D1AE0">
        <w:trPr>
          <w:trHeight w:val="132"/>
        </w:trPr>
        <w:tc>
          <w:tcPr>
            <w:tcW w:w="1768" w:type="dxa"/>
            <w:shd w:val="clear" w:color="auto" w:fill="auto"/>
            <w:tcMar>
              <w:left w:w="0" w:type="dxa"/>
            </w:tcMar>
          </w:tcPr>
          <w:p w14:paraId="20148EFC" w14:textId="77777777" w:rsidR="006233F9" w:rsidRPr="001A0A01" w:rsidRDefault="006233F9" w:rsidP="006233F9">
            <w:pPr>
              <w:pStyle w:val="Marginlie"/>
              <w:rPr>
                <w:color w:val="0D0D0D" w:themeColor="text1" w:themeTint="F2"/>
                <w:spacing w:val="-4"/>
                <w:lang w:val="en-GB"/>
              </w:rPr>
            </w:pPr>
            <w:r w:rsidRPr="001A0A01">
              <w:rPr>
                <w:color w:val="0D0D0D" w:themeColor="text1" w:themeTint="F2"/>
                <w:spacing w:val="-4"/>
                <w:lang w:val="en-GB"/>
              </w:rPr>
              <w:t>Within market services, the total volume of wages paid grew relatively the most in accommodation, food service and restaurants.</w:t>
            </w:r>
          </w:p>
        </w:tc>
        <w:tc>
          <w:tcPr>
            <w:tcW w:w="200" w:type="dxa"/>
            <w:shd w:val="clear" w:color="auto" w:fill="auto"/>
            <w:tcMar>
              <w:left w:w="0" w:type="dxa"/>
            </w:tcMar>
          </w:tcPr>
          <w:p w14:paraId="4FBE26CC"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4CE3445D" w14:textId="77777777" w:rsidR="006233F9" w:rsidRPr="001A0A01" w:rsidRDefault="006233F9" w:rsidP="006233F9">
            <w:pPr>
              <w:spacing w:after="200"/>
              <w:rPr>
                <w:color w:val="0D0D0D" w:themeColor="text1" w:themeTint="F2"/>
                <w:lang w:val="en-GB"/>
              </w:rPr>
            </w:pPr>
            <w:bookmarkStart w:id="11" w:name="_Hlk179054917"/>
            <w:r w:rsidRPr="001A0A01">
              <w:rPr>
                <w:color w:val="0D0D0D" w:themeColor="text1" w:themeTint="F2"/>
                <w:lang w:val="en-GB"/>
              </w:rPr>
              <w:t xml:space="preserve">Within market services, the wages grew the most in transportation and storage (+7.3%), nevertheless their level (41.3 thousand CZK) was still one tenth lower than in the total economy. In addition, the number of employees was also declining here, as only in few of the services branches. This also applies to administrative and support service activities. Professional, scientific and technical activities, with employment and wages growing slightly at an above average pace prospered, as well as accommodation, food service and restaurants (wages: +6.8%, employees: +7.0%). The level of wages is traditionally the lowest here and does not reach even 60% of the total economy level. The situation was almost identical in the branches with the highest wage level (financial activities, information and communication) in Q2 – year-on-year stagnation of the number of employees, less than 6% wage growth and wage levels of just over 80 thousand CZK.  </w:t>
            </w:r>
            <w:bookmarkEnd w:id="11"/>
          </w:p>
        </w:tc>
      </w:tr>
      <w:tr w:rsidR="006233F9" w:rsidRPr="001A0A01" w14:paraId="4FF762F7" w14:textId="77777777" w:rsidTr="003D1AE0">
        <w:trPr>
          <w:trHeight w:val="132"/>
        </w:trPr>
        <w:tc>
          <w:tcPr>
            <w:tcW w:w="1768" w:type="dxa"/>
            <w:shd w:val="clear" w:color="auto" w:fill="auto"/>
            <w:tcMar>
              <w:left w:w="0" w:type="dxa"/>
            </w:tcMar>
          </w:tcPr>
          <w:p w14:paraId="518DF278" w14:textId="77777777" w:rsidR="006233F9" w:rsidRPr="001A0A01" w:rsidRDefault="006233F9" w:rsidP="006233F9">
            <w:pPr>
              <w:pStyle w:val="Marginlie"/>
              <w:rPr>
                <w:color w:val="0D0D0D" w:themeColor="text1" w:themeTint="F2"/>
                <w:spacing w:val="-4"/>
                <w:lang w:val="en-GB"/>
              </w:rPr>
            </w:pPr>
            <w:r w:rsidRPr="001A0A01">
              <w:rPr>
                <w:color w:val="0D0D0D" w:themeColor="text1" w:themeTint="F2"/>
                <w:spacing w:val="-4"/>
                <w:lang w:val="en-GB"/>
              </w:rPr>
              <w:t xml:space="preserve">Wage growth was relatively lower in Prague, however the employment grew more rapidly here. </w:t>
            </w:r>
          </w:p>
        </w:tc>
        <w:tc>
          <w:tcPr>
            <w:tcW w:w="200" w:type="dxa"/>
            <w:shd w:val="clear" w:color="auto" w:fill="auto"/>
            <w:tcMar>
              <w:left w:w="0" w:type="dxa"/>
            </w:tcMar>
          </w:tcPr>
          <w:p w14:paraId="4D9BC188"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6B5C535F" w14:textId="4A789EC8" w:rsidR="006233F9" w:rsidRPr="001A0A01" w:rsidRDefault="006233F9" w:rsidP="006233F9">
            <w:pPr>
              <w:spacing w:after="200"/>
              <w:rPr>
                <w:color w:val="0D0D0D" w:themeColor="text1" w:themeTint="F2"/>
                <w:lang w:val="en-GB"/>
              </w:rPr>
            </w:pPr>
            <w:bookmarkStart w:id="12" w:name="_Hlk179058282"/>
            <w:r w:rsidRPr="001A0A01">
              <w:rPr>
                <w:color w:val="0D0D0D" w:themeColor="text1" w:themeTint="F2"/>
                <w:lang w:val="en-GB"/>
              </w:rPr>
              <w:t>Wage growth in the regions ranged from 5.5% (</w:t>
            </w:r>
            <w:r w:rsidRPr="00C47052">
              <w:rPr>
                <w:i/>
                <w:color w:val="0D0D0D" w:themeColor="text1" w:themeTint="F2"/>
                <w:lang w:val="en-GB"/>
              </w:rPr>
              <w:t>Prague</w:t>
            </w:r>
            <w:r w:rsidRPr="001A0A01">
              <w:rPr>
                <w:color w:val="0D0D0D" w:themeColor="text1" w:themeTint="F2"/>
                <w:lang w:val="en-GB"/>
              </w:rPr>
              <w:t>) and 5.7% (</w:t>
            </w:r>
            <w:r w:rsidRPr="001A0A01">
              <w:rPr>
                <w:i/>
                <w:iCs/>
                <w:color w:val="0D0D0D" w:themeColor="text1" w:themeTint="F2"/>
                <w:lang w:val="en-GB"/>
              </w:rPr>
              <w:t>Vysočina</w:t>
            </w:r>
            <w:r w:rsidRPr="001A0A01">
              <w:rPr>
                <w:color w:val="0D0D0D" w:themeColor="text1" w:themeTint="F2"/>
                <w:lang w:val="en-GB"/>
              </w:rPr>
              <w:t>) to 8.1% (</w:t>
            </w:r>
            <w:r w:rsidRPr="001A0A01">
              <w:rPr>
                <w:i/>
                <w:iCs/>
                <w:color w:val="0D0D0D" w:themeColor="text1" w:themeTint="F2"/>
                <w:lang w:val="en-GB"/>
              </w:rPr>
              <w:t>Ústecký</w:t>
            </w:r>
            <w:r w:rsidRPr="001A0A01">
              <w:rPr>
                <w:color w:val="0D0D0D" w:themeColor="text1" w:themeTint="F2"/>
                <w:lang w:val="en-GB"/>
              </w:rPr>
              <w:t xml:space="preserve"> region) in Q2</w:t>
            </w:r>
            <w:r w:rsidR="00C47052">
              <w:rPr>
                <w:color w:val="0D0D0D" w:themeColor="text1" w:themeTint="F2"/>
                <w:lang w:val="en-GB"/>
              </w:rPr>
              <w:t xml:space="preserve"> 2024</w:t>
            </w:r>
            <w:r w:rsidRPr="001A0A01">
              <w:rPr>
                <w:color w:val="0D0D0D" w:themeColor="text1" w:themeTint="F2"/>
                <w:lang w:val="en-GB"/>
              </w:rPr>
              <w:t xml:space="preserve">. From the point of view of the average wage level, the range of regions has been unchanged for a long time – the average wage in Prague (56.1 thousand CZK) currently exceeds the wage in the </w:t>
            </w:r>
            <w:r w:rsidRPr="001A0A01">
              <w:rPr>
                <w:i/>
                <w:iCs/>
                <w:color w:val="0D0D0D" w:themeColor="text1" w:themeTint="F2"/>
                <w:lang w:val="en-GB"/>
              </w:rPr>
              <w:t>Karlovarský</w:t>
            </w:r>
            <w:r w:rsidRPr="001A0A01">
              <w:rPr>
                <w:color w:val="0D0D0D" w:themeColor="text1" w:themeTint="F2"/>
                <w:lang w:val="en-GB"/>
              </w:rPr>
              <w:t xml:space="preserve"> region (39.0 thousand) by 44%. The recovery of tourism likely has not assisted the </w:t>
            </w:r>
            <w:r w:rsidRPr="001A0A01">
              <w:rPr>
                <w:i/>
                <w:iCs/>
                <w:color w:val="0D0D0D" w:themeColor="text1" w:themeTint="F2"/>
                <w:lang w:val="en-GB"/>
              </w:rPr>
              <w:t>Karlovarský</w:t>
            </w:r>
            <w:r w:rsidRPr="001A0A01">
              <w:rPr>
                <w:color w:val="0D0D0D" w:themeColor="text1" w:themeTint="F2"/>
                <w:lang w:val="en-GB"/>
              </w:rPr>
              <w:t xml:space="preserve"> region much so far, the total wage increased by only 6.0%, year-on-year, here. On the contrary, the acceleration of the pace of earnings in the motor vehicle industry is partly reflected in the faster growth in Central Bohemia (+7.9%). </w:t>
            </w:r>
            <w:bookmarkEnd w:id="12"/>
          </w:p>
        </w:tc>
      </w:tr>
      <w:tr w:rsidR="00922D58" w:rsidRPr="001A0A01" w14:paraId="3F36C48F" w14:textId="77777777" w:rsidTr="003D1AE0">
        <w:trPr>
          <w:trHeight w:val="132"/>
        </w:trPr>
        <w:tc>
          <w:tcPr>
            <w:tcW w:w="1768" w:type="dxa"/>
            <w:shd w:val="clear" w:color="auto" w:fill="auto"/>
            <w:tcMar>
              <w:left w:w="0" w:type="dxa"/>
            </w:tcMar>
          </w:tcPr>
          <w:p w14:paraId="0DD60A7B" w14:textId="398B733D" w:rsidR="00922D58" w:rsidRPr="001A0A01" w:rsidRDefault="00922D58" w:rsidP="00922D58">
            <w:pPr>
              <w:pStyle w:val="Marginlie"/>
              <w:rPr>
                <w:color w:val="0D0D0D" w:themeColor="text1" w:themeTint="F2"/>
                <w:spacing w:val="-4"/>
                <w:lang w:val="en-GB"/>
              </w:rPr>
            </w:pPr>
            <w:r w:rsidRPr="001A0A01">
              <w:rPr>
                <w:color w:val="0D0D0D" w:themeColor="text1" w:themeTint="F2"/>
                <w:spacing w:val="-4"/>
                <w:lang w:val="en-GB"/>
              </w:rPr>
              <w:t>Nominal growth of the median wage remained below 6% this year. It continued to increase at a slig</w:t>
            </w:r>
            <w:r w:rsidR="00C47052">
              <w:rPr>
                <w:color w:val="0D0D0D" w:themeColor="text1" w:themeTint="F2"/>
                <w:spacing w:val="-4"/>
                <w:lang w:val="en-GB"/>
              </w:rPr>
              <w:t>htly higher rate for females.</w:t>
            </w:r>
          </w:p>
        </w:tc>
        <w:tc>
          <w:tcPr>
            <w:tcW w:w="200" w:type="dxa"/>
            <w:shd w:val="clear" w:color="auto" w:fill="auto"/>
            <w:tcMar>
              <w:left w:w="0" w:type="dxa"/>
            </w:tcMar>
          </w:tcPr>
          <w:p w14:paraId="675CD444" w14:textId="77777777" w:rsidR="00922D58" w:rsidRPr="001A0A01" w:rsidRDefault="00922D58" w:rsidP="00922D58">
            <w:pPr>
              <w:pStyle w:val="Textpoznpodarou"/>
              <w:jc w:val="both"/>
              <w:rPr>
                <w:color w:val="0D0D0D" w:themeColor="text1" w:themeTint="F2"/>
                <w:spacing w:val="-4"/>
                <w:lang w:val="en-GB"/>
              </w:rPr>
            </w:pPr>
          </w:p>
        </w:tc>
        <w:tc>
          <w:tcPr>
            <w:tcW w:w="7706" w:type="dxa"/>
            <w:shd w:val="clear" w:color="auto" w:fill="auto"/>
            <w:tcMar>
              <w:left w:w="0" w:type="dxa"/>
            </w:tcMar>
          </w:tcPr>
          <w:p w14:paraId="6F482EC2" w14:textId="4BC10644" w:rsidR="00922D58" w:rsidRPr="001A0A01" w:rsidRDefault="00922D58" w:rsidP="00922D58">
            <w:pPr>
              <w:spacing w:after="200"/>
              <w:rPr>
                <w:color w:val="0D0D0D" w:themeColor="text1" w:themeTint="F2"/>
                <w:lang w:val="en-GB"/>
              </w:rPr>
            </w:pPr>
            <w:r w:rsidRPr="001A0A01">
              <w:rPr>
                <w:color w:val="0D0D0D" w:themeColor="text1" w:themeTint="F2"/>
                <w:spacing w:val="-4"/>
                <w:lang w:val="en-GB"/>
              </w:rPr>
              <w:t xml:space="preserve">The wage median increased by 5.8% in Q2 (to 38.5 thousand CZK per month). It grew at a slightly higher rate for females as for most of the last year (also due to the situation in health and social care or in tourism). The gap of the earnings middle value between genders thus decreased by 0.4 p. p., year-on-year, nevertheless still to a significant 14.4% (however, </w:t>
            </w:r>
            <w:r>
              <w:rPr>
                <w:color w:val="0D0D0D" w:themeColor="text1" w:themeTint="F2"/>
                <w:spacing w:val="-4"/>
                <w:lang w:val="en-GB"/>
              </w:rPr>
              <w:t>females earned “only”</w:t>
            </w:r>
            <w:r w:rsidRPr="001A0A01">
              <w:rPr>
                <w:color w:val="0D0D0D" w:themeColor="text1" w:themeTint="F2"/>
                <w:spacing w:val="-4"/>
                <w:lang w:val="en-GB"/>
              </w:rPr>
              <w:t xml:space="preserve"> 6.5% less than males – in the lowest decile - in case of low-earning workers). The wage distribution in the economy in total widened slightly (the opposite was true in Q1 2024). Since the upper wage decile increased by 8.9%, year-on-year, in Q2, but the lower decile only by 6.2%. This is also related to the fact that the median earnings grew the least to workers in agriculture, forestry and fishing (+4.4%) and also to unskilled and support workers (+4.8%) for the whole H1. Median earnings grew the most to the office workers (+6.7%). In this category, workers in the business sphere are significantly predominant in the long-term (especially in trade, transport and storage).   </w:t>
            </w:r>
          </w:p>
        </w:tc>
      </w:tr>
      <w:tr w:rsidR="00922D58" w:rsidRPr="001A0A01" w14:paraId="2DCF3EB0" w14:textId="77777777" w:rsidTr="003D1AE0">
        <w:trPr>
          <w:trHeight w:val="132"/>
        </w:trPr>
        <w:tc>
          <w:tcPr>
            <w:tcW w:w="1768" w:type="dxa"/>
            <w:shd w:val="clear" w:color="auto" w:fill="auto"/>
            <w:tcMar>
              <w:left w:w="0" w:type="dxa"/>
            </w:tcMar>
          </w:tcPr>
          <w:p w14:paraId="609C7685" w14:textId="77777777" w:rsidR="00922D58" w:rsidRPr="001A0A01" w:rsidRDefault="00922D58" w:rsidP="00922D58">
            <w:pPr>
              <w:pStyle w:val="Marginlie"/>
              <w:rPr>
                <w:spacing w:val="-4"/>
                <w:lang w:val="en-GB"/>
              </w:rPr>
            </w:pPr>
          </w:p>
        </w:tc>
        <w:tc>
          <w:tcPr>
            <w:tcW w:w="200" w:type="dxa"/>
            <w:shd w:val="clear" w:color="auto" w:fill="auto"/>
            <w:tcMar>
              <w:left w:w="0" w:type="dxa"/>
            </w:tcMar>
          </w:tcPr>
          <w:p w14:paraId="6D7BAF85" w14:textId="77777777" w:rsidR="00922D58" w:rsidRPr="001A0A01" w:rsidRDefault="00922D58" w:rsidP="00922D58">
            <w:pPr>
              <w:pStyle w:val="Textpoznpodarou"/>
              <w:jc w:val="both"/>
              <w:rPr>
                <w:spacing w:val="-4"/>
                <w:lang w:val="en-GB"/>
              </w:rPr>
            </w:pPr>
          </w:p>
        </w:tc>
        <w:tc>
          <w:tcPr>
            <w:tcW w:w="7706" w:type="dxa"/>
            <w:shd w:val="clear" w:color="auto" w:fill="auto"/>
            <w:tcMar>
              <w:left w:w="0" w:type="dxa"/>
            </w:tcMar>
          </w:tcPr>
          <w:p w14:paraId="3D096E0A" w14:textId="02B107CC" w:rsidR="00922D58" w:rsidRPr="001A0A01" w:rsidRDefault="00922D58" w:rsidP="00922D58">
            <w:pPr>
              <w:spacing w:after="0"/>
              <w:rPr>
                <w:b/>
                <w:spacing w:val="-2"/>
                <w:lang w:val="en-GB"/>
              </w:rPr>
            </w:pPr>
            <w:r w:rsidRPr="001A0A01">
              <w:rPr>
                <w:rFonts w:cs="Arial"/>
                <w:b/>
                <w:color w:val="0D0D0D" w:themeColor="text1" w:themeTint="F2"/>
                <w:spacing w:val="-4"/>
                <w:szCs w:val="20"/>
                <w:lang w:val="en-GB"/>
              </w:rPr>
              <w:t xml:space="preserve">Chart 15 Average nominal and real wage and wage median </w:t>
            </w:r>
            <w:r>
              <w:rPr>
                <w:spacing w:val="-2"/>
                <w:lang w:val="en-GB"/>
              </w:rPr>
              <w:t>(year-on-year</w:t>
            </w:r>
            <w:r w:rsidRPr="001A0A01">
              <w:rPr>
                <w:spacing w:val="-2"/>
                <w:lang w:val="en-GB"/>
              </w:rPr>
              <w:t xml:space="preserve"> in %)</w:t>
            </w:r>
          </w:p>
        </w:tc>
      </w:tr>
      <w:tr w:rsidR="00922D58" w:rsidRPr="001A0A01" w14:paraId="267183D3" w14:textId="77777777" w:rsidTr="003D1AE0">
        <w:tblPrEx>
          <w:tblCellMar>
            <w:left w:w="70" w:type="dxa"/>
            <w:right w:w="70" w:type="dxa"/>
          </w:tblCellMar>
        </w:tblPrEx>
        <w:trPr>
          <w:trHeight w:val="132"/>
        </w:trPr>
        <w:tc>
          <w:tcPr>
            <w:tcW w:w="1768" w:type="dxa"/>
            <w:shd w:val="clear" w:color="auto" w:fill="auto"/>
          </w:tcPr>
          <w:p w14:paraId="02A4C39A" w14:textId="77777777" w:rsidR="00922D58" w:rsidRPr="001A0A01" w:rsidRDefault="00922D58" w:rsidP="00922D58">
            <w:pPr>
              <w:pStyle w:val="Marginlie"/>
              <w:rPr>
                <w:spacing w:val="-4"/>
                <w:lang w:val="en-GB"/>
              </w:rPr>
            </w:pPr>
          </w:p>
        </w:tc>
        <w:tc>
          <w:tcPr>
            <w:tcW w:w="200" w:type="dxa"/>
            <w:shd w:val="clear" w:color="auto" w:fill="auto"/>
          </w:tcPr>
          <w:p w14:paraId="05F0A060" w14:textId="77777777" w:rsidR="00922D58" w:rsidRPr="001A0A01" w:rsidRDefault="00922D58" w:rsidP="00922D58">
            <w:pPr>
              <w:pStyle w:val="Textpoznpodarou"/>
              <w:jc w:val="both"/>
              <w:rPr>
                <w:spacing w:val="-4"/>
                <w:lang w:val="en-GB"/>
              </w:rPr>
            </w:pPr>
          </w:p>
        </w:tc>
        <w:tc>
          <w:tcPr>
            <w:tcW w:w="7706" w:type="dxa"/>
            <w:shd w:val="clear" w:color="auto" w:fill="auto"/>
          </w:tcPr>
          <w:p w14:paraId="7B45238B" w14:textId="4DED6344" w:rsidR="00922D58" w:rsidRPr="001A0A01" w:rsidRDefault="00922D58" w:rsidP="00922D58">
            <w:pPr>
              <w:spacing w:before="40" w:after="0" w:line="240" w:lineRule="auto"/>
              <w:rPr>
                <w:rFonts w:cs="Arial"/>
                <w:color w:val="0D0D0D" w:themeColor="text1" w:themeTint="F2"/>
                <w:spacing w:val="-4"/>
                <w:sz w:val="14"/>
                <w:szCs w:val="14"/>
                <w:lang w:val="en-GB"/>
              </w:rPr>
            </w:pPr>
            <w:r>
              <w:rPr>
                <w:noProof/>
              </w:rPr>
              <w:drawing>
                <wp:inline distT="0" distB="0" distL="0" distR="0" wp14:anchorId="27060B82" wp14:editId="69148579">
                  <wp:extent cx="4770783" cy="3752850"/>
                  <wp:effectExtent l="0" t="0" r="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22D58" w:rsidRPr="001A0A01" w14:paraId="4935ED1A" w14:textId="77777777" w:rsidTr="003D1AE0">
        <w:trPr>
          <w:trHeight w:val="132"/>
        </w:trPr>
        <w:tc>
          <w:tcPr>
            <w:tcW w:w="1768" w:type="dxa"/>
            <w:shd w:val="clear" w:color="auto" w:fill="auto"/>
            <w:tcMar>
              <w:left w:w="0" w:type="dxa"/>
            </w:tcMar>
          </w:tcPr>
          <w:p w14:paraId="6BDAF56A" w14:textId="77777777" w:rsidR="00922D58" w:rsidRPr="001A0A01" w:rsidRDefault="00922D58" w:rsidP="00922D58">
            <w:pPr>
              <w:pStyle w:val="Marginlie"/>
              <w:rPr>
                <w:spacing w:val="-4"/>
                <w:lang w:val="en-GB"/>
              </w:rPr>
            </w:pPr>
          </w:p>
        </w:tc>
        <w:tc>
          <w:tcPr>
            <w:tcW w:w="200" w:type="dxa"/>
            <w:shd w:val="clear" w:color="auto" w:fill="auto"/>
            <w:tcMar>
              <w:left w:w="0" w:type="dxa"/>
            </w:tcMar>
          </w:tcPr>
          <w:p w14:paraId="4A05D373" w14:textId="77777777" w:rsidR="00922D58" w:rsidRPr="001A0A01" w:rsidRDefault="00922D58" w:rsidP="00922D58">
            <w:pPr>
              <w:pStyle w:val="Textpoznpodarou"/>
              <w:jc w:val="both"/>
              <w:rPr>
                <w:spacing w:val="-4"/>
                <w:lang w:val="en-GB"/>
              </w:rPr>
            </w:pPr>
          </w:p>
        </w:tc>
        <w:tc>
          <w:tcPr>
            <w:tcW w:w="7706" w:type="dxa"/>
            <w:shd w:val="clear" w:color="auto" w:fill="auto"/>
            <w:tcMar>
              <w:left w:w="0" w:type="dxa"/>
            </w:tcMar>
          </w:tcPr>
          <w:p w14:paraId="5C8DCB00" w14:textId="77777777" w:rsidR="00922D58" w:rsidRPr="001A0A01" w:rsidRDefault="00922D58" w:rsidP="00922D58">
            <w:pPr>
              <w:spacing w:after="0" w:line="240" w:lineRule="auto"/>
              <w:rPr>
                <w:rFonts w:cs="Arial"/>
                <w:color w:val="0D0D0D" w:themeColor="text1" w:themeTint="F2"/>
                <w:spacing w:val="-4"/>
                <w:sz w:val="14"/>
                <w:szCs w:val="14"/>
                <w:lang w:val="en-GB"/>
              </w:rPr>
            </w:pPr>
            <w:r w:rsidRPr="001A0A01">
              <w:rPr>
                <w:bCs/>
                <w:sz w:val="14"/>
                <w:szCs w:val="14"/>
                <w:lang w:val="en-GB"/>
              </w:rPr>
              <w:t>*</w:t>
            </w:r>
            <w:r w:rsidRPr="001A0A01">
              <w:rPr>
                <w:rFonts w:cs="Arial"/>
                <w:spacing w:val="-3"/>
                <w:sz w:val="14"/>
                <w:szCs w:val="14"/>
                <w:lang w:val="en-GB"/>
              </w:rPr>
              <w:t xml:space="preserve"> Includes branches with a significant state involvement: Public administration, defence, social security; Education; Human health and social work activities; Arts, entertainment and recreational activities.</w:t>
            </w:r>
          </w:p>
          <w:p w14:paraId="332262D2" w14:textId="1B6237D7" w:rsidR="00922D58" w:rsidRPr="00922D58" w:rsidRDefault="00922D58" w:rsidP="00922D58">
            <w:pPr>
              <w:spacing w:after="200" w:line="240" w:lineRule="auto"/>
              <w:rPr>
                <w:rFonts w:cs="Arial"/>
                <w:color w:val="0D0D0D" w:themeColor="text1" w:themeTint="F2"/>
                <w:spacing w:val="-4"/>
                <w:sz w:val="14"/>
                <w:szCs w:val="14"/>
                <w:lang w:val="en-GB"/>
              </w:rPr>
            </w:pPr>
            <w:r>
              <w:rPr>
                <w:rFonts w:cs="Arial"/>
                <w:color w:val="0D0D0D" w:themeColor="text1" w:themeTint="F2"/>
                <w:spacing w:val="-4"/>
                <w:sz w:val="14"/>
                <w:szCs w:val="14"/>
                <w:lang w:val="en-GB"/>
              </w:rPr>
              <w:t>Source: CZSO</w:t>
            </w:r>
          </w:p>
        </w:tc>
      </w:tr>
      <w:tr w:rsidR="00922D58" w:rsidRPr="001A0A01" w14:paraId="4B60C88D" w14:textId="77777777" w:rsidTr="003D1AE0">
        <w:trPr>
          <w:trHeight w:val="132"/>
        </w:trPr>
        <w:tc>
          <w:tcPr>
            <w:tcW w:w="1768" w:type="dxa"/>
            <w:shd w:val="clear" w:color="auto" w:fill="auto"/>
            <w:tcMar>
              <w:left w:w="0" w:type="dxa"/>
            </w:tcMar>
          </w:tcPr>
          <w:p w14:paraId="4A4F3157" w14:textId="669AF9B6" w:rsidR="00922D58" w:rsidRPr="002C544F" w:rsidRDefault="002C544F" w:rsidP="00922D58">
            <w:pPr>
              <w:pStyle w:val="Marginlie"/>
              <w:rPr>
                <w:spacing w:val="-6"/>
                <w:lang w:val="en-GB"/>
              </w:rPr>
            </w:pPr>
            <w:bookmarkStart w:id="13" w:name="_Hlk179066767"/>
            <w:r w:rsidRPr="002C544F">
              <w:rPr>
                <w:color w:val="0D0D0D" w:themeColor="text1" w:themeTint="F2"/>
                <w:spacing w:val="-6"/>
                <w:lang w:val="en-GB"/>
              </w:rPr>
              <w:t>The level</w:t>
            </w:r>
            <w:r w:rsidR="00922D58" w:rsidRPr="002C544F">
              <w:rPr>
                <w:color w:val="0D0D0D" w:themeColor="text1" w:themeTint="F2"/>
                <w:spacing w:val="-6"/>
                <w:lang w:val="en-GB"/>
              </w:rPr>
              <w:t xml:space="preserve"> of wages for most of the main groups of fore</w:t>
            </w:r>
            <w:r w:rsidRPr="002C544F">
              <w:rPr>
                <w:color w:val="0D0D0D" w:themeColor="text1" w:themeTint="F2"/>
                <w:spacing w:val="-6"/>
                <w:lang w:val="en-GB"/>
              </w:rPr>
              <w:t>igners in the Czech Republic is</w:t>
            </w:r>
            <w:r w:rsidR="00922D58" w:rsidRPr="002C544F">
              <w:rPr>
                <w:color w:val="0D0D0D" w:themeColor="text1" w:themeTint="F2"/>
                <w:spacing w:val="-6"/>
                <w:lang w:val="en-GB"/>
              </w:rPr>
              <w:t xml:space="preserve"> b</w:t>
            </w:r>
            <w:r w:rsidRPr="002C544F">
              <w:rPr>
                <w:color w:val="0D0D0D" w:themeColor="text1" w:themeTint="F2"/>
                <w:spacing w:val="-6"/>
                <w:lang w:val="en-GB"/>
              </w:rPr>
              <w:t>elow average in the long-term. N</w:t>
            </w:r>
            <w:r w:rsidR="00922D58" w:rsidRPr="002C544F">
              <w:rPr>
                <w:color w:val="0D0D0D" w:themeColor="text1" w:themeTint="F2"/>
                <w:spacing w:val="-6"/>
                <w:lang w:val="en-GB"/>
              </w:rPr>
              <w:t xml:space="preserve">evertheless in percentage terms it grew more rapidly than in the case of domestic citizens this year. </w:t>
            </w:r>
            <w:bookmarkEnd w:id="13"/>
          </w:p>
        </w:tc>
        <w:tc>
          <w:tcPr>
            <w:tcW w:w="200" w:type="dxa"/>
            <w:shd w:val="clear" w:color="auto" w:fill="auto"/>
            <w:tcMar>
              <w:left w:w="0" w:type="dxa"/>
            </w:tcMar>
          </w:tcPr>
          <w:p w14:paraId="5B24A97A" w14:textId="77777777" w:rsidR="00922D58" w:rsidRPr="001A0A01" w:rsidRDefault="00922D58" w:rsidP="00922D58">
            <w:pPr>
              <w:pStyle w:val="Textpoznpodarou"/>
              <w:jc w:val="both"/>
              <w:rPr>
                <w:spacing w:val="-4"/>
                <w:lang w:val="en-GB"/>
              </w:rPr>
            </w:pPr>
          </w:p>
        </w:tc>
        <w:tc>
          <w:tcPr>
            <w:tcW w:w="7706" w:type="dxa"/>
            <w:shd w:val="clear" w:color="auto" w:fill="auto"/>
            <w:tcMar>
              <w:left w:w="0" w:type="dxa"/>
            </w:tcMar>
          </w:tcPr>
          <w:p w14:paraId="2886831D" w14:textId="77777777" w:rsidR="00922D58" w:rsidRPr="001A0A01" w:rsidRDefault="00922D58" w:rsidP="00922D58">
            <w:pPr>
              <w:spacing w:after="0"/>
              <w:rPr>
                <w:rFonts w:cs="Arial"/>
                <w:color w:val="0D0D0D" w:themeColor="text1" w:themeTint="F2"/>
                <w:spacing w:val="-4"/>
                <w:sz w:val="14"/>
                <w:szCs w:val="14"/>
                <w:lang w:val="en-GB"/>
              </w:rPr>
            </w:pPr>
            <w:bookmarkStart w:id="14" w:name="_Hlk179066798"/>
            <w:r w:rsidRPr="001A0A01">
              <w:rPr>
                <w:color w:val="0D0D0D" w:themeColor="text1" w:themeTint="F2"/>
                <w:spacing w:val="-4"/>
                <w:lang w:val="en-GB"/>
              </w:rPr>
              <w:t xml:space="preserve">Data from the Information system on average earnings of the MLSA confirm the continuing trend of increasing participation of foreigners on the domestic labour market. The number of employed Ukrainians in the sample increased by 12.5%, year-on-year, in H1, nevertheless their median wage was only 31.3 thousand CZK (22% lower than that of Czech citizens). Other significant groups of foreigners with employment status also traditionally attained a below-average level of earnings (except for Slovakians with 46.0 thousand CZK), nevertheless their wages grew relatively faster than those of domestic citizens (Ukrainians +7%, Poles, Romanians, Bulgarians – around 10%). </w:t>
            </w:r>
            <w:bookmarkEnd w:id="14"/>
          </w:p>
        </w:tc>
      </w:tr>
      <w:bookmarkEnd w:id="1"/>
    </w:tbl>
    <w:p w14:paraId="5AFA9AF8" w14:textId="77777777" w:rsidR="00E551F6" w:rsidRPr="001A0A01" w:rsidRDefault="00E551F6" w:rsidP="00E551F6">
      <w:pPr>
        <w:spacing w:after="0" w:line="240" w:lineRule="auto"/>
        <w:jc w:val="left"/>
        <w:rPr>
          <w:sz w:val="2"/>
          <w:szCs w:val="2"/>
          <w:lang w:val="en-GB"/>
        </w:rPr>
      </w:pPr>
    </w:p>
    <w:p w14:paraId="5B17FC73" w14:textId="74006EB7" w:rsidR="00E551F6" w:rsidRPr="001A0A01" w:rsidRDefault="00E551F6" w:rsidP="00E551F6">
      <w:pPr>
        <w:spacing w:after="0" w:line="240" w:lineRule="auto"/>
        <w:jc w:val="left"/>
        <w:rPr>
          <w:rFonts w:eastAsia="MS Gothic"/>
          <w:b/>
          <w:bCs/>
          <w:color w:val="86BF5E"/>
          <w:sz w:val="32"/>
          <w:szCs w:val="28"/>
          <w:lang w:val="en-GB"/>
        </w:rPr>
      </w:pPr>
    </w:p>
    <w:sectPr w:rsidR="00E551F6" w:rsidRPr="001A0A01" w:rsidSect="006F5416">
      <w:headerReference w:type="even" r:id="rId14"/>
      <w:headerReference w:type="default" r:id="rId15"/>
      <w:footerReference w:type="even" r:id="rId16"/>
      <w:footerReference w:type="default" r:id="rId17"/>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A833E" w14:textId="77777777" w:rsidR="004108A7" w:rsidRDefault="004108A7" w:rsidP="00E71A58">
      <w:r>
        <w:separator/>
      </w:r>
    </w:p>
  </w:endnote>
  <w:endnote w:type="continuationSeparator" w:id="0">
    <w:p w14:paraId="735A371F" w14:textId="77777777" w:rsidR="004108A7" w:rsidRDefault="004108A7" w:rsidP="00E71A58">
      <w:r>
        <w:continuationSeparator/>
      </w:r>
    </w:p>
  </w:endnote>
  <w:endnote w:type="continuationNotice" w:id="1">
    <w:p w14:paraId="4516BFBC" w14:textId="77777777" w:rsidR="004108A7" w:rsidRDefault="004108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7ADA2221"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3C142A">
      <w:rPr>
        <w:szCs w:val="16"/>
      </w:rPr>
      <w:t>6</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0C78F426"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4108A7">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7606D" w14:textId="77777777" w:rsidR="004108A7" w:rsidRDefault="004108A7" w:rsidP="00EA4302">
      <w:pPr>
        <w:spacing w:after="0"/>
      </w:pPr>
      <w:r>
        <w:separator/>
      </w:r>
    </w:p>
  </w:footnote>
  <w:footnote w:type="continuationSeparator" w:id="0">
    <w:p w14:paraId="05274C88" w14:textId="77777777" w:rsidR="004108A7" w:rsidRDefault="004108A7" w:rsidP="00E71A58">
      <w:r>
        <w:continuationSeparator/>
      </w:r>
    </w:p>
  </w:footnote>
  <w:footnote w:type="continuationNotice" w:id="1">
    <w:p w14:paraId="216C87EC" w14:textId="77777777" w:rsidR="004108A7" w:rsidRDefault="004108A7">
      <w:pPr>
        <w:spacing w:after="0" w:line="240" w:lineRule="auto"/>
      </w:pPr>
    </w:p>
  </w:footnote>
  <w:footnote w:id="2">
    <w:p w14:paraId="3B83A458" w14:textId="77777777" w:rsidR="00165465" w:rsidRPr="00B333D0" w:rsidRDefault="00165465" w:rsidP="006233F9">
      <w:pPr>
        <w:pStyle w:val="Textpoznpodarou"/>
        <w:jc w:val="both"/>
        <w:rPr>
          <w:color w:val="0D0D0D" w:themeColor="text1" w:themeTint="F2"/>
          <w:spacing w:val="-2"/>
          <w:sz w:val="16"/>
          <w:szCs w:val="16"/>
          <w:lang w:val="en-GB"/>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w:t>
      </w:r>
      <w:r w:rsidRPr="006159F5">
        <w:rPr>
          <w:color w:val="0D0D0D" w:themeColor="text1" w:themeTint="F2"/>
          <w:spacing w:val="-2"/>
          <w:sz w:val="16"/>
          <w:szCs w:val="16"/>
        </w:rPr>
        <w:t>Data regarding employment stem from the national accounts’ conception. They are expressed in physical persons and adjusted for seasonal effects. Unlike the data from the business statistics or the labour force sample survey (LFSS) also include for instance the estimation of the grey economy impact.</w:t>
      </w:r>
      <w:r>
        <w:rPr>
          <w:color w:val="0D0D0D" w:themeColor="text1" w:themeTint="F2"/>
          <w:spacing w:val="-2"/>
          <w:sz w:val="16"/>
          <w:szCs w:val="16"/>
        </w:rPr>
        <w:t xml:space="preserve"> </w:t>
      </w:r>
    </w:p>
  </w:footnote>
  <w:footnote w:id="3">
    <w:p w14:paraId="44449EB5" w14:textId="18374F58" w:rsidR="00165465" w:rsidRPr="00B333D0" w:rsidRDefault="00165465" w:rsidP="006233F9">
      <w:pPr>
        <w:spacing w:after="0" w:line="240" w:lineRule="auto"/>
        <w:rPr>
          <w:spacing w:val="-3"/>
          <w:sz w:val="16"/>
          <w:szCs w:val="16"/>
          <w:lang w:val="en-GB"/>
        </w:rPr>
      </w:pPr>
      <w:r w:rsidRPr="00B333D0">
        <w:rPr>
          <w:rStyle w:val="Znakapoznpodarou"/>
          <w:spacing w:val="-3"/>
          <w:sz w:val="16"/>
          <w:szCs w:val="16"/>
          <w:lang w:val="en-GB"/>
        </w:rPr>
        <w:footnoteRef/>
      </w:r>
      <w:r w:rsidRPr="00B333D0">
        <w:rPr>
          <w:spacing w:val="-3"/>
          <w:sz w:val="16"/>
          <w:szCs w:val="16"/>
          <w:lang w:val="en-GB"/>
        </w:rPr>
        <w:t xml:space="preserve"> </w:t>
      </w:r>
      <w:r w:rsidRPr="005748A2">
        <w:rPr>
          <w:spacing w:val="-3"/>
          <w:sz w:val="16"/>
          <w:szCs w:val="16"/>
          <w:lang w:val="en-GB"/>
        </w:rPr>
        <w:t xml:space="preserve">Employment in the Czech Republic has been growing more slowly than in the EU </w:t>
      </w:r>
      <w:r>
        <w:rPr>
          <w:spacing w:val="-3"/>
          <w:sz w:val="16"/>
          <w:szCs w:val="16"/>
          <w:lang w:val="en-GB"/>
        </w:rPr>
        <w:t>in the long-term</w:t>
      </w:r>
      <w:r w:rsidRPr="005748A2">
        <w:rPr>
          <w:spacing w:val="-3"/>
          <w:sz w:val="16"/>
          <w:szCs w:val="16"/>
          <w:lang w:val="en-GB"/>
        </w:rPr>
        <w:t xml:space="preserve">. </w:t>
      </w:r>
      <w:r>
        <w:rPr>
          <w:spacing w:val="-3"/>
          <w:sz w:val="16"/>
          <w:szCs w:val="16"/>
          <w:lang w:val="en-GB"/>
        </w:rPr>
        <w:t>T</w:t>
      </w:r>
      <w:r w:rsidR="0019301D">
        <w:rPr>
          <w:spacing w:val="-3"/>
          <w:sz w:val="16"/>
          <w:szCs w:val="16"/>
          <w:lang w:val="en-GB"/>
        </w:rPr>
        <w:t>he number of working persons</w:t>
      </w:r>
      <w:r w:rsidRPr="005748A2">
        <w:rPr>
          <w:spacing w:val="-3"/>
          <w:sz w:val="16"/>
          <w:szCs w:val="16"/>
          <w:lang w:val="en-GB"/>
        </w:rPr>
        <w:t xml:space="preserve"> increased by 1.0%</w:t>
      </w:r>
      <w:r>
        <w:rPr>
          <w:spacing w:val="-3"/>
          <w:sz w:val="16"/>
          <w:szCs w:val="16"/>
          <w:lang w:val="en-GB"/>
        </w:rPr>
        <w:t>,</w:t>
      </w:r>
      <w:r w:rsidRPr="005748A2">
        <w:rPr>
          <w:spacing w:val="-3"/>
          <w:sz w:val="16"/>
          <w:szCs w:val="16"/>
          <w:lang w:val="en-GB"/>
        </w:rPr>
        <w:t xml:space="preserve"> year-on-year</w:t>
      </w:r>
      <w:r>
        <w:rPr>
          <w:spacing w:val="-3"/>
          <w:sz w:val="16"/>
          <w:szCs w:val="16"/>
          <w:lang w:val="en-GB"/>
        </w:rPr>
        <w:t>,</w:t>
      </w:r>
      <w:r w:rsidRPr="005748A2">
        <w:rPr>
          <w:spacing w:val="-3"/>
          <w:sz w:val="16"/>
          <w:szCs w:val="16"/>
          <w:lang w:val="en-GB"/>
        </w:rPr>
        <w:t xml:space="preserve"> </w:t>
      </w:r>
      <w:r>
        <w:rPr>
          <w:spacing w:val="-3"/>
          <w:sz w:val="16"/>
          <w:szCs w:val="16"/>
          <w:lang w:val="en-GB"/>
        </w:rPr>
        <w:t xml:space="preserve">in the whole Union </w:t>
      </w:r>
      <w:r w:rsidRPr="005748A2">
        <w:rPr>
          <w:spacing w:val="-3"/>
          <w:sz w:val="16"/>
          <w:szCs w:val="16"/>
          <w:lang w:val="en-GB"/>
        </w:rPr>
        <w:t xml:space="preserve">in Q2 2024 (similarly to the domestic </w:t>
      </w:r>
      <w:r>
        <w:rPr>
          <w:spacing w:val="-3"/>
          <w:sz w:val="16"/>
          <w:szCs w:val="16"/>
          <w:lang w:val="en-GB"/>
        </w:rPr>
        <w:t>pace</w:t>
      </w:r>
      <w:r w:rsidRPr="005748A2">
        <w:rPr>
          <w:spacing w:val="-3"/>
          <w:sz w:val="16"/>
          <w:szCs w:val="16"/>
          <w:lang w:val="en-GB"/>
        </w:rPr>
        <w:t xml:space="preserve">, this was one of the lowest rates since </w:t>
      </w:r>
      <w:r>
        <w:rPr>
          <w:spacing w:val="-3"/>
          <w:sz w:val="16"/>
          <w:szCs w:val="16"/>
          <w:lang w:val="en-GB"/>
        </w:rPr>
        <w:t>S</w:t>
      </w:r>
      <w:r w:rsidRPr="005748A2">
        <w:rPr>
          <w:spacing w:val="-3"/>
          <w:sz w:val="16"/>
          <w:szCs w:val="16"/>
          <w:lang w:val="en-GB"/>
        </w:rPr>
        <w:t xml:space="preserve">pring 2021). </w:t>
      </w:r>
      <w:r>
        <w:rPr>
          <w:spacing w:val="-3"/>
          <w:sz w:val="16"/>
          <w:szCs w:val="16"/>
          <w:lang w:val="en-GB"/>
        </w:rPr>
        <w:t>T</w:t>
      </w:r>
      <w:r w:rsidR="0019301D">
        <w:rPr>
          <w:spacing w:val="-3"/>
          <w:sz w:val="16"/>
          <w:szCs w:val="16"/>
          <w:lang w:val="en-GB"/>
        </w:rPr>
        <w:t>he key role in</w:t>
      </w:r>
      <w:r>
        <w:rPr>
          <w:spacing w:val="-3"/>
          <w:sz w:val="16"/>
          <w:szCs w:val="16"/>
          <w:lang w:val="en-GB"/>
        </w:rPr>
        <w:t xml:space="preserve"> employment growth </w:t>
      </w:r>
      <w:r w:rsidR="0019301D">
        <w:rPr>
          <w:spacing w:val="-3"/>
          <w:sz w:val="16"/>
          <w:szCs w:val="16"/>
          <w:lang w:val="en-GB"/>
        </w:rPr>
        <w:t>played</w:t>
      </w:r>
      <w:r w:rsidRPr="005748A2">
        <w:rPr>
          <w:spacing w:val="-3"/>
          <w:sz w:val="16"/>
          <w:szCs w:val="16"/>
          <w:lang w:val="en-GB"/>
        </w:rPr>
        <w:t xml:space="preserve"> services</w:t>
      </w:r>
      <w:r w:rsidR="0019301D">
        <w:rPr>
          <w:spacing w:val="-3"/>
          <w:sz w:val="16"/>
          <w:szCs w:val="16"/>
          <w:lang w:val="en-GB"/>
        </w:rPr>
        <w:t xml:space="preserve"> also </w:t>
      </w:r>
      <w:r>
        <w:rPr>
          <w:spacing w:val="-3"/>
          <w:sz w:val="16"/>
          <w:szCs w:val="16"/>
          <w:lang w:val="en-GB"/>
        </w:rPr>
        <w:t>in the EU – it grew the most in i</w:t>
      </w:r>
      <w:r w:rsidRPr="005748A2">
        <w:rPr>
          <w:spacing w:val="-3"/>
          <w:sz w:val="16"/>
          <w:szCs w:val="16"/>
          <w:lang w:val="en-GB"/>
        </w:rPr>
        <w:t>nformation and communication and in financ</w:t>
      </w:r>
      <w:r>
        <w:rPr>
          <w:spacing w:val="-3"/>
          <w:sz w:val="16"/>
          <w:szCs w:val="16"/>
          <w:lang w:val="en-GB"/>
        </w:rPr>
        <w:t>ial activities</w:t>
      </w:r>
      <w:r w:rsidRPr="005748A2">
        <w:rPr>
          <w:spacing w:val="-3"/>
          <w:sz w:val="16"/>
          <w:szCs w:val="16"/>
          <w:lang w:val="en-GB"/>
        </w:rPr>
        <w:t xml:space="preserve">. Industry only stagnated. Among the individual countries, the </w:t>
      </w:r>
      <w:r>
        <w:rPr>
          <w:spacing w:val="-3"/>
          <w:sz w:val="16"/>
          <w:szCs w:val="16"/>
          <w:lang w:val="en-GB"/>
        </w:rPr>
        <w:t xml:space="preserve">total number of </w:t>
      </w:r>
      <w:r w:rsidRPr="005748A2">
        <w:rPr>
          <w:spacing w:val="-3"/>
          <w:sz w:val="16"/>
          <w:szCs w:val="16"/>
          <w:lang w:val="en-GB"/>
        </w:rPr>
        <w:t xml:space="preserve">employees </w:t>
      </w:r>
      <w:r>
        <w:rPr>
          <w:spacing w:val="-3"/>
          <w:sz w:val="16"/>
          <w:szCs w:val="16"/>
          <w:lang w:val="en-GB"/>
        </w:rPr>
        <w:t xml:space="preserve">increased the most </w:t>
      </w:r>
      <w:r w:rsidRPr="005748A2">
        <w:rPr>
          <w:spacing w:val="-3"/>
          <w:sz w:val="16"/>
          <w:szCs w:val="16"/>
          <w:lang w:val="en-GB"/>
        </w:rPr>
        <w:t xml:space="preserve">in Lithuania (by 2.8%) and Croatia (+2.6%), and among the major economies in Spain (+2.2%) and Italy (+1.4%). The number of employees decreased only in five mostly smaller countries – especially in Finland (−1.5%), but also in Poland (−0.8%) </w:t>
      </w:r>
      <w:r>
        <w:rPr>
          <w:spacing w:val="-3"/>
          <w:sz w:val="16"/>
          <w:szCs w:val="16"/>
          <w:lang w:val="en-GB"/>
        </w:rPr>
        <w:t xml:space="preserve">or in </w:t>
      </w:r>
      <w:r w:rsidRPr="005748A2">
        <w:rPr>
          <w:spacing w:val="-3"/>
          <w:sz w:val="16"/>
          <w:szCs w:val="16"/>
          <w:lang w:val="en-GB"/>
        </w:rPr>
        <w:t xml:space="preserve">Slovakia (−0.2%). In Germany, as in the Czech Republic, the very modest </w:t>
      </w:r>
      <w:r>
        <w:rPr>
          <w:spacing w:val="-3"/>
          <w:sz w:val="16"/>
          <w:szCs w:val="16"/>
          <w:lang w:val="en-GB"/>
        </w:rPr>
        <w:t xml:space="preserve">total </w:t>
      </w:r>
      <w:r w:rsidRPr="005748A2">
        <w:rPr>
          <w:spacing w:val="-3"/>
          <w:sz w:val="16"/>
          <w:szCs w:val="16"/>
          <w:lang w:val="en-GB"/>
        </w:rPr>
        <w:t xml:space="preserve">growth (+0.4%) reflected the </w:t>
      </w:r>
      <w:r>
        <w:rPr>
          <w:spacing w:val="-3"/>
          <w:sz w:val="16"/>
          <w:szCs w:val="16"/>
          <w:lang w:val="en-GB"/>
        </w:rPr>
        <w:t xml:space="preserve">difficulties </w:t>
      </w:r>
      <w:r w:rsidRPr="005748A2">
        <w:rPr>
          <w:spacing w:val="-3"/>
          <w:sz w:val="16"/>
          <w:szCs w:val="16"/>
          <w:lang w:val="en-GB"/>
        </w:rPr>
        <w:t>of industry a</w:t>
      </w:r>
      <w:r>
        <w:rPr>
          <w:spacing w:val="-3"/>
          <w:sz w:val="16"/>
          <w:szCs w:val="16"/>
          <w:lang w:val="en-GB"/>
        </w:rPr>
        <w:t xml:space="preserve">s well as </w:t>
      </w:r>
      <w:r w:rsidRPr="005748A2">
        <w:rPr>
          <w:spacing w:val="-3"/>
          <w:sz w:val="16"/>
          <w:szCs w:val="16"/>
          <w:lang w:val="en-GB"/>
        </w:rPr>
        <w:t xml:space="preserve">construction, </w:t>
      </w:r>
      <w:r>
        <w:rPr>
          <w:spacing w:val="-3"/>
          <w:sz w:val="16"/>
          <w:szCs w:val="16"/>
          <w:lang w:val="en-GB"/>
        </w:rPr>
        <w:t xml:space="preserve">which were losing employees. </w:t>
      </w:r>
      <w:r w:rsidRPr="00492B25">
        <w:rPr>
          <w:rFonts w:eastAsia="Calibri"/>
          <w:spacing w:val="-3"/>
          <w:sz w:val="16"/>
          <w:szCs w:val="16"/>
          <w:lang w:val="en-GB"/>
        </w:rPr>
        <w:t xml:space="preserve">The number of employees in the EU increased </w:t>
      </w:r>
      <w:r>
        <w:rPr>
          <w:rFonts w:eastAsia="Calibri"/>
          <w:spacing w:val="-3"/>
          <w:sz w:val="16"/>
          <w:szCs w:val="16"/>
          <w:lang w:val="en-GB"/>
        </w:rPr>
        <w:t xml:space="preserve">by a </w:t>
      </w:r>
      <w:r w:rsidRPr="00492B25">
        <w:rPr>
          <w:rFonts w:eastAsia="Calibri"/>
          <w:spacing w:val="-3"/>
          <w:sz w:val="16"/>
          <w:szCs w:val="16"/>
          <w:lang w:val="en-GB"/>
        </w:rPr>
        <w:t xml:space="preserve">similar percentage </w:t>
      </w:r>
      <w:r>
        <w:rPr>
          <w:rFonts w:eastAsia="Calibri"/>
          <w:spacing w:val="-3"/>
          <w:sz w:val="16"/>
          <w:szCs w:val="16"/>
          <w:lang w:val="en-GB"/>
        </w:rPr>
        <w:t>as t</w:t>
      </w:r>
      <w:r w:rsidRPr="00492B25">
        <w:rPr>
          <w:rFonts w:eastAsia="Calibri"/>
          <w:spacing w:val="-3"/>
          <w:sz w:val="16"/>
          <w:szCs w:val="16"/>
          <w:lang w:val="en-GB"/>
        </w:rPr>
        <w:t>he number of self-employed.</w:t>
      </w:r>
      <w:r>
        <w:rPr>
          <w:rFonts w:eastAsia="Calibri"/>
          <w:spacing w:val="-3"/>
          <w:sz w:val="16"/>
          <w:szCs w:val="16"/>
          <w:lang w:val="en-GB"/>
        </w:rPr>
        <w:t xml:space="preserve"> </w:t>
      </w:r>
    </w:p>
  </w:footnote>
  <w:footnote w:id="4">
    <w:p w14:paraId="17895E52" w14:textId="152B1BF9" w:rsidR="00165465" w:rsidRDefault="00165465" w:rsidP="00E551F6">
      <w:pPr>
        <w:pStyle w:val="Textpoznpodarou"/>
      </w:pPr>
      <w:r w:rsidRPr="00442EDD">
        <w:rPr>
          <w:rStyle w:val="Znakapoznpodarou"/>
          <w:sz w:val="16"/>
          <w:szCs w:val="16"/>
        </w:rPr>
        <w:footnoteRef/>
      </w:r>
      <w:r w:rsidRPr="00442EDD">
        <w:rPr>
          <w:sz w:val="16"/>
          <w:szCs w:val="16"/>
        </w:rPr>
        <w:t xml:space="preserve"> </w:t>
      </w:r>
      <w:r>
        <w:rPr>
          <w:sz w:val="16"/>
          <w:szCs w:val="16"/>
          <w:lang w:val="en-GB"/>
        </w:rPr>
        <w:t xml:space="preserve">Include </w:t>
      </w:r>
      <w:r w:rsidR="00C2492A">
        <w:rPr>
          <w:sz w:val="16"/>
          <w:szCs w:val="16"/>
          <w:lang w:val="en-GB"/>
        </w:rPr>
        <w:t xml:space="preserve">here </w:t>
      </w:r>
      <w:r>
        <w:rPr>
          <w:sz w:val="16"/>
          <w:szCs w:val="16"/>
          <w:lang w:val="en-GB"/>
        </w:rPr>
        <w:t>branch p</w:t>
      </w:r>
      <w:r w:rsidRPr="00B92200">
        <w:rPr>
          <w:sz w:val="16"/>
          <w:szCs w:val="16"/>
          <w:lang w:val="en-GB"/>
        </w:rPr>
        <w:t>ublic administration, education, health and social work</w:t>
      </w:r>
      <w:r>
        <w:rPr>
          <w:sz w:val="16"/>
          <w:szCs w:val="16"/>
          <w:lang w:val="en-GB"/>
        </w:rPr>
        <w:t xml:space="preserve">. </w:t>
      </w:r>
    </w:p>
  </w:footnote>
  <w:footnote w:id="5">
    <w:p w14:paraId="0BF43E18" w14:textId="7014B56E" w:rsidR="00165465" w:rsidRPr="0051730A" w:rsidRDefault="00165465" w:rsidP="00E551F6">
      <w:pPr>
        <w:pStyle w:val="Textpoznpodarou"/>
        <w:jc w:val="both"/>
        <w:rPr>
          <w:sz w:val="16"/>
          <w:szCs w:val="16"/>
        </w:rPr>
      </w:pPr>
      <w:r w:rsidRPr="00FD646B">
        <w:rPr>
          <w:rStyle w:val="Znakapoznpodarou"/>
          <w:sz w:val="16"/>
          <w:szCs w:val="16"/>
        </w:rPr>
        <w:footnoteRef/>
      </w:r>
      <w:r w:rsidRPr="00FD646B">
        <w:rPr>
          <w:sz w:val="16"/>
          <w:szCs w:val="16"/>
        </w:rPr>
        <w:t xml:space="preserve"> </w:t>
      </w:r>
      <w:r w:rsidRPr="00954269">
        <w:rPr>
          <w:sz w:val="16"/>
          <w:szCs w:val="16"/>
        </w:rPr>
        <w:t xml:space="preserve">The increase </w:t>
      </w:r>
      <w:r>
        <w:rPr>
          <w:sz w:val="16"/>
          <w:szCs w:val="16"/>
        </w:rPr>
        <w:t>of</w:t>
      </w:r>
      <w:r w:rsidR="00C2492A">
        <w:rPr>
          <w:sz w:val="16"/>
          <w:szCs w:val="16"/>
        </w:rPr>
        <w:t xml:space="preserve"> empolyment</w:t>
      </w:r>
      <w:r w:rsidRPr="00954269">
        <w:rPr>
          <w:sz w:val="16"/>
          <w:szCs w:val="16"/>
        </w:rPr>
        <w:t xml:space="preserve"> was the highest in the group of other services (+2.0%), which includes, in addition to </w:t>
      </w:r>
      <w:r>
        <w:rPr>
          <w:sz w:val="16"/>
          <w:szCs w:val="16"/>
        </w:rPr>
        <w:t>arts</w:t>
      </w:r>
      <w:r w:rsidRPr="00954269">
        <w:rPr>
          <w:sz w:val="16"/>
          <w:szCs w:val="16"/>
        </w:rPr>
        <w:t>,</w:t>
      </w:r>
      <w:r>
        <w:rPr>
          <w:sz w:val="16"/>
          <w:szCs w:val="16"/>
        </w:rPr>
        <w:t xml:space="preserve"> entertainment and </w:t>
      </w:r>
      <w:r w:rsidRPr="00954269">
        <w:rPr>
          <w:sz w:val="16"/>
          <w:szCs w:val="16"/>
        </w:rPr>
        <w:t>recreation activities</w:t>
      </w:r>
      <w:r>
        <w:rPr>
          <w:sz w:val="16"/>
          <w:szCs w:val="16"/>
        </w:rPr>
        <w:t xml:space="preserve"> </w:t>
      </w:r>
      <w:r w:rsidRPr="00954269">
        <w:rPr>
          <w:sz w:val="16"/>
          <w:szCs w:val="16"/>
        </w:rPr>
        <w:t>for example various household services (repair</w:t>
      </w:r>
      <w:r>
        <w:rPr>
          <w:sz w:val="16"/>
          <w:szCs w:val="16"/>
        </w:rPr>
        <w:t>s</w:t>
      </w:r>
      <w:r w:rsidRPr="00954269">
        <w:rPr>
          <w:sz w:val="16"/>
          <w:szCs w:val="16"/>
        </w:rPr>
        <w:t xml:space="preserve"> of </w:t>
      </w:r>
      <w:r>
        <w:rPr>
          <w:sz w:val="16"/>
          <w:szCs w:val="16"/>
        </w:rPr>
        <w:t>goods</w:t>
      </w:r>
      <w:r w:rsidRPr="00954269">
        <w:rPr>
          <w:sz w:val="16"/>
          <w:szCs w:val="16"/>
        </w:rPr>
        <w:t xml:space="preserve">, hairdressing and </w:t>
      </w:r>
      <w:r>
        <w:rPr>
          <w:sz w:val="16"/>
          <w:szCs w:val="16"/>
        </w:rPr>
        <w:t xml:space="preserve">other beauty treatment, </w:t>
      </w:r>
      <w:r w:rsidRPr="00954269">
        <w:rPr>
          <w:sz w:val="16"/>
          <w:szCs w:val="16"/>
        </w:rPr>
        <w:t xml:space="preserve">etc.). </w:t>
      </w:r>
      <w:r>
        <w:rPr>
          <w:sz w:val="16"/>
          <w:szCs w:val="16"/>
        </w:rPr>
        <w:t>Nevertheless</w:t>
      </w:r>
      <w:r w:rsidRPr="00954269">
        <w:rPr>
          <w:sz w:val="16"/>
          <w:szCs w:val="16"/>
        </w:rPr>
        <w:t xml:space="preserve">, </w:t>
      </w:r>
      <w:r>
        <w:rPr>
          <w:sz w:val="16"/>
          <w:szCs w:val="16"/>
        </w:rPr>
        <w:t xml:space="preserve">the </w:t>
      </w:r>
      <w:r w:rsidRPr="00954269">
        <w:rPr>
          <w:sz w:val="16"/>
          <w:szCs w:val="16"/>
        </w:rPr>
        <w:t>employment in this group, which was severely affected during the period of anti-pandemic restrictions, still lagged slightly behind the 2019 level.</w:t>
      </w:r>
      <w:r w:rsidRPr="0051730A">
        <w:rPr>
          <w:sz w:val="16"/>
          <w:szCs w:val="16"/>
        </w:rPr>
        <w:t xml:space="preserve"> </w:t>
      </w:r>
    </w:p>
  </w:footnote>
  <w:footnote w:id="6">
    <w:p w14:paraId="33FECB14" w14:textId="02AF7F90" w:rsidR="00165465" w:rsidRPr="00FC50BA" w:rsidRDefault="00165465" w:rsidP="00E551F6">
      <w:pPr>
        <w:pStyle w:val="Textpoznpodarou"/>
        <w:jc w:val="both"/>
        <w:rPr>
          <w:spacing w:val="-2"/>
          <w:sz w:val="16"/>
          <w:szCs w:val="16"/>
        </w:rPr>
      </w:pPr>
      <w:r w:rsidRPr="00FC50BA">
        <w:rPr>
          <w:rStyle w:val="Znakapoznpodarou"/>
          <w:spacing w:val="-2"/>
          <w:sz w:val="16"/>
          <w:szCs w:val="16"/>
          <w:lang w:val="en-GB"/>
        </w:rPr>
        <w:footnoteRef/>
      </w:r>
      <w:r w:rsidRPr="00FC50BA">
        <w:rPr>
          <w:spacing w:val="-2"/>
          <w:sz w:val="16"/>
          <w:szCs w:val="16"/>
        </w:rPr>
        <w:t xml:space="preserve"> In contrast, the number of workers expanded in some smal</w:t>
      </w:r>
      <w:r w:rsidR="005710B6" w:rsidRPr="00FC50BA">
        <w:rPr>
          <w:spacing w:val="-2"/>
          <w:sz w:val="16"/>
          <w:szCs w:val="16"/>
        </w:rPr>
        <w:t xml:space="preserve"> sub-</w:t>
      </w:r>
      <w:r w:rsidRPr="00FC50BA">
        <w:rPr>
          <w:spacing w:val="-2"/>
          <w:sz w:val="16"/>
          <w:szCs w:val="16"/>
        </w:rPr>
        <w:t>branches (energy industry, water and waste management, food industry).</w:t>
      </w:r>
    </w:p>
  </w:footnote>
  <w:footnote w:id="7">
    <w:p w14:paraId="50C1861F" w14:textId="79390ACD"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 xml:space="preserve">Based on the LFSS data, the proportion of females aged 15 years and more working part-time jobs increased from 12.0% to record 13.9% between Q4 </w:t>
      </w:r>
      <w:r w:rsidRPr="00C93DDD">
        <w:rPr>
          <w:sz w:val="16"/>
          <w:szCs w:val="16"/>
          <w:lang w:val="en-GB"/>
        </w:rPr>
        <w:t>2022 a</w:t>
      </w:r>
      <w:r>
        <w:rPr>
          <w:sz w:val="16"/>
          <w:szCs w:val="16"/>
          <w:lang w:val="en-GB"/>
        </w:rPr>
        <w:t>nd Q</w:t>
      </w:r>
      <w:r w:rsidRPr="00C93DDD">
        <w:rPr>
          <w:sz w:val="16"/>
          <w:szCs w:val="16"/>
          <w:lang w:val="en-GB"/>
        </w:rPr>
        <w:t>1</w:t>
      </w:r>
      <w:r>
        <w:rPr>
          <w:sz w:val="16"/>
          <w:szCs w:val="16"/>
          <w:lang w:val="en-GB"/>
        </w:rPr>
        <w:t xml:space="preserve"> 2</w:t>
      </w:r>
      <w:r w:rsidRPr="00C93DDD">
        <w:rPr>
          <w:sz w:val="16"/>
          <w:szCs w:val="16"/>
          <w:lang w:val="en-GB"/>
        </w:rPr>
        <w:t>024</w:t>
      </w:r>
      <w:r>
        <w:rPr>
          <w:sz w:val="16"/>
          <w:szCs w:val="16"/>
          <w:lang w:val="en-GB"/>
        </w:rPr>
        <w:t>. Together with Slovakia, it represents one of the most substantial increas</w:t>
      </w:r>
      <w:r w:rsidR="0076324B">
        <w:rPr>
          <w:sz w:val="16"/>
          <w:szCs w:val="16"/>
          <w:lang w:val="en-GB"/>
        </w:rPr>
        <w:t>es within the EU. Share</w:t>
      </w:r>
      <w:r>
        <w:rPr>
          <w:sz w:val="16"/>
          <w:szCs w:val="16"/>
          <w:lang w:val="en-GB"/>
        </w:rPr>
        <w:t xml:space="preserve"> of these job contracts in the CR is however still low within the European context. It achieved </w:t>
      </w:r>
      <w:r w:rsidRPr="00C93DDD">
        <w:rPr>
          <w:sz w:val="16"/>
          <w:szCs w:val="16"/>
          <w:lang w:val="en-GB"/>
        </w:rPr>
        <w:t>29</w:t>
      </w:r>
      <w:r>
        <w:rPr>
          <w:sz w:val="16"/>
          <w:szCs w:val="16"/>
          <w:lang w:val="en-GB"/>
        </w:rPr>
        <w:t>.</w:t>
      </w:r>
      <w:r w:rsidRPr="00C93DDD">
        <w:rPr>
          <w:sz w:val="16"/>
          <w:szCs w:val="16"/>
          <w:lang w:val="en-GB"/>
        </w:rPr>
        <w:t>6%</w:t>
      </w:r>
      <w:r>
        <w:rPr>
          <w:sz w:val="16"/>
          <w:szCs w:val="16"/>
          <w:lang w:val="en-GB"/>
        </w:rPr>
        <w:t xml:space="preserve"> in the EU</w:t>
      </w:r>
      <w:r w:rsidRPr="00C93DDD">
        <w:rPr>
          <w:sz w:val="16"/>
          <w:szCs w:val="16"/>
          <w:lang w:val="en-GB"/>
        </w:rPr>
        <w:t>,</w:t>
      </w:r>
      <w:r>
        <w:rPr>
          <w:sz w:val="16"/>
          <w:szCs w:val="16"/>
          <w:lang w:val="en-GB"/>
        </w:rPr>
        <w:t xml:space="preserve"> in that </w:t>
      </w:r>
      <w:r w:rsidRPr="00C93DDD">
        <w:rPr>
          <w:sz w:val="16"/>
          <w:szCs w:val="16"/>
          <w:lang w:val="en-GB"/>
        </w:rPr>
        <w:t>34</w:t>
      </w:r>
      <w:r>
        <w:rPr>
          <w:sz w:val="16"/>
          <w:szCs w:val="16"/>
          <w:lang w:val="en-GB"/>
        </w:rPr>
        <w:t>.</w:t>
      </w:r>
      <w:r w:rsidRPr="00C93DDD">
        <w:rPr>
          <w:sz w:val="16"/>
          <w:szCs w:val="16"/>
          <w:lang w:val="en-GB"/>
        </w:rPr>
        <w:t>5%</w:t>
      </w:r>
      <w:r>
        <w:rPr>
          <w:sz w:val="16"/>
          <w:szCs w:val="16"/>
          <w:lang w:val="en-GB"/>
        </w:rPr>
        <w:t xml:space="preserve"> in the euro area</w:t>
      </w:r>
      <w:r w:rsidRPr="00C93DDD">
        <w:rPr>
          <w:sz w:val="16"/>
          <w:szCs w:val="16"/>
          <w:lang w:val="en-GB"/>
        </w:rPr>
        <w:t xml:space="preserve">. </w:t>
      </w:r>
      <w:r>
        <w:rPr>
          <w:sz w:val="16"/>
          <w:szCs w:val="16"/>
          <w:lang w:val="en-GB"/>
        </w:rPr>
        <w:t xml:space="preserve">However, only Estonia </w:t>
      </w:r>
      <w:r w:rsidRPr="00C93DDD">
        <w:rPr>
          <w:sz w:val="16"/>
          <w:szCs w:val="16"/>
          <w:lang w:val="en-GB"/>
        </w:rPr>
        <w:t>(21</w:t>
      </w:r>
      <w:r>
        <w:rPr>
          <w:sz w:val="16"/>
          <w:szCs w:val="16"/>
          <w:lang w:val="en-GB"/>
        </w:rPr>
        <w:t>%</w:t>
      </w:r>
      <w:r w:rsidRPr="00C93DDD">
        <w:rPr>
          <w:sz w:val="16"/>
          <w:szCs w:val="16"/>
          <w:lang w:val="en-GB"/>
        </w:rPr>
        <w:t>) a</w:t>
      </w:r>
      <w:r>
        <w:rPr>
          <w:sz w:val="16"/>
          <w:szCs w:val="16"/>
          <w:lang w:val="en-GB"/>
        </w:rPr>
        <w:t>nd</w:t>
      </w:r>
      <w:r w:rsidRPr="00C93DDD">
        <w:rPr>
          <w:sz w:val="16"/>
          <w:szCs w:val="16"/>
          <w:lang w:val="en-GB"/>
        </w:rPr>
        <w:t xml:space="preserve"> Malta (19%)</w:t>
      </w:r>
      <w:r>
        <w:rPr>
          <w:sz w:val="16"/>
          <w:szCs w:val="16"/>
          <w:lang w:val="en-GB"/>
        </w:rPr>
        <w:t xml:space="preserve"> had currently a larger share of females working this way among the states, which acceded the EU after year 2000</w:t>
      </w:r>
      <w:r w:rsidRPr="00C93DDD">
        <w:rPr>
          <w:sz w:val="16"/>
          <w:szCs w:val="16"/>
          <w:lang w:val="en-GB"/>
        </w:rPr>
        <w:t xml:space="preserve">. </w:t>
      </w:r>
    </w:p>
  </w:footnote>
  <w:footnote w:id="8">
    <w:p w14:paraId="2B433485" w14:textId="71F52255"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Based on the e</w:t>
      </w:r>
      <w:r w:rsidRPr="00334150">
        <w:rPr>
          <w:sz w:val="16"/>
          <w:szCs w:val="16"/>
          <w:lang w:val="en-GB"/>
        </w:rPr>
        <w:t xml:space="preserve">xperimental statistics </w:t>
      </w:r>
      <w:r>
        <w:rPr>
          <w:sz w:val="16"/>
          <w:szCs w:val="16"/>
          <w:lang w:val="en-GB"/>
        </w:rPr>
        <w:t>of the CZSO</w:t>
      </w:r>
      <w:r w:rsidRPr="00334150">
        <w:rPr>
          <w:sz w:val="16"/>
          <w:szCs w:val="16"/>
          <w:lang w:val="en-GB"/>
        </w:rPr>
        <w:t>, the nu</w:t>
      </w:r>
      <w:r w:rsidR="003F59AA">
        <w:rPr>
          <w:sz w:val="16"/>
          <w:szCs w:val="16"/>
          <w:lang w:val="en-GB"/>
        </w:rPr>
        <w:t>mber of persons working under</w:t>
      </w:r>
      <w:r w:rsidRPr="00334150">
        <w:rPr>
          <w:sz w:val="16"/>
          <w:szCs w:val="16"/>
          <w:lang w:val="en-GB"/>
        </w:rPr>
        <w:t xml:space="preserve"> agreement</w:t>
      </w:r>
      <w:r w:rsidR="003F59AA">
        <w:rPr>
          <w:sz w:val="16"/>
          <w:szCs w:val="16"/>
          <w:lang w:val="en-GB"/>
        </w:rPr>
        <w:t>s</w:t>
      </w:r>
      <w:r w:rsidRPr="00334150">
        <w:rPr>
          <w:sz w:val="16"/>
          <w:szCs w:val="16"/>
          <w:lang w:val="en-GB"/>
        </w:rPr>
        <w:t xml:space="preserve"> </w:t>
      </w:r>
      <w:r w:rsidR="003F59AA">
        <w:rPr>
          <w:sz w:val="16"/>
          <w:szCs w:val="16"/>
          <w:lang w:val="en-GB"/>
        </w:rPr>
        <w:t>(</w:t>
      </w:r>
      <w:r w:rsidR="003F59AA" w:rsidRPr="00EE6DCE">
        <w:rPr>
          <w:sz w:val="16"/>
          <w:szCs w:val="16"/>
          <w:lang w:val="en-GB"/>
        </w:rPr>
        <w:t>on work performed outside an employment relationship</w:t>
      </w:r>
      <w:r w:rsidR="003F59AA">
        <w:rPr>
          <w:sz w:val="16"/>
          <w:szCs w:val="16"/>
          <w:lang w:val="en-GB"/>
        </w:rPr>
        <w:t>)</w:t>
      </w:r>
      <w:r w:rsidRPr="00334150">
        <w:rPr>
          <w:sz w:val="16"/>
          <w:szCs w:val="16"/>
          <w:lang w:val="en-GB"/>
        </w:rPr>
        <w:t xml:space="preserve"> fell by 10%</w:t>
      </w:r>
      <w:r>
        <w:rPr>
          <w:sz w:val="16"/>
          <w:szCs w:val="16"/>
          <w:lang w:val="en-GB"/>
        </w:rPr>
        <w:t>,</w:t>
      </w:r>
      <w:r w:rsidRPr="00334150">
        <w:rPr>
          <w:sz w:val="16"/>
          <w:szCs w:val="16"/>
          <w:lang w:val="en-GB"/>
        </w:rPr>
        <w:t xml:space="preserve"> year-on-year</w:t>
      </w:r>
      <w:r>
        <w:rPr>
          <w:sz w:val="16"/>
          <w:szCs w:val="16"/>
          <w:lang w:val="en-GB"/>
        </w:rPr>
        <w:t>, in H</w:t>
      </w:r>
      <w:r w:rsidRPr="00334150">
        <w:rPr>
          <w:sz w:val="16"/>
          <w:szCs w:val="16"/>
          <w:lang w:val="en-GB"/>
        </w:rPr>
        <w:t>1</w:t>
      </w:r>
      <w:r>
        <w:rPr>
          <w:sz w:val="16"/>
          <w:szCs w:val="16"/>
          <w:lang w:val="en-GB"/>
        </w:rPr>
        <w:t xml:space="preserve"> </w:t>
      </w:r>
      <w:r w:rsidRPr="00334150">
        <w:rPr>
          <w:sz w:val="16"/>
          <w:szCs w:val="16"/>
          <w:lang w:val="en-GB"/>
        </w:rPr>
        <w:t xml:space="preserve">2024, the number of </w:t>
      </w:r>
      <w:r>
        <w:rPr>
          <w:sz w:val="16"/>
          <w:szCs w:val="16"/>
          <w:lang w:val="en-GB"/>
        </w:rPr>
        <w:t xml:space="preserve">their </w:t>
      </w:r>
      <w:r w:rsidRPr="00334150">
        <w:rPr>
          <w:sz w:val="16"/>
          <w:szCs w:val="16"/>
          <w:lang w:val="en-GB"/>
        </w:rPr>
        <w:t xml:space="preserve">hours worked decreased </w:t>
      </w:r>
      <w:r>
        <w:rPr>
          <w:sz w:val="16"/>
          <w:szCs w:val="16"/>
          <w:lang w:val="en-GB"/>
        </w:rPr>
        <w:t>accordingly</w:t>
      </w:r>
      <w:r w:rsidRPr="00334150">
        <w:rPr>
          <w:sz w:val="16"/>
          <w:szCs w:val="16"/>
          <w:lang w:val="en-GB"/>
        </w:rPr>
        <w:t xml:space="preserve">. Note: persons working on agreements </w:t>
      </w:r>
      <w:r>
        <w:rPr>
          <w:sz w:val="16"/>
          <w:szCs w:val="16"/>
          <w:lang w:val="en-GB"/>
        </w:rPr>
        <w:t xml:space="preserve">concurrently for more employers </w:t>
      </w:r>
      <w:r w:rsidRPr="00334150">
        <w:rPr>
          <w:sz w:val="16"/>
          <w:szCs w:val="16"/>
          <w:lang w:val="en-GB"/>
        </w:rPr>
        <w:t>are included multiple times (i.e. separately for each employer).</w:t>
      </w:r>
      <w:r>
        <w:rPr>
          <w:sz w:val="16"/>
          <w:szCs w:val="16"/>
          <w:lang w:val="en-GB"/>
        </w:rPr>
        <w:t xml:space="preserve"> </w:t>
      </w:r>
    </w:p>
  </w:footnote>
  <w:footnote w:id="9">
    <w:p w14:paraId="4C42A350" w14:textId="77777777"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More than 76%</w:t>
      </w:r>
      <w:r w:rsidRPr="00537A5E">
        <w:rPr>
          <w:sz w:val="16"/>
          <w:szCs w:val="16"/>
          <w:lang w:val="en-GB"/>
        </w:rPr>
        <w:t xml:space="preserve"> of </w:t>
      </w:r>
      <w:r>
        <w:rPr>
          <w:sz w:val="16"/>
          <w:szCs w:val="16"/>
          <w:lang w:val="en-GB"/>
        </w:rPr>
        <w:t xml:space="preserve">all citizens of Ukraine staying </w:t>
      </w:r>
      <w:r w:rsidRPr="00537A5E">
        <w:rPr>
          <w:sz w:val="16"/>
          <w:szCs w:val="16"/>
          <w:lang w:val="en-GB"/>
        </w:rPr>
        <w:t>in the CR</w:t>
      </w:r>
      <w:r>
        <w:rPr>
          <w:sz w:val="16"/>
          <w:szCs w:val="16"/>
          <w:lang w:val="en-GB"/>
        </w:rPr>
        <w:t xml:space="preserve"> in the employee position</w:t>
      </w:r>
      <w:r w:rsidRPr="00537A5E">
        <w:rPr>
          <w:sz w:val="16"/>
          <w:szCs w:val="16"/>
          <w:lang w:val="en-GB"/>
        </w:rPr>
        <w:t xml:space="preserve"> did not need a special work permit</w:t>
      </w:r>
      <w:r>
        <w:rPr>
          <w:sz w:val="16"/>
          <w:szCs w:val="16"/>
          <w:lang w:val="en-GB"/>
        </w:rPr>
        <w:t xml:space="preserve"> at the end of Q2 2024 </w:t>
      </w:r>
      <w:r w:rsidRPr="00537A5E">
        <w:rPr>
          <w:sz w:val="16"/>
          <w:szCs w:val="16"/>
          <w:lang w:val="en-GB"/>
        </w:rPr>
        <w:t>(</w:t>
      </w:r>
      <w:r>
        <w:rPr>
          <w:sz w:val="16"/>
          <w:szCs w:val="16"/>
          <w:lang w:val="en-GB"/>
        </w:rPr>
        <w:t xml:space="preserve">work permit, </w:t>
      </w:r>
      <w:r w:rsidRPr="00537A5E">
        <w:rPr>
          <w:sz w:val="16"/>
          <w:szCs w:val="16"/>
          <w:lang w:val="en-GB"/>
        </w:rPr>
        <w:t>the employee card</w:t>
      </w:r>
      <w:r>
        <w:rPr>
          <w:sz w:val="16"/>
          <w:szCs w:val="16"/>
          <w:lang w:val="en-GB"/>
        </w:rPr>
        <w:t xml:space="preserve"> or blue cards</w:t>
      </w:r>
      <w:r w:rsidRPr="00537A5E">
        <w:rPr>
          <w:sz w:val="16"/>
          <w:szCs w:val="16"/>
          <w:lang w:val="en-GB"/>
        </w:rPr>
        <w:t>).</w:t>
      </w:r>
      <w:r>
        <w:rPr>
          <w:sz w:val="16"/>
          <w:szCs w:val="16"/>
          <w:lang w:val="en-GB"/>
        </w:rPr>
        <w:t xml:space="preserve"> </w:t>
      </w:r>
      <w:r w:rsidRPr="00C93DDD">
        <w:rPr>
          <w:sz w:val="16"/>
          <w:szCs w:val="16"/>
          <w:lang w:val="en-GB"/>
        </w:rPr>
        <w:t xml:space="preserve"> </w:t>
      </w:r>
    </w:p>
  </w:footnote>
  <w:footnote w:id="10">
    <w:p w14:paraId="33801B77" w14:textId="77777777"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As of 1</w:t>
      </w:r>
      <w:r w:rsidRPr="00D5581E">
        <w:rPr>
          <w:sz w:val="16"/>
          <w:szCs w:val="16"/>
          <w:vertAlign w:val="superscript"/>
          <w:lang w:val="en-GB"/>
        </w:rPr>
        <w:t>st</w:t>
      </w:r>
      <w:r>
        <w:rPr>
          <w:sz w:val="16"/>
          <w:szCs w:val="16"/>
          <w:lang w:val="en-GB"/>
        </w:rPr>
        <w:t xml:space="preserve"> July </w:t>
      </w:r>
      <w:r w:rsidRPr="00C93DDD">
        <w:rPr>
          <w:sz w:val="16"/>
          <w:szCs w:val="16"/>
          <w:lang w:val="en-GB"/>
        </w:rPr>
        <w:t>2024</w:t>
      </w:r>
      <w:r>
        <w:rPr>
          <w:sz w:val="16"/>
          <w:szCs w:val="16"/>
          <w:lang w:val="en-GB"/>
        </w:rPr>
        <w:t xml:space="preserve">, foreigners from some economically developed countries outside the EU </w:t>
      </w:r>
      <w:r w:rsidRPr="00C93DDD">
        <w:rPr>
          <w:sz w:val="16"/>
          <w:szCs w:val="16"/>
          <w:lang w:val="en-GB"/>
        </w:rPr>
        <w:t xml:space="preserve">(USA, </w:t>
      </w:r>
      <w:r>
        <w:rPr>
          <w:sz w:val="16"/>
          <w:szCs w:val="16"/>
          <w:lang w:val="en-GB"/>
        </w:rPr>
        <w:t>Great Britain, Canada, Australia, New Zealand, Japan</w:t>
      </w:r>
      <w:r w:rsidRPr="00C93DDD">
        <w:rPr>
          <w:sz w:val="16"/>
          <w:szCs w:val="16"/>
          <w:lang w:val="en-GB"/>
        </w:rPr>
        <w:t xml:space="preserve">, </w:t>
      </w:r>
      <w:r>
        <w:rPr>
          <w:sz w:val="16"/>
          <w:szCs w:val="16"/>
          <w:lang w:val="en-GB"/>
        </w:rPr>
        <w:t>South Korea, Israel and Singapore</w:t>
      </w:r>
      <w:r w:rsidRPr="00C93DDD">
        <w:rPr>
          <w:sz w:val="16"/>
          <w:szCs w:val="16"/>
          <w:lang w:val="en-GB"/>
        </w:rPr>
        <w:t>)</w:t>
      </w:r>
      <w:r>
        <w:rPr>
          <w:sz w:val="16"/>
          <w:szCs w:val="16"/>
          <w:lang w:val="en-GB"/>
        </w:rPr>
        <w:t xml:space="preserve"> newly do not need a work permit or employee card in the CR. </w:t>
      </w:r>
    </w:p>
  </w:footnote>
  <w:footnote w:id="11">
    <w:p w14:paraId="54AA712E" w14:textId="77777777"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sidRPr="0035200B">
        <w:rPr>
          <w:sz w:val="16"/>
          <w:szCs w:val="16"/>
          <w:lang w:val="en-GB"/>
        </w:rPr>
        <w:t>In addition, the Ministry of Industry and Trade registered 124.5</w:t>
      </w:r>
      <w:r>
        <w:rPr>
          <w:sz w:val="16"/>
          <w:szCs w:val="16"/>
          <w:lang w:val="en-GB"/>
        </w:rPr>
        <w:t> </w:t>
      </w:r>
      <w:r w:rsidRPr="0035200B">
        <w:rPr>
          <w:sz w:val="16"/>
          <w:szCs w:val="16"/>
          <w:lang w:val="en-GB"/>
        </w:rPr>
        <w:t xml:space="preserve">thousand foreign nationals with a trade license in the Czech Republic in the same </w:t>
      </w:r>
      <w:r>
        <w:rPr>
          <w:sz w:val="16"/>
          <w:szCs w:val="16"/>
          <w:lang w:val="en-GB"/>
        </w:rPr>
        <w:t xml:space="preserve">time </w:t>
      </w:r>
      <w:r w:rsidRPr="0035200B">
        <w:rPr>
          <w:sz w:val="16"/>
          <w:szCs w:val="16"/>
          <w:lang w:val="en-GB"/>
        </w:rPr>
        <w:t xml:space="preserve">period. Ukrainians contributed almost 60% to their year-on-year growth (+9.3%). Unlike foreigners in </w:t>
      </w:r>
      <w:r>
        <w:rPr>
          <w:sz w:val="16"/>
          <w:szCs w:val="16"/>
          <w:lang w:val="en-GB"/>
        </w:rPr>
        <w:t xml:space="preserve">the </w:t>
      </w:r>
      <w:r w:rsidRPr="0035200B">
        <w:rPr>
          <w:sz w:val="16"/>
          <w:szCs w:val="16"/>
          <w:lang w:val="en-GB"/>
        </w:rPr>
        <w:t>employ</w:t>
      </w:r>
      <w:r>
        <w:rPr>
          <w:sz w:val="16"/>
          <w:szCs w:val="16"/>
          <w:lang w:val="en-GB"/>
        </w:rPr>
        <w:t xml:space="preserve">ee position, </w:t>
      </w:r>
      <w:r w:rsidRPr="0035200B">
        <w:rPr>
          <w:sz w:val="16"/>
          <w:szCs w:val="16"/>
          <w:lang w:val="en-GB"/>
        </w:rPr>
        <w:t xml:space="preserve">people </w:t>
      </w:r>
      <w:r>
        <w:rPr>
          <w:sz w:val="16"/>
          <w:szCs w:val="16"/>
          <w:lang w:val="en-GB"/>
        </w:rPr>
        <w:t>settled in the CR for the long-term (e.g. Vietnamese) a</w:t>
      </w:r>
      <w:r w:rsidRPr="0035200B">
        <w:rPr>
          <w:sz w:val="16"/>
          <w:szCs w:val="16"/>
          <w:lang w:val="en-GB"/>
        </w:rPr>
        <w:t xml:space="preserve">re </w:t>
      </w:r>
      <w:r>
        <w:rPr>
          <w:sz w:val="16"/>
          <w:szCs w:val="16"/>
          <w:lang w:val="en-GB"/>
        </w:rPr>
        <w:t xml:space="preserve">more frequently among foreigners entrepreneurs. </w:t>
      </w:r>
    </w:p>
  </w:footnote>
  <w:footnote w:id="12">
    <w:p w14:paraId="18510AAD" w14:textId="77FF384A" w:rsidR="00165465" w:rsidRPr="00366560" w:rsidRDefault="00165465" w:rsidP="00E551F6">
      <w:pPr>
        <w:pStyle w:val="Textpoznpodarou"/>
        <w:jc w:val="both"/>
        <w:rPr>
          <w:color w:val="0D0D0D" w:themeColor="text1" w:themeTint="F2"/>
          <w:spacing w:val="-2"/>
          <w:sz w:val="16"/>
          <w:szCs w:val="16"/>
          <w:lang w:val="en-GB"/>
        </w:rPr>
      </w:pPr>
      <w:r w:rsidRPr="00A20936">
        <w:rPr>
          <w:rStyle w:val="Znakapoznpodarou"/>
          <w:color w:val="0D0D0D" w:themeColor="text1" w:themeTint="F2"/>
          <w:spacing w:val="-2"/>
          <w:sz w:val="16"/>
          <w:szCs w:val="16"/>
        </w:rPr>
        <w:footnoteRef/>
      </w:r>
      <w:r w:rsidRPr="00A20936">
        <w:rPr>
          <w:color w:val="0D0D0D" w:themeColor="text1" w:themeTint="F2"/>
          <w:spacing w:val="-2"/>
          <w:sz w:val="16"/>
          <w:szCs w:val="16"/>
        </w:rPr>
        <w:t xml:space="preserve"> </w:t>
      </w:r>
      <w:r w:rsidRPr="005A10A1">
        <w:rPr>
          <w:color w:val="0D0D0D" w:themeColor="text1" w:themeTint="F2"/>
          <w:spacing w:val="-2"/>
          <w:sz w:val="16"/>
          <w:szCs w:val="16"/>
        </w:rPr>
        <w:t xml:space="preserve">Businesses in two thirds of </w:t>
      </w:r>
      <w:r>
        <w:rPr>
          <w:color w:val="0D0D0D" w:themeColor="text1" w:themeTint="F2"/>
          <w:spacing w:val="-2"/>
          <w:sz w:val="16"/>
          <w:szCs w:val="16"/>
        </w:rPr>
        <w:t xml:space="preserve">manufacturing </w:t>
      </w:r>
      <w:r w:rsidRPr="005A10A1">
        <w:rPr>
          <w:color w:val="0D0D0D" w:themeColor="text1" w:themeTint="F2"/>
          <w:spacing w:val="-2"/>
          <w:sz w:val="16"/>
          <w:szCs w:val="16"/>
        </w:rPr>
        <w:t>industrial branches – both in the energy intensive (metallurgy, production of construction materials,</w:t>
      </w:r>
      <w:r>
        <w:rPr>
          <w:color w:val="0D0D0D" w:themeColor="text1" w:themeTint="F2"/>
          <w:spacing w:val="-2"/>
          <w:sz w:val="16"/>
          <w:szCs w:val="16"/>
        </w:rPr>
        <w:t xml:space="preserve"> </w:t>
      </w:r>
      <w:r w:rsidRPr="005A10A1">
        <w:rPr>
          <w:color w:val="0D0D0D" w:themeColor="text1" w:themeTint="F2"/>
          <w:spacing w:val="-2"/>
          <w:sz w:val="16"/>
          <w:szCs w:val="16"/>
        </w:rPr>
        <w:t>chemical industry) and in machinery</w:t>
      </w:r>
      <w:r>
        <w:rPr>
          <w:color w:val="0D0D0D" w:themeColor="text1" w:themeTint="F2"/>
          <w:spacing w:val="-2"/>
          <w:sz w:val="16"/>
          <w:szCs w:val="16"/>
        </w:rPr>
        <w:t xml:space="preserve">, electronics industry </w:t>
      </w:r>
      <w:r w:rsidRPr="005A10A1">
        <w:rPr>
          <w:color w:val="0D0D0D" w:themeColor="text1" w:themeTint="F2"/>
          <w:spacing w:val="-2"/>
          <w:sz w:val="16"/>
          <w:szCs w:val="16"/>
        </w:rPr>
        <w:t xml:space="preserve">and supplier sub-branches tied to manufacturing of motor vehicles or in a number of mostly smaller branches, whose sales depend to a large part on the household </w:t>
      </w:r>
      <w:r w:rsidRPr="00366560">
        <w:rPr>
          <w:color w:val="0D0D0D" w:themeColor="text1" w:themeTint="F2"/>
          <w:spacing w:val="-2"/>
          <w:sz w:val="16"/>
          <w:szCs w:val="16"/>
          <w:lang w:val="en-GB"/>
        </w:rPr>
        <w:t xml:space="preserve">consumption (furniture, </w:t>
      </w:r>
      <w:r w:rsidR="003D1AE0">
        <w:rPr>
          <w:color w:val="0D0D0D" w:themeColor="text1" w:themeTint="F2"/>
          <w:spacing w:val="-2"/>
          <w:sz w:val="16"/>
          <w:szCs w:val="16"/>
          <w:lang w:val="en-GB"/>
        </w:rPr>
        <w:t>textile, clothing and beverage</w:t>
      </w:r>
      <w:r w:rsidRPr="00366560">
        <w:rPr>
          <w:color w:val="0D0D0D" w:themeColor="text1" w:themeTint="F2"/>
          <w:spacing w:val="-2"/>
          <w:sz w:val="16"/>
          <w:szCs w:val="16"/>
          <w:lang w:val="en-GB"/>
        </w:rPr>
        <w:t xml:space="preserve"> industry) expressed prevailing negative expectations of employment (based on survey from August 2024). </w:t>
      </w:r>
      <w:r w:rsidRPr="00F16799">
        <w:rPr>
          <w:color w:val="0D0D0D" w:themeColor="text1" w:themeTint="F2"/>
          <w:spacing w:val="-2"/>
          <w:sz w:val="16"/>
          <w:szCs w:val="16"/>
          <w:lang w:val="en-GB"/>
        </w:rPr>
        <w:t xml:space="preserve">On the contrary, positive outlooks lasted </w:t>
      </w:r>
      <w:r>
        <w:rPr>
          <w:color w:val="0D0D0D" w:themeColor="text1" w:themeTint="F2"/>
          <w:spacing w:val="-2"/>
          <w:sz w:val="16"/>
          <w:szCs w:val="16"/>
          <w:lang w:val="en-GB"/>
        </w:rPr>
        <w:t xml:space="preserve">mainly </w:t>
      </w:r>
      <w:r w:rsidRPr="00F16799">
        <w:rPr>
          <w:color w:val="0D0D0D" w:themeColor="text1" w:themeTint="F2"/>
          <w:spacing w:val="-2"/>
          <w:sz w:val="16"/>
          <w:szCs w:val="16"/>
          <w:lang w:val="en-GB"/>
        </w:rPr>
        <w:t xml:space="preserve">in manufacturing of </w:t>
      </w:r>
      <w:r>
        <w:rPr>
          <w:color w:val="0D0D0D" w:themeColor="text1" w:themeTint="F2"/>
          <w:spacing w:val="-2"/>
          <w:sz w:val="16"/>
          <w:szCs w:val="16"/>
          <w:lang w:val="en-GB"/>
        </w:rPr>
        <w:t>rail transport equipment</w:t>
      </w:r>
      <w:r w:rsidRPr="00F16799">
        <w:rPr>
          <w:color w:val="0D0D0D" w:themeColor="text1" w:themeTint="F2"/>
          <w:spacing w:val="-2"/>
          <w:sz w:val="16"/>
          <w:szCs w:val="16"/>
          <w:lang w:val="en-GB"/>
        </w:rPr>
        <w:t xml:space="preserve">, </w:t>
      </w:r>
      <w:r>
        <w:rPr>
          <w:color w:val="0D0D0D" w:themeColor="text1" w:themeTint="F2"/>
          <w:spacing w:val="-2"/>
          <w:sz w:val="16"/>
          <w:szCs w:val="16"/>
          <w:lang w:val="en-GB"/>
        </w:rPr>
        <w:t xml:space="preserve">with a margin then </w:t>
      </w:r>
      <w:r w:rsidRPr="00F16799">
        <w:rPr>
          <w:color w:val="0D0D0D" w:themeColor="text1" w:themeTint="F2"/>
          <w:spacing w:val="-2"/>
          <w:sz w:val="16"/>
          <w:szCs w:val="16"/>
          <w:lang w:val="en-GB"/>
        </w:rPr>
        <w:t xml:space="preserve">further in the pharmaceutical industry, other industry or repairs and installation of machinery and equipment. </w:t>
      </w:r>
      <w:r>
        <w:rPr>
          <w:color w:val="0D0D0D" w:themeColor="text1" w:themeTint="F2"/>
          <w:spacing w:val="-2"/>
          <w:sz w:val="16"/>
          <w:szCs w:val="16"/>
          <w:lang w:val="en-GB"/>
        </w:rPr>
        <w:t xml:space="preserve">Sings of a positive turnaround occurred in the metalworking industry, which also contains the small segment of weapon industry. </w:t>
      </w:r>
    </w:p>
    <w:p w14:paraId="7813488A" w14:textId="77777777" w:rsidR="00165465" w:rsidRPr="00163F56" w:rsidRDefault="00165465" w:rsidP="00E551F6">
      <w:pPr>
        <w:pStyle w:val="Textpoznpodarou"/>
        <w:jc w:val="both"/>
        <w:rPr>
          <w:color w:val="0D0D0D" w:themeColor="text1" w:themeTint="F2"/>
          <w:spacing w:val="-5"/>
          <w:sz w:val="16"/>
          <w:szCs w:val="16"/>
          <w:lang w:val="en-GB"/>
        </w:rPr>
      </w:pPr>
      <w:r w:rsidRPr="006E08BC">
        <w:rPr>
          <w:color w:val="0D0D0D" w:themeColor="text1" w:themeTint="F2"/>
          <w:spacing w:val="-2"/>
          <w:sz w:val="16"/>
          <w:szCs w:val="16"/>
          <w:lang w:val="en-GB"/>
        </w:rPr>
        <w:t xml:space="preserve">Negative expectations prevailed in one half of sub-branches in services. It was the most apparent in financial industry, </w:t>
      </w:r>
      <w:r>
        <w:rPr>
          <w:color w:val="0D0D0D" w:themeColor="text1" w:themeTint="F2"/>
          <w:spacing w:val="-2"/>
          <w:sz w:val="16"/>
          <w:szCs w:val="16"/>
          <w:lang w:val="en-GB"/>
        </w:rPr>
        <w:t xml:space="preserve">further in arts, entertainment and recreation activities, </w:t>
      </w:r>
      <w:r w:rsidRPr="006E08BC">
        <w:rPr>
          <w:color w:val="0D0D0D" w:themeColor="text1" w:themeTint="F2"/>
          <w:spacing w:val="-2"/>
          <w:sz w:val="16"/>
          <w:szCs w:val="16"/>
          <w:lang w:val="en-GB"/>
        </w:rPr>
        <w:t>in majority of administrative and support service activities</w:t>
      </w:r>
      <w:r>
        <w:rPr>
          <w:color w:val="0D0D0D" w:themeColor="text1" w:themeTint="F2"/>
          <w:spacing w:val="-2"/>
          <w:sz w:val="16"/>
          <w:szCs w:val="16"/>
          <w:lang w:val="en-GB"/>
        </w:rPr>
        <w:t xml:space="preserve"> or in </w:t>
      </w:r>
      <w:r w:rsidRPr="006E08BC">
        <w:rPr>
          <w:color w:val="0D0D0D" w:themeColor="text1" w:themeTint="F2"/>
          <w:spacing w:val="-2"/>
          <w:sz w:val="16"/>
          <w:szCs w:val="16"/>
          <w:lang w:val="en-GB"/>
        </w:rPr>
        <w:t xml:space="preserve">advertising. In contrast, businesses anticipated rather higher employment in several other business services (architectural and engineering activities, employment agencies) or in the area of programming, </w:t>
      </w:r>
      <w:r>
        <w:rPr>
          <w:color w:val="0D0D0D" w:themeColor="text1" w:themeTint="F2"/>
          <w:spacing w:val="-2"/>
          <w:sz w:val="16"/>
          <w:szCs w:val="16"/>
          <w:lang w:val="en-GB"/>
        </w:rPr>
        <w:t xml:space="preserve">telecommunications, </w:t>
      </w:r>
      <w:r w:rsidRPr="006E08BC">
        <w:rPr>
          <w:color w:val="0D0D0D" w:themeColor="text1" w:themeTint="F2"/>
          <w:spacing w:val="-2"/>
          <w:sz w:val="16"/>
          <w:szCs w:val="16"/>
          <w:lang w:val="en-GB"/>
        </w:rPr>
        <w:t>courier activities, food service</w:t>
      </w:r>
      <w:r>
        <w:rPr>
          <w:color w:val="0D0D0D" w:themeColor="text1" w:themeTint="F2"/>
          <w:spacing w:val="-2"/>
          <w:sz w:val="16"/>
          <w:szCs w:val="16"/>
          <w:lang w:val="en-GB"/>
        </w:rPr>
        <w:t xml:space="preserve"> or </w:t>
      </w:r>
      <w:r w:rsidRPr="006E08BC">
        <w:rPr>
          <w:color w:val="0D0D0D" w:themeColor="text1" w:themeTint="F2"/>
          <w:spacing w:val="-2"/>
          <w:sz w:val="16"/>
          <w:szCs w:val="16"/>
          <w:lang w:val="en-GB"/>
        </w:rPr>
        <w:t>accommodatio</w:t>
      </w:r>
      <w:r>
        <w:rPr>
          <w:color w:val="0D0D0D" w:themeColor="text1" w:themeTint="F2"/>
          <w:spacing w:val="-2"/>
          <w:sz w:val="16"/>
          <w:szCs w:val="16"/>
          <w:lang w:val="en-GB"/>
        </w:rPr>
        <w:t>n.</w:t>
      </w:r>
    </w:p>
  </w:footnote>
  <w:footnote w:id="13">
    <w:p w14:paraId="16D2D118" w14:textId="77777777" w:rsidR="00165465" w:rsidRPr="00163F56" w:rsidRDefault="00165465" w:rsidP="00E551F6">
      <w:pPr>
        <w:pStyle w:val="Textpoznpodarou"/>
        <w:jc w:val="both"/>
        <w:rPr>
          <w:sz w:val="16"/>
          <w:szCs w:val="16"/>
          <w:lang w:val="en-GB"/>
        </w:rPr>
      </w:pPr>
      <w:r w:rsidRPr="00163F56">
        <w:rPr>
          <w:rStyle w:val="Znakapoznpodarou"/>
          <w:sz w:val="16"/>
          <w:szCs w:val="16"/>
          <w:lang w:val="en-GB"/>
        </w:rPr>
        <w:footnoteRef/>
      </w:r>
      <w:r w:rsidRPr="00163F56">
        <w:rPr>
          <w:sz w:val="16"/>
          <w:szCs w:val="16"/>
          <w:lang w:val="en-GB"/>
        </w:rPr>
        <w:t xml:space="preserve"> </w:t>
      </w:r>
      <w:r w:rsidRPr="00163F56">
        <w:rPr>
          <w:spacing w:val="-6"/>
          <w:sz w:val="16"/>
          <w:szCs w:val="16"/>
          <w:lang w:val="en-GB"/>
        </w:rPr>
        <w:t xml:space="preserve">Businesses could have indicated more barriers simultaneously. </w:t>
      </w:r>
    </w:p>
  </w:footnote>
  <w:footnote w:id="14">
    <w:p w14:paraId="3BD9357C" w14:textId="77777777" w:rsidR="00165465" w:rsidRPr="004E68B1" w:rsidRDefault="00165465" w:rsidP="006233F9">
      <w:pPr>
        <w:pStyle w:val="Textpoznpodarou"/>
        <w:rPr>
          <w:spacing w:val="-3"/>
          <w:sz w:val="16"/>
          <w:szCs w:val="16"/>
        </w:rPr>
      </w:pPr>
      <w:r w:rsidRPr="004E68B1">
        <w:rPr>
          <w:rStyle w:val="Znakapoznpodarou"/>
          <w:spacing w:val="-3"/>
          <w:sz w:val="16"/>
          <w:szCs w:val="16"/>
        </w:rPr>
        <w:footnoteRef/>
      </w:r>
      <w:r>
        <w:rPr>
          <w:spacing w:val="-3"/>
          <w:sz w:val="16"/>
          <w:szCs w:val="16"/>
        </w:rPr>
        <w:t xml:space="preserve"> </w:t>
      </w:r>
      <w:r w:rsidRPr="00E9248F">
        <w:rPr>
          <w:spacing w:val="-3"/>
          <w:sz w:val="16"/>
          <w:szCs w:val="16"/>
        </w:rPr>
        <w:t>Unless stated otherwise, all data regarding the unemployment rates are sourced from the LFSS (based on the ILO methodology) and are adjusted for seasonal effects.</w:t>
      </w:r>
      <w:r>
        <w:rPr>
          <w:spacing w:val="-3"/>
          <w:sz w:val="16"/>
          <w:szCs w:val="16"/>
        </w:rPr>
        <w:t xml:space="preserve"> </w:t>
      </w:r>
    </w:p>
  </w:footnote>
  <w:footnote w:id="15">
    <w:p w14:paraId="16E5AA92" w14:textId="2BBEE6C1" w:rsidR="00165465" w:rsidRPr="009371CF" w:rsidRDefault="00165465" w:rsidP="006233F9">
      <w:pPr>
        <w:spacing w:after="0" w:line="240" w:lineRule="auto"/>
        <w:rPr>
          <w:rFonts w:eastAsia="Calibri"/>
          <w:spacing w:val="-3"/>
          <w:sz w:val="16"/>
          <w:szCs w:val="16"/>
          <w:lang w:val="en-GB"/>
        </w:rPr>
      </w:pPr>
      <w:r w:rsidRPr="002E40D7">
        <w:rPr>
          <w:rStyle w:val="Znakapoznpodarou"/>
          <w:sz w:val="16"/>
          <w:szCs w:val="16"/>
        </w:rPr>
        <w:footnoteRef/>
      </w:r>
      <w:r w:rsidRPr="002E40D7">
        <w:rPr>
          <w:sz w:val="16"/>
          <w:szCs w:val="16"/>
        </w:rPr>
        <w:t xml:space="preserve"> </w:t>
      </w:r>
      <w:r w:rsidRPr="004B4399">
        <w:rPr>
          <w:rFonts w:eastAsia="Calibri"/>
          <w:spacing w:val="-3"/>
          <w:sz w:val="16"/>
          <w:szCs w:val="16"/>
        </w:rPr>
        <w:t>Unemployment also remains low in the EU</w:t>
      </w:r>
      <w:r>
        <w:rPr>
          <w:rFonts w:eastAsia="Calibri"/>
          <w:spacing w:val="-3"/>
          <w:sz w:val="16"/>
          <w:szCs w:val="16"/>
        </w:rPr>
        <w:t xml:space="preserve"> - </w:t>
      </w:r>
      <w:r w:rsidRPr="004B4399">
        <w:rPr>
          <w:rFonts w:eastAsia="Calibri"/>
          <w:spacing w:val="-3"/>
          <w:sz w:val="16"/>
          <w:szCs w:val="16"/>
        </w:rPr>
        <w:t xml:space="preserve">reaching </w:t>
      </w:r>
      <w:r>
        <w:rPr>
          <w:rFonts w:eastAsia="Calibri"/>
          <w:spacing w:val="-3"/>
          <w:sz w:val="16"/>
          <w:szCs w:val="16"/>
        </w:rPr>
        <w:t xml:space="preserve">flat </w:t>
      </w:r>
      <w:r w:rsidRPr="004B4399">
        <w:rPr>
          <w:rFonts w:eastAsia="Calibri"/>
          <w:spacing w:val="-3"/>
          <w:sz w:val="16"/>
          <w:szCs w:val="16"/>
        </w:rPr>
        <w:t xml:space="preserve">6% in the </w:t>
      </w:r>
      <w:r>
        <w:rPr>
          <w:rFonts w:eastAsia="Calibri"/>
          <w:spacing w:val="-3"/>
          <w:sz w:val="16"/>
          <w:szCs w:val="16"/>
        </w:rPr>
        <w:t xml:space="preserve">group of persons aged </w:t>
      </w:r>
      <w:r w:rsidRPr="004B4399">
        <w:rPr>
          <w:rFonts w:eastAsia="Calibri"/>
          <w:spacing w:val="-3"/>
          <w:sz w:val="16"/>
          <w:szCs w:val="16"/>
        </w:rPr>
        <w:t>15 to 74</w:t>
      </w:r>
      <w:r>
        <w:rPr>
          <w:rFonts w:eastAsia="Calibri"/>
          <w:spacing w:val="-3"/>
          <w:sz w:val="16"/>
          <w:szCs w:val="16"/>
        </w:rPr>
        <w:t xml:space="preserve"> </w:t>
      </w:r>
      <w:r w:rsidRPr="004B4399">
        <w:rPr>
          <w:rFonts w:eastAsia="Calibri"/>
          <w:spacing w:val="-3"/>
          <w:sz w:val="16"/>
          <w:szCs w:val="16"/>
        </w:rPr>
        <w:t>year</w:t>
      </w:r>
      <w:r>
        <w:rPr>
          <w:rFonts w:eastAsia="Calibri"/>
          <w:spacing w:val="-3"/>
          <w:sz w:val="16"/>
          <w:szCs w:val="16"/>
        </w:rPr>
        <w:t xml:space="preserve">s in July this year </w:t>
      </w:r>
      <w:r w:rsidRPr="004B4399">
        <w:rPr>
          <w:rFonts w:eastAsia="Calibri"/>
          <w:spacing w:val="-3"/>
          <w:sz w:val="16"/>
          <w:szCs w:val="16"/>
        </w:rPr>
        <w:t xml:space="preserve"> (6.4% in the euro area). It was unchanged month-on-month a</w:t>
      </w:r>
      <w:r>
        <w:rPr>
          <w:rFonts w:eastAsia="Calibri"/>
          <w:spacing w:val="-3"/>
          <w:sz w:val="16"/>
          <w:szCs w:val="16"/>
        </w:rPr>
        <w:t xml:space="preserve">s well as </w:t>
      </w:r>
      <w:r w:rsidRPr="004B4399">
        <w:rPr>
          <w:rFonts w:eastAsia="Calibri"/>
          <w:spacing w:val="-3"/>
          <w:sz w:val="16"/>
          <w:szCs w:val="16"/>
        </w:rPr>
        <w:t xml:space="preserve">year-on-year. </w:t>
      </w:r>
      <w:r>
        <w:rPr>
          <w:rFonts w:eastAsia="Calibri"/>
          <w:spacing w:val="-3"/>
          <w:sz w:val="16"/>
          <w:szCs w:val="16"/>
        </w:rPr>
        <w:t>The u</w:t>
      </w:r>
      <w:r w:rsidRPr="004B4399">
        <w:rPr>
          <w:rFonts w:eastAsia="Calibri"/>
          <w:spacing w:val="-3"/>
          <w:sz w:val="16"/>
          <w:szCs w:val="16"/>
        </w:rPr>
        <w:t xml:space="preserve">nemployment has thus been virtually stagnating </w:t>
      </w:r>
      <w:r>
        <w:rPr>
          <w:rFonts w:eastAsia="Calibri"/>
          <w:spacing w:val="-3"/>
          <w:sz w:val="16"/>
          <w:szCs w:val="16"/>
        </w:rPr>
        <w:t xml:space="preserve">already </w:t>
      </w:r>
      <w:r w:rsidRPr="004B4399">
        <w:rPr>
          <w:rFonts w:eastAsia="Calibri"/>
          <w:spacing w:val="-3"/>
          <w:sz w:val="16"/>
          <w:szCs w:val="16"/>
        </w:rPr>
        <w:t>for a</w:t>
      </w:r>
      <w:r>
        <w:rPr>
          <w:rFonts w:eastAsia="Calibri"/>
          <w:spacing w:val="-3"/>
          <w:sz w:val="16"/>
          <w:szCs w:val="16"/>
        </w:rPr>
        <w:t xml:space="preserve">pproximately </w:t>
      </w:r>
      <w:r w:rsidRPr="004B4399">
        <w:rPr>
          <w:rFonts w:eastAsia="Calibri"/>
          <w:spacing w:val="-3"/>
          <w:sz w:val="16"/>
          <w:szCs w:val="16"/>
        </w:rPr>
        <w:t>2 years. It is close to a historical low and is 1 p</w:t>
      </w:r>
      <w:r>
        <w:rPr>
          <w:rFonts w:eastAsia="Calibri"/>
          <w:spacing w:val="-3"/>
          <w:sz w:val="16"/>
          <w:szCs w:val="16"/>
        </w:rPr>
        <w:t xml:space="preserve">. p. </w:t>
      </w:r>
      <w:r w:rsidRPr="004B4399">
        <w:rPr>
          <w:rFonts w:eastAsia="Calibri"/>
          <w:spacing w:val="-3"/>
          <w:sz w:val="16"/>
          <w:szCs w:val="16"/>
        </w:rPr>
        <w:t xml:space="preserve">lower </w:t>
      </w:r>
      <w:r>
        <w:rPr>
          <w:rFonts w:eastAsia="Calibri"/>
          <w:spacing w:val="-3"/>
          <w:sz w:val="16"/>
          <w:szCs w:val="16"/>
        </w:rPr>
        <w:t xml:space="preserve">compared to year </w:t>
      </w:r>
      <w:r w:rsidRPr="00742763">
        <w:rPr>
          <w:rFonts w:eastAsia="Calibri"/>
          <w:spacing w:val="-3"/>
          <w:sz w:val="16"/>
          <w:szCs w:val="16"/>
          <w:lang w:val="en-GB"/>
        </w:rPr>
        <w:t xml:space="preserve">2008 (in both the EU and the euro area). Unemployment in the Czech Republic (2.7%) continued to be the lowest </w:t>
      </w:r>
      <w:r>
        <w:rPr>
          <w:rFonts w:eastAsia="Calibri"/>
          <w:spacing w:val="-3"/>
          <w:sz w:val="16"/>
          <w:szCs w:val="16"/>
          <w:lang w:val="en-GB"/>
        </w:rPr>
        <w:t xml:space="preserve">among </w:t>
      </w:r>
      <w:r w:rsidRPr="00742763">
        <w:rPr>
          <w:rFonts w:eastAsia="Calibri"/>
          <w:spacing w:val="-3"/>
          <w:sz w:val="16"/>
          <w:szCs w:val="16"/>
          <w:lang w:val="en-GB"/>
        </w:rPr>
        <w:t>the EU</w:t>
      </w:r>
      <w:r>
        <w:rPr>
          <w:rFonts w:eastAsia="Calibri"/>
          <w:spacing w:val="-3"/>
          <w:sz w:val="16"/>
          <w:szCs w:val="16"/>
          <w:lang w:val="en-GB"/>
        </w:rPr>
        <w:t xml:space="preserve"> states</w:t>
      </w:r>
      <w:r w:rsidRPr="00742763">
        <w:rPr>
          <w:rFonts w:eastAsia="Calibri"/>
          <w:spacing w:val="-3"/>
          <w:sz w:val="16"/>
          <w:szCs w:val="16"/>
          <w:lang w:val="en-GB"/>
        </w:rPr>
        <w:t>, mainly due to m</w:t>
      </w:r>
      <w:r>
        <w:rPr>
          <w:rFonts w:eastAsia="Calibri"/>
          <w:spacing w:val="-3"/>
          <w:sz w:val="16"/>
          <w:szCs w:val="16"/>
          <w:lang w:val="en-GB"/>
        </w:rPr>
        <w:t xml:space="preserve">ales </w:t>
      </w:r>
      <w:r w:rsidRPr="00742763">
        <w:rPr>
          <w:rFonts w:eastAsia="Calibri"/>
          <w:spacing w:val="-3"/>
          <w:sz w:val="16"/>
          <w:szCs w:val="16"/>
          <w:lang w:val="en-GB"/>
        </w:rPr>
        <w:t xml:space="preserve">(2.5%). </w:t>
      </w:r>
      <w:r w:rsidRPr="00691B27">
        <w:rPr>
          <w:rFonts w:eastAsia="Calibri"/>
          <w:spacing w:val="-3"/>
          <w:sz w:val="16"/>
          <w:szCs w:val="16"/>
          <w:lang w:val="en-GB"/>
        </w:rPr>
        <w:t xml:space="preserve">For </w:t>
      </w:r>
      <w:r>
        <w:rPr>
          <w:rFonts w:eastAsia="Calibri"/>
          <w:spacing w:val="-3"/>
          <w:sz w:val="16"/>
          <w:szCs w:val="16"/>
          <w:lang w:val="en-GB"/>
        </w:rPr>
        <w:t>females</w:t>
      </w:r>
      <w:r w:rsidRPr="00691B27">
        <w:rPr>
          <w:rFonts w:eastAsia="Calibri"/>
          <w:spacing w:val="-3"/>
          <w:sz w:val="16"/>
          <w:szCs w:val="16"/>
          <w:lang w:val="en-GB"/>
        </w:rPr>
        <w:t xml:space="preserve">, where </w:t>
      </w:r>
      <w:r>
        <w:rPr>
          <w:rFonts w:eastAsia="Calibri"/>
          <w:spacing w:val="-3"/>
          <w:sz w:val="16"/>
          <w:szCs w:val="16"/>
          <w:lang w:val="en-GB"/>
        </w:rPr>
        <w:t xml:space="preserve">the </w:t>
      </w:r>
      <w:r w:rsidRPr="00691B27">
        <w:rPr>
          <w:rFonts w:eastAsia="Calibri"/>
          <w:spacing w:val="-3"/>
          <w:sz w:val="16"/>
          <w:szCs w:val="16"/>
          <w:lang w:val="en-GB"/>
        </w:rPr>
        <w:t>unemployment traditionally fluctuates more, it has currently reached a slightly lower level in Poland and Malta than in the Czech Republic (3.1%).</w:t>
      </w:r>
      <w:r>
        <w:rPr>
          <w:rFonts w:eastAsia="Calibri"/>
          <w:spacing w:val="-3"/>
          <w:sz w:val="16"/>
          <w:szCs w:val="16"/>
          <w:lang w:val="en-GB"/>
        </w:rPr>
        <w:t xml:space="preserve"> Spain has suffered the highest unemployment rate within the EU already f</w:t>
      </w:r>
      <w:r w:rsidRPr="00691B27">
        <w:rPr>
          <w:rFonts w:eastAsia="Calibri"/>
          <w:spacing w:val="-3"/>
          <w:sz w:val="16"/>
          <w:szCs w:val="16"/>
          <w:lang w:val="en-GB"/>
        </w:rPr>
        <w:t xml:space="preserve">or more than 3 years, </w:t>
      </w:r>
      <w:r>
        <w:rPr>
          <w:rFonts w:eastAsia="Calibri"/>
          <w:spacing w:val="-3"/>
          <w:sz w:val="16"/>
          <w:szCs w:val="16"/>
          <w:lang w:val="en-GB"/>
        </w:rPr>
        <w:t xml:space="preserve">it </w:t>
      </w:r>
      <w:r w:rsidRPr="00691B27">
        <w:rPr>
          <w:rFonts w:eastAsia="Calibri"/>
          <w:spacing w:val="-3"/>
          <w:sz w:val="16"/>
          <w:szCs w:val="16"/>
          <w:lang w:val="en-GB"/>
        </w:rPr>
        <w:t>currently stand</w:t>
      </w:r>
      <w:r>
        <w:rPr>
          <w:rFonts w:eastAsia="Calibri"/>
          <w:spacing w:val="-3"/>
          <w:sz w:val="16"/>
          <w:szCs w:val="16"/>
          <w:lang w:val="en-GB"/>
        </w:rPr>
        <w:t xml:space="preserve">s </w:t>
      </w:r>
      <w:r w:rsidRPr="00691B27">
        <w:rPr>
          <w:rFonts w:eastAsia="Calibri"/>
          <w:spacing w:val="-3"/>
          <w:sz w:val="16"/>
          <w:szCs w:val="16"/>
          <w:lang w:val="en-GB"/>
        </w:rPr>
        <w:t>at 11.5% (</w:t>
      </w:r>
      <w:r>
        <w:rPr>
          <w:rFonts w:eastAsia="Calibri"/>
          <w:spacing w:val="-3"/>
          <w:sz w:val="16"/>
          <w:szCs w:val="16"/>
          <w:lang w:val="en-GB"/>
        </w:rPr>
        <w:t>it is t</w:t>
      </w:r>
      <w:r w:rsidRPr="00691B27">
        <w:rPr>
          <w:rFonts w:eastAsia="Calibri"/>
          <w:spacing w:val="-3"/>
          <w:sz w:val="16"/>
          <w:szCs w:val="16"/>
          <w:lang w:val="en-GB"/>
        </w:rPr>
        <w:t>he highest among both</w:t>
      </w:r>
      <w:r>
        <w:rPr>
          <w:rFonts w:eastAsia="Calibri"/>
          <w:spacing w:val="-3"/>
          <w:sz w:val="16"/>
          <w:szCs w:val="16"/>
          <w:lang w:val="en-GB"/>
        </w:rPr>
        <w:t xml:space="preserve"> males and females</w:t>
      </w:r>
      <w:r w:rsidRPr="00691B27">
        <w:rPr>
          <w:rFonts w:eastAsia="Calibri"/>
          <w:spacing w:val="-3"/>
          <w:sz w:val="16"/>
          <w:szCs w:val="16"/>
          <w:lang w:val="en-GB"/>
        </w:rPr>
        <w:t>). This is followed by Greece (9.9%), whose position is affected by high female unemployment (12.5%).</w:t>
      </w:r>
      <w:r>
        <w:rPr>
          <w:rFonts w:eastAsia="Calibri"/>
          <w:spacing w:val="-3"/>
          <w:sz w:val="16"/>
          <w:szCs w:val="16"/>
          <w:lang w:val="en-GB"/>
        </w:rPr>
        <w:t xml:space="preserve"> </w:t>
      </w:r>
      <w:r w:rsidRPr="00691B27">
        <w:rPr>
          <w:rFonts w:eastAsia="Calibri"/>
          <w:spacing w:val="-3"/>
          <w:sz w:val="16"/>
          <w:szCs w:val="16"/>
          <w:lang w:val="en-GB"/>
        </w:rPr>
        <w:t>On the</w:t>
      </w:r>
      <w:r>
        <w:rPr>
          <w:rFonts w:eastAsia="Calibri"/>
          <w:spacing w:val="-3"/>
          <w:sz w:val="16"/>
          <w:szCs w:val="16"/>
          <w:lang w:val="en-GB"/>
        </w:rPr>
        <w:t xml:space="preserve"> contrary</w:t>
      </w:r>
      <w:r w:rsidRPr="00691B27">
        <w:rPr>
          <w:rFonts w:eastAsia="Calibri"/>
          <w:spacing w:val="-3"/>
          <w:sz w:val="16"/>
          <w:szCs w:val="16"/>
          <w:lang w:val="en-GB"/>
        </w:rPr>
        <w:t xml:space="preserve">, </w:t>
      </w:r>
      <w:r>
        <w:rPr>
          <w:rFonts w:eastAsia="Calibri"/>
          <w:spacing w:val="-3"/>
          <w:sz w:val="16"/>
          <w:szCs w:val="16"/>
          <w:lang w:val="en-GB"/>
        </w:rPr>
        <w:t>m</w:t>
      </w:r>
      <w:r w:rsidRPr="00691B27">
        <w:rPr>
          <w:rFonts w:eastAsia="Calibri"/>
          <w:spacing w:val="-3"/>
          <w:sz w:val="16"/>
          <w:szCs w:val="16"/>
          <w:lang w:val="en-GB"/>
        </w:rPr>
        <w:t>ainly m</w:t>
      </w:r>
      <w:r>
        <w:rPr>
          <w:rFonts w:eastAsia="Calibri"/>
          <w:spacing w:val="-3"/>
          <w:sz w:val="16"/>
          <w:szCs w:val="16"/>
          <w:lang w:val="en-GB"/>
        </w:rPr>
        <w:t xml:space="preserve">ales </w:t>
      </w:r>
      <w:r w:rsidRPr="00691B27">
        <w:rPr>
          <w:rFonts w:eastAsia="Calibri"/>
          <w:spacing w:val="-3"/>
          <w:sz w:val="16"/>
          <w:szCs w:val="16"/>
          <w:lang w:val="en-GB"/>
        </w:rPr>
        <w:t>driv</w:t>
      </w:r>
      <w:r>
        <w:rPr>
          <w:rFonts w:eastAsia="Calibri"/>
          <w:spacing w:val="-3"/>
          <w:sz w:val="16"/>
          <w:szCs w:val="16"/>
          <w:lang w:val="en-GB"/>
        </w:rPr>
        <w:t xml:space="preserve">e the total more than 8% </w:t>
      </w:r>
      <w:r w:rsidRPr="00691B27">
        <w:rPr>
          <w:rFonts w:eastAsia="Calibri"/>
          <w:spacing w:val="-3"/>
          <w:sz w:val="16"/>
          <w:szCs w:val="16"/>
          <w:lang w:val="en-GB"/>
        </w:rPr>
        <w:t xml:space="preserve">unemployment </w:t>
      </w:r>
      <w:r>
        <w:rPr>
          <w:rFonts w:eastAsia="Calibri"/>
          <w:spacing w:val="-3"/>
          <w:sz w:val="16"/>
          <w:szCs w:val="16"/>
          <w:lang w:val="en-GB"/>
        </w:rPr>
        <w:t xml:space="preserve">up </w:t>
      </w:r>
      <w:r w:rsidRPr="00691B27">
        <w:rPr>
          <w:rFonts w:eastAsia="Calibri"/>
          <w:spacing w:val="-3"/>
          <w:sz w:val="16"/>
          <w:szCs w:val="16"/>
          <w:lang w:val="en-GB"/>
        </w:rPr>
        <w:t>(8.9%, 10.1% and 8.4%, respectively)</w:t>
      </w:r>
      <w:r>
        <w:rPr>
          <w:rFonts w:eastAsia="Calibri"/>
          <w:spacing w:val="-3"/>
          <w:sz w:val="16"/>
          <w:szCs w:val="16"/>
          <w:lang w:val="en-GB"/>
        </w:rPr>
        <w:t xml:space="preserve"> in Sweden, Finland and Lithuania</w:t>
      </w:r>
      <w:r w:rsidRPr="00691B27">
        <w:rPr>
          <w:rFonts w:eastAsia="Calibri"/>
          <w:spacing w:val="-3"/>
          <w:sz w:val="16"/>
          <w:szCs w:val="16"/>
          <w:lang w:val="en-GB"/>
        </w:rPr>
        <w:t>.</w:t>
      </w:r>
      <w:r>
        <w:rPr>
          <w:rFonts w:eastAsia="Calibri"/>
          <w:spacing w:val="-3"/>
          <w:sz w:val="16"/>
          <w:szCs w:val="16"/>
          <w:lang w:val="en-GB"/>
        </w:rPr>
        <w:t xml:space="preserve"> </w:t>
      </w:r>
      <w:r w:rsidRPr="009371CF">
        <w:rPr>
          <w:rFonts w:eastAsia="Calibri"/>
          <w:spacing w:val="-3"/>
          <w:sz w:val="16"/>
          <w:szCs w:val="16"/>
          <w:lang w:val="en-GB"/>
        </w:rPr>
        <w:t xml:space="preserve">A year-on-year decrease of total unemployment occurred in 12 EU countries in July </w:t>
      </w:r>
      <w:r w:rsidR="00C9222E">
        <w:rPr>
          <w:rFonts w:eastAsia="Calibri"/>
          <w:spacing w:val="-3"/>
          <w:sz w:val="16"/>
          <w:szCs w:val="16"/>
          <w:lang w:val="en-GB"/>
        </w:rPr>
        <w:t>2024</w:t>
      </w:r>
      <w:r w:rsidRPr="009371CF">
        <w:rPr>
          <w:rFonts w:eastAsia="Calibri"/>
          <w:spacing w:val="-3"/>
          <w:sz w:val="16"/>
          <w:szCs w:val="16"/>
          <w:lang w:val="en-GB"/>
        </w:rPr>
        <w:t xml:space="preserve">– nevertheless it was more notable only in Italy (by 1.3 p.p.), Greece (-1.2) and Croatia (-1.1). </w:t>
      </w:r>
      <w:r>
        <w:rPr>
          <w:rFonts w:eastAsia="Calibri"/>
          <w:spacing w:val="-3"/>
          <w:sz w:val="16"/>
          <w:szCs w:val="16"/>
          <w:lang w:val="en-GB"/>
        </w:rPr>
        <w:t>The un</w:t>
      </w:r>
      <w:r w:rsidRPr="00A1296E">
        <w:rPr>
          <w:rFonts w:eastAsia="Calibri"/>
          <w:spacing w:val="-3"/>
          <w:sz w:val="16"/>
          <w:szCs w:val="16"/>
          <w:lang w:val="en-GB"/>
        </w:rPr>
        <w:t xml:space="preserve">employment worsened </w:t>
      </w:r>
      <w:r>
        <w:rPr>
          <w:rFonts w:eastAsia="Calibri"/>
          <w:spacing w:val="-3"/>
          <w:sz w:val="16"/>
          <w:szCs w:val="16"/>
          <w:lang w:val="en-GB"/>
        </w:rPr>
        <w:t xml:space="preserve">in contrast </w:t>
      </w:r>
      <w:r w:rsidRPr="00A1296E">
        <w:rPr>
          <w:rFonts w:eastAsia="Calibri"/>
          <w:spacing w:val="-3"/>
          <w:sz w:val="16"/>
          <w:szCs w:val="16"/>
          <w:lang w:val="en-GB"/>
        </w:rPr>
        <w:t>by more than 1 p</w:t>
      </w:r>
      <w:r>
        <w:rPr>
          <w:rFonts w:eastAsia="Calibri"/>
          <w:spacing w:val="-3"/>
          <w:sz w:val="16"/>
          <w:szCs w:val="16"/>
          <w:lang w:val="en-GB"/>
        </w:rPr>
        <w:t xml:space="preserve">. p. </w:t>
      </w:r>
      <w:r w:rsidRPr="00A1296E">
        <w:rPr>
          <w:rFonts w:eastAsia="Calibri"/>
          <w:spacing w:val="-3"/>
          <w:sz w:val="16"/>
          <w:szCs w:val="16"/>
          <w:lang w:val="en-GB"/>
        </w:rPr>
        <w:t xml:space="preserve">in </w:t>
      </w:r>
      <w:r>
        <w:rPr>
          <w:rFonts w:eastAsia="Calibri"/>
          <w:spacing w:val="-3"/>
          <w:sz w:val="16"/>
          <w:szCs w:val="16"/>
          <w:lang w:val="en-GB"/>
        </w:rPr>
        <w:t>the N</w:t>
      </w:r>
      <w:r w:rsidRPr="00A1296E">
        <w:rPr>
          <w:rFonts w:eastAsia="Calibri"/>
          <w:spacing w:val="-3"/>
          <w:sz w:val="16"/>
          <w:szCs w:val="16"/>
          <w:lang w:val="en-GB"/>
        </w:rPr>
        <w:t xml:space="preserve">orthern Europe – in Sweden, Lithuania and Finland. </w:t>
      </w:r>
      <w:r>
        <w:rPr>
          <w:rFonts w:eastAsia="Calibri"/>
          <w:spacing w:val="-3"/>
          <w:sz w:val="16"/>
          <w:szCs w:val="16"/>
          <w:lang w:val="en-GB"/>
        </w:rPr>
        <w:t xml:space="preserve">The </w:t>
      </w:r>
      <w:r w:rsidRPr="00A1296E">
        <w:rPr>
          <w:rFonts w:eastAsia="Calibri"/>
          <w:spacing w:val="-3"/>
          <w:sz w:val="16"/>
          <w:szCs w:val="16"/>
          <w:lang w:val="en-GB"/>
        </w:rPr>
        <w:t>unemployment grew only gradually (+0.4 p</w:t>
      </w:r>
      <w:r>
        <w:rPr>
          <w:rFonts w:eastAsia="Calibri"/>
          <w:spacing w:val="-3"/>
          <w:sz w:val="16"/>
          <w:szCs w:val="16"/>
          <w:lang w:val="en-GB"/>
        </w:rPr>
        <w:t>.</w:t>
      </w:r>
      <w:r w:rsidRPr="00A1296E">
        <w:rPr>
          <w:rFonts w:eastAsia="Calibri"/>
          <w:spacing w:val="-3"/>
          <w:sz w:val="16"/>
          <w:szCs w:val="16"/>
          <w:lang w:val="en-GB"/>
        </w:rPr>
        <w:t>p</w:t>
      </w:r>
      <w:r>
        <w:rPr>
          <w:rFonts w:eastAsia="Calibri"/>
          <w:spacing w:val="-3"/>
          <w:sz w:val="16"/>
          <w:szCs w:val="16"/>
          <w:lang w:val="en-GB"/>
        </w:rPr>
        <w:t>.</w:t>
      </w:r>
      <w:r w:rsidRPr="00A1296E">
        <w:rPr>
          <w:rFonts w:eastAsia="Calibri"/>
          <w:spacing w:val="-3"/>
          <w:sz w:val="16"/>
          <w:szCs w:val="16"/>
          <w:lang w:val="en-GB"/>
        </w:rPr>
        <w:t>)</w:t>
      </w:r>
      <w:r>
        <w:rPr>
          <w:rFonts w:eastAsia="Calibri"/>
          <w:spacing w:val="-3"/>
          <w:sz w:val="16"/>
          <w:szCs w:val="16"/>
          <w:lang w:val="en-GB"/>
        </w:rPr>
        <w:t xml:space="preserve"> in Germany</w:t>
      </w:r>
      <w:r w:rsidRPr="00A1296E">
        <w:rPr>
          <w:rFonts w:eastAsia="Calibri"/>
          <w:spacing w:val="-3"/>
          <w:sz w:val="16"/>
          <w:szCs w:val="16"/>
          <w:lang w:val="en-GB"/>
        </w:rPr>
        <w:t>,</w:t>
      </w:r>
      <w:r>
        <w:rPr>
          <w:rFonts w:eastAsia="Calibri"/>
          <w:spacing w:val="-3"/>
          <w:sz w:val="16"/>
          <w:szCs w:val="16"/>
          <w:lang w:val="en-GB"/>
        </w:rPr>
        <w:t xml:space="preserve"> however it</w:t>
      </w:r>
      <w:r w:rsidRPr="00A1296E">
        <w:rPr>
          <w:rFonts w:eastAsia="Calibri"/>
          <w:spacing w:val="-3"/>
          <w:sz w:val="16"/>
          <w:szCs w:val="16"/>
          <w:lang w:val="en-GB"/>
        </w:rPr>
        <w:t xml:space="preserve"> is currently at a three-year high (3.4%). The Czech Republic also </w:t>
      </w:r>
      <w:r>
        <w:rPr>
          <w:rFonts w:eastAsia="Calibri"/>
          <w:spacing w:val="-3"/>
          <w:sz w:val="16"/>
          <w:szCs w:val="16"/>
          <w:lang w:val="en-GB"/>
        </w:rPr>
        <w:t xml:space="preserve">ranks </w:t>
      </w:r>
      <w:r w:rsidRPr="00A1296E">
        <w:rPr>
          <w:rFonts w:eastAsia="Calibri"/>
          <w:spacing w:val="-3"/>
          <w:sz w:val="16"/>
          <w:szCs w:val="16"/>
          <w:lang w:val="en-GB"/>
        </w:rPr>
        <w:t>favourabl</w:t>
      </w:r>
      <w:r>
        <w:rPr>
          <w:rFonts w:eastAsia="Calibri"/>
          <w:spacing w:val="-3"/>
          <w:sz w:val="16"/>
          <w:szCs w:val="16"/>
          <w:lang w:val="en-GB"/>
        </w:rPr>
        <w:t xml:space="preserve">y </w:t>
      </w:r>
      <w:r w:rsidRPr="00A1296E">
        <w:rPr>
          <w:rFonts w:eastAsia="Calibri"/>
          <w:spacing w:val="-3"/>
          <w:sz w:val="16"/>
          <w:szCs w:val="16"/>
          <w:lang w:val="en-GB"/>
        </w:rPr>
        <w:t xml:space="preserve">in terms of unemployment of persons under 25 years of age, as it </w:t>
      </w:r>
      <w:r>
        <w:rPr>
          <w:rFonts w:eastAsia="Calibri"/>
          <w:spacing w:val="-3"/>
          <w:sz w:val="16"/>
          <w:szCs w:val="16"/>
          <w:lang w:val="en-GB"/>
        </w:rPr>
        <w:t xml:space="preserve">belongs to the </w:t>
      </w:r>
      <w:r w:rsidRPr="00A1296E">
        <w:rPr>
          <w:rFonts w:eastAsia="Calibri"/>
          <w:spacing w:val="-3"/>
          <w:sz w:val="16"/>
          <w:szCs w:val="16"/>
          <w:lang w:val="en-GB"/>
        </w:rPr>
        <w:t>one third of the EU countries with the lowest youth unemployment</w:t>
      </w:r>
      <w:r>
        <w:rPr>
          <w:rFonts w:eastAsia="Calibri"/>
          <w:spacing w:val="-3"/>
          <w:sz w:val="16"/>
          <w:szCs w:val="16"/>
          <w:lang w:val="en-GB"/>
        </w:rPr>
        <w:t xml:space="preserve"> in the long-term</w:t>
      </w:r>
      <w:r w:rsidRPr="00A1296E">
        <w:rPr>
          <w:rFonts w:eastAsia="Calibri"/>
          <w:spacing w:val="-3"/>
          <w:sz w:val="16"/>
          <w:szCs w:val="16"/>
          <w:lang w:val="en-GB"/>
        </w:rPr>
        <w:t xml:space="preserve">. It currently stood at 11.6% (14.5% in the EU, and </w:t>
      </w:r>
      <w:r>
        <w:rPr>
          <w:rFonts w:eastAsia="Calibri"/>
          <w:spacing w:val="-3"/>
          <w:sz w:val="16"/>
          <w:szCs w:val="16"/>
          <w:lang w:val="en-GB"/>
        </w:rPr>
        <w:t xml:space="preserve">already </w:t>
      </w:r>
      <w:r w:rsidRPr="00A1296E">
        <w:rPr>
          <w:rFonts w:eastAsia="Calibri"/>
          <w:spacing w:val="-3"/>
          <w:sz w:val="16"/>
          <w:szCs w:val="16"/>
          <w:lang w:val="en-GB"/>
        </w:rPr>
        <w:t xml:space="preserve">seven </w:t>
      </w:r>
      <w:r>
        <w:rPr>
          <w:rFonts w:eastAsia="Calibri"/>
          <w:spacing w:val="-3"/>
          <w:sz w:val="16"/>
          <w:szCs w:val="16"/>
          <w:lang w:val="en-GB"/>
        </w:rPr>
        <w:t>m</w:t>
      </w:r>
      <w:r w:rsidRPr="00A1296E">
        <w:rPr>
          <w:rFonts w:eastAsia="Calibri"/>
          <w:spacing w:val="-3"/>
          <w:sz w:val="16"/>
          <w:szCs w:val="16"/>
          <w:lang w:val="en-GB"/>
        </w:rPr>
        <w:t xml:space="preserve">ember </w:t>
      </w:r>
      <w:r>
        <w:rPr>
          <w:rFonts w:eastAsia="Calibri"/>
          <w:spacing w:val="-3"/>
          <w:sz w:val="16"/>
          <w:szCs w:val="16"/>
          <w:lang w:val="en-GB"/>
        </w:rPr>
        <w:t>s</w:t>
      </w:r>
      <w:r w:rsidRPr="00A1296E">
        <w:rPr>
          <w:rFonts w:eastAsia="Calibri"/>
          <w:spacing w:val="-3"/>
          <w:sz w:val="16"/>
          <w:szCs w:val="16"/>
          <w:lang w:val="en-GB"/>
        </w:rPr>
        <w:t xml:space="preserve">tates – especially Spain and Sweden – </w:t>
      </w:r>
      <w:r>
        <w:rPr>
          <w:rFonts w:eastAsia="Calibri"/>
          <w:spacing w:val="-3"/>
          <w:sz w:val="16"/>
          <w:szCs w:val="16"/>
          <w:lang w:val="en-GB"/>
        </w:rPr>
        <w:t xml:space="preserve">about 25% - </w:t>
      </w:r>
      <w:r w:rsidRPr="00A1296E">
        <w:rPr>
          <w:rFonts w:eastAsia="Calibri"/>
          <w:spacing w:val="-3"/>
          <w:sz w:val="16"/>
          <w:szCs w:val="16"/>
          <w:lang w:val="en-GB"/>
        </w:rPr>
        <w:t>were afflicted by unemployment of more than 20%).</w:t>
      </w:r>
      <w:r>
        <w:rPr>
          <w:rFonts w:eastAsia="Calibri"/>
          <w:spacing w:val="-3"/>
          <w:sz w:val="16"/>
          <w:szCs w:val="16"/>
          <w:lang w:val="en-GB"/>
        </w:rPr>
        <w:t xml:space="preserve"> </w:t>
      </w:r>
    </w:p>
  </w:footnote>
  <w:footnote w:id="16">
    <w:p w14:paraId="03CD5253" w14:textId="77777777" w:rsidR="00165465" w:rsidRPr="009371CF" w:rsidRDefault="00165465" w:rsidP="006233F9">
      <w:pPr>
        <w:pStyle w:val="Textpoznpodarou"/>
        <w:jc w:val="both"/>
        <w:rPr>
          <w:sz w:val="16"/>
          <w:szCs w:val="16"/>
          <w:lang w:val="en-GB"/>
        </w:rPr>
      </w:pPr>
      <w:r w:rsidRPr="009371CF">
        <w:rPr>
          <w:rStyle w:val="Znakapoznpodarou"/>
          <w:sz w:val="16"/>
          <w:szCs w:val="16"/>
          <w:lang w:val="en-GB"/>
        </w:rPr>
        <w:footnoteRef/>
      </w:r>
      <w:r w:rsidRPr="009371CF">
        <w:rPr>
          <w:sz w:val="16"/>
          <w:szCs w:val="16"/>
          <w:lang w:val="en-GB"/>
        </w:rPr>
        <w:t xml:space="preserve"> </w:t>
      </w:r>
      <w:r w:rsidRPr="00B6649A">
        <w:rPr>
          <w:sz w:val="16"/>
          <w:szCs w:val="16"/>
          <w:lang w:val="en-GB"/>
        </w:rPr>
        <w:t>Only less than one fifth of this quantity is however able to join the workforce immediately. S</w:t>
      </w:r>
      <w:r>
        <w:rPr>
          <w:sz w:val="16"/>
          <w:szCs w:val="16"/>
          <w:lang w:val="en-GB"/>
        </w:rPr>
        <w:t>ince a s</w:t>
      </w:r>
      <w:r w:rsidRPr="00B6649A">
        <w:rPr>
          <w:sz w:val="16"/>
          <w:szCs w:val="16"/>
          <w:lang w:val="en-GB"/>
        </w:rPr>
        <w:t>ignificant part of working reserves consists of students and females on the parental leave.</w:t>
      </w:r>
      <w:r>
        <w:rPr>
          <w:sz w:val="16"/>
          <w:szCs w:val="16"/>
          <w:lang w:val="en-GB"/>
        </w:rPr>
        <w:t xml:space="preserve"> </w:t>
      </w:r>
    </w:p>
  </w:footnote>
  <w:footnote w:id="17">
    <w:p w14:paraId="4D612D61" w14:textId="77777777" w:rsidR="00165465" w:rsidRPr="00541F19" w:rsidRDefault="00165465" w:rsidP="00E551F6">
      <w:pPr>
        <w:pStyle w:val="Textpoznpodarou"/>
        <w:jc w:val="both"/>
        <w:rPr>
          <w:sz w:val="16"/>
          <w:szCs w:val="16"/>
          <w:lang w:val="en-GB"/>
        </w:rPr>
      </w:pPr>
      <w:r w:rsidRPr="000B0BEA">
        <w:rPr>
          <w:rStyle w:val="Znakapoznpodarou"/>
          <w:sz w:val="16"/>
          <w:szCs w:val="16"/>
        </w:rPr>
        <w:footnoteRef/>
      </w:r>
      <w:r w:rsidRPr="000B0BEA">
        <w:rPr>
          <w:sz w:val="16"/>
          <w:szCs w:val="16"/>
        </w:rPr>
        <w:t xml:space="preserve"> </w:t>
      </w:r>
      <w:r w:rsidRPr="00541F19">
        <w:rPr>
          <w:sz w:val="16"/>
          <w:szCs w:val="16"/>
          <w:lang w:val="en-GB"/>
        </w:rPr>
        <w:t>Only a smaller proportion of vacancies can be considered active – only 122,000 jobs were advertised at the LO for less than half a year. According to the experimental statistics of the CZSO (survey of companies since year 2020), the offer of domestic companies was estimated at 111</w:t>
      </w:r>
      <w:r>
        <w:rPr>
          <w:sz w:val="16"/>
          <w:szCs w:val="16"/>
          <w:lang w:val="en-GB"/>
        </w:rPr>
        <w:t> </w:t>
      </w:r>
      <w:r w:rsidRPr="00541F19">
        <w:rPr>
          <w:sz w:val="16"/>
          <w:szCs w:val="16"/>
          <w:lang w:val="en-GB"/>
        </w:rPr>
        <w:t xml:space="preserve">thousand vacancies in Q2 2024 (these are only jobs in an employment relationship, not temporary jobs, e.g. various types of agreements). The number of vacancies increased by 10%, year-on-year (they grew in Q1, while it on the contrary decreased or stagnated during the last year). Currently, especially the supply of vacancies in public services increased (mainly in health and social care), further in trade, tourism, administrative and support service activities </w:t>
      </w:r>
      <w:r>
        <w:rPr>
          <w:sz w:val="16"/>
          <w:szCs w:val="16"/>
          <w:lang w:val="en-GB"/>
        </w:rPr>
        <w:t xml:space="preserve">as well as </w:t>
      </w:r>
      <w:r w:rsidRPr="00541F19">
        <w:rPr>
          <w:sz w:val="16"/>
          <w:szCs w:val="16"/>
          <w:lang w:val="en-GB"/>
        </w:rPr>
        <w:t xml:space="preserve">in agriculture. In contrast, the number of vacancies decreased especially in industry, the same as last year. </w:t>
      </w:r>
    </w:p>
  </w:footnote>
  <w:footnote w:id="18">
    <w:p w14:paraId="2416C78B" w14:textId="77777777" w:rsidR="00165465" w:rsidRPr="00541F19" w:rsidRDefault="00165465" w:rsidP="00E551F6">
      <w:pPr>
        <w:pStyle w:val="Textpoznpodarou"/>
        <w:jc w:val="both"/>
        <w:rPr>
          <w:sz w:val="16"/>
          <w:szCs w:val="16"/>
          <w:lang w:val="en-GB"/>
        </w:rPr>
      </w:pPr>
      <w:r w:rsidRPr="00541F19">
        <w:rPr>
          <w:rStyle w:val="Znakapoznpodarou"/>
          <w:sz w:val="16"/>
          <w:szCs w:val="16"/>
          <w:lang w:val="en-GB"/>
        </w:rPr>
        <w:footnoteRef/>
      </w:r>
      <w:r w:rsidRPr="00541F19">
        <w:rPr>
          <w:sz w:val="16"/>
          <w:szCs w:val="16"/>
          <w:lang w:val="en-GB"/>
        </w:rPr>
        <w:t xml:space="preserve"> Tariff adjustments were performed here from January 2024 and personal allowances increased for many employees.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142A"/>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08A7"/>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80D3D"/>
    <w:rsid w:val="00987A30"/>
    <w:rsid w:val="00992CF3"/>
    <w:rsid w:val="009930C0"/>
    <w:rsid w:val="00994868"/>
    <w:rsid w:val="009968D6"/>
    <w:rsid w:val="009A1CAB"/>
    <w:rsid w:val="009A60D1"/>
    <w:rsid w:val="009A75AE"/>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1B20"/>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4\1.%20pololet&#237;\ENGL\ENGL-TRH%20PR&#193;CE%20grafy-rok-2q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4\1.%20pololet&#237;\ENGL\ENGL-TRH%20PR&#193;CE%20grafy-rok-2q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Qmakro-2024\1.%20pololet&#237;\ENGL\ENGL-TRH%20PR&#193;CE%20grafy-rok-2q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Agriculture, forestry and fishing</c:v>
                </c:pt>
              </c:strCache>
            </c:strRef>
          </c:tx>
          <c:spPr>
            <a:solidFill>
              <a:srgbClr val="7DBB2D"/>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1-SNÚ'!$AC$28:$AC$66</c:f>
              <c:numCache>
                <c:formatCode>#\ ##0.0</c:formatCode>
                <c:ptCount val="39"/>
                <c:pt idx="0">
                  <c:v>-6.1573326356334918E-2</c:v>
                </c:pt>
                <c:pt idx="1">
                  <c:v>-5.9676888347252419E-2</c:v>
                </c:pt>
                <c:pt idx="2">
                  <c:v>-7.707844703464159E-2</c:v>
                </c:pt>
                <c:pt idx="3">
                  <c:v>-0.14243709499262253</c:v>
                </c:pt>
                <c:pt idx="4">
                  <c:v>-0.13840014711933823</c:v>
                </c:pt>
                <c:pt idx="5">
                  <c:v>-4.8650842041975666E-2</c:v>
                </c:pt>
                <c:pt idx="6">
                  <c:v>-5.6369916424211908E-2</c:v>
                </c:pt>
                <c:pt idx="7">
                  <c:v>5.3611107528481909E-2</c:v>
                </c:pt>
                <c:pt idx="8">
                  <c:v>0.11362815565462964</c:v>
                </c:pt>
                <c:pt idx="9">
                  <c:v>5.0071347365045656E-2</c:v>
                </c:pt>
                <c:pt idx="10">
                  <c:v>4.1044524794336977E-2</c:v>
                </c:pt>
                <c:pt idx="11">
                  <c:v>-6.8207996146105745E-2</c:v>
                </c:pt>
                <c:pt idx="12">
                  <c:v>1.1563918372028041E-2</c:v>
                </c:pt>
                <c:pt idx="13">
                  <c:v>9.9469652773378076E-3</c:v>
                </c:pt>
                <c:pt idx="14">
                  <c:v>-4.5877079510242644E-3</c:v>
                </c:pt>
                <c:pt idx="15">
                  <c:v>6.1002100013741969E-2</c:v>
                </c:pt>
                <c:pt idx="16">
                  <c:v>-7.7206500491187602E-2</c:v>
                </c:pt>
                <c:pt idx="17">
                  <c:v>-0.12546310619157755</c:v>
                </c:pt>
                <c:pt idx="18">
                  <c:v>-0.15916772896693915</c:v>
                </c:pt>
                <c:pt idx="19">
                  <c:v>-0.17729355041451639</c:v>
                </c:pt>
                <c:pt idx="20">
                  <c:v>-0.22963797478861914</c:v>
                </c:pt>
                <c:pt idx="21">
                  <c:v>-0.16486981249577076</c:v>
                </c:pt>
                <c:pt idx="22">
                  <c:v>-7.1458262303198058E-2</c:v>
                </c:pt>
                <c:pt idx="23">
                  <c:v>-7.1155713762608958E-2</c:v>
                </c:pt>
                <c:pt idx="24">
                  <c:v>1.988648589111628E-2</c:v>
                </c:pt>
                <c:pt idx="25">
                  <c:v>-4.5264025753272527E-2</c:v>
                </c:pt>
                <c:pt idx="26">
                  <c:v>-5.6861720003765062E-2</c:v>
                </c:pt>
                <c:pt idx="27">
                  <c:v>-7.103915889635871E-4</c:v>
                </c:pt>
                <c:pt idx="28">
                  <c:v>0.1001903961167062</c:v>
                </c:pt>
                <c:pt idx="29">
                  <c:v>0.19187936731668201</c:v>
                </c:pt>
                <c:pt idx="30">
                  <c:v>0.16694191816358248</c:v>
                </c:pt>
                <c:pt idx="31">
                  <c:v>8.0972483290481317E-2</c:v>
                </c:pt>
                <c:pt idx="32">
                  <c:v>2.7154047787342289E-2</c:v>
                </c:pt>
                <c:pt idx="33">
                  <c:v>1.721751485384958E-3</c:v>
                </c:pt>
                <c:pt idx="34">
                  <c:v>-7.2914232297264774E-3</c:v>
                </c:pt>
                <c:pt idx="35">
                  <c:v>2.8663087455489521E-2</c:v>
                </c:pt>
                <c:pt idx="36">
                  <c:v>5.2660373376390415E-2</c:v>
                </c:pt>
                <c:pt idx="37">
                  <c:v>4.7286611297760767E-2</c:v>
                </c:pt>
              </c:numCache>
            </c:numRef>
          </c:val>
          <c:extLst>
            <c:ext xmlns:c16="http://schemas.microsoft.com/office/drawing/2014/chart" uri="{C3380CC4-5D6E-409C-BE32-E72D297353CC}">
              <c16:uniqueId val="{00000000-B636-4356-A894-D8B51B3E6067}"/>
            </c:ext>
          </c:extLst>
        </c:ser>
        <c:ser>
          <c:idx val="1"/>
          <c:order val="1"/>
          <c:tx>
            <c:strRef>
              <c:f>'Trh práce 1-SNÚ'!$AD$7</c:f>
              <c:strCache>
                <c:ptCount val="1"/>
                <c:pt idx="0">
                  <c:v>Manufacturing </c:v>
                </c:pt>
              </c:strCache>
            </c:strRef>
          </c:tx>
          <c:spPr>
            <a:solidFill>
              <a:srgbClr val="A6CDE8"/>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1-SNÚ'!$AD$28:$AD$66</c:f>
              <c:numCache>
                <c:formatCode>#\ ##0.0</c:formatCode>
                <c:ptCount val="39"/>
                <c:pt idx="0">
                  <c:v>0.88665589953122292</c:v>
                </c:pt>
                <c:pt idx="1">
                  <c:v>0.90523042979145274</c:v>
                </c:pt>
                <c:pt idx="2">
                  <c:v>0.77326960941049294</c:v>
                </c:pt>
                <c:pt idx="3">
                  <c:v>0.91244318301403449</c:v>
                </c:pt>
                <c:pt idx="4">
                  <c:v>0.62615046214619641</c:v>
                </c:pt>
                <c:pt idx="5">
                  <c:v>0.36311412514139912</c:v>
                </c:pt>
                <c:pt idx="6">
                  <c:v>0.36892459176709286</c:v>
                </c:pt>
                <c:pt idx="7">
                  <c:v>0.20801494720027841</c:v>
                </c:pt>
                <c:pt idx="8">
                  <c:v>0.34123025002420737</c:v>
                </c:pt>
                <c:pt idx="9">
                  <c:v>0.52235302041005405</c:v>
                </c:pt>
                <c:pt idx="10">
                  <c:v>0.6007043202184712</c:v>
                </c:pt>
                <c:pt idx="11">
                  <c:v>0.58624629993025279</c:v>
                </c:pt>
                <c:pt idx="12">
                  <c:v>0.11964573015131148</c:v>
                </c:pt>
                <c:pt idx="13">
                  <c:v>7.6152907170797243E-2</c:v>
                </c:pt>
                <c:pt idx="14">
                  <c:v>-0.12298441683462999</c:v>
                </c:pt>
                <c:pt idx="15">
                  <c:v>-0.10363777422981803</c:v>
                </c:pt>
                <c:pt idx="16">
                  <c:v>-4.3879683818856575E-2</c:v>
                </c:pt>
                <c:pt idx="17">
                  <c:v>-0.13090182754073737</c:v>
                </c:pt>
                <c:pt idx="18">
                  <c:v>-0.222700438793799</c:v>
                </c:pt>
                <c:pt idx="19">
                  <c:v>-0.5875860652367344</c:v>
                </c:pt>
                <c:pt idx="20">
                  <c:v>-1.0288745963154016</c:v>
                </c:pt>
                <c:pt idx="21">
                  <c:v>-1.3602085728947291</c:v>
                </c:pt>
                <c:pt idx="22">
                  <c:v>-1.3450219745832801</c:v>
                </c:pt>
                <c:pt idx="23">
                  <c:v>-1.0779931429042369</c:v>
                </c:pt>
                <c:pt idx="24">
                  <c:v>-0.34893294500656458</c:v>
                </c:pt>
                <c:pt idx="25">
                  <c:v>2.32270870065563E-3</c:v>
                </c:pt>
                <c:pt idx="26">
                  <c:v>0.30744821432919089</c:v>
                </c:pt>
                <c:pt idx="27">
                  <c:v>0.30287641394325915</c:v>
                </c:pt>
                <c:pt idx="28">
                  <c:v>-3.0965857946131374E-2</c:v>
                </c:pt>
                <c:pt idx="29">
                  <c:v>0.16543682902296636</c:v>
                </c:pt>
                <c:pt idx="30">
                  <c:v>-2.5206250094264231E-2</c:v>
                </c:pt>
                <c:pt idx="31">
                  <c:v>-8.6847696031558105E-2</c:v>
                </c:pt>
                <c:pt idx="32">
                  <c:v>0.20651069351362475</c:v>
                </c:pt>
                <c:pt idx="33">
                  <c:v>-2.3281074432813999E-2</c:v>
                </c:pt>
                <c:pt idx="34">
                  <c:v>-0.23904650619303264</c:v>
                </c:pt>
                <c:pt idx="35">
                  <c:v>-0.18165745517748966</c:v>
                </c:pt>
                <c:pt idx="36">
                  <c:v>-0.56622475044999632</c:v>
                </c:pt>
                <c:pt idx="37">
                  <c:v>-0.6585132748737107</c:v>
                </c:pt>
              </c:numCache>
            </c:numRef>
          </c:val>
          <c:extLst>
            <c:ext xmlns:c16="http://schemas.microsoft.com/office/drawing/2014/chart" uri="{C3380CC4-5D6E-409C-BE32-E72D297353CC}">
              <c16:uniqueId val="{00000001-B636-4356-A894-D8B51B3E6067}"/>
            </c:ext>
          </c:extLst>
        </c:ser>
        <c:ser>
          <c:idx val="2"/>
          <c:order val="2"/>
          <c:tx>
            <c:strRef>
              <c:f>'Trh práce 1-SNÚ'!$AE$7</c:f>
              <c:strCache>
                <c:ptCount val="1"/>
                <c:pt idx="0">
                  <c:v>Construction</c:v>
                </c:pt>
              </c:strCache>
            </c:strRef>
          </c:tx>
          <c:spPr>
            <a:solidFill>
              <a:srgbClr val="48AEE7"/>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1-SNÚ'!$AE$28:$AE$66</c:f>
              <c:numCache>
                <c:formatCode>#\ ##0.0</c:formatCode>
                <c:ptCount val="39"/>
                <c:pt idx="0">
                  <c:v>-0.10117304071905125</c:v>
                </c:pt>
                <c:pt idx="1">
                  <c:v>-9.1106454297089121E-2</c:v>
                </c:pt>
                <c:pt idx="2">
                  <c:v>-0.14253348773808819</c:v>
                </c:pt>
                <c:pt idx="3">
                  <c:v>-0.16445842723255458</c:v>
                </c:pt>
                <c:pt idx="4">
                  <c:v>-0.1244766301438134</c:v>
                </c:pt>
                <c:pt idx="5">
                  <c:v>-0.14361558611517708</c:v>
                </c:pt>
                <c:pt idx="6">
                  <c:v>-5.3202850205105789E-2</c:v>
                </c:pt>
                <c:pt idx="7">
                  <c:v>-1.892269971292557E-2</c:v>
                </c:pt>
                <c:pt idx="8">
                  <c:v>-2.522295323322548E-2</c:v>
                </c:pt>
                <c:pt idx="9">
                  <c:v>-4.955475341057251E-3</c:v>
                </c:pt>
                <c:pt idx="10">
                  <c:v>4.3264182079252173E-2</c:v>
                </c:pt>
                <c:pt idx="11">
                  <c:v>-9.7203529235831032E-2</c:v>
                </c:pt>
                <c:pt idx="12">
                  <c:v>5.0774905955341509E-2</c:v>
                </c:pt>
                <c:pt idx="13">
                  <c:v>9.1527209015807957E-3</c:v>
                </c:pt>
                <c:pt idx="14">
                  <c:v>-5.7910411840798107E-3</c:v>
                </c:pt>
                <c:pt idx="15">
                  <c:v>5.1320718963795246E-2</c:v>
                </c:pt>
                <c:pt idx="16">
                  <c:v>-4.7853409991260497E-2</c:v>
                </c:pt>
                <c:pt idx="17">
                  <c:v>2.6839717342942881E-2</c:v>
                </c:pt>
                <c:pt idx="18">
                  <c:v>4.1303727040787566E-2</c:v>
                </c:pt>
                <c:pt idx="19">
                  <c:v>5.3863451406236225E-2</c:v>
                </c:pt>
                <c:pt idx="20">
                  <c:v>-5.219809701293044E-2</c:v>
                </c:pt>
                <c:pt idx="21">
                  <c:v>-0.28539533059612732</c:v>
                </c:pt>
                <c:pt idx="22">
                  <c:v>-0.16438202614531755</c:v>
                </c:pt>
                <c:pt idx="23">
                  <c:v>-8.379854260961106E-2</c:v>
                </c:pt>
                <c:pt idx="24">
                  <c:v>0.10062675606296018</c:v>
                </c:pt>
                <c:pt idx="25">
                  <c:v>0.31345049895046107</c:v>
                </c:pt>
                <c:pt idx="26">
                  <c:v>0.17250227801546797</c:v>
                </c:pt>
                <c:pt idx="27">
                  <c:v>0.23625320276207945</c:v>
                </c:pt>
                <c:pt idx="28">
                  <c:v>0.12256523305435475</c:v>
                </c:pt>
                <c:pt idx="29">
                  <c:v>0.14558592922631924</c:v>
                </c:pt>
                <c:pt idx="30">
                  <c:v>0.1425086346017527</c:v>
                </c:pt>
                <c:pt idx="31">
                  <c:v>0.1263359047432184</c:v>
                </c:pt>
                <c:pt idx="32">
                  <c:v>0.27042481713564209</c:v>
                </c:pt>
                <c:pt idx="33">
                  <c:v>0.23488807492463704</c:v>
                </c:pt>
                <c:pt idx="34">
                  <c:v>0.19670016358962122</c:v>
                </c:pt>
                <c:pt idx="35">
                  <c:v>9.2659876591768275E-2</c:v>
                </c:pt>
                <c:pt idx="36">
                  <c:v>-9.6882420208916353E-2</c:v>
                </c:pt>
                <c:pt idx="37">
                  <c:v>-6.2709378412496367E-2</c:v>
                </c:pt>
              </c:numCache>
            </c:numRef>
          </c:val>
          <c:extLst>
            <c:ext xmlns:c16="http://schemas.microsoft.com/office/drawing/2014/chart" uri="{C3380CC4-5D6E-409C-BE32-E72D297353CC}">
              <c16:uniqueId val="{00000002-B636-4356-A894-D8B51B3E6067}"/>
            </c:ext>
          </c:extLst>
        </c:ser>
        <c:ser>
          <c:idx val="3"/>
          <c:order val="3"/>
          <c:tx>
            <c:strRef>
              <c:f>'Trh práce 1-SNÚ'!$AF$7</c:f>
              <c:strCache>
                <c:ptCount val="1"/>
                <c:pt idx="0">
                  <c:v>Trade,transport.,accommod.,food serv.</c:v>
                </c:pt>
              </c:strCache>
            </c:strRef>
          </c:tx>
          <c:spPr>
            <a:solidFill>
              <a:srgbClr val="FDDEB3"/>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1-SNÚ'!$AF$28:$AF$66</c:f>
              <c:numCache>
                <c:formatCode>#\ ##0.0</c:formatCode>
                <c:ptCount val="39"/>
                <c:pt idx="0">
                  <c:v>0.25998500994419238</c:v>
                </c:pt>
                <c:pt idx="1">
                  <c:v>0.48955477662614383</c:v>
                </c:pt>
                <c:pt idx="2">
                  <c:v>0.32600328194900458</c:v>
                </c:pt>
                <c:pt idx="3">
                  <c:v>0.15828076146259132</c:v>
                </c:pt>
                <c:pt idx="4">
                  <c:v>-5.6703862717618583E-2</c:v>
                </c:pt>
                <c:pt idx="5">
                  <c:v>7.8393714906065587E-2</c:v>
                </c:pt>
                <c:pt idx="6">
                  <c:v>-0.13956333881390184</c:v>
                </c:pt>
                <c:pt idx="7">
                  <c:v>-7.6460796805432718E-2</c:v>
                </c:pt>
                <c:pt idx="8">
                  <c:v>0.15973256369708291</c:v>
                </c:pt>
                <c:pt idx="9">
                  <c:v>-1.5191688883395588E-2</c:v>
                </c:pt>
                <c:pt idx="10">
                  <c:v>0.35531738037577776</c:v>
                </c:pt>
                <c:pt idx="11">
                  <c:v>0.17142372253177482</c:v>
                </c:pt>
                <c:pt idx="12">
                  <c:v>0.11459482327617278</c:v>
                </c:pt>
                <c:pt idx="13">
                  <c:v>0.34360524541678317</c:v>
                </c:pt>
                <c:pt idx="14">
                  <c:v>0.13954905087091021</c:v>
                </c:pt>
                <c:pt idx="15">
                  <c:v>0.16123729177746221</c:v>
                </c:pt>
                <c:pt idx="16">
                  <c:v>9.5669331999762464E-2</c:v>
                </c:pt>
                <c:pt idx="17">
                  <c:v>-0.18752413199774384</c:v>
                </c:pt>
                <c:pt idx="18">
                  <c:v>-0.32173233019841657</c:v>
                </c:pt>
                <c:pt idx="19">
                  <c:v>-0.34416791851901818</c:v>
                </c:pt>
                <c:pt idx="20">
                  <c:v>-0.17007381394220211</c:v>
                </c:pt>
                <c:pt idx="21">
                  <c:v>-0.68801691905386031</c:v>
                </c:pt>
                <c:pt idx="22">
                  <c:v>-0.5805213183815886</c:v>
                </c:pt>
                <c:pt idx="23">
                  <c:v>-1.024799611162776</c:v>
                </c:pt>
                <c:pt idx="24">
                  <c:v>-0.89384919901442583</c:v>
                </c:pt>
                <c:pt idx="25">
                  <c:v>-0.27162254639898481</c:v>
                </c:pt>
                <c:pt idx="26">
                  <c:v>0.18479100442221555</c:v>
                </c:pt>
                <c:pt idx="27">
                  <c:v>0.62815896259788329</c:v>
                </c:pt>
                <c:pt idx="28">
                  <c:v>6.9644543642100654E-2</c:v>
                </c:pt>
                <c:pt idx="29">
                  <c:v>0.38341680525887634</c:v>
                </c:pt>
                <c:pt idx="30">
                  <c:v>-5.4710948222554075E-2</c:v>
                </c:pt>
                <c:pt idx="31">
                  <c:v>-0.15716194082380397</c:v>
                </c:pt>
                <c:pt idx="32">
                  <c:v>0.22884281777327048</c:v>
                </c:pt>
                <c:pt idx="33">
                  <c:v>0.16863807211743323</c:v>
                </c:pt>
                <c:pt idx="34">
                  <c:v>0.26428604814208584</c:v>
                </c:pt>
                <c:pt idx="35">
                  <c:v>0.30836175507036739</c:v>
                </c:pt>
                <c:pt idx="36">
                  <c:v>0.34109094336578877</c:v>
                </c:pt>
                <c:pt idx="37">
                  <c:v>0.37864467018422299</c:v>
                </c:pt>
              </c:numCache>
            </c:numRef>
          </c:val>
          <c:extLst>
            <c:ext xmlns:c16="http://schemas.microsoft.com/office/drawing/2014/chart" uri="{C3380CC4-5D6E-409C-BE32-E72D297353CC}">
              <c16:uniqueId val="{00000003-B636-4356-A894-D8B51B3E6067}"/>
            </c:ext>
          </c:extLst>
        </c:ser>
        <c:ser>
          <c:idx val="4"/>
          <c:order val="4"/>
          <c:tx>
            <c:strRef>
              <c:f>'Trh práce 1-SNÚ'!$AG$7</c:f>
              <c:strCache>
                <c:ptCount val="1"/>
                <c:pt idx="0">
                  <c:v>Information and communication</c:v>
                </c:pt>
              </c:strCache>
            </c:strRef>
          </c:tx>
          <c:spPr>
            <a:solidFill>
              <a:srgbClr val="F8A124"/>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1-SNÚ'!$AG$28:$AG$66</c:f>
              <c:numCache>
                <c:formatCode>#\ ##0.0</c:formatCode>
                <c:ptCount val="39"/>
                <c:pt idx="0">
                  <c:v>1.4183504250133379E-2</c:v>
                </c:pt>
                <c:pt idx="1">
                  <c:v>5.629821000764499E-2</c:v>
                </c:pt>
                <c:pt idx="2">
                  <c:v>6.26372452292175E-2</c:v>
                </c:pt>
                <c:pt idx="3">
                  <c:v>9.4516337489973887E-2</c:v>
                </c:pt>
                <c:pt idx="4">
                  <c:v>0.10299907118296198</c:v>
                </c:pt>
                <c:pt idx="5">
                  <c:v>9.0773702896897832E-2</c:v>
                </c:pt>
                <c:pt idx="6">
                  <c:v>0.11426543181982249</c:v>
                </c:pt>
                <c:pt idx="7">
                  <c:v>0.13630888775913119</c:v>
                </c:pt>
                <c:pt idx="8">
                  <c:v>0.10306256214490077</c:v>
                </c:pt>
                <c:pt idx="9">
                  <c:v>0.113076676701345</c:v>
                </c:pt>
                <c:pt idx="10">
                  <c:v>0.14247903571964249</c:v>
                </c:pt>
                <c:pt idx="11">
                  <c:v>0.13951722056886845</c:v>
                </c:pt>
                <c:pt idx="12">
                  <c:v>0.13227299733915818</c:v>
                </c:pt>
                <c:pt idx="13">
                  <c:v>0.14892082045443958</c:v>
                </c:pt>
                <c:pt idx="14">
                  <c:v>0.10555488703709108</c:v>
                </c:pt>
                <c:pt idx="15">
                  <c:v>0.12454203777844085</c:v>
                </c:pt>
                <c:pt idx="16">
                  <c:v>0.1256784621979638</c:v>
                </c:pt>
                <c:pt idx="17">
                  <c:v>7.6458736775003838E-2</c:v>
                </c:pt>
                <c:pt idx="18">
                  <c:v>0.11512037432787062</c:v>
                </c:pt>
                <c:pt idx="19">
                  <c:v>0.12022992158448997</c:v>
                </c:pt>
                <c:pt idx="20">
                  <c:v>9.8320126142908748E-2</c:v>
                </c:pt>
                <c:pt idx="21">
                  <c:v>5.3757438014449162E-2</c:v>
                </c:pt>
                <c:pt idx="22">
                  <c:v>7.7959563030390977E-2</c:v>
                </c:pt>
                <c:pt idx="23">
                  <c:v>5.8793836667762431E-2</c:v>
                </c:pt>
                <c:pt idx="24">
                  <c:v>2.8455305359929017E-2</c:v>
                </c:pt>
                <c:pt idx="25">
                  <c:v>8.2292993386038724E-2</c:v>
                </c:pt>
                <c:pt idx="26">
                  <c:v>6.4760246180956965E-2</c:v>
                </c:pt>
                <c:pt idx="27">
                  <c:v>-2.2214136984618119E-2</c:v>
                </c:pt>
                <c:pt idx="28">
                  <c:v>0.19577982320442494</c:v>
                </c:pt>
                <c:pt idx="29">
                  <c:v>0.1773093767482338</c:v>
                </c:pt>
                <c:pt idx="30">
                  <c:v>0.17446420222312728</c:v>
                </c:pt>
                <c:pt idx="31">
                  <c:v>0.25679575689123113</c:v>
                </c:pt>
                <c:pt idx="32">
                  <c:v>0.141934737250551</c:v>
                </c:pt>
                <c:pt idx="33">
                  <c:v>6.7279310760423094E-2</c:v>
                </c:pt>
                <c:pt idx="34">
                  <c:v>2.9427436316896094E-2</c:v>
                </c:pt>
                <c:pt idx="35">
                  <c:v>1.8012526927700064E-2</c:v>
                </c:pt>
                <c:pt idx="36">
                  <c:v>4.7016194694732727E-2</c:v>
                </c:pt>
                <c:pt idx="37">
                  <c:v>1.3904559547618768E-2</c:v>
                </c:pt>
              </c:numCache>
            </c:numRef>
          </c:val>
          <c:extLst>
            <c:ext xmlns:c16="http://schemas.microsoft.com/office/drawing/2014/chart" uri="{C3380CC4-5D6E-409C-BE32-E72D297353CC}">
              <c16:uniqueId val="{00000004-B636-4356-A894-D8B51B3E6067}"/>
            </c:ext>
          </c:extLst>
        </c:ser>
        <c:ser>
          <c:idx val="5"/>
          <c:order val="5"/>
          <c:tx>
            <c:strRef>
              <c:f>'Trh práce 1-SNÚ'!$AH$7</c:f>
              <c:strCache>
                <c:ptCount val="1"/>
                <c:pt idx="0">
                  <c:v>Professional,scient.,technic.,admin.act.</c:v>
                </c:pt>
              </c:strCache>
            </c:strRef>
          </c:tx>
          <c:spPr>
            <a:solidFill>
              <a:srgbClr val="E8C0BE"/>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1-SNÚ'!$AH$28:$AH$66</c:f>
              <c:numCache>
                <c:formatCode>#\ ##0.0</c:formatCode>
                <c:ptCount val="39"/>
                <c:pt idx="0">
                  <c:v>0.11759915174382432</c:v>
                </c:pt>
                <c:pt idx="1">
                  <c:v>0.14665821211342547</c:v>
                </c:pt>
                <c:pt idx="2">
                  <c:v>0.27033225330885341</c:v>
                </c:pt>
                <c:pt idx="3">
                  <c:v>0.34628057749677232</c:v>
                </c:pt>
                <c:pt idx="4">
                  <c:v>0.1873751956720211</c:v>
                </c:pt>
                <c:pt idx="5">
                  <c:v>0.20516788210079692</c:v>
                </c:pt>
                <c:pt idx="6">
                  <c:v>0.18977292521436465</c:v>
                </c:pt>
                <c:pt idx="7">
                  <c:v>0.2038377083012908</c:v>
                </c:pt>
                <c:pt idx="8">
                  <c:v>0.29841078105477886</c:v>
                </c:pt>
                <c:pt idx="9">
                  <c:v>0.23426579179886092</c:v>
                </c:pt>
                <c:pt idx="10">
                  <c:v>0.20577753829291368</c:v>
                </c:pt>
                <c:pt idx="11">
                  <c:v>5.6773405997204894E-2</c:v>
                </c:pt>
                <c:pt idx="12">
                  <c:v>0.10777799783190666</c:v>
                </c:pt>
                <c:pt idx="13">
                  <c:v>0.10518064804667848</c:v>
                </c:pt>
                <c:pt idx="14">
                  <c:v>9.8748533437620648E-2</c:v>
                </c:pt>
                <c:pt idx="15">
                  <c:v>0.22141224467237378</c:v>
                </c:pt>
                <c:pt idx="16">
                  <c:v>3.724431087059718E-2</c:v>
                </c:pt>
                <c:pt idx="17">
                  <c:v>2.5573165795878261E-2</c:v>
                </c:pt>
                <c:pt idx="18">
                  <c:v>2.2396959985967045E-2</c:v>
                </c:pt>
                <c:pt idx="19">
                  <c:v>-0.18724759065711963</c:v>
                </c:pt>
                <c:pt idx="20">
                  <c:v>-0.19133070373579164</c:v>
                </c:pt>
                <c:pt idx="21">
                  <c:v>-0.3504112611767094</c:v>
                </c:pt>
                <c:pt idx="22">
                  <c:v>-0.52251402310016892</c:v>
                </c:pt>
                <c:pt idx="23">
                  <c:v>-0.24405342203916677</c:v>
                </c:pt>
                <c:pt idx="24">
                  <c:v>-0.10997283570482894</c:v>
                </c:pt>
                <c:pt idx="25">
                  <c:v>0.14882612029903389</c:v>
                </c:pt>
                <c:pt idx="26">
                  <c:v>0.28609151976270597</c:v>
                </c:pt>
                <c:pt idx="27">
                  <c:v>0.12335853943489318</c:v>
                </c:pt>
                <c:pt idx="28">
                  <c:v>0.16279030253185092</c:v>
                </c:pt>
                <c:pt idx="29">
                  <c:v>0.11160194861751378</c:v>
                </c:pt>
                <c:pt idx="30">
                  <c:v>0.16264347012955688</c:v>
                </c:pt>
                <c:pt idx="31">
                  <c:v>0.22346522307166092</c:v>
                </c:pt>
                <c:pt idx="32">
                  <c:v>0.25007819079916555</c:v>
                </c:pt>
                <c:pt idx="33">
                  <c:v>0.24783864044514128</c:v>
                </c:pt>
                <c:pt idx="34">
                  <c:v>0.2914886655760654</c:v>
                </c:pt>
                <c:pt idx="35">
                  <c:v>0.29023711697921695</c:v>
                </c:pt>
                <c:pt idx="36">
                  <c:v>0.1729577526705996</c:v>
                </c:pt>
                <c:pt idx="37">
                  <c:v>6.998566589880019E-2</c:v>
                </c:pt>
              </c:numCache>
            </c:numRef>
          </c:val>
          <c:extLst>
            <c:ext xmlns:c16="http://schemas.microsoft.com/office/drawing/2014/chart" uri="{C3380CC4-5D6E-409C-BE32-E72D297353CC}">
              <c16:uniqueId val="{00000005-B636-4356-A894-D8B51B3E6067}"/>
            </c:ext>
          </c:extLst>
        </c:ser>
        <c:ser>
          <c:idx val="6"/>
          <c:order val="6"/>
          <c:tx>
            <c:strRef>
              <c:f>'Trh práce 1-SNÚ'!$AI$7</c:f>
              <c:strCache>
                <c:ptCount val="1"/>
                <c:pt idx="0">
                  <c:v>Public admin,education,health,soc.work</c:v>
                </c:pt>
              </c:strCache>
            </c:strRef>
          </c:tx>
          <c:spPr>
            <a:solidFill>
              <a:srgbClr val="D58D8B"/>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1-SNÚ'!$AI$28:$AI$66</c:f>
              <c:numCache>
                <c:formatCode>#\ ##0.0</c:formatCode>
                <c:ptCount val="39"/>
                <c:pt idx="0">
                  <c:v>0.29810932511306687</c:v>
                </c:pt>
                <c:pt idx="1">
                  <c:v>0.22837508358300088</c:v>
                </c:pt>
                <c:pt idx="2">
                  <c:v>8.7664748087127292E-2</c:v>
                </c:pt>
                <c:pt idx="3">
                  <c:v>6.3608520735520563E-2</c:v>
                </c:pt>
                <c:pt idx="4">
                  <c:v>0.31886213213126613</c:v>
                </c:pt>
                <c:pt idx="5">
                  <c:v>0.28817753636693877</c:v>
                </c:pt>
                <c:pt idx="6">
                  <c:v>0.36508162726951909</c:v>
                </c:pt>
                <c:pt idx="7">
                  <c:v>0.46049727622848979</c:v>
                </c:pt>
                <c:pt idx="8">
                  <c:v>0.25543763072520886</c:v>
                </c:pt>
                <c:pt idx="9">
                  <c:v>0.32021171933565312</c:v>
                </c:pt>
                <c:pt idx="10">
                  <c:v>0.40612074323310393</c:v>
                </c:pt>
                <c:pt idx="11">
                  <c:v>0.45188510919558089</c:v>
                </c:pt>
                <c:pt idx="12">
                  <c:v>0.60669746453968465</c:v>
                </c:pt>
                <c:pt idx="13">
                  <c:v>0.67766064774410706</c:v>
                </c:pt>
                <c:pt idx="14">
                  <c:v>0.54779865226677038</c:v>
                </c:pt>
                <c:pt idx="15">
                  <c:v>0.53702526690063701</c:v>
                </c:pt>
                <c:pt idx="16">
                  <c:v>0.28440258119756973</c:v>
                </c:pt>
                <c:pt idx="17">
                  <c:v>0.27707677667843045</c:v>
                </c:pt>
                <c:pt idx="18">
                  <c:v>0.33524516272328342</c:v>
                </c:pt>
                <c:pt idx="19">
                  <c:v>0.37920241903644225</c:v>
                </c:pt>
                <c:pt idx="20">
                  <c:v>0.39000877571158382</c:v>
                </c:pt>
                <c:pt idx="21">
                  <c:v>0.31581562839071159</c:v>
                </c:pt>
                <c:pt idx="22">
                  <c:v>0.4292913488797877</c:v>
                </c:pt>
                <c:pt idx="23">
                  <c:v>0.43905266815196531</c:v>
                </c:pt>
                <c:pt idx="24">
                  <c:v>0.48013825373146052</c:v>
                </c:pt>
                <c:pt idx="25">
                  <c:v>0.61638162295910981</c:v>
                </c:pt>
                <c:pt idx="26">
                  <c:v>0.58629302803612371</c:v>
                </c:pt>
                <c:pt idx="27">
                  <c:v>0.47863113300738547</c:v>
                </c:pt>
                <c:pt idx="28">
                  <c:v>0.23949857455870413</c:v>
                </c:pt>
                <c:pt idx="29">
                  <c:v>0.19858498227191301</c:v>
                </c:pt>
                <c:pt idx="30">
                  <c:v>0.21793885646200037</c:v>
                </c:pt>
                <c:pt idx="31">
                  <c:v>0.27781094092662112</c:v>
                </c:pt>
                <c:pt idx="32">
                  <c:v>0.47818353791525892</c:v>
                </c:pt>
                <c:pt idx="33">
                  <c:v>0.43397494776730211</c:v>
                </c:pt>
                <c:pt idx="34">
                  <c:v>0.2680065435849463</c:v>
                </c:pt>
                <c:pt idx="35">
                  <c:v>0.25837886136539057</c:v>
                </c:pt>
                <c:pt idx="36">
                  <c:v>0.31968777074128485</c:v>
                </c:pt>
                <c:pt idx="37">
                  <c:v>0.29247713338712877</c:v>
                </c:pt>
              </c:numCache>
            </c:numRef>
          </c:val>
          <c:extLst>
            <c:ext xmlns:c16="http://schemas.microsoft.com/office/drawing/2014/chart" uri="{C3380CC4-5D6E-409C-BE32-E72D297353CC}">
              <c16:uniqueId val="{00000006-B636-4356-A894-D8B51B3E6067}"/>
            </c:ext>
          </c:extLst>
        </c:ser>
        <c:ser>
          <c:idx val="7"/>
          <c:order val="7"/>
          <c:tx>
            <c:strRef>
              <c:f>'Trh práce 1-SNÚ'!$AJ$7</c:f>
              <c:strCache>
                <c:ptCount val="1"/>
                <c:pt idx="0">
                  <c:v>Other branches*</c:v>
                </c:pt>
              </c:strCache>
            </c:strRef>
          </c:tx>
          <c:spPr>
            <a:solidFill>
              <a:schemeClr val="bg1">
                <a:lumMod val="85000"/>
              </a:schemeClr>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1-SNÚ'!$AJ$28:$AJ$66</c:f>
              <c:numCache>
                <c:formatCode>#\ ##0.0</c:formatCode>
                <c:ptCount val="39"/>
                <c:pt idx="0">
                  <c:v>-0.11167788297920554</c:v>
                </c:pt>
                <c:pt idx="1">
                  <c:v>3.2922470332453942E-2</c:v>
                </c:pt>
                <c:pt idx="2">
                  <c:v>2.8686723369582272E-2</c:v>
                </c:pt>
                <c:pt idx="3">
                  <c:v>-3.2096578937316919E-2</c:v>
                </c:pt>
                <c:pt idx="4">
                  <c:v>0.1719564056042851</c:v>
                </c:pt>
                <c:pt idx="5">
                  <c:v>0.10973961273620712</c:v>
                </c:pt>
                <c:pt idx="6">
                  <c:v>0.13297815844368727</c:v>
                </c:pt>
                <c:pt idx="7">
                  <c:v>0.21049819060105912</c:v>
                </c:pt>
                <c:pt idx="8">
                  <c:v>-7.8204602142011373E-2</c:v>
                </c:pt>
                <c:pt idx="9">
                  <c:v>-4.3087762424945671E-2</c:v>
                </c:pt>
                <c:pt idx="10">
                  <c:v>-2.4186610414937963E-2</c:v>
                </c:pt>
                <c:pt idx="11">
                  <c:v>-3.215383918742503E-2</c:v>
                </c:pt>
                <c:pt idx="12">
                  <c:v>0.16045174095835293</c:v>
                </c:pt>
                <c:pt idx="13">
                  <c:v>0.15856521644577473</c:v>
                </c:pt>
                <c:pt idx="14">
                  <c:v>-1.9178123401822754E-2</c:v>
                </c:pt>
                <c:pt idx="15">
                  <c:v>-1.4963843331568139E-2</c:v>
                </c:pt>
                <c:pt idx="16">
                  <c:v>-0.11518182702557608</c:v>
                </c:pt>
                <c:pt idx="17">
                  <c:v>-3.7866166105623093E-2</c:v>
                </c:pt>
                <c:pt idx="18">
                  <c:v>9.4440514607494364E-2</c:v>
                </c:pt>
                <c:pt idx="19">
                  <c:v>7.8646220757913818E-2</c:v>
                </c:pt>
                <c:pt idx="20">
                  <c:v>-0.19809850857772601</c:v>
                </c:pt>
                <c:pt idx="21">
                  <c:v>-0.41738438003451656</c:v>
                </c:pt>
                <c:pt idx="22">
                  <c:v>-0.37552484458995661</c:v>
                </c:pt>
                <c:pt idx="23">
                  <c:v>-0.44219932777610815</c:v>
                </c:pt>
                <c:pt idx="24">
                  <c:v>2.3886532147575315E-2</c:v>
                </c:pt>
                <c:pt idx="25">
                  <c:v>0.20574208143493422</c:v>
                </c:pt>
                <c:pt idx="26">
                  <c:v>0.14351545379237532</c:v>
                </c:pt>
                <c:pt idx="27">
                  <c:v>0.21300227805302802</c:v>
                </c:pt>
                <c:pt idx="28">
                  <c:v>0.10114495400653761</c:v>
                </c:pt>
                <c:pt idx="29">
                  <c:v>0.12974320154172242</c:v>
                </c:pt>
                <c:pt idx="30">
                  <c:v>5.4560125484518086E-2</c:v>
                </c:pt>
                <c:pt idx="31">
                  <c:v>5.7942402577863039E-2</c:v>
                </c:pt>
                <c:pt idx="32">
                  <c:v>-9.0047058191729826E-2</c:v>
                </c:pt>
                <c:pt idx="33">
                  <c:v>-5.1034959789617189E-2</c:v>
                </c:pt>
                <c:pt idx="34">
                  <c:v>-6.212666510866946E-2</c:v>
                </c:pt>
                <c:pt idx="35">
                  <c:v>-3.0568977234146574E-2</c:v>
                </c:pt>
                <c:pt idx="36">
                  <c:v>4.4035770308378831E-2</c:v>
                </c:pt>
                <c:pt idx="37">
                  <c:v>0.14602564733963946</c:v>
                </c:pt>
              </c:numCache>
            </c:numRef>
          </c:val>
          <c:extLst>
            <c:ext xmlns:c16="http://schemas.microsoft.com/office/drawing/2014/chart" uri="{C3380CC4-5D6E-409C-BE32-E72D297353CC}">
              <c16:uniqueId val="{00000007-B636-4356-A894-D8B51B3E6067}"/>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Total employment</c:v>
                </c:pt>
              </c:strCache>
            </c:strRef>
          </c:tx>
          <c:spPr>
            <a:ln w="19050">
              <a:solidFill>
                <a:schemeClr val="tx1">
                  <a:lumMod val="95000"/>
                  <a:lumOff val="5000"/>
                </a:schemeClr>
              </a:solidFill>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1-SNÚ'!$AK$28:$AK$66</c:f>
              <c:numCache>
                <c:formatCode>#\ ##0.0</c:formatCode>
                <c:ptCount val="39"/>
                <c:pt idx="0">
                  <c:v>1.3021086405278481</c:v>
                </c:pt>
                <c:pt idx="1">
                  <c:v>1.7082558398097802</c:v>
                </c:pt>
                <c:pt idx="2">
                  <c:v>1.3289819265815481</c:v>
                </c:pt>
                <c:pt idx="3">
                  <c:v>1.2361372790363987</c:v>
                </c:pt>
                <c:pt idx="4">
                  <c:v>1.0877626267559606</c:v>
                </c:pt>
                <c:pt idx="5">
                  <c:v>0.94310014599115277</c:v>
                </c:pt>
                <c:pt idx="6">
                  <c:v>0.92188662907126684</c:v>
                </c:pt>
                <c:pt idx="7">
                  <c:v>1.1773846211003729</c:v>
                </c:pt>
                <c:pt idx="8">
                  <c:v>1.1680743879255715</c:v>
                </c:pt>
                <c:pt idx="9">
                  <c:v>1.1767436289615603</c:v>
                </c:pt>
                <c:pt idx="10">
                  <c:v>1.7705211142985604</c:v>
                </c:pt>
                <c:pt idx="11">
                  <c:v>1.2082803936543201</c:v>
                </c:pt>
                <c:pt idx="12">
                  <c:v>1.3037795784239563</c:v>
                </c:pt>
                <c:pt idx="13">
                  <c:v>1.5291851714574989</c:v>
                </c:pt>
                <c:pt idx="14">
                  <c:v>0.73910983424083554</c:v>
                </c:pt>
                <c:pt idx="15">
                  <c:v>1.0379380425450648</c:v>
                </c:pt>
                <c:pt idx="16">
                  <c:v>0.25887326493901242</c:v>
                </c:pt>
                <c:pt idx="17">
                  <c:v>-7.5806835243426463E-2</c:v>
                </c:pt>
                <c:pt idx="18">
                  <c:v>-9.5093759273751743E-2</c:v>
                </c:pt>
                <c:pt idx="19">
                  <c:v>-0.66435311204230629</c:v>
                </c:pt>
                <c:pt idx="20">
                  <c:v>-1.3818847925181785</c:v>
                </c:pt>
                <c:pt idx="21">
                  <c:v>-2.8967132098465527</c:v>
                </c:pt>
                <c:pt idx="22">
                  <c:v>-2.5521715371933311</c:v>
                </c:pt>
                <c:pt idx="23">
                  <c:v>-2.4461532554347798</c:v>
                </c:pt>
                <c:pt idx="24">
                  <c:v>-0.69976164653277806</c:v>
                </c:pt>
                <c:pt idx="25">
                  <c:v>1.0521294535779759</c:v>
                </c:pt>
                <c:pt idx="26">
                  <c:v>1.6885400245352713</c:v>
                </c:pt>
                <c:pt idx="27">
                  <c:v>1.9593560012249469</c:v>
                </c:pt>
                <c:pt idx="28">
                  <c:v>0.96064796916854789</c:v>
                </c:pt>
                <c:pt idx="29">
                  <c:v>1.5035584400042268</c:v>
                </c:pt>
                <c:pt idx="30">
                  <c:v>0.83914000874771943</c:v>
                </c:pt>
                <c:pt idx="31">
                  <c:v>0.77931307464571375</c:v>
                </c:pt>
                <c:pt idx="32">
                  <c:v>1.5130817839831252</c:v>
                </c:pt>
                <c:pt idx="33">
                  <c:v>1.0800247632778905</c:v>
                </c:pt>
                <c:pt idx="34">
                  <c:v>0.74144426267818631</c:v>
                </c:pt>
                <c:pt idx="35">
                  <c:v>0.78408679197829656</c:v>
                </c:pt>
                <c:pt idx="36">
                  <c:v>0.31434163449826258</c:v>
                </c:pt>
                <c:pt idx="37">
                  <c:v>0.2271016343689638</c:v>
                </c:pt>
              </c:numCache>
            </c:numRef>
          </c:val>
          <c:smooth val="0"/>
          <c:extLst>
            <c:ext xmlns:c16="http://schemas.microsoft.com/office/drawing/2014/chart" uri="{C3380CC4-5D6E-409C-BE32-E72D297353CC}">
              <c16:uniqueId val="{00000008-B636-4356-A894-D8B51B3E6067}"/>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1-SNÚ'!$AL$28:$AL$66</c:f>
              <c:numCache>
                <c:formatCode>General</c:formatCode>
                <c:ptCount val="39"/>
              </c:numCache>
            </c:numRef>
          </c:val>
          <c:smooth val="0"/>
          <c:extLst>
            <c:ext xmlns:c16="http://schemas.microsoft.com/office/drawing/2014/chart" uri="{C3380CC4-5D6E-409C-BE32-E72D297353CC}">
              <c16:uniqueId val="{00000009-B636-4356-A894-D8B51B3E6067}"/>
            </c:ext>
          </c:extLst>
        </c:ser>
        <c:ser>
          <c:idx val="10"/>
          <c:order val="10"/>
          <c:tx>
            <c:strRef>
              <c:f>'Trh práce 1-SNÚ'!$AM$7</c:f>
              <c:strCache>
                <c:ptCount val="1"/>
                <c:pt idx="0">
                  <c:v>Employment expectations (industry)</c:v>
                </c:pt>
              </c:strCache>
            </c:strRef>
          </c:tx>
          <c:spPr>
            <a:ln w="15875">
              <a:solidFill>
                <a:schemeClr val="tx1">
                  <a:lumMod val="95000"/>
                  <a:lumOff val="5000"/>
                </a:schemeClr>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1-SNÚ'!$AM$28:$AM$66</c:f>
              <c:numCache>
                <c:formatCode>#\ ##0.0</c:formatCode>
                <c:ptCount val="39"/>
                <c:pt idx="0">
                  <c:v>-3</c:v>
                </c:pt>
                <c:pt idx="1">
                  <c:v>4.3</c:v>
                </c:pt>
                <c:pt idx="2">
                  <c:v>5.5</c:v>
                </c:pt>
                <c:pt idx="3">
                  <c:v>7.8</c:v>
                </c:pt>
                <c:pt idx="4">
                  <c:v>8.1999999999999993</c:v>
                </c:pt>
                <c:pt idx="5">
                  <c:v>9.9</c:v>
                </c:pt>
                <c:pt idx="6">
                  <c:v>3.8</c:v>
                </c:pt>
                <c:pt idx="7">
                  <c:v>9.5</c:v>
                </c:pt>
                <c:pt idx="8">
                  <c:v>11.1</c:v>
                </c:pt>
                <c:pt idx="9">
                  <c:v>5.7</c:v>
                </c:pt>
                <c:pt idx="10">
                  <c:v>8.1999999999999993</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pt idx="36">
                  <c:v>-6</c:v>
                </c:pt>
                <c:pt idx="37">
                  <c:v>-9.6</c:v>
                </c:pt>
                <c:pt idx="38">
                  <c:v>-10.7</c:v>
                </c:pt>
              </c:numCache>
            </c:numRef>
          </c:val>
          <c:smooth val="0"/>
          <c:extLst>
            <c:ext xmlns:c16="http://schemas.microsoft.com/office/drawing/2014/chart" uri="{C3380CC4-5D6E-409C-BE32-E72D297353CC}">
              <c16:uniqueId val="{0000000A-B636-4356-A894-D8B51B3E6067}"/>
            </c:ext>
          </c:extLst>
        </c:ser>
        <c:ser>
          <c:idx val="11"/>
          <c:order val="11"/>
          <c:tx>
            <c:strRef>
              <c:f>'Trh práce 1-SNÚ'!$AN$7</c:f>
              <c:strCache>
                <c:ptCount val="1"/>
                <c:pt idx="0">
                  <c:v>Employment expectations (construction)</c:v>
                </c:pt>
              </c:strCache>
            </c:strRef>
          </c:tx>
          <c:spPr>
            <a:ln w="15875">
              <a:solidFill>
                <a:srgbClr val="00B0F0"/>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1-SNÚ'!$AN$28:$AN$66</c:f>
              <c:numCache>
                <c:formatCode>#\ ##0.0</c:formatCode>
                <c:ptCount val="39"/>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9.1999999999999993</c:v>
                </c:pt>
                <c:pt idx="29">
                  <c:v>8.6</c:v>
                </c:pt>
                <c:pt idx="30">
                  <c:v>1.4</c:v>
                </c:pt>
                <c:pt idx="31">
                  <c:v>-1.9</c:v>
                </c:pt>
                <c:pt idx="32">
                  <c:v>-12.8</c:v>
                </c:pt>
                <c:pt idx="33">
                  <c:v>-12.4</c:v>
                </c:pt>
                <c:pt idx="34">
                  <c:v>-8.3000000000000007</c:v>
                </c:pt>
                <c:pt idx="35">
                  <c:v>-0.3</c:v>
                </c:pt>
                <c:pt idx="36">
                  <c:v>-0.6</c:v>
                </c:pt>
                <c:pt idx="37">
                  <c:v>-8.3000000000000007</c:v>
                </c:pt>
                <c:pt idx="38">
                  <c:v>-6.8</c:v>
                </c:pt>
              </c:numCache>
            </c:numRef>
          </c:val>
          <c:smooth val="0"/>
          <c:extLst>
            <c:ext xmlns:c16="http://schemas.microsoft.com/office/drawing/2014/chart" uri="{C3380CC4-5D6E-409C-BE32-E72D297353CC}">
              <c16:uniqueId val="{0000000B-B636-4356-A894-D8B51B3E6067}"/>
            </c:ext>
          </c:extLst>
        </c:ser>
        <c:ser>
          <c:idx val="12"/>
          <c:order val="12"/>
          <c:tx>
            <c:strRef>
              <c:f>'Trh práce 1-SNÚ'!$AO$7</c:f>
              <c:strCache>
                <c:ptCount val="1"/>
                <c:pt idx="0">
                  <c:v>Employment expectations (trade)</c:v>
                </c:pt>
              </c:strCache>
            </c:strRef>
          </c:tx>
          <c:spPr>
            <a:ln w="15875">
              <a:solidFill>
                <a:schemeClr val="accent6">
                  <a:lumMod val="75000"/>
                </a:schemeClr>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1-SNÚ'!$AO$28:$AO$66</c:f>
              <c:numCache>
                <c:formatCode>#\ ##0.0</c:formatCode>
                <c:ptCount val="39"/>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c:v>
                </c:pt>
                <c:pt idx="24">
                  <c:v>5.3</c:v>
                </c:pt>
                <c:pt idx="25">
                  <c:v>13.1</c:v>
                </c:pt>
                <c:pt idx="26">
                  <c:v>10.8</c:v>
                </c:pt>
                <c:pt idx="27">
                  <c:v>8.5</c:v>
                </c:pt>
                <c:pt idx="28">
                  <c:v>10.3</c:v>
                </c:pt>
                <c:pt idx="29">
                  <c:v>3.3</c:v>
                </c:pt>
                <c:pt idx="30">
                  <c:v>5.2</c:v>
                </c:pt>
                <c:pt idx="31">
                  <c:v>12.6</c:v>
                </c:pt>
                <c:pt idx="32">
                  <c:v>11.2</c:v>
                </c:pt>
                <c:pt idx="33">
                  <c:v>9</c:v>
                </c:pt>
                <c:pt idx="34">
                  <c:v>11.4</c:v>
                </c:pt>
                <c:pt idx="35">
                  <c:v>10.6</c:v>
                </c:pt>
                <c:pt idx="36">
                  <c:v>5.9</c:v>
                </c:pt>
                <c:pt idx="37">
                  <c:v>9.1</c:v>
                </c:pt>
                <c:pt idx="38">
                  <c:v>2.6</c:v>
                </c:pt>
              </c:numCache>
            </c:numRef>
          </c:val>
          <c:smooth val="0"/>
          <c:extLst>
            <c:ext xmlns:c16="http://schemas.microsoft.com/office/drawing/2014/chart" uri="{C3380CC4-5D6E-409C-BE32-E72D297353CC}">
              <c16:uniqueId val="{0000000C-B636-4356-A894-D8B51B3E6067}"/>
            </c:ext>
          </c:extLst>
        </c:ser>
        <c:ser>
          <c:idx val="13"/>
          <c:order val="13"/>
          <c:tx>
            <c:strRef>
              <c:f>'Trh práce 1-SNÚ'!$AP$7</c:f>
              <c:strCache>
                <c:ptCount val="1"/>
                <c:pt idx="0">
                  <c:v>Employment expect. (selected services)</c:v>
                </c:pt>
              </c:strCache>
            </c:strRef>
          </c:tx>
          <c:spPr>
            <a:ln w="15875">
              <a:solidFill>
                <a:srgbClr val="C00000"/>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1-SNÚ'!$AP$28:$AP$66</c:f>
              <c:numCache>
                <c:formatCode>#\ ##0.0</c:formatCode>
                <c:ptCount val="39"/>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-32.299999999999997</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pt idx="36">
                  <c:v>-23.7</c:v>
                </c:pt>
                <c:pt idx="37">
                  <c:v>-16</c:v>
                </c:pt>
                <c:pt idx="38">
                  <c:v>-15.7</c:v>
                </c:pt>
              </c:numCache>
            </c:numRef>
          </c:val>
          <c:smooth val="0"/>
          <c:extLst>
            <c:ext xmlns:c16="http://schemas.microsoft.com/office/drawing/2014/chart" uri="{C3380CC4-5D6E-409C-BE32-E72D297353CC}">
              <c16:uniqueId val="{0000000D-B636-4356-A894-D8B51B3E6067}"/>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employment growth</a:t>
                </a:r>
              </a:p>
            </c:rich>
          </c:tx>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Expectations of the employment</a:t>
                </a:r>
              </a:p>
            </c:rich>
          </c:tx>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1.5472441370721637E-2"/>
          <c:y val="0.77992823117070742"/>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656372322027451"/>
          <c:h val="0.76494082349138992"/>
        </c:manualLayout>
      </c:layout>
      <c:barChart>
        <c:barDir val="col"/>
        <c:grouping val="clustered"/>
        <c:varyColors val="0"/>
        <c:ser>
          <c:idx val="0"/>
          <c:order val="0"/>
          <c:tx>
            <c:strRef>
              <c:f>'Trh práce-2b'!$A$32</c:f>
              <c:strCache>
                <c:ptCount val="1"/>
                <c:pt idx="0">
                  <c:v>Male unemployment rate</c:v>
                </c:pt>
              </c:strCache>
            </c:strRef>
          </c:tx>
          <c:spPr>
            <a:solidFill>
              <a:srgbClr val="BCBCBC"/>
            </a:solidFill>
          </c:spPr>
          <c:invertIfNegative val="0"/>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práce-2b'!$B$32:$AN$32</c:f>
              <c:numCache>
                <c:formatCode>0.0</c:formatCode>
                <c:ptCount val="39"/>
                <c:pt idx="0">
                  <c:v>5.0116834356202711</c:v>
                </c:pt>
                <c:pt idx="1">
                  <c:v>4.3144171499961006</c:v>
                </c:pt>
                <c:pt idx="2">
                  <c:v>4.0699746498252383</c:v>
                </c:pt>
                <c:pt idx="3">
                  <c:v>3.788181157882581</c:v>
                </c:pt>
                <c:pt idx="4">
                  <c:v>3.6422518091247906</c:v>
                </c:pt>
                <c:pt idx="5">
                  <c:v>3.5638435908152037</c:v>
                </c:pt>
                <c:pt idx="6">
                  <c:v>3.4025925990827304</c:v>
                </c:pt>
                <c:pt idx="7">
                  <c:v>3.1529010237125679</c:v>
                </c:pt>
                <c:pt idx="8">
                  <c:v>2.6882635524440506</c:v>
                </c:pt>
                <c:pt idx="9">
                  <c:v>2.4873275349702868</c:v>
                </c:pt>
                <c:pt idx="10">
                  <c:v>2.2565941418714899</c:v>
                </c:pt>
                <c:pt idx="11">
                  <c:v>2.0813168878012083</c:v>
                </c:pt>
                <c:pt idx="12">
                  <c:v>1.8912512679597702</c:v>
                </c:pt>
                <c:pt idx="13">
                  <c:v>1.8276752649046539</c:v>
                </c:pt>
                <c:pt idx="14">
                  <c:v>1.8939194395031631</c:v>
                </c:pt>
                <c:pt idx="15">
                  <c:v>1.6782847964860206</c:v>
                </c:pt>
                <c:pt idx="16">
                  <c:v>1.8009051131350233</c:v>
                </c:pt>
                <c:pt idx="17">
                  <c:v>1.6740402528100713</c:v>
                </c:pt>
                <c:pt idx="18">
                  <c:v>1.7696924435634074</c:v>
                </c:pt>
                <c:pt idx="19">
                  <c:v>1.8537329598795036</c:v>
                </c:pt>
                <c:pt idx="20">
                  <c:v>1.8415714826171661</c:v>
                </c:pt>
                <c:pt idx="21">
                  <c:v>2.2782884607539797</c:v>
                </c:pt>
                <c:pt idx="22">
                  <c:v>2.5160163484602922</c:v>
                </c:pt>
                <c:pt idx="23">
                  <c:v>2.5627694319040919</c:v>
                </c:pt>
                <c:pt idx="24">
                  <c:v>2.6539228447108481</c:v>
                </c:pt>
                <c:pt idx="25">
                  <c:v>2.5479223676372951</c:v>
                </c:pt>
                <c:pt idx="26">
                  <c:v>2.2824742673948308</c:v>
                </c:pt>
                <c:pt idx="27">
                  <c:v>1.957707379533411</c:v>
                </c:pt>
                <c:pt idx="28">
                  <c:v>1.9827325378513576</c:v>
                </c:pt>
                <c:pt idx="29">
                  <c:v>1.8850313203109046</c:v>
                </c:pt>
                <c:pt idx="30">
                  <c:v>1.900165270330973</c:v>
                </c:pt>
                <c:pt idx="31">
                  <c:v>2.0945872255105722</c:v>
                </c:pt>
                <c:pt idx="32">
                  <c:v>2.1816558358367728</c:v>
                </c:pt>
                <c:pt idx="33">
                  <c:v>2.2471673118848834</c:v>
                </c:pt>
                <c:pt idx="34">
                  <c:v>2.318554497142125</c:v>
                </c:pt>
                <c:pt idx="35">
                  <c:v>2.355575597618718</c:v>
                </c:pt>
                <c:pt idx="36">
                  <c:v>2.4338145992567601</c:v>
                </c:pt>
                <c:pt idx="37">
                  <c:v>2.4830067209308866</c:v>
                </c:pt>
              </c:numCache>
            </c:numRef>
          </c:val>
          <c:extLst>
            <c:ext xmlns:c16="http://schemas.microsoft.com/office/drawing/2014/chart" uri="{C3380CC4-5D6E-409C-BE32-E72D297353CC}">
              <c16:uniqueId val="{00000000-43AE-4E3A-8BBF-93F8BAFD9EDA}"/>
            </c:ext>
          </c:extLst>
        </c:ser>
        <c:ser>
          <c:idx val="1"/>
          <c:order val="1"/>
          <c:tx>
            <c:strRef>
              <c:f>'Trh práce-2b'!$A$33</c:f>
              <c:strCache>
                <c:ptCount val="1"/>
                <c:pt idx="0">
                  <c:v>Female unemployment rate</c:v>
                </c:pt>
              </c:strCache>
            </c:strRef>
          </c:tx>
          <c:spPr>
            <a:solidFill>
              <a:schemeClr val="bg1">
                <a:lumMod val="95000"/>
              </a:schemeClr>
            </a:solidFill>
            <a:ln>
              <a:solidFill>
                <a:schemeClr val="bg1">
                  <a:lumMod val="65000"/>
                </a:schemeClr>
              </a:solidFill>
            </a:ln>
          </c:spPr>
          <c:invertIfNegative val="0"/>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práce-2b'!$B$33:$AN$33</c:f>
              <c:numCache>
                <c:formatCode>0.0</c:formatCode>
                <c:ptCount val="39"/>
                <c:pt idx="0">
                  <c:v>6.9167370955668472</c:v>
                </c:pt>
                <c:pt idx="1">
                  <c:v>6.1502064445681066</c:v>
                </c:pt>
                <c:pt idx="2">
                  <c:v>5.9839702762481792</c:v>
                </c:pt>
                <c:pt idx="3">
                  <c:v>5.6693800297492487</c:v>
                </c:pt>
                <c:pt idx="4">
                  <c:v>5.0615432640052243</c:v>
                </c:pt>
                <c:pt idx="5">
                  <c:v>4.7962841495875521</c:v>
                </c:pt>
                <c:pt idx="6">
                  <c:v>4.8166680310125551</c:v>
                </c:pt>
                <c:pt idx="7">
                  <c:v>4.3736174018530916</c:v>
                </c:pt>
                <c:pt idx="8">
                  <c:v>4.2602157089566015</c:v>
                </c:pt>
                <c:pt idx="9">
                  <c:v>3.8863748200461621</c:v>
                </c:pt>
                <c:pt idx="10">
                  <c:v>3.4171467662038459</c:v>
                </c:pt>
                <c:pt idx="11">
                  <c:v>3.0348244863363938</c:v>
                </c:pt>
                <c:pt idx="12">
                  <c:v>2.9313401764553944</c:v>
                </c:pt>
                <c:pt idx="13">
                  <c:v>2.8833100157381772</c:v>
                </c:pt>
                <c:pt idx="14">
                  <c:v>2.8659110366928537</c:v>
                </c:pt>
                <c:pt idx="15">
                  <c:v>2.6899917309070567</c:v>
                </c:pt>
                <c:pt idx="16">
                  <c:v>2.2363695446447416</c:v>
                </c:pt>
                <c:pt idx="17">
                  <c:v>2.4627784154123873</c:v>
                </c:pt>
                <c:pt idx="18">
                  <c:v>2.5739133097610503</c:v>
                </c:pt>
                <c:pt idx="19">
                  <c:v>2.4454526419656264</c:v>
                </c:pt>
                <c:pt idx="20">
                  <c:v>2.0344410292522253</c:v>
                </c:pt>
                <c:pt idx="21">
                  <c:v>2.8017898963096233</c:v>
                </c:pt>
                <c:pt idx="22">
                  <c:v>3.3786935724421236</c:v>
                </c:pt>
                <c:pt idx="23">
                  <c:v>3.9084647466352336</c:v>
                </c:pt>
                <c:pt idx="24">
                  <c:v>4.1399659954972456</c:v>
                </c:pt>
                <c:pt idx="25">
                  <c:v>3.8956044477176626</c:v>
                </c:pt>
                <c:pt idx="26">
                  <c:v>3.2699358178156586</c:v>
                </c:pt>
                <c:pt idx="27">
                  <c:v>2.7480957830745378</c:v>
                </c:pt>
                <c:pt idx="28">
                  <c:v>2.9825670027236391</c:v>
                </c:pt>
                <c:pt idx="29">
                  <c:v>3.199371338415451</c:v>
                </c:pt>
                <c:pt idx="30">
                  <c:v>2.9049841886011145</c:v>
                </c:pt>
                <c:pt idx="31">
                  <c:v>2.8106218880042451</c:v>
                </c:pt>
                <c:pt idx="32">
                  <c:v>3.0139871339214444</c:v>
                </c:pt>
                <c:pt idx="33">
                  <c:v>3.1834039918089965</c:v>
                </c:pt>
                <c:pt idx="34">
                  <c:v>3.2231424303778895</c:v>
                </c:pt>
                <c:pt idx="35">
                  <c:v>3.3137277250512422</c:v>
                </c:pt>
                <c:pt idx="36">
                  <c:v>3.5203258225787226</c:v>
                </c:pt>
                <c:pt idx="37">
                  <c:v>3.2089044506205635</c:v>
                </c:pt>
              </c:numCache>
            </c:numRef>
          </c:val>
          <c:extLst>
            <c:ext xmlns:c16="http://schemas.microsoft.com/office/drawing/2014/chart" uri="{C3380CC4-5D6E-409C-BE32-E72D297353CC}">
              <c16:uniqueId val="{00000001-43AE-4E3A-8BBF-93F8BAFD9EDA}"/>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Vacancies for lower qualifications</c:v>
                </c:pt>
              </c:strCache>
            </c:strRef>
          </c:tx>
          <c:spPr>
            <a:ln w="19050">
              <a:noFill/>
              <a:prstDash val="sysDash"/>
            </a:ln>
          </c:spPr>
          <c:marker>
            <c:symbol val="circle"/>
            <c:size val="4"/>
            <c:spPr>
              <a:solidFill>
                <a:schemeClr val="tx2">
                  <a:lumMod val="60000"/>
                  <a:lumOff val="40000"/>
                </a:schemeClr>
              </a:solidFill>
              <a:ln>
                <a:noFill/>
              </a:ln>
            </c:spPr>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práce-2b'!$B$34:$AN$34</c:f>
              <c:numCache>
                <c:formatCode>0.0</c:formatCode>
                <c:ptCount val="39"/>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43.887</c:v>
                </c:pt>
                <c:pt idx="32">
                  <c:v>43.122</c:v>
                </c:pt>
                <c:pt idx="33">
                  <c:v>42.853999999999999</c:v>
                </c:pt>
                <c:pt idx="34">
                  <c:v>41.186</c:v>
                </c:pt>
                <c:pt idx="35">
                  <c:v>38.177999999999997</c:v>
                </c:pt>
                <c:pt idx="36">
                  <c:v>37.228000000000002</c:v>
                </c:pt>
                <c:pt idx="37">
                  <c:v>36.956000000000003</c:v>
                </c:pt>
              </c:numCache>
            </c:numRef>
          </c:val>
          <c:smooth val="0"/>
          <c:extLst>
            <c:ext xmlns:c16="http://schemas.microsoft.com/office/drawing/2014/chart" uri="{C3380CC4-5D6E-409C-BE32-E72D297353CC}">
              <c16:uniqueId val="{00000002-43AE-4E3A-8BBF-93F8BAFD9EDA}"/>
            </c:ext>
          </c:extLst>
        </c:ser>
        <c:ser>
          <c:idx val="5"/>
          <c:order val="3"/>
          <c:tx>
            <c:strRef>
              <c:f>'Trh práce-2b'!$A$35</c:f>
              <c:strCache>
                <c:ptCount val="1"/>
                <c:pt idx="0">
                  <c:v>Vacancies for higher qualifications </c:v>
                </c:pt>
              </c:strCache>
            </c:strRef>
          </c:tx>
          <c:spPr>
            <a:ln w="19050">
              <a:noFill/>
              <a:prstDash val="dash"/>
            </a:ln>
          </c:spPr>
          <c:marker>
            <c:symbol val="triangle"/>
            <c:size val="5"/>
            <c:spPr>
              <a:solidFill>
                <a:srgbClr val="00B050"/>
              </a:solidFill>
              <a:ln>
                <a:noFill/>
              </a:ln>
            </c:spPr>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práce-2b'!$B$35:$AN$35</c:f>
              <c:numCache>
                <c:formatCode>0.0</c:formatCode>
                <c:ptCount val="39"/>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34.299999999999997</c:v>
                </c:pt>
                <c:pt idx="13">
                  <c:v>38</c:v>
                </c:pt>
                <c:pt idx="14">
                  <c:v>37.200000000000003</c:v>
                </c:pt>
                <c:pt idx="15">
                  <c:v>36.6</c:v>
                </c:pt>
                <c:pt idx="16">
                  <c:v>37.299999999999997</c:v>
                </c:pt>
                <c:pt idx="17">
                  <c:v>38.299999999999997</c:v>
                </c:pt>
                <c:pt idx="18">
                  <c:v>38.6</c:v>
                </c:pt>
                <c:pt idx="19">
                  <c:v>36.299999999999997</c:v>
                </c:pt>
                <c:pt idx="20">
                  <c:v>37.700000000000003</c:v>
                </c:pt>
                <c:pt idx="21">
                  <c:v>38.1</c:v>
                </c:pt>
                <c:pt idx="22">
                  <c:v>34.4</c:v>
                </c:pt>
                <c:pt idx="23">
                  <c:v>34.1</c:v>
                </c:pt>
                <c:pt idx="24">
                  <c:v>36.299999999999997</c:v>
                </c:pt>
                <c:pt idx="25">
                  <c:v>39.6</c:v>
                </c:pt>
                <c:pt idx="26">
                  <c:v>40.299999999999997</c:v>
                </c:pt>
                <c:pt idx="27">
                  <c:v>39.200000000000003</c:v>
                </c:pt>
                <c:pt idx="28">
                  <c:v>42.5</c:v>
                </c:pt>
                <c:pt idx="29">
                  <c:v>41</c:v>
                </c:pt>
                <c:pt idx="30">
                  <c:v>38.5</c:v>
                </c:pt>
                <c:pt idx="31">
                  <c:v>36.56</c:v>
                </c:pt>
                <c:pt idx="32">
                  <c:v>37.613</c:v>
                </c:pt>
                <c:pt idx="33">
                  <c:v>38.130000000000003</c:v>
                </c:pt>
                <c:pt idx="34">
                  <c:v>36.289000000000001</c:v>
                </c:pt>
                <c:pt idx="35">
                  <c:v>34.274000000000001</c:v>
                </c:pt>
                <c:pt idx="36">
                  <c:v>35.200000000000003</c:v>
                </c:pt>
                <c:pt idx="37">
                  <c:v>33.491999999999997</c:v>
                </c:pt>
              </c:numCache>
            </c:numRef>
          </c:val>
          <c:smooth val="0"/>
          <c:extLst>
            <c:ext xmlns:c16="http://schemas.microsoft.com/office/drawing/2014/chart" uri="{C3380CC4-5D6E-409C-BE32-E72D297353CC}">
              <c16:uniqueId val="{00000003-43AE-4E3A-8BBF-93F8BAFD9EDA}"/>
            </c:ext>
          </c:extLst>
        </c:ser>
        <c:ser>
          <c:idx val="6"/>
          <c:order val="4"/>
          <c:tx>
            <c:strRef>
              <c:f>'Trh práce-2b'!$A$36</c:f>
              <c:strCache>
                <c:ptCount val="1"/>
                <c:pt idx="0">
                  <c:v>Employed foreigners (Ukrainians)</c:v>
                </c:pt>
              </c:strCache>
            </c:strRef>
          </c:tx>
          <c:spPr>
            <a:ln w="15875">
              <a:solidFill>
                <a:srgbClr val="FFC000"/>
              </a:solidFill>
              <a:prstDash val="sys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práce-2b'!$B$36:$AN$36</c:f>
              <c:numCache>
                <c:formatCode>#,##0</c:formatCode>
                <c:ptCount val="39"/>
                <c:pt idx="0">
                  <c:v>35.723999999999997</c:v>
                </c:pt>
                <c:pt idx="1">
                  <c:v>38.613999999999997</c:v>
                </c:pt>
                <c:pt idx="2">
                  <c:v>40.725999999999999</c:v>
                </c:pt>
                <c:pt idx="3">
                  <c:v>41.776000000000003</c:v>
                </c:pt>
                <c:pt idx="4">
                  <c:v>43.104999999999997</c:v>
                </c:pt>
                <c:pt idx="5">
                  <c:v>49.847000000000001</c:v>
                </c:pt>
                <c:pt idx="6">
                  <c:v>54.764000000000003</c:v>
                </c:pt>
                <c:pt idx="7">
                  <c:v>54.540999999999997</c:v>
                </c:pt>
                <c:pt idx="8">
                  <c:v>59.363</c:v>
                </c:pt>
                <c:pt idx="9">
                  <c:v>69.864000000000004</c:v>
                </c:pt>
                <c:pt idx="10">
                  <c:v>76.724000000000004</c:v>
                </c:pt>
                <c:pt idx="11">
                  <c:v>81.688999999999993</c:v>
                </c:pt>
                <c:pt idx="12">
                  <c:v>97.317999999999998</c:v>
                </c:pt>
                <c:pt idx="13">
                  <c:v>115.39100000000001</c:v>
                </c:pt>
                <c:pt idx="14">
                  <c:v>134.202</c:v>
                </c:pt>
                <c:pt idx="15">
                  <c:v>121.08499999999999</c:v>
                </c:pt>
                <c:pt idx="16">
                  <c:v>146.08500000000001</c:v>
                </c:pt>
                <c:pt idx="17">
                  <c:v>152.69800000000001</c:v>
                </c:pt>
                <c:pt idx="18">
                  <c:v>164.92400000000001</c:v>
                </c:pt>
                <c:pt idx="19">
                  <c:v>144.114</c:v>
                </c:pt>
                <c:pt idx="20">
                  <c:v>169.14699999999999</c:v>
                </c:pt>
                <c:pt idx="21">
                  <c:v>133.08600000000001</c:v>
                </c:pt>
                <c:pt idx="22">
                  <c:v>173.584</c:v>
                </c:pt>
                <c:pt idx="23">
                  <c:v>159.46799999999999</c:v>
                </c:pt>
                <c:pt idx="24">
                  <c:v>186.35599999999999</c:v>
                </c:pt>
                <c:pt idx="25">
                  <c:v>191.58500000000001</c:v>
                </c:pt>
                <c:pt idx="26">
                  <c:v>214.10599999999999</c:v>
                </c:pt>
                <c:pt idx="27">
                  <c:v>195.11600000000001</c:v>
                </c:pt>
                <c:pt idx="28">
                  <c:v>238.024</c:v>
                </c:pt>
                <c:pt idx="29">
                  <c:v>248.58799999999999</c:v>
                </c:pt>
                <c:pt idx="30">
                  <c:v>262.17899999999997</c:v>
                </c:pt>
                <c:pt idx="31">
                  <c:v>269.911</c:v>
                </c:pt>
                <c:pt idx="32">
                  <c:v>261.31299999999999</c:v>
                </c:pt>
                <c:pt idx="33">
                  <c:v>269.04500000000002</c:v>
                </c:pt>
                <c:pt idx="34">
                  <c:v>282.22300000000001</c:v>
                </c:pt>
                <c:pt idx="35">
                  <c:v>285.54500000000002</c:v>
                </c:pt>
                <c:pt idx="36">
                  <c:v>283.649</c:v>
                </c:pt>
                <c:pt idx="37">
                  <c:v>286.25599999999997</c:v>
                </c:pt>
              </c:numCache>
            </c:numRef>
          </c:val>
          <c:smooth val="0"/>
          <c:extLst>
            <c:ext xmlns:c16="http://schemas.microsoft.com/office/drawing/2014/chart" uri="{C3380CC4-5D6E-409C-BE32-E72D297353CC}">
              <c16:uniqueId val="{00000004-43AE-4E3A-8BBF-93F8BAFD9EDA}"/>
            </c:ext>
          </c:extLst>
        </c:ser>
        <c:ser>
          <c:idx val="7"/>
          <c:order val="5"/>
          <c:tx>
            <c:strRef>
              <c:f>'Trh práce-2b'!$A$37</c:f>
              <c:strCache>
                <c:ptCount val="1"/>
                <c:pt idx="0">
                  <c:v>Employed foreigners (Slovakians)</c:v>
                </c:pt>
              </c:strCache>
            </c:strRef>
          </c:tx>
          <c:spPr>
            <a:ln w="19050">
              <a:solidFill>
                <a:schemeClr val="accent2">
                  <a:lumMod val="60000"/>
                  <a:lumOff val="40000"/>
                </a:schemeClr>
              </a:solidFill>
              <a:prstDash val="sys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práce-2b'!$B$37:$AN$37</c:f>
              <c:numCache>
                <c:formatCode>#,##0</c:formatCode>
                <c:ptCount val="39"/>
                <c:pt idx="0">
                  <c:v>132.65199999999999</c:v>
                </c:pt>
                <c:pt idx="1">
                  <c:v>141.858</c:v>
                </c:pt>
                <c:pt idx="2">
                  <c:v>148.23099999999999</c:v>
                </c:pt>
                <c:pt idx="3">
                  <c:v>150.31700000000001</c:v>
                </c:pt>
                <c:pt idx="4">
                  <c:v>148.67500000000001</c:v>
                </c:pt>
                <c:pt idx="5">
                  <c:v>153.64599999999999</c:v>
                </c:pt>
                <c:pt idx="6">
                  <c:v>159.30099999999999</c:v>
                </c:pt>
                <c:pt idx="7">
                  <c:v>161.559</c:v>
                </c:pt>
                <c:pt idx="8">
                  <c:v>159.88200000000001</c:v>
                </c:pt>
                <c:pt idx="9">
                  <c:v>165.69800000000001</c:v>
                </c:pt>
                <c:pt idx="10">
                  <c:v>170.643</c:v>
                </c:pt>
                <c:pt idx="11">
                  <c:v>177.059</c:v>
                </c:pt>
                <c:pt idx="12">
                  <c:v>180.01900000000001</c:v>
                </c:pt>
                <c:pt idx="13">
                  <c:v>187.33799999999999</c:v>
                </c:pt>
                <c:pt idx="14">
                  <c:v>192.66499999999999</c:v>
                </c:pt>
                <c:pt idx="15">
                  <c:v>191.81800000000001</c:v>
                </c:pt>
                <c:pt idx="16">
                  <c:v>187.18299999999999</c:v>
                </c:pt>
                <c:pt idx="17">
                  <c:v>191.41800000000001</c:v>
                </c:pt>
                <c:pt idx="18">
                  <c:v>199.02799999999999</c:v>
                </c:pt>
                <c:pt idx="19">
                  <c:v>201.952</c:v>
                </c:pt>
                <c:pt idx="20">
                  <c:v>198.05799999999999</c:v>
                </c:pt>
                <c:pt idx="21">
                  <c:v>199.249</c:v>
                </c:pt>
                <c:pt idx="22">
                  <c:v>202.91</c:v>
                </c:pt>
                <c:pt idx="23">
                  <c:v>204.29400000000001</c:v>
                </c:pt>
                <c:pt idx="24">
                  <c:v>201.91800000000001</c:v>
                </c:pt>
                <c:pt idx="25">
                  <c:v>204.476</c:v>
                </c:pt>
                <c:pt idx="26">
                  <c:v>208.249</c:v>
                </c:pt>
                <c:pt idx="27">
                  <c:v>209.273</c:v>
                </c:pt>
                <c:pt idx="28">
                  <c:v>207.86</c:v>
                </c:pt>
                <c:pt idx="29">
                  <c:v>211.31700000000001</c:v>
                </c:pt>
                <c:pt idx="30">
                  <c:v>212.55099999999999</c:v>
                </c:pt>
                <c:pt idx="31">
                  <c:v>213.447</c:v>
                </c:pt>
                <c:pt idx="32">
                  <c:v>209.79599999999999</c:v>
                </c:pt>
                <c:pt idx="33">
                  <c:v>212.12299999999999</c:v>
                </c:pt>
                <c:pt idx="34">
                  <c:v>215.20599999999999</c:v>
                </c:pt>
                <c:pt idx="35">
                  <c:v>216.239</c:v>
                </c:pt>
                <c:pt idx="36">
                  <c:v>213.9</c:v>
                </c:pt>
                <c:pt idx="37">
                  <c:v>216.68</c:v>
                </c:pt>
              </c:numCache>
            </c:numRef>
          </c:val>
          <c:smooth val="0"/>
          <c:extLst>
            <c:ext xmlns:c16="http://schemas.microsoft.com/office/drawing/2014/chart" uri="{C3380CC4-5D6E-409C-BE32-E72D297353CC}">
              <c16:uniqueId val="{00000005-43AE-4E3A-8BBF-93F8BAFD9EDA}"/>
            </c:ext>
          </c:extLst>
        </c:ser>
        <c:ser>
          <c:idx val="2"/>
          <c:order val="6"/>
          <c:tx>
            <c:strRef>
              <c:f>'Trh práce-2b'!$A$38</c:f>
              <c:strCache>
                <c:ptCount val="1"/>
                <c:pt idx="0">
                  <c:v>Employed foreigners (other citizens)</c:v>
                </c:pt>
              </c:strCache>
            </c:strRef>
          </c:tx>
          <c:spPr>
            <a:ln w="19050">
              <a:solidFill>
                <a:srgbClr val="D4A97E"/>
              </a:solidFill>
              <a:prstDash val="sys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práce-2b'!$B$38:$AN$38</c:f>
              <c:numCache>
                <c:formatCode>#,##0</c:formatCode>
                <c:ptCount val="39"/>
                <c:pt idx="0">
                  <c:v>100.735</c:v>
                </c:pt>
                <c:pt idx="1">
                  <c:v>113.586</c:v>
                </c:pt>
                <c:pt idx="2">
                  <c:v>124.599</c:v>
                </c:pt>
                <c:pt idx="3">
                  <c:v>129.863</c:v>
                </c:pt>
                <c:pt idx="4">
                  <c:v>134.048</c:v>
                </c:pt>
                <c:pt idx="5">
                  <c:v>145.23599999999999</c:v>
                </c:pt>
                <c:pt idx="6">
                  <c:v>159.786</c:v>
                </c:pt>
                <c:pt idx="7">
                  <c:v>165.274</c:v>
                </c:pt>
                <c:pt idx="8">
                  <c:v>173.614</c:v>
                </c:pt>
                <c:pt idx="9">
                  <c:v>187.52799999999999</c:v>
                </c:pt>
                <c:pt idx="10">
                  <c:v>199.11799999999999</c:v>
                </c:pt>
                <c:pt idx="11">
                  <c:v>213.59899999999999</c:v>
                </c:pt>
                <c:pt idx="12">
                  <c:v>228.61600000000001</c:v>
                </c:pt>
                <c:pt idx="13">
                  <c:v>244.029</c:v>
                </c:pt>
                <c:pt idx="14">
                  <c:v>258.82100000000003</c:v>
                </c:pt>
                <c:pt idx="15">
                  <c:v>255.77199999999999</c:v>
                </c:pt>
                <c:pt idx="16">
                  <c:v>255.12200000000001</c:v>
                </c:pt>
                <c:pt idx="17">
                  <c:v>262.36599999999999</c:v>
                </c:pt>
                <c:pt idx="18">
                  <c:v>277.37400000000002</c:v>
                </c:pt>
                <c:pt idx="19">
                  <c:v>275.80399999999997</c:v>
                </c:pt>
                <c:pt idx="20">
                  <c:v>277.709</c:v>
                </c:pt>
                <c:pt idx="21">
                  <c:v>270.178</c:v>
                </c:pt>
                <c:pt idx="22">
                  <c:v>278.71699999999998</c:v>
                </c:pt>
                <c:pt idx="23">
                  <c:v>280.40199999999999</c:v>
                </c:pt>
                <c:pt idx="24">
                  <c:v>281.459</c:v>
                </c:pt>
                <c:pt idx="25">
                  <c:v>285.55</c:v>
                </c:pt>
                <c:pt idx="26">
                  <c:v>297.53500000000003</c:v>
                </c:pt>
                <c:pt idx="27">
                  <c:v>297.44099999999997</c:v>
                </c:pt>
                <c:pt idx="28">
                  <c:v>300.39299999999997</c:v>
                </c:pt>
                <c:pt idx="29">
                  <c:v>307.61</c:v>
                </c:pt>
                <c:pt idx="30">
                  <c:v>310.33499999999998</c:v>
                </c:pt>
                <c:pt idx="31">
                  <c:v>309.93200000000002</c:v>
                </c:pt>
                <c:pt idx="32">
                  <c:v>308.2</c:v>
                </c:pt>
                <c:pt idx="33">
                  <c:v>314.923</c:v>
                </c:pt>
                <c:pt idx="34">
                  <c:v>320.48399999999998</c:v>
                </c:pt>
                <c:pt idx="35">
                  <c:v>322.161</c:v>
                </c:pt>
                <c:pt idx="36">
                  <c:v>320.39100000000002</c:v>
                </c:pt>
                <c:pt idx="37">
                  <c:v>324.68299999999999</c:v>
                </c:pt>
              </c:numCache>
            </c:numRef>
          </c:val>
          <c:smooth val="0"/>
          <c:extLst>
            <c:ext xmlns:c16="http://schemas.microsoft.com/office/drawing/2014/chart" uri="{C3380CC4-5D6E-409C-BE32-E72D297353CC}">
              <c16:uniqueId val="{00000006-43AE-4E3A-8BBF-93F8BAFD9EDA}"/>
            </c:ext>
          </c:extLst>
        </c:ser>
        <c:ser>
          <c:idx val="3"/>
          <c:order val="7"/>
          <c:tx>
            <c:strRef>
              <c:f>'Trh práce-2b'!$A$39</c:f>
              <c:strCache>
                <c:ptCount val="1"/>
                <c:pt idx="0">
                  <c:v>Unemployment expectations</c:v>
                </c:pt>
              </c:strCache>
            </c:strRef>
          </c:tx>
          <c:spPr>
            <a:ln w="19050">
              <a:solidFill>
                <a:schemeClr val="tx1">
                  <a:lumMod val="85000"/>
                  <a:lumOff val="15000"/>
                </a:schemeClr>
              </a:solidFill>
              <a:prstDash val="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práce-2b'!$B$39:$AN$39</c:f>
              <c:numCache>
                <c:formatCode>0.0</c:formatCode>
                <c:ptCount val="39"/>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pt idx="36">
                  <c:v>25</c:v>
                </c:pt>
                <c:pt idx="37">
                  <c:v>22</c:v>
                </c:pt>
                <c:pt idx="38">
                  <c:v>24</c:v>
                </c:pt>
              </c:numCache>
            </c:numRef>
          </c:val>
          <c:smooth val="0"/>
          <c:extLst>
            <c:ext xmlns:c16="http://schemas.microsoft.com/office/drawing/2014/chart" uri="{C3380CC4-5D6E-409C-BE32-E72D297353CC}">
              <c16:uniqueId val="{00000007-43AE-4E3A-8BBF-93F8BAFD9EDA}"/>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Unemployment rate</a:t>
                </a:r>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Job vacancies, unemployment expect., employed foreigners</a:t>
                </a:r>
              </a:p>
            </c:rich>
          </c:tx>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2.0203894786331125E-2"/>
          <c:w val="0.94100987714831696"/>
          <c:h val="0.76395209750566906"/>
        </c:manualLayout>
      </c:layout>
      <c:barChart>
        <c:barDir val="col"/>
        <c:grouping val="clustered"/>
        <c:varyColors val="0"/>
        <c:ser>
          <c:idx val="4"/>
          <c:order val="1"/>
          <c:tx>
            <c:strRef>
              <c:f>'Trh práce 3'!$D$8</c:f>
              <c:strCache>
                <c:ptCount val="1"/>
                <c:pt idx="0">
                  <c:v>Total average wage (real)</c:v>
                </c:pt>
              </c:strCache>
            </c:strRef>
          </c:tx>
          <c:spPr>
            <a:solidFill>
              <a:srgbClr val="DBDBDB"/>
            </a:solidFill>
            <a:ln w="19050">
              <a:noFill/>
            </a:ln>
          </c:spPr>
          <c:invertIfNegative val="0"/>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3'!$D$29:$D$66</c:f>
              <c:numCache>
                <c:formatCode>#\ ##0.0</c:formatCode>
                <c:ptCount val="38"/>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1.7999999999999972</c:v>
                </c:pt>
                <c:pt idx="21">
                  <c:v>-2.0999999999999943</c:v>
                </c:pt>
                <c:pt idx="22">
                  <c:v>2</c:v>
                </c:pt>
                <c:pt idx="23">
                  <c:v>4</c:v>
                </c:pt>
                <c:pt idx="24">
                  <c:v>0.79999999999999716</c:v>
                </c:pt>
                <c:pt idx="25">
                  <c:v>8.0999999999999943</c:v>
                </c:pt>
                <c:pt idx="26">
                  <c:v>1.2000000000000028</c:v>
                </c:pt>
                <c:pt idx="27">
                  <c:v>-2.0999999999999943</c:v>
                </c:pt>
                <c:pt idx="28">
                  <c:v>-5.2999999999999972</c:v>
                </c:pt>
                <c:pt idx="29">
                  <c:v>-11.5</c:v>
                </c:pt>
                <c:pt idx="30">
                  <c:v>-11.599999999999994</c:v>
                </c:pt>
                <c:pt idx="31">
                  <c:v>-8.7000000000000028</c:v>
                </c:pt>
                <c:pt idx="32">
                  <c:v>-6.4000000000000057</c:v>
                </c:pt>
                <c:pt idx="33">
                  <c:v>-2.4000000000000057</c:v>
                </c:pt>
                <c:pt idx="34">
                  <c:v>-0.20000000000000284</c:v>
                </c:pt>
                <c:pt idx="35">
                  <c:v>-0.5</c:v>
                </c:pt>
                <c:pt idx="36">
                  <c:v>5</c:v>
                </c:pt>
                <c:pt idx="37">
                  <c:v>3.9000000000000057</c:v>
                </c:pt>
              </c:numCache>
            </c:numRef>
          </c:val>
          <c:extLst>
            <c:ext xmlns:c16="http://schemas.microsoft.com/office/drawing/2014/chart" uri="{C3380CC4-5D6E-409C-BE32-E72D297353CC}">
              <c16:uniqueId val="{00000000-35CD-474A-BFBB-F618A4B318F2}"/>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Total average wage (nominal)</c:v>
                </c:pt>
              </c:strCache>
            </c:strRef>
          </c:tx>
          <c:spPr>
            <a:ln w="19050">
              <a:solidFill>
                <a:schemeClr val="tx1">
                  <a:lumMod val="95000"/>
                  <a:lumOff val="5000"/>
                </a:schemeClr>
              </a:solidFill>
              <a:prstDash val="solid"/>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3'!$C$29:$C$66</c:f>
              <c:numCache>
                <c:formatCode>#\ ##0.0</c:formatCode>
                <c:ptCount val="38"/>
                <c:pt idx="0">
                  <c:v>2.2999999999999972</c:v>
                </c:pt>
                <c:pt idx="1">
                  <c:v>3.2999999999999972</c:v>
                </c:pt>
                <c:pt idx="2">
                  <c:v>3.5</c:v>
                </c:pt>
                <c:pt idx="3">
                  <c:v>3.7000000000000028</c:v>
                </c:pt>
                <c:pt idx="4">
                  <c:v>4.7000000000000028</c:v>
                </c:pt>
                <c:pt idx="5">
                  <c:v>4</c:v>
                </c:pt>
                <c:pt idx="6">
                  <c:v>4.7000000000000028</c:v>
                </c:pt>
                <c:pt idx="7">
                  <c:v>4.4000000000000057</c:v>
                </c:pt>
                <c:pt idx="8">
                  <c:v>5.0999999999999943</c:v>
                </c:pt>
                <c:pt idx="9">
                  <c:v>7.2000000000000028</c:v>
                </c:pt>
                <c:pt idx="10">
                  <c:v>6.7000000000000028</c:v>
                </c:pt>
                <c:pt idx="11">
                  <c:v>7.7999999999999972</c:v>
                </c:pt>
                <c:pt idx="12">
                  <c:v>8.5</c:v>
                </c:pt>
                <c:pt idx="13">
                  <c:v>8.7000000000000028</c:v>
                </c:pt>
                <c:pt idx="14">
                  <c:v>8.4000000000000057</c:v>
                </c:pt>
                <c:pt idx="15">
                  <c:v>7.0999999999999943</c:v>
                </c:pt>
                <c:pt idx="16">
                  <c:v>8.2999999999999972</c:v>
                </c:pt>
                <c:pt idx="17">
                  <c:v>8</c:v>
                </c:pt>
                <c:pt idx="18">
                  <c:v>7.7000000000000028</c:v>
                </c:pt>
                <c:pt idx="19">
                  <c:v>7.5999999999999943</c:v>
                </c:pt>
                <c:pt idx="20">
                  <c:v>5.5</c:v>
                </c:pt>
                <c:pt idx="21">
                  <c:v>0.90000000000000568</c:v>
                </c:pt>
                <c:pt idx="22">
                  <c:v>5.4000000000000057</c:v>
                </c:pt>
                <c:pt idx="23">
                  <c:v>6.7000000000000028</c:v>
                </c:pt>
                <c:pt idx="24">
                  <c:v>3</c:v>
                </c:pt>
                <c:pt idx="25">
                  <c:v>11.200000000000003</c:v>
                </c:pt>
                <c:pt idx="26">
                  <c:v>5.2999999999999972</c:v>
                </c:pt>
                <c:pt idx="27">
                  <c:v>3.9000000000000057</c:v>
                </c:pt>
                <c:pt idx="28">
                  <c:v>5.2999999999999972</c:v>
                </c:pt>
                <c:pt idx="29">
                  <c:v>2.5</c:v>
                </c:pt>
                <c:pt idx="30">
                  <c:v>3.9000000000000057</c:v>
                </c:pt>
                <c:pt idx="31">
                  <c:v>5.5999999999999943</c:v>
                </c:pt>
                <c:pt idx="32">
                  <c:v>8.9000000000000057</c:v>
                </c:pt>
                <c:pt idx="33">
                  <c:v>8.4000000000000057</c:v>
                </c:pt>
                <c:pt idx="34">
                  <c:v>7.7999999999999972</c:v>
                </c:pt>
                <c:pt idx="35">
                  <c:v>7.0999999999999943</c:v>
                </c:pt>
                <c:pt idx="36">
                  <c:v>7.2000000000000028</c:v>
                </c:pt>
                <c:pt idx="37">
                  <c:v>6.5</c:v>
                </c:pt>
              </c:numCache>
            </c:numRef>
          </c:val>
          <c:smooth val="0"/>
          <c:extLst>
            <c:ext xmlns:c16="http://schemas.microsoft.com/office/drawing/2014/chart" uri="{C3380CC4-5D6E-409C-BE32-E72D297353CC}">
              <c16:uniqueId val="{00000001-35CD-474A-BFBB-F618A4B318F2}"/>
            </c:ext>
          </c:extLst>
        </c:ser>
        <c:ser>
          <c:idx val="5"/>
          <c:order val="2"/>
          <c:tx>
            <c:strRef>
              <c:f>'Trh práce 3'!$E$8</c:f>
              <c:strCache>
                <c:ptCount val="1"/>
                <c:pt idx="0">
                  <c:v>Wage in industry (nominal)</c:v>
                </c:pt>
              </c:strCache>
            </c:strRef>
          </c:tx>
          <c:spPr>
            <a:ln w="19050">
              <a:solidFill>
                <a:srgbClr val="C00000"/>
              </a:solidFill>
              <a:prstDash val="sysDot"/>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3'!$E$29:$E$66</c:f>
              <c:numCache>
                <c:formatCode>#\ ##0.0</c:formatCode>
                <c:ptCount val="38"/>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4.8529141948504844</c:v>
                </c:pt>
                <c:pt idx="21">
                  <c:v>-3.4830979888746327</c:v>
                </c:pt>
                <c:pt idx="22">
                  <c:v>2.956413004644503</c:v>
                </c:pt>
                <c:pt idx="23">
                  <c:v>4.0067563825663086</c:v>
                </c:pt>
                <c:pt idx="24">
                  <c:v>1.8985680538948344</c:v>
                </c:pt>
                <c:pt idx="25">
                  <c:v>10.170242950877807</c:v>
                </c:pt>
                <c:pt idx="26">
                  <c:v>4.7656227408114233</c:v>
                </c:pt>
                <c:pt idx="27">
                  <c:v>3.7112962913660397</c:v>
                </c:pt>
                <c:pt idx="28">
                  <c:v>4.9627933600457936</c:v>
                </c:pt>
                <c:pt idx="29">
                  <c:v>5.8242790073776121</c:v>
                </c:pt>
                <c:pt idx="30">
                  <c:v>5.6391288746584252</c:v>
                </c:pt>
                <c:pt idx="31">
                  <c:v>7.3649082274419158</c:v>
                </c:pt>
                <c:pt idx="32">
                  <c:v>10.686044609259966</c:v>
                </c:pt>
                <c:pt idx="33">
                  <c:v>9.9249607057749785</c:v>
                </c:pt>
                <c:pt idx="34">
                  <c:v>8.8289088628762613</c:v>
                </c:pt>
                <c:pt idx="35">
                  <c:v>7.7850038255547105</c:v>
                </c:pt>
                <c:pt idx="36">
                  <c:v>8.0703569580962125</c:v>
                </c:pt>
                <c:pt idx="37">
                  <c:v>7.474458614884341</c:v>
                </c:pt>
              </c:numCache>
            </c:numRef>
          </c:val>
          <c:smooth val="0"/>
          <c:extLst>
            <c:ext xmlns:c16="http://schemas.microsoft.com/office/drawing/2014/chart" uri="{C3380CC4-5D6E-409C-BE32-E72D297353CC}">
              <c16:uniqueId val="{00000002-35CD-474A-BFBB-F618A4B318F2}"/>
            </c:ext>
          </c:extLst>
        </c:ser>
        <c:ser>
          <c:idx val="1"/>
          <c:order val="3"/>
          <c:tx>
            <c:strRef>
              <c:f>'Trh práce 3'!$F$8</c:f>
              <c:strCache>
                <c:ptCount val="1"/>
                <c:pt idx="0">
                  <c:v>Wage in trade (nominal)</c:v>
                </c:pt>
              </c:strCache>
            </c:strRef>
          </c:tx>
          <c:spPr>
            <a:ln w="19050">
              <a:solidFill>
                <a:srgbClr val="0070C0"/>
              </a:solidFill>
              <a:prstDash val="sysDot"/>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3'!$F$29:$F$66</c:f>
              <c:numCache>
                <c:formatCode>#\ ##0.0</c:formatCode>
                <c:ptCount val="38"/>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6.3685550604710528</c:v>
                </c:pt>
                <c:pt idx="21">
                  <c:v>0.91357172008916621</c:v>
                </c:pt>
                <c:pt idx="22">
                  <c:v>4.7389533256631182</c:v>
                </c:pt>
                <c:pt idx="23">
                  <c:v>2.446953129617583</c:v>
                </c:pt>
                <c:pt idx="24">
                  <c:v>2.2321294994165299</c:v>
                </c:pt>
                <c:pt idx="25">
                  <c:v>9.8898705823792881</c:v>
                </c:pt>
                <c:pt idx="26">
                  <c:v>6.6146127126443588</c:v>
                </c:pt>
                <c:pt idx="27">
                  <c:v>8.7059366526279263</c:v>
                </c:pt>
                <c:pt idx="28">
                  <c:v>6.7609096496619543</c:v>
                </c:pt>
                <c:pt idx="29">
                  <c:v>5.6167369702460093</c:v>
                </c:pt>
                <c:pt idx="30">
                  <c:v>3.4585503049205073</c:v>
                </c:pt>
                <c:pt idx="31">
                  <c:v>5.3444432650461664</c:v>
                </c:pt>
                <c:pt idx="32">
                  <c:v>8.065356251884765</c:v>
                </c:pt>
                <c:pt idx="33">
                  <c:v>6.8137346878601903</c:v>
                </c:pt>
                <c:pt idx="34">
                  <c:v>6.2713643581944893</c:v>
                </c:pt>
                <c:pt idx="35">
                  <c:v>5.3226862814247653</c:v>
                </c:pt>
                <c:pt idx="36">
                  <c:v>7.321342499809731</c:v>
                </c:pt>
                <c:pt idx="37">
                  <c:v>6.2485884212903642</c:v>
                </c:pt>
              </c:numCache>
            </c:numRef>
          </c:val>
          <c:smooth val="0"/>
          <c:extLst>
            <c:ext xmlns:c16="http://schemas.microsoft.com/office/drawing/2014/chart" uri="{C3380CC4-5D6E-409C-BE32-E72D297353CC}">
              <c16:uniqueId val="{00000003-35CD-474A-BFBB-F618A4B318F2}"/>
            </c:ext>
          </c:extLst>
        </c:ser>
        <c:ser>
          <c:idx val="2"/>
          <c:order val="4"/>
          <c:tx>
            <c:strRef>
              <c:f>'Trh práce 3'!$G$8</c:f>
              <c:strCache>
                <c:ptCount val="1"/>
                <c:pt idx="0">
                  <c:v>Wage in public services (nominal)*</c:v>
                </c:pt>
              </c:strCache>
            </c:strRef>
          </c:tx>
          <c:spPr>
            <a:ln w="19050">
              <a:solidFill>
                <a:srgbClr val="00B050"/>
              </a:solidFill>
              <a:prstDash val="sysDot"/>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3'!$G$29:$G$66</c:f>
              <c:numCache>
                <c:formatCode>#\ ##0.0</c:formatCode>
                <c:ptCount val="38"/>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5.2296117021426483</c:v>
                </c:pt>
                <c:pt idx="21">
                  <c:v>4.9937922145909539</c:v>
                </c:pt>
                <c:pt idx="22">
                  <c:v>8.8109946466096574</c:v>
                </c:pt>
                <c:pt idx="23">
                  <c:v>13.948630451066606</c:v>
                </c:pt>
                <c:pt idx="24">
                  <c:v>4.5485385483402752</c:v>
                </c:pt>
                <c:pt idx="25">
                  <c:v>17.785684079315018</c:v>
                </c:pt>
                <c:pt idx="26">
                  <c:v>5.4643357321226631</c:v>
                </c:pt>
                <c:pt idx="27">
                  <c:v>-0.40508430459891542</c:v>
                </c:pt>
                <c:pt idx="28">
                  <c:v>2.3050985414715655</c:v>
                </c:pt>
                <c:pt idx="29">
                  <c:v>-7.0315803873919265</c:v>
                </c:pt>
                <c:pt idx="30">
                  <c:v>0.30518367768182486</c:v>
                </c:pt>
                <c:pt idx="31">
                  <c:v>3.4014494016982155</c:v>
                </c:pt>
                <c:pt idx="32">
                  <c:v>7.1236563240183841</c:v>
                </c:pt>
                <c:pt idx="33">
                  <c:v>5.8159573906736455</c:v>
                </c:pt>
                <c:pt idx="34">
                  <c:v>5.5362187961367937</c:v>
                </c:pt>
                <c:pt idx="35">
                  <c:v>4.6740026435620194</c:v>
                </c:pt>
                <c:pt idx="36">
                  <c:v>5.4155520574538798</c:v>
                </c:pt>
                <c:pt idx="37">
                  <c:v>5.5868869577609672</c:v>
                </c:pt>
              </c:numCache>
            </c:numRef>
          </c:val>
          <c:smooth val="0"/>
          <c:extLst>
            <c:ext xmlns:c16="http://schemas.microsoft.com/office/drawing/2014/chart" uri="{C3380CC4-5D6E-409C-BE32-E72D297353CC}">
              <c16:uniqueId val="{00000004-35CD-474A-BFBB-F618A4B318F2}"/>
            </c:ext>
          </c:extLst>
        </c:ser>
        <c:ser>
          <c:idx val="3"/>
          <c:order val="5"/>
          <c:tx>
            <c:strRef>
              <c:f>'Trh práce 3'!$H$8</c:f>
              <c:strCache>
                <c:ptCount val="1"/>
                <c:pt idx="0">
                  <c:v>Total median wage (nominal)</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3'!$H$29:$H$66</c:f>
              <c:numCache>
                <c:formatCode>#\ ##0.0</c:formatCode>
                <c:ptCount val="38"/>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7.2000000000000028</c:v>
                </c:pt>
                <c:pt idx="17">
                  <c:v>6.4000000000000057</c:v>
                </c:pt>
                <c:pt idx="18">
                  <c:v>7.2999999999999972</c:v>
                </c:pt>
                <c:pt idx="19">
                  <c:v>6.4000000000000057</c:v>
                </c:pt>
                <c:pt idx="20">
                  <c:v>7</c:v>
                </c:pt>
                <c:pt idx="21">
                  <c:v>1.4000000000000057</c:v>
                </c:pt>
                <c:pt idx="22">
                  <c:v>6.7000000000000028</c:v>
                </c:pt>
                <c:pt idx="23">
                  <c:v>6.7000000000000028</c:v>
                </c:pt>
                <c:pt idx="24">
                  <c:v>2.2999999999999972</c:v>
                </c:pt>
                <c:pt idx="25">
                  <c:v>11.099999999999994</c:v>
                </c:pt>
                <c:pt idx="26">
                  <c:v>4.7000000000000028</c:v>
                </c:pt>
                <c:pt idx="27">
                  <c:v>4.5999999999999943</c:v>
                </c:pt>
                <c:pt idx="28">
                  <c:v>4.2999999999999972</c:v>
                </c:pt>
                <c:pt idx="29">
                  <c:v>3.2000000000000028</c:v>
                </c:pt>
                <c:pt idx="30">
                  <c:v>4.2000000000000028</c:v>
                </c:pt>
                <c:pt idx="31">
                  <c:v>6.2999999999999972</c:v>
                </c:pt>
                <c:pt idx="32">
                  <c:v>9.5999999999999943</c:v>
                </c:pt>
                <c:pt idx="33">
                  <c:v>7.5999999999999943</c:v>
                </c:pt>
                <c:pt idx="34">
                  <c:v>7.7999999999999972</c:v>
                </c:pt>
                <c:pt idx="35">
                  <c:v>7.0999999999999943</c:v>
                </c:pt>
                <c:pt idx="36">
                  <c:v>5.7000000000000028</c:v>
                </c:pt>
                <c:pt idx="37">
                  <c:v>5.7999999999999972</c:v>
                </c:pt>
              </c:numCache>
            </c:numRef>
          </c:val>
          <c:smooth val="0"/>
          <c:extLst>
            <c:ext xmlns:c16="http://schemas.microsoft.com/office/drawing/2014/chart" uri="{C3380CC4-5D6E-409C-BE32-E72D297353CC}">
              <c16:uniqueId val="{00000005-35CD-474A-BFBB-F618A4B318F2}"/>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8"/>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2"/>
      </c:valAx>
      <c:spPr>
        <a:ln>
          <a:solidFill>
            <a:schemeClr val="tx1"/>
          </a:solidFill>
        </a:ln>
      </c:spPr>
    </c:plotArea>
    <c:legend>
      <c:legendPos val="b"/>
      <c:layout>
        <c:manualLayout>
          <c:xMode val="edge"/>
          <c:yMode val="edge"/>
          <c:x val="9.1292133366733495E-3"/>
          <c:y val="0.87578174603174608"/>
          <c:w val="0.97744446685490061"/>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20BDDD-F07A-4616-9DED-2694E6C5F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3248</Words>
  <Characters>19167</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3</cp:revision>
  <cp:lastPrinted>2014-07-17T14:07:00Z</cp:lastPrinted>
  <dcterms:created xsi:type="dcterms:W3CDTF">2024-10-16T11:34:00Z</dcterms:created>
  <dcterms:modified xsi:type="dcterms:W3CDTF">2024-10-16T11:35:00Z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