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1291B" w14:textId="77777777" w:rsidR="00E551F6" w:rsidRPr="001A0A01" w:rsidRDefault="00E551F6" w:rsidP="00E551F6">
      <w:pPr>
        <w:pStyle w:val="Nadpis1"/>
        <w:rPr>
          <w:lang w:val="en-GB"/>
        </w:rPr>
      </w:pPr>
      <w:bookmarkStart w:id="0" w:name="_Toc179774109"/>
      <w:r w:rsidRPr="001A0A01">
        <w:rPr>
          <w:lang w:val="en-GB"/>
        </w:rPr>
        <w:t>5. Prices</w:t>
      </w:r>
      <w:bookmarkEnd w:id="0"/>
    </w:p>
    <w:tbl>
      <w:tblPr>
        <w:tblW w:w="9639" w:type="dxa"/>
        <w:tblInd w:w="-15" w:type="dxa"/>
        <w:tblCellMar>
          <w:left w:w="0" w:type="dxa"/>
          <w:right w:w="0" w:type="dxa"/>
        </w:tblCellMar>
        <w:tblLook w:val="00A0" w:firstRow="1" w:lastRow="0" w:firstColumn="1" w:lastColumn="0" w:noHBand="0" w:noVBand="0"/>
      </w:tblPr>
      <w:tblGrid>
        <w:gridCol w:w="1733"/>
        <w:gridCol w:w="217"/>
        <w:gridCol w:w="7624"/>
        <w:gridCol w:w="65"/>
      </w:tblGrid>
      <w:tr w:rsidR="00E551F6" w:rsidRPr="001A0A01" w14:paraId="50964150" w14:textId="77777777" w:rsidTr="00E551F6">
        <w:trPr>
          <w:trHeight w:val="145"/>
        </w:trPr>
        <w:tc>
          <w:tcPr>
            <w:tcW w:w="1791" w:type="dxa"/>
            <w:hideMark/>
          </w:tcPr>
          <w:p w14:paraId="41B2B48B" w14:textId="77777777" w:rsidR="00E551F6" w:rsidRPr="001A0A01" w:rsidRDefault="00E551F6" w:rsidP="00E551F6">
            <w:pPr>
              <w:pStyle w:val="Marginlie"/>
              <w:rPr>
                <w:spacing w:val="0"/>
                <w:lang w:val="en-GB" w:eastAsia="en-US"/>
              </w:rPr>
            </w:pPr>
            <w:r w:rsidRPr="001A0A01">
              <w:rPr>
                <w:spacing w:val="0"/>
                <w:lang w:val="en-GB" w:eastAsia="en-US"/>
              </w:rPr>
              <w:t xml:space="preserve">Year-on-year growth of the price level remained stable in Q2. </w:t>
            </w:r>
          </w:p>
        </w:tc>
        <w:tc>
          <w:tcPr>
            <w:tcW w:w="223" w:type="dxa"/>
          </w:tcPr>
          <w:p w14:paraId="7FC51A20" w14:textId="77777777" w:rsidR="00E551F6" w:rsidRPr="001A0A01" w:rsidRDefault="00E551F6" w:rsidP="00E551F6">
            <w:pPr>
              <w:pStyle w:val="Textpoznpodarou1"/>
              <w:jc w:val="both"/>
              <w:rPr>
                <w:lang w:val="en-GB" w:eastAsia="en-US"/>
              </w:rPr>
            </w:pPr>
          </w:p>
        </w:tc>
        <w:tc>
          <w:tcPr>
            <w:tcW w:w="7625" w:type="dxa"/>
            <w:gridSpan w:val="2"/>
            <w:hideMark/>
          </w:tcPr>
          <w:p w14:paraId="47883CEE" w14:textId="4128937C" w:rsidR="00E551F6" w:rsidRPr="001A0A01" w:rsidRDefault="00E551F6" w:rsidP="00E551F6">
            <w:pPr>
              <w:rPr>
                <w:szCs w:val="20"/>
                <w:lang w:val="en-GB" w:eastAsia="en-US"/>
              </w:rPr>
            </w:pPr>
            <w:r w:rsidRPr="001A0A01">
              <w:rPr>
                <w:szCs w:val="20"/>
                <w:lang w:val="en-GB" w:eastAsia="en-US"/>
              </w:rPr>
              <w:t xml:space="preserve">Total year-on-year growth of the price level gauged by the </w:t>
            </w:r>
            <w:r w:rsidR="00EF3741">
              <w:rPr>
                <w:szCs w:val="20"/>
                <w:lang w:val="en-GB" w:eastAsia="en-US"/>
              </w:rPr>
              <w:t>implicit</w:t>
            </w:r>
            <w:r w:rsidRPr="001A0A01">
              <w:rPr>
                <w:szCs w:val="20"/>
                <w:lang w:val="en-GB" w:eastAsia="en-US"/>
              </w:rPr>
              <w:t xml:space="preserve"> deflator amounted to 4.2% in Q2. It thus did not change much compared to the previous quarter. Year-on-year growth of consumption prices remained solid (3.2%), while the increase of household consumption prices (3.3%) as well as of general government (3.0%) was similar. The price level of capital outlays increased, year-on-year, by 3.5%, in that the increase for gross fixed capital formation was only 0.4%. The year-on-year terms of trade of the international trade with goods and services weakened to 101.3% in Q2. Of this, the terms of trade with goods and services attained 101.0% and 102.9% respectively. The quarter-on-quarter increase of the price level weakened slightly to 1.4% in Q2. The quarter-on-quarter growth of consumer prices slowed markedly (0.2%) compared to the previous quarter, in contrast the increase for capital expenditure strengthened to 3.7% (in that the investment price level rose by 2.9%). Quarter-on-quarter terms of international trade with goods and services weakened to 100.4%. </w:t>
            </w:r>
          </w:p>
        </w:tc>
      </w:tr>
      <w:tr w:rsidR="00E551F6" w:rsidRPr="001A0A01" w14:paraId="1FD296C4" w14:textId="77777777" w:rsidTr="00E551F6">
        <w:trPr>
          <w:trHeight w:val="145"/>
        </w:trPr>
        <w:tc>
          <w:tcPr>
            <w:tcW w:w="1791" w:type="dxa"/>
            <w:hideMark/>
          </w:tcPr>
          <w:p w14:paraId="2F548583" w14:textId="77777777" w:rsidR="00E551F6" w:rsidRPr="001A0A01" w:rsidRDefault="00E551F6" w:rsidP="00E551F6">
            <w:pPr>
              <w:pStyle w:val="Marginlie"/>
              <w:rPr>
                <w:spacing w:val="0"/>
                <w:lang w:val="en-GB" w:eastAsia="en-US"/>
              </w:rPr>
            </w:pPr>
            <w:r w:rsidRPr="001A0A01">
              <w:rPr>
                <w:spacing w:val="0"/>
                <w:lang w:val="en-GB" w:eastAsia="en-US"/>
              </w:rPr>
              <w:t>Year-on-year growth of consumer prices slightly strengthened in Q2.</w:t>
            </w:r>
          </w:p>
        </w:tc>
        <w:tc>
          <w:tcPr>
            <w:tcW w:w="223" w:type="dxa"/>
          </w:tcPr>
          <w:p w14:paraId="5892B832" w14:textId="77777777" w:rsidR="00E551F6" w:rsidRPr="001A0A01" w:rsidRDefault="00E551F6" w:rsidP="00E551F6">
            <w:pPr>
              <w:pStyle w:val="Textpoznpodarou1"/>
              <w:jc w:val="both"/>
              <w:rPr>
                <w:lang w:val="en-GB" w:eastAsia="en-US"/>
              </w:rPr>
            </w:pPr>
          </w:p>
        </w:tc>
        <w:tc>
          <w:tcPr>
            <w:tcW w:w="7625" w:type="dxa"/>
            <w:gridSpan w:val="2"/>
            <w:hideMark/>
          </w:tcPr>
          <w:p w14:paraId="0FB14C8E" w14:textId="09FEE48D" w:rsidR="00E551F6" w:rsidRPr="001A0A01" w:rsidRDefault="00E551F6" w:rsidP="00E551F6">
            <w:pPr>
              <w:rPr>
                <w:lang w:val="en-GB" w:eastAsia="en-US"/>
              </w:rPr>
            </w:pPr>
            <w:r w:rsidRPr="001A0A01">
              <w:rPr>
                <w:lang w:val="en-GB" w:eastAsia="en-US"/>
              </w:rPr>
              <w:t xml:space="preserve">The year-on-year growth of consumer prices following a significant slowdown in Q1 (2.1%) again slightly strengthened in Q2 to reach 2.5%. The strengthening of year-on-year dynamics was mainly caused by faster growth of transport prices and further a moderation of the decline of prices of food and non-alcoholic beverages. The increase of prices of housing and energies, alcoholic beverages and tobacco, transport and </w:t>
            </w:r>
            <w:r w:rsidR="00074573">
              <w:rPr>
                <w:lang w:val="en-GB" w:eastAsia="en-US"/>
              </w:rPr>
              <w:t>restaurants</w:t>
            </w:r>
            <w:r w:rsidRPr="001A0A01">
              <w:rPr>
                <w:lang w:val="en-GB" w:eastAsia="en-US"/>
              </w:rPr>
              <w:t xml:space="preserve"> and </w:t>
            </w:r>
            <w:r w:rsidR="00074573">
              <w:rPr>
                <w:lang w:val="en-GB" w:eastAsia="en-US"/>
              </w:rPr>
              <w:t>hotels</w:t>
            </w:r>
            <w:r w:rsidRPr="001A0A01">
              <w:rPr>
                <w:lang w:val="en-GB" w:eastAsia="en-US"/>
              </w:rPr>
              <w:t xml:space="preserve"> contributed the most to the total year-on-year growth of consumer prices. Only prices of food and non-alcoholic beverages and home furnishings and household equipment decreased, year-on-year. Consumer prices rose by 0.8%, quarter on quarter, in Q2, owing to prices in all divisions of the consumer basket except for prices of housing and energies and recreation and arts. </w:t>
            </w:r>
          </w:p>
        </w:tc>
      </w:tr>
      <w:tr w:rsidR="00E551F6" w:rsidRPr="001A0A01" w14:paraId="25889528" w14:textId="77777777" w:rsidTr="00E551F6">
        <w:trPr>
          <w:trHeight w:val="145"/>
        </w:trPr>
        <w:tc>
          <w:tcPr>
            <w:tcW w:w="1791" w:type="dxa"/>
          </w:tcPr>
          <w:p w14:paraId="6CEE9300" w14:textId="77777777" w:rsidR="00E551F6" w:rsidRPr="001A0A01" w:rsidRDefault="00E551F6" w:rsidP="00E551F6">
            <w:pPr>
              <w:pStyle w:val="Marginlie"/>
              <w:rPr>
                <w:spacing w:val="0"/>
                <w:lang w:val="en-GB" w:eastAsia="en-US"/>
              </w:rPr>
            </w:pPr>
          </w:p>
        </w:tc>
        <w:tc>
          <w:tcPr>
            <w:tcW w:w="223" w:type="dxa"/>
          </w:tcPr>
          <w:p w14:paraId="178A50E0" w14:textId="77777777" w:rsidR="00E551F6" w:rsidRPr="001A0A01" w:rsidRDefault="00E551F6" w:rsidP="00E551F6">
            <w:pPr>
              <w:pStyle w:val="Textpoznpodarou1"/>
              <w:jc w:val="both"/>
              <w:rPr>
                <w:lang w:val="en-GB" w:eastAsia="en-US"/>
              </w:rPr>
            </w:pPr>
          </w:p>
        </w:tc>
        <w:tc>
          <w:tcPr>
            <w:tcW w:w="7625" w:type="dxa"/>
            <w:gridSpan w:val="2"/>
            <w:hideMark/>
          </w:tcPr>
          <w:p w14:paraId="304D6E2E" w14:textId="77777777" w:rsidR="00E551F6" w:rsidRPr="001A0A01" w:rsidRDefault="00E551F6" w:rsidP="00E551F6">
            <w:pPr>
              <w:spacing w:after="0"/>
              <w:rPr>
                <w:lang w:val="en-GB" w:eastAsia="en-US"/>
              </w:rPr>
            </w:pPr>
            <w:r w:rsidRPr="001A0A01">
              <w:rPr>
                <w:rFonts w:cs="Arial"/>
                <w:b/>
                <w:bCs/>
                <w:color w:val="000000"/>
                <w:sz w:val="18"/>
                <w:szCs w:val="18"/>
                <w:lang w:val="en-GB"/>
              </w:rPr>
              <w:t xml:space="preserve">Chart 10 Prices in the selected divisions of the consumer price index </w:t>
            </w:r>
            <w:r w:rsidRPr="001A0A01">
              <w:rPr>
                <w:rFonts w:cs="Arial"/>
                <w:color w:val="000000"/>
                <w:sz w:val="18"/>
                <w:szCs w:val="18"/>
                <w:lang w:val="en-GB"/>
              </w:rPr>
              <w:t>(year-on-year in %)</w:t>
            </w:r>
          </w:p>
        </w:tc>
      </w:tr>
      <w:tr w:rsidR="00E551F6" w:rsidRPr="001A0A01" w14:paraId="7C73F133" w14:textId="77777777" w:rsidTr="00EF3741">
        <w:tblPrEx>
          <w:tblCellMar>
            <w:left w:w="70" w:type="dxa"/>
            <w:right w:w="70" w:type="dxa"/>
          </w:tblCellMar>
        </w:tblPrEx>
        <w:trPr>
          <w:gridAfter w:val="1"/>
          <w:wAfter w:w="70" w:type="dxa"/>
          <w:trHeight w:val="145"/>
        </w:trPr>
        <w:tc>
          <w:tcPr>
            <w:tcW w:w="1791" w:type="dxa"/>
          </w:tcPr>
          <w:p w14:paraId="03CEED16" w14:textId="77777777" w:rsidR="00E551F6" w:rsidRPr="001A0A01" w:rsidRDefault="00E551F6" w:rsidP="00E551F6">
            <w:pPr>
              <w:pStyle w:val="Marginlie"/>
              <w:rPr>
                <w:spacing w:val="0"/>
                <w:lang w:val="en-GB" w:eastAsia="en-US"/>
              </w:rPr>
            </w:pPr>
          </w:p>
        </w:tc>
        <w:tc>
          <w:tcPr>
            <w:tcW w:w="223" w:type="dxa"/>
          </w:tcPr>
          <w:p w14:paraId="346A1865" w14:textId="77777777" w:rsidR="00E551F6" w:rsidRPr="001A0A01" w:rsidRDefault="00E551F6" w:rsidP="00E551F6">
            <w:pPr>
              <w:pStyle w:val="Textpoznpodarou1"/>
              <w:jc w:val="both"/>
              <w:rPr>
                <w:lang w:val="en-GB" w:eastAsia="en-US"/>
              </w:rPr>
            </w:pPr>
          </w:p>
        </w:tc>
        <w:tc>
          <w:tcPr>
            <w:tcW w:w="7625" w:type="dxa"/>
            <w:hideMark/>
          </w:tcPr>
          <w:p w14:paraId="6536A565" w14:textId="4C3686F8" w:rsidR="00E551F6" w:rsidRPr="001A0A01" w:rsidRDefault="00EF3741" w:rsidP="00E551F6">
            <w:pPr>
              <w:spacing w:after="0"/>
              <w:jc w:val="center"/>
              <w:rPr>
                <w:lang w:val="en-GB" w:eastAsia="en-US"/>
              </w:rPr>
            </w:pPr>
            <w:r>
              <w:rPr>
                <w:noProof/>
              </w:rPr>
              <w:drawing>
                <wp:inline distT="0" distB="0" distL="0" distR="0" wp14:anchorId="2586570B" wp14:editId="43BDF5FD">
                  <wp:extent cx="4737600" cy="3556375"/>
                  <wp:effectExtent l="0" t="0" r="6350" b="6350"/>
                  <wp:docPr id="10" name="Graf 10">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E551F6" w:rsidRPr="001A0A01" w14:paraId="724E40DF" w14:textId="77777777" w:rsidTr="00E551F6">
        <w:trPr>
          <w:trHeight w:val="145"/>
        </w:trPr>
        <w:tc>
          <w:tcPr>
            <w:tcW w:w="1791" w:type="dxa"/>
          </w:tcPr>
          <w:p w14:paraId="06F925BF" w14:textId="77777777" w:rsidR="00E551F6" w:rsidRPr="001A0A01" w:rsidRDefault="00E551F6" w:rsidP="00E551F6">
            <w:pPr>
              <w:pStyle w:val="Marginlie"/>
              <w:rPr>
                <w:spacing w:val="0"/>
                <w:lang w:val="en-GB" w:eastAsia="en-US"/>
              </w:rPr>
            </w:pPr>
          </w:p>
        </w:tc>
        <w:tc>
          <w:tcPr>
            <w:tcW w:w="223" w:type="dxa"/>
          </w:tcPr>
          <w:p w14:paraId="1F29B960" w14:textId="77777777" w:rsidR="00E551F6" w:rsidRPr="001A0A01" w:rsidRDefault="00E551F6" w:rsidP="00E551F6">
            <w:pPr>
              <w:pStyle w:val="Textpoznpodarou1"/>
              <w:jc w:val="both"/>
              <w:rPr>
                <w:lang w:val="en-GB" w:eastAsia="en-US"/>
              </w:rPr>
            </w:pPr>
          </w:p>
        </w:tc>
        <w:tc>
          <w:tcPr>
            <w:tcW w:w="7625" w:type="dxa"/>
            <w:gridSpan w:val="2"/>
            <w:hideMark/>
          </w:tcPr>
          <w:p w14:paraId="1FD2BAA0" w14:textId="5BE4ABC6" w:rsidR="00E551F6" w:rsidRPr="005C159F" w:rsidRDefault="00E551F6" w:rsidP="005C159F">
            <w:pPr>
              <w:jc w:val="left"/>
              <w:rPr>
                <w:b/>
                <w:bCs/>
                <w:sz w:val="14"/>
                <w:szCs w:val="14"/>
                <w:lang w:val="en-GB" w:eastAsia="en-US"/>
              </w:rPr>
            </w:pPr>
            <w:r w:rsidRPr="005C159F">
              <w:rPr>
                <w:sz w:val="14"/>
                <w:szCs w:val="14"/>
                <w:lang w:val="en-GB" w:eastAsia="en-US"/>
              </w:rPr>
              <w:t>Source: CZSO</w:t>
            </w:r>
          </w:p>
        </w:tc>
      </w:tr>
      <w:tr w:rsidR="00E551F6" w:rsidRPr="001A0A01" w14:paraId="7D01E896" w14:textId="77777777" w:rsidTr="00E551F6">
        <w:trPr>
          <w:trHeight w:val="145"/>
        </w:trPr>
        <w:tc>
          <w:tcPr>
            <w:tcW w:w="1791" w:type="dxa"/>
            <w:hideMark/>
          </w:tcPr>
          <w:p w14:paraId="3F1BA66B" w14:textId="77777777" w:rsidR="00E551F6" w:rsidRPr="001A0A01" w:rsidRDefault="00E551F6" w:rsidP="00E551F6">
            <w:pPr>
              <w:pStyle w:val="Marginlie"/>
              <w:rPr>
                <w:spacing w:val="0"/>
                <w:lang w:val="en-GB" w:eastAsia="en-US"/>
              </w:rPr>
            </w:pPr>
            <w:r w:rsidRPr="001A0A01">
              <w:rPr>
                <w:spacing w:val="0"/>
                <w:lang w:val="en-GB" w:eastAsia="en-US"/>
              </w:rPr>
              <w:t xml:space="preserve">Costs of housing continued to contribute the most to the total </w:t>
            </w:r>
            <w:r w:rsidRPr="001A0A01">
              <w:rPr>
                <w:spacing w:val="0"/>
                <w:lang w:val="en-GB" w:eastAsia="en-US"/>
              </w:rPr>
              <w:lastRenderedPageBreak/>
              <w:t xml:space="preserve">increase of consumer prices. </w:t>
            </w:r>
          </w:p>
        </w:tc>
        <w:tc>
          <w:tcPr>
            <w:tcW w:w="223" w:type="dxa"/>
          </w:tcPr>
          <w:p w14:paraId="22CC3702" w14:textId="77777777" w:rsidR="00E551F6" w:rsidRPr="001A0A01" w:rsidRDefault="00E551F6" w:rsidP="00E551F6">
            <w:pPr>
              <w:pStyle w:val="Textpoznpodarou1"/>
              <w:jc w:val="both"/>
              <w:rPr>
                <w:lang w:val="en-GB" w:eastAsia="en-US"/>
              </w:rPr>
            </w:pPr>
          </w:p>
        </w:tc>
        <w:tc>
          <w:tcPr>
            <w:tcW w:w="7625" w:type="dxa"/>
            <w:gridSpan w:val="2"/>
            <w:hideMark/>
          </w:tcPr>
          <w:p w14:paraId="0F66FCEE" w14:textId="77777777" w:rsidR="00E551F6" w:rsidRPr="001A0A01" w:rsidRDefault="00E551F6" w:rsidP="00E551F6">
            <w:pPr>
              <w:rPr>
                <w:lang w:val="en-GB" w:eastAsia="en-US"/>
              </w:rPr>
            </w:pPr>
            <w:r w:rsidRPr="001A0A01">
              <w:rPr>
                <w:lang w:val="en-GB" w:eastAsia="en-US"/>
              </w:rPr>
              <w:t xml:space="preserve">Prices of housing and energies rose by 3.1%, year-on-year, in Q2 and the increase thus slightly weakened to Q1. Nevertheless, housing retained the largest contribution to the total growth of consumer prices thanks to its weight in the consumer basket. Prices of </w:t>
            </w:r>
            <w:r w:rsidRPr="001A0A01">
              <w:rPr>
                <w:lang w:val="en-GB" w:eastAsia="en-US"/>
              </w:rPr>
              <w:lastRenderedPageBreak/>
              <w:t>other housing-related services (8.2%) and rented dwellings (7.1%) grew the most, year-on-year, in Q2. At the same time, their relatively strong pace in comparison to the previous quarter did not change. Prices of maintenance and minor repairs of dwellings increased by 4.6%, year-on-year, and the increase of prices of electricity, heat, gas and other fuels weakened to 3.8%. The imputed rentals (0.9%) grew the slowest</w:t>
            </w:r>
            <w:r w:rsidRPr="001A0A01">
              <w:rPr>
                <w:rStyle w:val="Znakapoznpodarou"/>
                <w:lang w:val="en-GB" w:eastAsia="en-US"/>
              </w:rPr>
              <w:footnoteReference w:id="2"/>
            </w:r>
            <w:r w:rsidRPr="001A0A01">
              <w:rPr>
                <w:lang w:val="en-GB" w:eastAsia="en-US"/>
              </w:rPr>
              <w:t xml:space="preserve">. Prices of housing and energies were essentially stagnating (−0.1%), quarter-on-quarter. </w:t>
            </w:r>
          </w:p>
        </w:tc>
      </w:tr>
      <w:tr w:rsidR="00E551F6" w:rsidRPr="001A0A01" w14:paraId="32B4B6FF" w14:textId="77777777" w:rsidTr="00E551F6">
        <w:trPr>
          <w:trHeight w:val="145"/>
        </w:trPr>
        <w:tc>
          <w:tcPr>
            <w:tcW w:w="1791" w:type="dxa"/>
            <w:hideMark/>
          </w:tcPr>
          <w:p w14:paraId="4D44B030" w14:textId="77777777" w:rsidR="00E551F6" w:rsidRPr="001A0A01" w:rsidRDefault="00E551F6" w:rsidP="00E551F6">
            <w:pPr>
              <w:pStyle w:val="Marginlie"/>
              <w:rPr>
                <w:spacing w:val="0"/>
                <w:lang w:val="en-GB" w:eastAsia="en-US"/>
              </w:rPr>
            </w:pPr>
            <w:r w:rsidRPr="001A0A01">
              <w:rPr>
                <w:spacing w:val="0"/>
                <w:lang w:val="en-GB" w:eastAsia="en-US"/>
              </w:rPr>
              <w:lastRenderedPageBreak/>
              <w:t xml:space="preserve">Growth of transport prices accelerated. </w:t>
            </w:r>
          </w:p>
        </w:tc>
        <w:tc>
          <w:tcPr>
            <w:tcW w:w="223" w:type="dxa"/>
          </w:tcPr>
          <w:p w14:paraId="5F27F847" w14:textId="77777777" w:rsidR="00E551F6" w:rsidRPr="001A0A01" w:rsidRDefault="00E551F6" w:rsidP="00E551F6">
            <w:pPr>
              <w:pStyle w:val="Textpoznpodarou1"/>
              <w:jc w:val="both"/>
              <w:rPr>
                <w:lang w:val="en-GB" w:eastAsia="en-US"/>
              </w:rPr>
            </w:pPr>
          </w:p>
        </w:tc>
        <w:tc>
          <w:tcPr>
            <w:tcW w:w="7625" w:type="dxa"/>
            <w:gridSpan w:val="2"/>
            <w:hideMark/>
          </w:tcPr>
          <w:p w14:paraId="1B6CA9A4" w14:textId="5EEAFAE8" w:rsidR="00E551F6" w:rsidRPr="001A0A01" w:rsidRDefault="00E551F6" w:rsidP="00E551F6">
            <w:pPr>
              <w:rPr>
                <w:lang w:val="en-GB" w:eastAsia="en-US"/>
              </w:rPr>
            </w:pPr>
            <w:r w:rsidRPr="001A0A01">
              <w:rPr>
                <w:lang w:val="en-GB" w:eastAsia="en-US"/>
              </w:rPr>
              <w:t xml:space="preserve">The year-on-year growth of transport prices strengthened to 4.6% in Q2. This change was mainly driven by the cost of operating a personal transport equipment, which increased by 9.5%, year-on-year. In that, prices of fuels and oils were higher by 8.4%. Prices of transport services went up by 4.7%, year-on-year. Prices of </w:t>
            </w:r>
            <w:r w:rsidR="00040A98">
              <w:rPr>
                <w:lang w:val="en-GB" w:eastAsia="en-US"/>
              </w:rPr>
              <w:t xml:space="preserve">purchse of </w:t>
            </w:r>
            <w:r w:rsidRPr="001A0A01">
              <w:rPr>
                <w:lang w:val="en-GB" w:eastAsia="en-US"/>
              </w:rPr>
              <w:t>vehicle</w:t>
            </w:r>
            <w:r w:rsidR="00040A98">
              <w:rPr>
                <w:lang w:val="en-GB" w:eastAsia="en-US"/>
              </w:rPr>
              <w:t>s</w:t>
            </w:r>
            <w:r w:rsidRPr="001A0A01">
              <w:rPr>
                <w:lang w:val="en-GB" w:eastAsia="en-US"/>
              </w:rPr>
              <w:t xml:space="preserve"> themselves continued to decline (−1.4%). Transport prices rose by 2.0%, quarter-on-quarter, which represents a significant increase compared to the pace in the first quarter of the year. </w:t>
            </w:r>
          </w:p>
        </w:tc>
      </w:tr>
      <w:tr w:rsidR="00E551F6" w:rsidRPr="001A0A01" w14:paraId="57893C00" w14:textId="77777777" w:rsidTr="00E551F6">
        <w:trPr>
          <w:trHeight w:val="145"/>
        </w:trPr>
        <w:tc>
          <w:tcPr>
            <w:tcW w:w="1791" w:type="dxa"/>
            <w:hideMark/>
          </w:tcPr>
          <w:p w14:paraId="59DD13E0" w14:textId="6AC3BA66" w:rsidR="00E551F6" w:rsidRPr="001A0A01" w:rsidRDefault="00E551F6" w:rsidP="00E551F6">
            <w:pPr>
              <w:pStyle w:val="Marginlie"/>
              <w:rPr>
                <w:spacing w:val="0"/>
                <w:lang w:val="en-GB" w:eastAsia="en-US"/>
              </w:rPr>
            </w:pPr>
            <w:r w:rsidRPr="001A0A01">
              <w:rPr>
                <w:spacing w:val="0"/>
                <w:lang w:val="en-GB" w:eastAsia="en-US"/>
              </w:rPr>
              <w:t xml:space="preserve">Prices of </w:t>
            </w:r>
            <w:r w:rsidR="00074573">
              <w:rPr>
                <w:spacing w:val="0"/>
                <w:lang w:val="en-GB" w:eastAsia="en-US"/>
              </w:rPr>
              <w:t>restaurants</w:t>
            </w:r>
            <w:r w:rsidRPr="001A0A01">
              <w:rPr>
                <w:spacing w:val="0"/>
                <w:lang w:val="en-GB" w:eastAsia="en-US"/>
              </w:rPr>
              <w:t xml:space="preserve"> and </w:t>
            </w:r>
            <w:r w:rsidR="00074573">
              <w:rPr>
                <w:spacing w:val="0"/>
                <w:lang w:val="en-GB" w:eastAsia="en-US"/>
              </w:rPr>
              <w:t>hotels</w:t>
            </w:r>
            <w:r w:rsidRPr="001A0A01">
              <w:rPr>
                <w:spacing w:val="0"/>
                <w:lang w:val="en-GB" w:eastAsia="en-US"/>
              </w:rPr>
              <w:t xml:space="preserve">retained a considerable year-on-year increase. </w:t>
            </w:r>
          </w:p>
        </w:tc>
        <w:tc>
          <w:tcPr>
            <w:tcW w:w="223" w:type="dxa"/>
          </w:tcPr>
          <w:p w14:paraId="11505DE8" w14:textId="77777777" w:rsidR="00E551F6" w:rsidRPr="001A0A01" w:rsidRDefault="00E551F6" w:rsidP="00E551F6">
            <w:pPr>
              <w:pStyle w:val="Textpoznpodarou1"/>
              <w:jc w:val="both"/>
              <w:rPr>
                <w:lang w:val="en-GB" w:eastAsia="en-US"/>
              </w:rPr>
            </w:pPr>
          </w:p>
        </w:tc>
        <w:tc>
          <w:tcPr>
            <w:tcW w:w="7625" w:type="dxa"/>
            <w:gridSpan w:val="2"/>
            <w:hideMark/>
          </w:tcPr>
          <w:p w14:paraId="532F457A" w14:textId="75620F60" w:rsidR="00E551F6" w:rsidRPr="001A0A01" w:rsidRDefault="00E551F6" w:rsidP="00E551F6">
            <w:pPr>
              <w:rPr>
                <w:lang w:val="en-GB" w:eastAsia="en-US"/>
              </w:rPr>
            </w:pPr>
            <w:r w:rsidRPr="001A0A01">
              <w:rPr>
                <w:lang w:val="en-GB" w:eastAsia="en-US"/>
              </w:rPr>
              <w:t xml:space="preserve">The substantial effect of prices of </w:t>
            </w:r>
            <w:r w:rsidR="00074573">
              <w:rPr>
                <w:lang w:val="en-GB" w:eastAsia="en-US"/>
              </w:rPr>
              <w:t>restaurants</w:t>
            </w:r>
            <w:r w:rsidRPr="001A0A01">
              <w:rPr>
                <w:lang w:val="en-GB" w:eastAsia="en-US"/>
              </w:rPr>
              <w:t xml:space="preserve"> and </w:t>
            </w:r>
            <w:r w:rsidR="00074573">
              <w:rPr>
                <w:lang w:val="en-GB" w:eastAsia="en-US"/>
              </w:rPr>
              <w:t>hotels</w:t>
            </w:r>
            <w:r w:rsidRPr="001A0A01">
              <w:rPr>
                <w:lang w:val="en-GB" w:eastAsia="en-US"/>
              </w:rPr>
              <w:t xml:space="preserve"> on the year-on-year growth of consumer prices persisted in Q2. Their year-on-year increase slightly weakened to 7.8%. Prices of accommodation services rose more markedly (9.2%) than the prices of </w:t>
            </w:r>
            <w:r w:rsidR="00040A98">
              <w:rPr>
                <w:lang w:val="en-GB" w:eastAsia="en-US"/>
              </w:rPr>
              <w:t>catering</w:t>
            </w:r>
            <w:r w:rsidRPr="001A0A01">
              <w:rPr>
                <w:lang w:val="en-GB" w:eastAsia="en-US"/>
              </w:rPr>
              <w:t xml:space="preserve"> service (7.6%). The quarter-on-quarter increase of prices of </w:t>
            </w:r>
            <w:r w:rsidR="00074573">
              <w:rPr>
                <w:lang w:val="en-GB" w:eastAsia="en-US"/>
              </w:rPr>
              <w:t>restaurants</w:t>
            </w:r>
            <w:r w:rsidRPr="001A0A01">
              <w:rPr>
                <w:lang w:val="en-GB" w:eastAsia="en-US"/>
              </w:rPr>
              <w:t xml:space="preserve"> and </w:t>
            </w:r>
            <w:r w:rsidR="00074573">
              <w:rPr>
                <w:lang w:val="en-GB" w:eastAsia="en-US"/>
              </w:rPr>
              <w:t>hotels</w:t>
            </w:r>
            <w:r w:rsidRPr="001A0A01">
              <w:rPr>
                <w:lang w:val="en-GB" w:eastAsia="en-US"/>
              </w:rPr>
              <w:t xml:space="preserve"> remained strong in Q2 (1.9%). Prices of alcoholic beverages and tobacco increased by 6.2%, year-on-year, in Q2, which represented a significant strengthening compared to the previous quarter. Prices of alcohol and tobacco went up by 1.9%, quarter-on-quarter. </w:t>
            </w:r>
          </w:p>
        </w:tc>
      </w:tr>
      <w:tr w:rsidR="00E551F6" w:rsidRPr="001A0A01" w14:paraId="2AAFD7B7" w14:textId="77777777" w:rsidTr="00E551F6">
        <w:trPr>
          <w:trHeight w:val="145"/>
        </w:trPr>
        <w:tc>
          <w:tcPr>
            <w:tcW w:w="1791" w:type="dxa"/>
            <w:hideMark/>
          </w:tcPr>
          <w:p w14:paraId="46CFAE4E" w14:textId="77777777" w:rsidR="00E551F6" w:rsidRPr="001A0A01" w:rsidRDefault="00E551F6" w:rsidP="00E551F6">
            <w:pPr>
              <w:pStyle w:val="Marginlie"/>
              <w:rPr>
                <w:spacing w:val="0"/>
                <w:lang w:val="en-GB" w:eastAsia="en-US"/>
              </w:rPr>
            </w:pPr>
            <w:r w:rsidRPr="001A0A01">
              <w:rPr>
                <w:spacing w:val="0"/>
                <w:lang w:val="en-GB" w:eastAsia="en-US"/>
              </w:rPr>
              <w:t xml:space="preserve">Prices of recreation and arts dropped, quarter-on-quarter. </w:t>
            </w:r>
          </w:p>
        </w:tc>
        <w:tc>
          <w:tcPr>
            <w:tcW w:w="223" w:type="dxa"/>
          </w:tcPr>
          <w:p w14:paraId="285ECC2A" w14:textId="77777777" w:rsidR="00E551F6" w:rsidRPr="001A0A01" w:rsidRDefault="00E551F6" w:rsidP="00E551F6">
            <w:pPr>
              <w:pStyle w:val="Textpoznpodarou1"/>
              <w:jc w:val="both"/>
              <w:rPr>
                <w:lang w:val="en-GB" w:eastAsia="en-US"/>
              </w:rPr>
            </w:pPr>
          </w:p>
        </w:tc>
        <w:tc>
          <w:tcPr>
            <w:tcW w:w="7625" w:type="dxa"/>
            <w:gridSpan w:val="2"/>
            <w:hideMark/>
          </w:tcPr>
          <w:p w14:paraId="57CB3B54" w14:textId="4AD25352" w:rsidR="00E551F6" w:rsidRPr="001A0A01" w:rsidRDefault="00E551F6" w:rsidP="00E551F6">
            <w:pPr>
              <w:rPr>
                <w:lang w:val="en-GB" w:eastAsia="en-US"/>
              </w:rPr>
            </w:pPr>
            <w:r w:rsidRPr="001A0A01">
              <w:rPr>
                <w:lang w:val="en-GB" w:eastAsia="en-US"/>
              </w:rPr>
              <w:t xml:space="preserve">Prices of recreation and </w:t>
            </w:r>
            <w:r w:rsidR="00042F74">
              <w:rPr>
                <w:lang w:val="en-GB" w:eastAsia="en-US"/>
              </w:rPr>
              <w:t>culture</w:t>
            </w:r>
            <w:r w:rsidRPr="001A0A01">
              <w:rPr>
                <w:lang w:val="en-GB" w:eastAsia="en-US"/>
              </w:rPr>
              <w:t xml:space="preserve"> rose by 3.8%, year-on-year, and the increase thus moderated. The price growth of newspapers, books and paper goods slowed down the most (2.3%) and the pace for recreation and </w:t>
            </w:r>
            <w:r w:rsidR="00042F74">
              <w:rPr>
                <w:lang w:val="en-GB" w:eastAsia="en-US"/>
              </w:rPr>
              <w:t>cultural</w:t>
            </w:r>
            <w:r w:rsidRPr="001A0A01">
              <w:rPr>
                <w:lang w:val="en-GB" w:eastAsia="en-US"/>
              </w:rPr>
              <w:t xml:space="preserve"> services was also more moderate (6.3%). On the contrary, prices of package holidays increased more sharply, year-on-year (5.1%). The prices of recreation and </w:t>
            </w:r>
            <w:r w:rsidR="00042F74">
              <w:rPr>
                <w:lang w:val="en-GB" w:eastAsia="en-US"/>
              </w:rPr>
              <w:t>culture</w:t>
            </w:r>
            <w:r w:rsidRPr="001A0A01">
              <w:rPr>
                <w:lang w:val="en-GB" w:eastAsia="en-US"/>
              </w:rPr>
              <w:t xml:space="preserve"> followed the strong quarter-on-quarter increase from Q1 with a drop of 0.8%. The year-on-year growth of prices of </w:t>
            </w:r>
            <w:r w:rsidR="00042F74">
              <w:rPr>
                <w:lang w:val="en-GB" w:eastAsia="en-US"/>
              </w:rPr>
              <w:t>clothing</w:t>
            </w:r>
            <w:r w:rsidRPr="001A0A01">
              <w:rPr>
                <w:lang w:val="en-GB" w:eastAsia="en-US"/>
              </w:rPr>
              <w:t xml:space="preserve"> and footwear moderated to 3.3% and stagnated, quarter-on-quarter. Prices of other goods and services</w:t>
            </w:r>
            <w:r w:rsidRPr="001A0A01">
              <w:rPr>
                <w:rStyle w:val="Znakapoznpodarou"/>
                <w:lang w:val="en-GB" w:eastAsia="en-US"/>
              </w:rPr>
              <w:footnoteReference w:id="3"/>
            </w:r>
            <w:r w:rsidRPr="001A0A01">
              <w:rPr>
                <w:lang w:val="en-GB" w:eastAsia="en-US"/>
              </w:rPr>
              <w:t xml:space="preserve"> went up by 3.0%, year-on-year, and by 1.0%, quarter-on-quarter. Prices of health were higher by 4.0%, year-on-year, and by 2.2%, quarter-on-quarter, which was the largest increase in the whole consumer basket. Prices of education rose by 6.5%, year-on-year, in Q2 and increased by 0.1%, quarter-on-quarter.   </w:t>
            </w:r>
          </w:p>
        </w:tc>
      </w:tr>
      <w:tr w:rsidR="00E551F6" w:rsidRPr="001A0A01" w14:paraId="3991755B" w14:textId="77777777" w:rsidTr="00E551F6">
        <w:trPr>
          <w:trHeight w:val="145"/>
        </w:trPr>
        <w:tc>
          <w:tcPr>
            <w:tcW w:w="1791" w:type="dxa"/>
            <w:hideMark/>
          </w:tcPr>
          <w:p w14:paraId="36F344EC" w14:textId="77777777" w:rsidR="00E551F6" w:rsidRPr="001A0A01" w:rsidRDefault="00E551F6" w:rsidP="00E551F6">
            <w:pPr>
              <w:pStyle w:val="Marginlie"/>
              <w:rPr>
                <w:spacing w:val="0"/>
                <w:lang w:val="en-GB" w:eastAsia="en-US"/>
              </w:rPr>
            </w:pPr>
            <w:r w:rsidRPr="001A0A01">
              <w:rPr>
                <w:spacing w:val="0"/>
                <w:lang w:val="en-GB" w:eastAsia="en-US"/>
              </w:rPr>
              <w:t xml:space="preserve">The year-on-year decline of prices of food and non-alcoholic beverages moderated. </w:t>
            </w:r>
          </w:p>
        </w:tc>
        <w:tc>
          <w:tcPr>
            <w:tcW w:w="223" w:type="dxa"/>
          </w:tcPr>
          <w:p w14:paraId="2DA7E97A" w14:textId="77777777" w:rsidR="00E551F6" w:rsidRPr="001A0A01" w:rsidRDefault="00E551F6" w:rsidP="00E551F6">
            <w:pPr>
              <w:pStyle w:val="Textpoznpodarou1"/>
              <w:jc w:val="both"/>
              <w:rPr>
                <w:lang w:val="en-GB" w:eastAsia="en-US"/>
              </w:rPr>
            </w:pPr>
          </w:p>
        </w:tc>
        <w:tc>
          <w:tcPr>
            <w:tcW w:w="7625" w:type="dxa"/>
            <w:gridSpan w:val="2"/>
            <w:hideMark/>
          </w:tcPr>
          <w:p w14:paraId="1DB4BBB3" w14:textId="768E4008" w:rsidR="00E551F6" w:rsidRPr="001A0A01" w:rsidRDefault="00E551F6" w:rsidP="00042F74">
            <w:pPr>
              <w:spacing w:after="0"/>
              <w:rPr>
                <w:lang w:val="en-GB" w:eastAsia="en-US"/>
              </w:rPr>
            </w:pPr>
            <w:r w:rsidRPr="001A0A01">
              <w:rPr>
                <w:lang w:val="en-GB" w:eastAsia="en-US"/>
              </w:rPr>
              <w:t xml:space="preserve">Only prices of food and non-alcoholic beverages, which were lower by 3.6%, worked in the direction of total year-on-year consumer price decrease. Their plunge however moderated compared to Q1. This was mainly due to a strengthening growth of prices of non-alcoholic beverages (3.6%) and a moderation of the fall of prices of milk, cheese and eggs (−9.0%). The decrease of prices of meat and fish (both −4.9%) and sugar and related products (−0.5%) was also less pronounced and prices of oils and fats (1.0%) turned from decline to growth. By contrast, the decrease of prices of </w:t>
            </w:r>
            <w:r w:rsidR="00042F74">
              <w:rPr>
                <w:lang w:val="en-GB" w:eastAsia="en-US"/>
              </w:rPr>
              <w:t>bread and cereals</w:t>
            </w:r>
            <w:r w:rsidRPr="001A0A01">
              <w:rPr>
                <w:lang w:val="en-GB" w:eastAsia="en-US"/>
              </w:rPr>
              <w:t xml:space="preserve"> remained unchanged (−4.5%), the decline of prices of fruit deepened (−5.3%) and the rise of prices of vegetables diminished (1.0%). Prices of food and non-alcoholic beverages went up by 0.8%, quarter-on-quarter. Prices of home furnishings and household equipment decreased by 0.1%, year-on-year, mainly under the influence of goods and services for household maintenance, where the drop deepened to −6.9%. However, prices of home equipment and furnishings were by 0.8% higher, quarter-on-quarter.    </w:t>
            </w:r>
          </w:p>
        </w:tc>
      </w:tr>
      <w:tr w:rsidR="00E551F6" w:rsidRPr="001A0A01" w14:paraId="21BA7547" w14:textId="77777777" w:rsidTr="00E551F6">
        <w:trPr>
          <w:trHeight w:val="145"/>
        </w:trPr>
        <w:tc>
          <w:tcPr>
            <w:tcW w:w="1791" w:type="dxa"/>
            <w:hideMark/>
          </w:tcPr>
          <w:p w14:paraId="1C4FE7CC" w14:textId="77777777" w:rsidR="00E551F6" w:rsidRPr="001A0A01" w:rsidRDefault="00E551F6" w:rsidP="00E551F6">
            <w:pPr>
              <w:pStyle w:val="Marginlie"/>
              <w:rPr>
                <w:spacing w:val="0"/>
                <w:lang w:val="en-GB" w:eastAsia="en-US"/>
              </w:rPr>
            </w:pPr>
            <w:r w:rsidRPr="001A0A01">
              <w:rPr>
                <w:spacing w:val="0"/>
                <w:lang w:val="en-GB" w:eastAsia="en-US"/>
              </w:rPr>
              <w:t>Year-on-year growth of consumer prices slightly slowed down in the EU.</w:t>
            </w:r>
          </w:p>
        </w:tc>
        <w:tc>
          <w:tcPr>
            <w:tcW w:w="223" w:type="dxa"/>
          </w:tcPr>
          <w:p w14:paraId="407C3861" w14:textId="77777777" w:rsidR="00E551F6" w:rsidRPr="001A0A01" w:rsidRDefault="00E551F6" w:rsidP="00E551F6">
            <w:pPr>
              <w:pStyle w:val="Textpoznpodarou1"/>
              <w:jc w:val="both"/>
              <w:rPr>
                <w:lang w:val="en-GB" w:eastAsia="en-US"/>
              </w:rPr>
            </w:pPr>
          </w:p>
        </w:tc>
        <w:tc>
          <w:tcPr>
            <w:tcW w:w="7625" w:type="dxa"/>
            <w:gridSpan w:val="2"/>
            <w:hideMark/>
          </w:tcPr>
          <w:p w14:paraId="788BAEB6" w14:textId="46F26BCA" w:rsidR="00E551F6" w:rsidRPr="001A0A01" w:rsidRDefault="00E551F6" w:rsidP="00E551F6">
            <w:pPr>
              <w:rPr>
                <w:lang w:val="en-GB" w:eastAsia="en-US"/>
              </w:rPr>
            </w:pPr>
            <w:r w:rsidRPr="001A0A01">
              <w:rPr>
                <w:lang w:val="en-GB" w:eastAsia="en-US"/>
              </w:rPr>
              <w:t>Harmonized index of consumer prices (HICP)</w:t>
            </w:r>
            <w:r w:rsidRPr="001A0A01">
              <w:rPr>
                <w:rStyle w:val="Znakapoznpodarou"/>
                <w:lang w:val="en-GB" w:eastAsia="en-US"/>
              </w:rPr>
              <w:footnoteReference w:id="4"/>
            </w:r>
            <w:r w:rsidRPr="001A0A01">
              <w:rPr>
                <w:lang w:val="en-GB" w:eastAsia="en-US"/>
              </w:rPr>
              <w:t xml:space="preserve"> rose by 2.6% in the EU, year-on-year, and by 1.4%, quarter-on-quarter, in Q2. The year-on-year increase of the HICP slowed slightly compared to Q1. Prices of alcoholic beverages and tobacco (5.2%) and </w:t>
            </w:r>
            <w:r w:rsidR="00074573">
              <w:rPr>
                <w:lang w:val="en-GB" w:eastAsia="en-US"/>
              </w:rPr>
              <w:t>restaurants</w:t>
            </w:r>
            <w:r w:rsidRPr="001A0A01">
              <w:rPr>
                <w:lang w:val="en-GB" w:eastAsia="en-US"/>
              </w:rPr>
              <w:t xml:space="preserve"> and </w:t>
            </w:r>
            <w:r w:rsidR="00074573">
              <w:rPr>
                <w:lang w:val="en-GB" w:eastAsia="en-US"/>
              </w:rPr>
              <w:t>hotels</w:t>
            </w:r>
            <w:r w:rsidRPr="001A0A01">
              <w:rPr>
                <w:lang w:val="en-GB" w:eastAsia="en-US"/>
              </w:rPr>
              <w:t xml:space="preserve"> (5.3%) rose strongly, year-on-year. Growth of transport prices (2.2%) and housing and energy prices (1.4%) strengthened. Growth of prices of food and non-alcoholic beverages weakened (1.7%). Only telecommunications prices were lower in the EU (−1.1%), year-on-year. The highest year-on-year HICP increase was recorded in Romania (5.8%), Belgium (5.1%) and Croatia (4.2%). In Q2, the year-on-year price increase was below 1% in Finland (0.5%), Lithuania (0.8%), Latvia (0.9%) and Italy (0.9%). The highest quarter-on-quarter increase of consumer prices was recorded in Malta (5.1%), Portugal (3.3%) and Cyprus (3.1%) in Q2. Prices similarly rose by only 0.2%, quarter-on-quarter, in Finland, Denmark and Bulgaria.     </w:t>
            </w:r>
          </w:p>
        </w:tc>
      </w:tr>
      <w:tr w:rsidR="00E551F6" w:rsidRPr="001A0A01" w14:paraId="29160729" w14:textId="77777777" w:rsidTr="00E551F6">
        <w:trPr>
          <w:trHeight w:val="145"/>
        </w:trPr>
        <w:tc>
          <w:tcPr>
            <w:tcW w:w="1791" w:type="dxa"/>
          </w:tcPr>
          <w:p w14:paraId="0931F3B2" w14:textId="77777777" w:rsidR="00E551F6" w:rsidRPr="001A0A01" w:rsidRDefault="00E551F6" w:rsidP="00E551F6">
            <w:pPr>
              <w:pStyle w:val="Marginlie"/>
              <w:rPr>
                <w:spacing w:val="0"/>
                <w:lang w:val="en-GB" w:eastAsia="en-US"/>
              </w:rPr>
            </w:pPr>
          </w:p>
        </w:tc>
        <w:tc>
          <w:tcPr>
            <w:tcW w:w="223" w:type="dxa"/>
          </w:tcPr>
          <w:p w14:paraId="5C5EB167" w14:textId="77777777" w:rsidR="00E551F6" w:rsidRPr="001A0A01" w:rsidRDefault="00E551F6" w:rsidP="00E551F6">
            <w:pPr>
              <w:pStyle w:val="Textpoznpodarou1"/>
              <w:jc w:val="both"/>
              <w:rPr>
                <w:lang w:val="en-GB" w:eastAsia="en-US"/>
              </w:rPr>
            </w:pPr>
          </w:p>
        </w:tc>
        <w:tc>
          <w:tcPr>
            <w:tcW w:w="7625" w:type="dxa"/>
            <w:gridSpan w:val="2"/>
            <w:hideMark/>
          </w:tcPr>
          <w:p w14:paraId="37C8B008" w14:textId="77777777" w:rsidR="00E551F6" w:rsidRPr="001A0A01" w:rsidRDefault="00E551F6" w:rsidP="00E551F6">
            <w:pPr>
              <w:spacing w:after="0"/>
              <w:rPr>
                <w:rStyle w:val="Znakapoznpodarou"/>
                <w:lang w:val="en-GB"/>
              </w:rPr>
            </w:pPr>
            <w:r w:rsidRPr="001A0A01">
              <w:rPr>
                <w:b/>
                <w:sz w:val="18"/>
                <w:szCs w:val="18"/>
                <w:lang w:val="en-GB" w:eastAsia="en-US"/>
              </w:rPr>
              <w:t xml:space="preserve">Chart 11 Prices of real estate </w:t>
            </w:r>
            <w:r w:rsidRPr="001A0A01">
              <w:rPr>
                <w:sz w:val="18"/>
                <w:szCs w:val="18"/>
                <w:lang w:val="en-GB" w:eastAsia="en-US"/>
              </w:rPr>
              <w:t>(year-on-year change, in %)</w:t>
            </w:r>
          </w:p>
        </w:tc>
      </w:tr>
      <w:tr w:rsidR="00E551F6" w:rsidRPr="001A0A01" w14:paraId="7CAD6FEB" w14:textId="77777777" w:rsidTr="00EF3741">
        <w:tblPrEx>
          <w:tblCellMar>
            <w:left w:w="70" w:type="dxa"/>
            <w:right w:w="70" w:type="dxa"/>
          </w:tblCellMar>
        </w:tblPrEx>
        <w:trPr>
          <w:gridAfter w:val="1"/>
          <w:wAfter w:w="70" w:type="dxa"/>
          <w:trHeight w:val="145"/>
        </w:trPr>
        <w:tc>
          <w:tcPr>
            <w:tcW w:w="1791" w:type="dxa"/>
          </w:tcPr>
          <w:p w14:paraId="4D1D8B15" w14:textId="77777777" w:rsidR="00E551F6" w:rsidRPr="001A0A01" w:rsidRDefault="00E551F6" w:rsidP="00E551F6">
            <w:pPr>
              <w:pStyle w:val="Marginlie"/>
              <w:rPr>
                <w:spacing w:val="0"/>
                <w:lang w:val="en-GB"/>
              </w:rPr>
            </w:pPr>
          </w:p>
        </w:tc>
        <w:tc>
          <w:tcPr>
            <w:tcW w:w="223" w:type="dxa"/>
          </w:tcPr>
          <w:p w14:paraId="016D80A5" w14:textId="77777777" w:rsidR="00E551F6" w:rsidRPr="001A0A01" w:rsidRDefault="00E551F6" w:rsidP="00E551F6">
            <w:pPr>
              <w:pStyle w:val="Textpoznpodarou1"/>
              <w:jc w:val="both"/>
              <w:rPr>
                <w:lang w:val="en-GB" w:eastAsia="en-US"/>
              </w:rPr>
            </w:pPr>
          </w:p>
        </w:tc>
        <w:tc>
          <w:tcPr>
            <w:tcW w:w="7625" w:type="dxa"/>
            <w:hideMark/>
          </w:tcPr>
          <w:p w14:paraId="60ECEF83" w14:textId="10CAF86C" w:rsidR="00E551F6" w:rsidRPr="001A0A01" w:rsidRDefault="00EF3741" w:rsidP="00E551F6">
            <w:pPr>
              <w:spacing w:after="0"/>
              <w:rPr>
                <w:rStyle w:val="Znakapoznpodarou"/>
                <w:lang w:val="en-GB"/>
              </w:rPr>
            </w:pPr>
            <w:r>
              <w:rPr>
                <w:noProof/>
              </w:rPr>
              <w:drawing>
                <wp:inline distT="0" distB="0" distL="0" distR="0" wp14:anchorId="39E30BFF" wp14:editId="2172B280">
                  <wp:extent cx="4737600" cy="3553200"/>
                  <wp:effectExtent l="0" t="0" r="6350" b="0"/>
                  <wp:docPr id="12" name="Graf 12">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E551F6" w:rsidRPr="001A0A01" w14:paraId="66F7A9CF" w14:textId="77777777" w:rsidTr="00E551F6">
        <w:trPr>
          <w:trHeight w:val="145"/>
        </w:trPr>
        <w:tc>
          <w:tcPr>
            <w:tcW w:w="1791" w:type="dxa"/>
          </w:tcPr>
          <w:p w14:paraId="24AB954A" w14:textId="77777777" w:rsidR="00E551F6" w:rsidRPr="001A0A01" w:rsidRDefault="00E551F6" w:rsidP="00E551F6">
            <w:pPr>
              <w:pStyle w:val="Marginlie"/>
              <w:rPr>
                <w:spacing w:val="0"/>
                <w:lang w:val="en-GB"/>
              </w:rPr>
            </w:pPr>
          </w:p>
        </w:tc>
        <w:tc>
          <w:tcPr>
            <w:tcW w:w="223" w:type="dxa"/>
          </w:tcPr>
          <w:p w14:paraId="658B08BA" w14:textId="77777777" w:rsidR="00E551F6" w:rsidRPr="001A0A01" w:rsidRDefault="00E551F6" w:rsidP="00E551F6">
            <w:pPr>
              <w:pStyle w:val="Textpoznpodarou1"/>
              <w:jc w:val="both"/>
              <w:rPr>
                <w:lang w:val="en-GB" w:eastAsia="en-US"/>
              </w:rPr>
            </w:pPr>
          </w:p>
        </w:tc>
        <w:tc>
          <w:tcPr>
            <w:tcW w:w="7625" w:type="dxa"/>
            <w:gridSpan w:val="2"/>
            <w:hideMark/>
          </w:tcPr>
          <w:p w14:paraId="043100C8" w14:textId="3DF32F22" w:rsidR="00E551F6" w:rsidRPr="005C159F" w:rsidRDefault="00E551F6" w:rsidP="005C159F">
            <w:pPr>
              <w:jc w:val="left"/>
              <w:rPr>
                <w:rStyle w:val="Znakapoznpodarou"/>
                <w:b/>
                <w:bCs/>
                <w:sz w:val="14"/>
                <w:szCs w:val="14"/>
                <w:lang w:val="en-GB"/>
              </w:rPr>
            </w:pPr>
            <w:r w:rsidRPr="005C159F">
              <w:rPr>
                <w:sz w:val="14"/>
                <w:szCs w:val="14"/>
                <w:lang w:val="en-GB" w:eastAsia="en-US"/>
              </w:rPr>
              <w:t>Source: CZSO</w:t>
            </w:r>
          </w:p>
        </w:tc>
      </w:tr>
      <w:tr w:rsidR="00E551F6" w:rsidRPr="001A0A01" w14:paraId="4E8F7004" w14:textId="77777777" w:rsidTr="00E551F6">
        <w:trPr>
          <w:trHeight w:val="145"/>
        </w:trPr>
        <w:tc>
          <w:tcPr>
            <w:tcW w:w="1791" w:type="dxa"/>
            <w:hideMark/>
          </w:tcPr>
          <w:p w14:paraId="463A4A08" w14:textId="4BA97F3B" w:rsidR="00E551F6" w:rsidRPr="001A0A01" w:rsidRDefault="00E551F6" w:rsidP="00E551F6">
            <w:pPr>
              <w:pStyle w:val="Marginlie"/>
              <w:rPr>
                <w:spacing w:val="0"/>
                <w:lang w:val="en-GB"/>
              </w:rPr>
            </w:pPr>
            <w:r w:rsidRPr="001A0A01">
              <w:rPr>
                <w:spacing w:val="0"/>
                <w:lang w:val="en-GB" w:eastAsia="en-US"/>
              </w:rPr>
              <w:t xml:space="preserve">Prices of </w:t>
            </w:r>
            <w:r w:rsidR="00042F74">
              <w:rPr>
                <w:spacing w:val="0"/>
                <w:lang w:val="en-GB" w:eastAsia="en-US"/>
              </w:rPr>
              <w:t>flats</w:t>
            </w:r>
            <w:r w:rsidRPr="001A0A01">
              <w:rPr>
                <w:spacing w:val="0"/>
                <w:lang w:val="en-GB" w:eastAsia="en-US"/>
              </w:rPr>
              <w:t xml:space="preserve"> again grew. </w:t>
            </w:r>
          </w:p>
        </w:tc>
        <w:tc>
          <w:tcPr>
            <w:tcW w:w="223" w:type="dxa"/>
          </w:tcPr>
          <w:p w14:paraId="4536FAF5" w14:textId="77777777" w:rsidR="00E551F6" w:rsidRPr="001A0A01" w:rsidRDefault="00E551F6" w:rsidP="00E551F6">
            <w:pPr>
              <w:pStyle w:val="Textpoznpodarou1"/>
              <w:jc w:val="both"/>
              <w:rPr>
                <w:lang w:val="en-GB" w:eastAsia="en-US"/>
              </w:rPr>
            </w:pPr>
          </w:p>
        </w:tc>
        <w:tc>
          <w:tcPr>
            <w:tcW w:w="7625" w:type="dxa"/>
            <w:gridSpan w:val="2"/>
            <w:hideMark/>
          </w:tcPr>
          <w:p w14:paraId="694671FA" w14:textId="7191D6B2" w:rsidR="00E551F6" w:rsidRPr="001A0A01" w:rsidRDefault="00E551F6" w:rsidP="00E551F6">
            <w:pPr>
              <w:rPr>
                <w:lang w:val="en-GB" w:eastAsia="en-US"/>
              </w:rPr>
            </w:pPr>
            <w:r w:rsidRPr="001A0A01">
              <w:rPr>
                <w:lang w:val="en-GB" w:eastAsia="en-US"/>
              </w:rPr>
              <w:t xml:space="preserve">Catalogue prices of </w:t>
            </w:r>
            <w:r w:rsidR="00042F74">
              <w:rPr>
                <w:lang w:val="en-GB" w:eastAsia="en-US"/>
              </w:rPr>
              <w:t>flats</w:t>
            </w:r>
            <w:r w:rsidRPr="001A0A01">
              <w:rPr>
                <w:lang w:val="en-GB" w:eastAsia="en-US"/>
              </w:rPr>
              <w:t xml:space="preserve"> in the Czech Republic increased by 2.3%, quarter-on-quarter in Q2, building on the increase from Q1 by strengthening the dynamics. The value of the index shows that catalogue prices have practically erased the decline that occurred last year and are at the level of the end of year 2022. The year-on-year decline did not continue either and the catalogue prices of </w:t>
            </w:r>
            <w:r w:rsidR="00042F74">
              <w:rPr>
                <w:lang w:val="en-GB" w:eastAsia="en-US"/>
              </w:rPr>
              <w:t>flats</w:t>
            </w:r>
            <w:r w:rsidRPr="001A0A01">
              <w:rPr>
                <w:lang w:val="en-GB" w:eastAsia="en-US"/>
              </w:rPr>
              <w:t xml:space="preserve"> rose by 3.4% in Q2. The catalogue prices of </w:t>
            </w:r>
            <w:r w:rsidR="00042F74">
              <w:rPr>
                <w:lang w:val="en-GB" w:eastAsia="en-US"/>
              </w:rPr>
              <w:t>flats</w:t>
            </w:r>
            <w:r w:rsidRPr="001A0A01">
              <w:rPr>
                <w:lang w:val="en-GB" w:eastAsia="en-US"/>
              </w:rPr>
              <w:t xml:space="preserve"> increased by 4.0%, year-on-year, in Prague, while the prices of </w:t>
            </w:r>
            <w:r w:rsidR="00042F74">
              <w:rPr>
                <w:lang w:val="en-GB" w:eastAsia="en-US"/>
              </w:rPr>
              <w:t>flats</w:t>
            </w:r>
            <w:r w:rsidRPr="001A0A01">
              <w:rPr>
                <w:lang w:val="en-GB" w:eastAsia="en-US"/>
              </w:rPr>
              <w:t xml:space="preserve"> outside Prague were higher by 2.7%. In the case of realized prices of older </w:t>
            </w:r>
            <w:r w:rsidR="00042F74">
              <w:rPr>
                <w:lang w:val="en-GB" w:eastAsia="en-US"/>
              </w:rPr>
              <w:t>flats</w:t>
            </w:r>
            <w:r w:rsidRPr="001A0A01">
              <w:rPr>
                <w:lang w:val="en-GB" w:eastAsia="en-US"/>
              </w:rPr>
              <w:t xml:space="preserve">, the acceleration of dynamics is even more pronounced. The realised prices of older </w:t>
            </w:r>
            <w:r w:rsidR="00042F74">
              <w:rPr>
                <w:lang w:val="en-GB" w:eastAsia="en-US"/>
              </w:rPr>
              <w:t>flats</w:t>
            </w:r>
            <w:r w:rsidRPr="001A0A01">
              <w:rPr>
                <w:lang w:val="en-GB" w:eastAsia="en-US"/>
              </w:rPr>
              <w:t xml:space="preserve"> in the Czech Republic increased by 3.3%, quarter-on-quarter (by -4.2% in Prague). The year-on-year increase of the realized prices of older </w:t>
            </w:r>
            <w:r w:rsidR="00042F74">
              <w:rPr>
                <w:lang w:val="en-GB" w:eastAsia="en-US"/>
              </w:rPr>
              <w:t>flats</w:t>
            </w:r>
            <w:r w:rsidRPr="001A0A01">
              <w:rPr>
                <w:lang w:val="en-GB" w:eastAsia="en-US"/>
              </w:rPr>
              <w:t xml:space="preserve"> in the Czech Republic reached 6.1% in Q2, 8.6% in Prague and 5.5% outside Prague. Realised prices of new </w:t>
            </w:r>
            <w:r w:rsidR="00042F74">
              <w:rPr>
                <w:lang w:val="en-GB" w:eastAsia="en-US"/>
              </w:rPr>
              <w:t>flats</w:t>
            </w:r>
            <w:r w:rsidRPr="001A0A01">
              <w:rPr>
                <w:lang w:val="en-GB" w:eastAsia="en-US"/>
              </w:rPr>
              <w:t xml:space="preserve"> in Prague increased by 3.7%, quarter-on-quarter, and after five decreases also increased year-on-year, specifically by 1.0%. The fact that the dynamics of realised dwelling prices are ahead of catalogue prices indicates a renewed tightening of the real estate market and excess of demand over supply.  </w:t>
            </w:r>
          </w:p>
        </w:tc>
      </w:tr>
      <w:tr w:rsidR="00E551F6" w:rsidRPr="001A0A01" w14:paraId="2BA2A1D1" w14:textId="77777777" w:rsidTr="00E551F6">
        <w:trPr>
          <w:trHeight w:val="145"/>
        </w:trPr>
        <w:tc>
          <w:tcPr>
            <w:tcW w:w="1791" w:type="dxa"/>
            <w:hideMark/>
          </w:tcPr>
          <w:p w14:paraId="6FC92E61" w14:textId="77777777" w:rsidR="00E551F6" w:rsidRPr="001A0A01" w:rsidRDefault="00E551F6" w:rsidP="00E551F6">
            <w:pPr>
              <w:pStyle w:val="Marginlie"/>
              <w:rPr>
                <w:spacing w:val="0"/>
                <w:lang w:val="en-GB" w:eastAsia="en-US"/>
              </w:rPr>
            </w:pPr>
            <w:r w:rsidRPr="001A0A01">
              <w:rPr>
                <w:spacing w:val="0"/>
                <w:lang w:val="en-GB" w:eastAsia="en-US"/>
              </w:rPr>
              <w:t xml:space="preserve">Industrial producer prices again increased, year-on-year. </w:t>
            </w:r>
          </w:p>
        </w:tc>
        <w:tc>
          <w:tcPr>
            <w:tcW w:w="223" w:type="dxa"/>
          </w:tcPr>
          <w:p w14:paraId="140532C8" w14:textId="77777777" w:rsidR="00E551F6" w:rsidRPr="001A0A01" w:rsidRDefault="00E551F6" w:rsidP="00E551F6">
            <w:pPr>
              <w:pStyle w:val="Textpoznpodarou1"/>
              <w:jc w:val="both"/>
              <w:rPr>
                <w:lang w:val="en-GB" w:eastAsia="en-US"/>
              </w:rPr>
            </w:pPr>
          </w:p>
        </w:tc>
        <w:tc>
          <w:tcPr>
            <w:tcW w:w="7625" w:type="dxa"/>
            <w:gridSpan w:val="2"/>
            <w:hideMark/>
          </w:tcPr>
          <w:p w14:paraId="2679D9BB" w14:textId="77777777" w:rsidR="00E551F6" w:rsidRPr="001A0A01" w:rsidRDefault="00E551F6" w:rsidP="00E551F6">
            <w:pPr>
              <w:rPr>
                <w:lang w:val="en-GB" w:eastAsia="en-US"/>
              </w:rPr>
            </w:pPr>
            <w:r w:rsidRPr="001A0A01">
              <w:rPr>
                <w:lang w:val="en-GB" w:eastAsia="en-US"/>
              </w:rPr>
              <w:t xml:space="preserve">Industrial producer prices followed the year-on-year decline (−0.9%) from Q1 with an increase of 1.1% in Q2. Quarter-on-quarter, the industrial producer prices decreased by 0.5%. Prices of electricity, gas, steam and air conditioning, whose year-on-year increase strengthened to 4.5% in Q2, mainly participated on this increase, nevertheless there was also a quarter-on-quarter decrease of 2.9%. Prices of goods and services in manufacturing turned from a year-on-year decline to a small increase (0.1%) and were 0.2% higher, quarter-on-quarter. The year-on-year decrease of prices of mining and quarrying on the contrary deepened to 1.7%, but prices were higher here by 1.2%, quarter-on-quarter. Prices of water distribution and services associated with wastewaters were higher by 9.2%, year-on-year. </w:t>
            </w:r>
          </w:p>
        </w:tc>
      </w:tr>
      <w:tr w:rsidR="00E551F6" w:rsidRPr="001A0A01" w14:paraId="35B0B611" w14:textId="77777777" w:rsidTr="00E551F6">
        <w:trPr>
          <w:trHeight w:val="145"/>
        </w:trPr>
        <w:tc>
          <w:tcPr>
            <w:tcW w:w="1791" w:type="dxa"/>
            <w:hideMark/>
          </w:tcPr>
          <w:p w14:paraId="1926A253" w14:textId="77777777" w:rsidR="00E551F6" w:rsidRPr="001A0A01" w:rsidRDefault="00E551F6" w:rsidP="00E551F6">
            <w:pPr>
              <w:pStyle w:val="Marginlie"/>
              <w:rPr>
                <w:spacing w:val="0"/>
                <w:lang w:val="en-GB" w:eastAsia="en-US"/>
              </w:rPr>
            </w:pPr>
            <w:r w:rsidRPr="001A0A01">
              <w:rPr>
                <w:spacing w:val="0"/>
                <w:lang w:val="en-GB" w:eastAsia="en-US"/>
              </w:rPr>
              <w:t>Moderation of the decline of prices of various raw materials was apparent in manufacturing.</w:t>
            </w:r>
          </w:p>
        </w:tc>
        <w:tc>
          <w:tcPr>
            <w:tcW w:w="223" w:type="dxa"/>
          </w:tcPr>
          <w:p w14:paraId="7A2E03FE" w14:textId="77777777" w:rsidR="00E551F6" w:rsidRPr="001A0A01" w:rsidRDefault="00E551F6" w:rsidP="00E551F6">
            <w:pPr>
              <w:pStyle w:val="Textpoznpodarou1"/>
              <w:jc w:val="both"/>
              <w:rPr>
                <w:lang w:val="en-GB" w:eastAsia="en-US"/>
              </w:rPr>
            </w:pPr>
          </w:p>
        </w:tc>
        <w:tc>
          <w:tcPr>
            <w:tcW w:w="7625" w:type="dxa"/>
            <w:gridSpan w:val="2"/>
            <w:hideMark/>
          </w:tcPr>
          <w:p w14:paraId="525C302B" w14:textId="77777777" w:rsidR="00E551F6" w:rsidRPr="001A0A01" w:rsidRDefault="00E551F6" w:rsidP="00E551F6">
            <w:pPr>
              <w:rPr>
                <w:lang w:val="en-GB" w:eastAsia="en-US"/>
              </w:rPr>
            </w:pPr>
            <w:r w:rsidRPr="001A0A01">
              <w:rPr>
                <w:lang w:val="en-GB" w:eastAsia="en-US"/>
              </w:rPr>
              <w:t xml:space="preserve">Strengthening of year-on-year price dynamics in manufacturing was related, besides other things, to a moderation of declines in several divisions, often those processing basic raw materials. Prices of basic metals (−7.9%), wood and wood products (−7.9%), paper and paper products (−7.4%), food products (−4.0%) or textiles (−1.6%) thus decreased slower. Prices of chemicals and chemical products rose slightly (0.3%) and the growth of prices of motor vehicles strengthened (3.9%). On the contrary, the growth of prices of wearing apparel (5.1%), computers, electronic and optical appliances (4.5%), beverages (3.5%), machinery and equipment (3.2%), other products of manufacturing (2.2%) or basic pharmaceutical products (1.5%) moderated in Q2. The year-on-year decline for fabricated metal products deepened (−1.8%) and prices of electrical equipment started to fall (−0.3%). </w:t>
            </w:r>
          </w:p>
        </w:tc>
      </w:tr>
      <w:tr w:rsidR="00E551F6" w:rsidRPr="001A0A01" w14:paraId="6D8D4177" w14:textId="77777777" w:rsidTr="00E551F6">
        <w:trPr>
          <w:trHeight w:val="145"/>
        </w:trPr>
        <w:tc>
          <w:tcPr>
            <w:tcW w:w="1791" w:type="dxa"/>
          </w:tcPr>
          <w:p w14:paraId="574578D9" w14:textId="77777777" w:rsidR="00E551F6" w:rsidRPr="001A0A01" w:rsidRDefault="00E551F6" w:rsidP="00E551F6">
            <w:pPr>
              <w:pStyle w:val="Marginlie"/>
              <w:rPr>
                <w:spacing w:val="0"/>
                <w:lang w:val="en-GB" w:eastAsia="en-US"/>
              </w:rPr>
            </w:pPr>
          </w:p>
        </w:tc>
        <w:tc>
          <w:tcPr>
            <w:tcW w:w="223" w:type="dxa"/>
          </w:tcPr>
          <w:p w14:paraId="1F3A1266" w14:textId="77777777" w:rsidR="00E551F6" w:rsidRPr="001A0A01" w:rsidRDefault="00E551F6" w:rsidP="00E551F6">
            <w:pPr>
              <w:pStyle w:val="Textpoznpodarou1"/>
              <w:jc w:val="both"/>
              <w:rPr>
                <w:lang w:val="en-GB" w:eastAsia="en-US"/>
              </w:rPr>
            </w:pPr>
          </w:p>
        </w:tc>
        <w:tc>
          <w:tcPr>
            <w:tcW w:w="7625" w:type="dxa"/>
            <w:gridSpan w:val="2"/>
            <w:hideMark/>
          </w:tcPr>
          <w:p w14:paraId="11E0864F" w14:textId="77777777" w:rsidR="00E551F6" w:rsidRPr="001A0A01" w:rsidRDefault="00E551F6" w:rsidP="00E551F6">
            <w:pPr>
              <w:spacing w:after="0"/>
              <w:rPr>
                <w:lang w:val="en-GB" w:eastAsia="en-US"/>
              </w:rPr>
            </w:pPr>
            <w:r w:rsidRPr="001A0A01">
              <w:rPr>
                <w:b/>
                <w:sz w:val="18"/>
                <w:szCs w:val="18"/>
                <w:lang w:val="en-GB" w:eastAsia="en-US"/>
              </w:rPr>
              <w:t xml:space="preserve">Chart 12    Prices of main groups of industrial producers </w:t>
            </w:r>
            <w:r w:rsidRPr="001A0A01">
              <w:rPr>
                <w:bCs/>
                <w:sz w:val="18"/>
                <w:szCs w:val="18"/>
                <w:lang w:val="en-GB" w:eastAsia="en-US"/>
              </w:rPr>
              <w:t>(year-on-year change, in %, based on CPA classification)</w:t>
            </w:r>
            <w:r w:rsidRPr="001A0A01">
              <w:rPr>
                <w:b/>
                <w:sz w:val="18"/>
                <w:szCs w:val="18"/>
                <w:lang w:val="en-GB" w:eastAsia="en-US"/>
              </w:rPr>
              <w:t xml:space="preserve"> </w:t>
            </w:r>
          </w:p>
        </w:tc>
      </w:tr>
      <w:tr w:rsidR="00E551F6" w:rsidRPr="001A0A01" w14:paraId="48CE6BF9" w14:textId="77777777" w:rsidTr="00EF3741">
        <w:tblPrEx>
          <w:tblCellMar>
            <w:left w:w="70" w:type="dxa"/>
            <w:right w:w="70" w:type="dxa"/>
          </w:tblCellMar>
        </w:tblPrEx>
        <w:trPr>
          <w:gridAfter w:val="1"/>
          <w:wAfter w:w="70" w:type="dxa"/>
          <w:trHeight w:val="145"/>
        </w:trPr>
        <w:tc>
          <w:tcPr>
            <w:tcW w:w="1791" w:type="dxa"/>
          </w:tcPr>
          <w:p w14:paraId="5F1557FB" w14:textId="77777777" w:rsidR="00E551F6" w:rsidRPr="001A0A01" w:rsidRDefault="00E551F6" w:rsidP="00E551F6">
            <w:pPr>
              <w:pStyle w:val="Marginlie"/>
              <w:rPr>
                <w:spacing w:val="0"/>
                <w:lang w:val="en-GB" w:eastAsia="en-US"/>
              </w:rPr>
            </w:pPr>
          </w:p>
        </w:tc>
        <w:tc>
          <w:tcPr>
            <w:tcW w:w="223" w:type="dxa"/>
          </w:tcPr>
          <w:p w14:paraId="50DD2BCC" w14:textId="77777777" w:rsidR="00E551F6" w:rsidRPr="001A0A01" w:rsidRDefault="00E551F6" w:rsidP="00E551F6">
            <w:pPr>
              <w:pStyle w:val="Textpoznpodarou1"/>
              <w:jc w:val="both"/>
              <w:rPr>
                <w:lang w:val="en-GB" w:eastAsia="en-US"/>
              </w:rPr>
            </w:pPr>
          </w:p>
        </w:tc>
        <w:tc>
          <w:tcPr>
            <w:tcW w:w="7625" w:type="dxa"/>
            <w:hideMark/>
          </w:tcPr>
          <w:p w14:paraId="4FE6155D" w14:textId="7986D53E" w:rsidR="00E551F6" w:rsidRPr="001A0A01" w:rsidRDefault="00EF3741" w:rsidP="00E551F6">
            <w:pPr>
              <w:spacing w:after="0"/>
              <w:jc w:val="center"/>
              <w:rPr>
                <w:lang w:val="en-GB" w:eastAsia="en-US"/>
              </w:rPr>
            </w:pPr>
            <w:r>
              <w:rPr>
                <w:noProof/>
              </w:rPr>
              <w:drawing>
                <wp:inline distT="0" distB="0" distL="0" distR="0" wp14:anchorId="74E49A84" wp14:editId="3269D73B">
                  <wp:extent cx="4722350" cy="3564975"/>
                  <wp:effectExtent l="0" t="0" r="2540" b="0"/>
                  <wp:docPr id="13" name="Graf 13">
                    <a:extLst xmlns:a="http://schemas.openxmlformats.org/drawingml/2006/main">
                      <a:ext uri="{FF2B5EF4-FFF2-40B4-BE49-F238E27FC236}">
                        <a16:creationId xmlns:a16="http://schemas.microsoft.com/office/drawing/2014/main" id="{A96326AA-2E19-A591-4C15-9F538FA2AF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E551F6" w:rsidRPr="001A0A01" w14:paraId="191F2893" w14:textId="77777777" w:rsidTr="00E551F6">
        <w:trPr>
          <w:trHeight w:val="145"/>
        </w:trPr>
        <w:tc>
          <w:tcPr>
            <w:tcW w:w="1791" w:type="dxa"/>
          </w:tcPr>
          <w:p w14:paraId="32110B78" w14:textId="77777777" w:rsidR="00E551F6" w:rsidRPr="001A0A01" w:rsidRDefault="00E551F6" w:rsidP="00E551F6">
            <w:pPr>
              <w:pStyle w:val="Marginlie"/>
              <w:rPr>
                <w:spacing w:val="0"/>
                <w:lang w:val="en-GB" w:eastAsia="en-US"/>
              </w:rPr>
            </w:pPr>
          </w:p>
        </w:tc>
        <w:tc>
          <w:tcPr>
            <w:tcW w:w="223" w:type="dxa"/>
          </w:tcPr>
          <w:p w14:paraId="52F1D688" w14:textId="77777777" w:rsidR="00E551F6" w:rsidRPr="001A0A01" w:rsidRDefault="00E551F6" w:rsidP="00E551F6">
            <w:pPr>
              <w:pStyle w:val="Textpoznpodarou1"/>
              <w:jc w:val="both"/>
              <w:rPr>
                <w:lang w:val="en-GB" w:eastAsia="en-US"/>
              </w:rPr>
            </w:pPr>
          </w:p>
        </w:tc>
        <w:tc>
          <w:tcPr>
            <w:tcW w:w="7625" w:type="dxa"/>
            <w:gridSpan w:val="2"/>
            <w:hideMark/>
          </w:tcPr>
          <w:p w14:paraId="7C8BC55B" w14:textId="2BCCED99" w:rsidR="00E551F6" w:rsidRPr="005C159F" w:rsidRDefault="00E551F6" w:rsidP="005C159F">
            <w:pPr>
              <w:jc w:val="left"/>
              <w:rPr>
                <w:b/>
                <w:bCs/>
                <w:sz w:val="14"/>
                <w:szCs w:val="14"/>
                <w:lang w:val="en-GB" w:eastAsia="en-US"/>
              </w:rPr>
            </w:pPr>
            <w:r w:rsidRPr="005C159F">
              <w:rPr>
                <w:sz w:val="14"/>
                <w:szCs w:val="14"/>
                <w:lang w:val="en-GB" w:eastAsia="en-US"/>
              </w:rPr>
              <w:t>Source: CZSO</w:t>
            </w:r>
          </w:p>
        </w:tc>
      </w:tr>
      <w:tr w:rsidR="00E551F6" w:rsidRPr="001A0A01" w14:paraId="1BFE010A" w14:textId="77777777" w:rsidTr="00E551F6">
        <w:trPr>
          <w:trHeight w:val="145"/>
        </w:trPr>
        <w:tc>
          <w:tcPr>
            <w:tcW w:w="1791" w:type="dxa"/>
            <w:hideMark/>
          </w:tcPr>
          <w:p w14:paraId="5B645443" w14:textId="77777777" w:rsidR="00E551F6" w:rsidRPr="001A0A01" w:rsidRDefault="00E551F6" w:rsidP="00E551F6">
            <w:pPr>
              <w:pStyle w:val="Marginlie"/>
              <w:rPr>
                <w:spacing w:val="0"/>
                <w:lang w:val="en-GB" w:eastAsia="en-US"/>
              </w:rPr>
            </w:pPr>
            <w:r w:rsidRPr="001A0A01">
              <w:rPr>
                <w:spacing w:val="0"/>
                <w:lang w:val="en-GB" w:eastAsia="en-US"/>
              </w:rPr>
              <w:t xml:space="preserve">Industrial producer prices remained in the year-on-year slump in the EU. </w:t>
            </w:r>
          </w:p>
        </w:tc>
        <w:tc>
          <w:tcPr>
            <w:tcW w:w="223" w:type="dxa"/>
          </w:tcPr>
          <w:p w14:paraId="33016568" w14:textId="77777777" w:rsidR="00E551F6" w:rsidRPr="001A0A01" w:rsidRDefault="00E551F6" w:rsidP="00E551F6">
            <w:pPr>
              <w:pStyle w:val="Textpoznpodarou1"/>
              <w:jc w:val="both"/>
              <w:rPr>
                <w:lang w:val="en-GB" w:eastAsia="en-US"/>
              </w:rPr>
            </w:pPr>
          </w:p>
        </w:tc>
        <w:tc>
          <w:tcPr>
            <w:tcW w:w="7625" w:type="dxa"/>
            <w:gridSpan w:val="2"/>
            <w:hideMark/>
          </w:tcPr>
          <w:p w14:paraId="579C232B" w14:textId="77777777" w:rsidR="00E551F6" w:rsidRPr="001A0A01" w:rsidRDefault="00E551F6" w:rsidP="00E551F6">
            <w:pPr>
              <w:rPr>
                <w:lang w:val="en-GB" w:eastAsia="en-US"/>
              </w:rPr>
            </w:pPr>
            <w:bookmarkStart w:id="1" w:name="_Hlk178800117"/>
            <w:r w:rsidRPr="001A0A01">
              <w:rPr>
                <w:lang w:val="en-GB" w:eastAsia="en-US"/>
              </w:rPr>
              <w:t>Industrial producer prices in the EU</w:t>
            </w:r>
            <w:r w:rsidRPr="001A0A01">
              <w:rPr>
                <w:rStyle w:val="Znakapoznpodarou"/>
                <w:lang w:val="en-GB" w:eastAsia="en-US"/>
              </w:rPr>
              <w:footnoteReference w:id="5"/>
            </w:r>
            <w:r w:rsidRPr="001A0A01">
              <w:rPr>
                <w:lang w:val="en-GB" w:eastAsia="en-US"/>
              </w:rPr>
              <w:t xml:space="preserve"> decreased by 4.1%, year-on-year, in Q2. The increase reduced compared to the previous quarter. The year-on-year decrease of prices of electricity, gas, steam and air conditioning (−14.3%), as well as prices of mining and quarrying (−1.3%) and manufacturing products and services (−0.4%) was less deep. The industrial producer prices increased the most, year-on-year, in the Czech Republic (1.1%) in Q2, followed by Portugal (0.6%), Sweden (0.6%) and Malta (0.5%). The industrial producer prices were falling, year-on-year, in other EU countries, the most in Slovakia (−20.8%), Luxembourg (−10.8%) and Poland (−6.9%). Industrial producer prices in the EU fell by 1.4%, quarter-on-quarter. This was caused solely by a decrease in prices of electricity, gas, steam and air conditioning (−7.0%). Prices of mining and quarrying were raised by 1.4%, quarter-on-quarter, and prices of manufacturing products and services by 0.3%.   </w:t>
            </w:r>
            <w:bookmarkEnd w:id="1"/>
          </w:p>
        </w:tc>
      </w:tr>
      <w:tr w:rsidR="00E551F6" w:rsidRPr="001A0A01" w14:paraId="24A0A449" w14:textId="77777777" w:rsidTr="00E551F6">
        <w:trPr>
          <w:trHeight w:val="145"/>
        </w:trPr>
        <w:tc>
          <w:tcPr>
            <w:tcW w:w="1791" w:type="dxa"/>
            <w:hideMark/>
          </w:tcPr>
          <w:p w14:paraId="7A7A9CFE" w14:textId="77777777" w:rsidR="00E551F6" w:rsidRPr="001A0A01" w:rsidRDefault="00E551F6" w:rsidP="00E551F6">
            <w:pPr>
              <w:pStyle w:val="Marginlie"/>
              <w:rPr>
                <w:spacing w:val="0"/>
                <w:lang w:val="en-GB" w:eastAsia="en-US"/>
              </w:rPr>
            </w:pPr>
            <w:r w:rsidRPr="001A0A01">
              <w:rPr>
                <w:spacing w:val="0"/>
                <w:lang w:val="en-GB" w:eastAsia="en-US"/>
              </w:rPr>
              <w:t>Prices of construction works went up.</w:t>
            </w:r>
          </w:p>
        </w:tc>
        <w:tc>
          <w:tcPr>
            <w:tcW w:w="223" w:type="dxa"/>
          </w:tcPr>
          <w:p w14:paraId="4CE5BD99" w14:textId="77777777" w:rsidR="00E551F6" w:rsidRPr="001A0A01" w:rsidRDefault="00E551F6" w:rsidP="00E551F6">
            <w:pPr>
              <w:pStyle w:val="Textpoznpodarou1"/>
              <w:jc w:val="both"/>
              <w:rPr>
                <w:lang w:val="en-GB" w:eastAsia="en-US"/>
              </w:rPr>
            </w:pPr>
          </w:p>
        </w:tc>
        <w:tc>
          <w:tcPr>
            <w:tcW w:w="7625" w:type="dxa"/>
            <w:gridSpan w:val="2"/>
            <w:hideMark/>
          </w:tcPr>
          <w:p w14:paraId="7CFD833D" w14:textId="6BDE84D1" w:rsidR="00E551F6" w:rsidRPr="001A0A01" w:rsidRDefault="00E551F6" w:rsidP="003E0A6F">
            <w:pPr>
              <w:rPr>
                <w:lang w:val="en-GB" w:eastAsia="en-US"/>
              </w:rPr>
            </w:pPr>
            <w:bookmarkStart w:id="2" w:name="_Hlk178802541"/>
            <w:r w:rsidRPr="001A0A01">
              <w:rPr>
                <w:lang w:val="en-GB" w:eastAsia="en-US"/>
              </w:rPr>
              <w:t xml:space="preserve">Prices of construction work were, based on estimates, by 2.1% higher, year-on-year, in Q2 2024, while the prices of materials and products used in construction fell by 1.2%. Quarter-on-quarter, the prices of construction work were estimated to have risen by 0.8% and prices of materials and products used in construction went up by 0.3%. Prices of construction work were, based on estimates, by 2.1% higher, year-on-year, in Q2 2024, while prices of materials and products used in construction fell by 1.2%. Quarter-on-quarter, the prices of construction work were estimated to have risen by 0.8% and prices of materials and products used in construction went up by 0.3%. </w:t>
            </w:r>
            <w:bookmarkEnd w:id="2"/>
          </w:p>
        </w:tc>
      </w:tr>
      <w:tr w:rsidR="00E551F6" w:rsidRPr="001A0A01" w14:paraId="0ED8E32E" w14:textId="77777777" w:rsidTr="00E551F6">
        <w:trPr>
          <w:trHeight w:val="145"/>
        </w:trPr>
        <w:tc>
          <w:tcPr>
            <w:tcW w:w="1791" w:type="dxa"/>
            <w:hideMark/>
          </w:tcPr>
          <w:p w14:paraId="41CB585D" w14:textId="77777777" w:rsidR="00E551F6" w:rsidRPr="001A0A01" w:rsidRDefault="00E551F6" w:rsidP="00E551F6">
            <w:pPr>
              <w:pStyle w:val="Marginlie"/>
              <w:rPr>
                <w:spacing w:val="0"/>
                <w:lang w:val="en-GB" w:eastAsia="en-US"/>
              </w:rPr>
            </w:pPr>
            <w:r w:rsidRPr="001A0A01">
              <w:rPr>
                <w:spacing w:val="0"/>
                <w:lang w:val="en-GB" w:eastAsia="en-US"/>
              </w:rPr>
              <w:t xml:space="preserve">Year-on-year growth of market services slowed down markedly. </w:t>
            </w:r>
          </w:p>
        </w:tc>
        <w:tc>
          <w:tcPr>
            <w:tcW w:w="223" w:type="dxa"/>
          </w:tcPr>
          <w:p w14:paraId="3109CB71" w14:textId="77777777" w:rsidR="00E551F6" w:rsidRPr="001A0A01" w:rsidRDefault="00E551F6" w:rsidP="00E551F6">
            <w:pPr>
              <w:pStyle w:val="Textpoznpodarou1"/>
              <w:jc w:val="both"/>
              <w:rPr>
                <w:lang w:val="en-GB" w:eastAsia="en-US"/>
              </w:rPr>
            </w:pPr>
          </w:p>
        </w:tc>
        <w:tc>
          <w:tcPr>
            <w:tcW w:w="7625" w:type="dxa"/>
            <w:gridSpan w:val="2"/>
            <w:hideMark/>
          </w:tcPr>
          <w:p w14:paraId="5FCE77DB" w14:textId="77777777" w:rsidR="00E551F6" w:rsidRPr="001A0A01" w:rsidRDefault="00E551F6" w:rsidP="00E551F6">
            <w:pPr>
              <w:rPr>
                <w:lang w:val="en-GB" w:eastAsia="en-US"/>
              </w:rPr>
            </w:pPr>
            <w:bookmarkStart w:id="3" w:name="_Hlk178803350"/>
            <w:r w:rsidRPr="001A0A01">
              <w:rPr>
                <w:lang w:val="en-GB" w:eastAsia="en-US"/>
              </w:rPr>
              <w:t xml:space="preserve">Prices of market services increased by 3.4%, year-on-year, in Q2. The growth thus slowed down significantly compared to the previous quarter and was the slowest since Q4 2021. The development of prices of programming, consultancy and related activities (pace slowed to 3.2%), prices of land transport and transport via pipelines (0.6%) and prices of advertising and market research (6.7%) affected the most the pace deceleration. The prices of real estate services (7.6%) contributed the most to the total year-on-year increase of prices of market services. Prices of security and investigation activities (8.9%), postal and courier activities (7.7%), employment placement activities (6.8%), legal and accounting services (6.0%) or services to buildings and landscape activities (5.4%) also featured a solid growth. Only prices of warehousing and support activities for transportation decreased, year-on-year (−0.3%). Prices of market services were higher by 1.6%, quarter-on-quarter, in Q2. </w:t>
            </w:r>
            <w:bookmarkEnd w:id="3"/>
          </w:p>
        </w:tc>
      </w:tr>
      <w:tr w:rsidR="00E551F6" w:rsidRPr="001A0A01" w14:paraId="76D7452D" w14:textId="77777777" w:rsidTr="00E551F6">
        <w:trPr>
          <w:trHeight w:val="145"/>
        </w:trPr>
        <w:tc>
          <w:tcPr>
            <w:tcW w:w="1791" w:type="dxa"/>
            <w:hideMark/>
          </w:tcPr>
          <w:p w14:paraId="31900E4A" w14:textId="77777777" w:rsidR="00E551F6" w:rsidRPr="001A0A01" w:rsidRDefault="00E551F6" w:rsidP="00E551F6">
            <w:pPr>
              <w:pStyle w:val="Marginlie"/>
              <w:rPr>
                <w:spacing w:val="0"/>
                <w:lang w:val="en-GB" w:eastAsia="en-US"/>
              </w:rPr>
            </w:pPr>
            <w:bookmarkStart w:id="4" w:name="_Hlk178805048"/>
            <w:r w:rsidRPr="001A0A01">
              <w:rPr>
                <w:spacing w:val="0"/>
                <w:lang w:val="en-GB" w:eastAsia="en-US"/>
              </w:rPr>
              <w:t>Prices of agricultural production continued to fall, year-on-year, but the decline moderated.</w:t>
            </w:r>
            <w:bookmarkEnd w:id="4"/>
          </w:p>
        </w:tc>
        <w:tc>
          <w:tcPr>
            <w:tcW w:w="223" w:type="dxa"/>
          </w:tcPr>
          <w:p w14:paraId="7E80F7A8" w14:textId="77777777" w:rsidR="00E551F6" w:rsidRPr="001A0A01" w:rsidRDefault="00E551F6" w:rsidP="00E551F6">
            <w:pPr>
              <w:pStyle w:val="Textpoznpodarou1"/>
              <w:jc w:val="both"/>
              <w:rPr>
                <w:lang w:val="en-GB" w:eastAsia="en-US"/>
              </w:rPr>
            </w:pPr>
          </w:p>
        </w:tc>
        <w:tc>
          <w:tcPr>
            <w:tcW w:w="7625" w:type="dxa"/>
            <w:gridSpan w:val="2"/>
            <w:hideMark/>
          </w:tcPr>
          <w:p w14:paraId="34A9F2E0" w14:textId="12024F6D" w:rsidR="00E551F6" w:rsidRPr="001A0A01" w:rsidRDefault="00E551F6" w:rsidP="00E551F6">
            <w:pPr>
              <w:rPr>
                <w:lang w:val="en-GB" w:eastAsia="en-US"/>
              </w:rPr>
            </w:pPr>
            <w:r w:rsidRPr="001A0A01">
              <w:rPr>
                <w:lang w:val="en-GB" w:eastAsia="en-US"/>
              </w:rPr>
              <w:t>The year-on-year plunge of the agricultural produc</w:t>
            </w:r>
            <w:r w:rsidR="007750EE">
              <w:rPr>
                <w:lang w:val="en-GB" w:eastAsia="en-US"/>
              </w:rPr>
              <w:t>er</w:t>
            </w:r>
            <w:r w:rsidRPr="001A0A01">
              <w:rPr>
                <w:lang w:val="en-GB" w:eastAsia="en-US"/>
              </w:rPr>
              <w:t xml:space="preserve"> prices (including fish) moderated to −10.4% in Q2. The decrease of prices of both </w:t>
            </w:r>
            <w:r w:rsidR="007750EE">
              <w:rPr>
                <w:lang w:val="en-GB" w:eastAsia="en-US"/>
              </w:rPr>
              <w:t>crop</w:t>
            </w:r>
            <w:r w:rsidRPr="001A0A01">
              <w:rPr>
                <w:lang w:val="en-GB" w:eastAsia="en-US"/>
              </w:rPr>
              <w:t xml:space="preserve"> and animal product</w:t>
            </w:r>
            <w:r w:rsidR="007750EE">
              <w:rPr>
                <w:lang w:val="en-GB" w:eastAsia="en-US"/>
              </w:rPr>
              <w:t xml:space="preserve">s </w:t>
            </w:r>
            <w:r w:rsidRPr="001A0A01">
              <w:rPr>
                <w:lang w:val="en-GB" w:eastAsia="en-US"/>
              </w:rPr>
              <w:t xml:space="preserve">was less pronounced. Prices of </w:t>
            </w:r>
            <w:r w:rsidR="007750EE">
              <w:rPr>
                <w:lang w:val="en-GB" w:eastAsia="en-US"/>
              </w:rPr>
              <w:t>crop</w:t>
            </w:r>
            <w:r w:rsidRPr="001A0A01">
              <w:rPr>
                <w:lang w:val="en-GB" w:eastAsia="en-US"/>
              </w:rPr>
              <w:t xml:space="preserve"> production were by 15.7% lower, year-on-year. The drop of prices of cereals was smaller, nevertheless still deep (−23.8%, in that prices of wheat went down by 24.4%, rye by 17.1%, barley by 20.4%, oats by 7.4% and maize by 30.2%). Prices of industrial crops lagged by 8.3%, year-on-year, and prices of oil seeds (−7.9%) as well as </w:t>
            </w:r>
            <w:r w:rsidR="007750EE">
              <w:rPr>
                <w:lang w:val="en-GB" w:eastAsia="en-US"/>
              </w:rPr>
              <w:t>protein crops</w:t>
            </w:r>
            <w:r w:rsidRPr="001A0A01">
              <w:rPr>
                <w:lang w:val="en-GB" w:eastAsia="en-US"/>
              </w:rPr>
              <w:t xml:space="preserve"> (−14.7%) decreased. Prices of vegetables and horticultural products (−7.4%) as well as potatoes (−0.6%) fell into a year-on-year decrease in Q2. On the contrary, the prices of forage plants (12.8%) and fruit (13.0%) were higher, year-on-year. Prices of animal production decelerated their decrease, year-on-year, to −4.4%. The prices of pigs and piglets (−1.3%) and poultry (−8.1%) stood behind the total decrease of prices of live animals by 1.5%. In contrast, the prices of cattle were higher by 5.3%. Prices of milk were lower by 4.7% and eggs by 18.5%, year-on-year, in Q2.  </w:t>
            </w:r>
          </w:p>
        </w:tc>
      </w:tr>
      <w:tr w:rsidR="00E551F6" w:rsidRPr="001A0A01" w14:paraId="2955F8A3" w14:textId="77777777" w:rsidTr="00E551F6">
        <w:trPr>
          <w:trHeight w:val="145"/>
        </w:trPr>
        <w:tc>
          <w:tcPr>
            <w:tcW w:w="1791" w:type="dxa"/>
            <w:hideMark/>
          </w:tcPr>
          <w:p w14:paraId="3B85CC54" w14:textId="77777777" w:rsidR="00E551F6" w:rsidRPr="001A0A01" w:rsidRDefault="00E551F6" w:rsidP="00E551F6">
            <w:pPr>
              <w:pStyle w:val="Marginlie"/>
              <w:rPr>
                <w:spacing w:val="0"/>
                <w:lang w:val="en-GB" w:eastAsia="en-US"/>
              </w:rPr>
            </w:pPr>
            <w:r w:rsidRPr="001A0A01">
              <w:rPr>
                <w:spacing w:val="0"/>
                <w:lang w:val="en-GB" w:eastAsia="en-US"/>
              </w:rPr>
              <w:t xml:space="preserve">Prices of international trade were affected by the foreign exchange changes. </w:t>
            </w:r>
          </w:p>
        </w:tc>
        <w:tc>
          <w:tcPr>
            <w:tcW w:w="223" w:type="dxa"/>
          </w:tcPr>
          <w:p w14:paraId="16FC8B75" w14:textId="77777777" w:rsidR="00E551F6" w:rsidRPr="001A0A01" w:rsidRDefault="00E551F6" w:rsidP="00E551F6">
            <w:pPr>
              <w:pStyle w:val="Textpoznpodarou1"/>
              <w:jc w:val="both"/>
              <w:rPr>
                <w:lang w:val="en-GB" w:eastAsia="en-US"/>
              </w:rPr>
            </w:pPr>
          </w:p>
        </w:tc>
        <w:tc>
          <w:tcPr>
            <w:tcW w:w="7625" w:type="dxa"/>
            <w:gridSpan w:val="2"/>
            <w:hideMark/>
          </w:tcPr>
          <w:p w14:paraId="717ED248" w14:textId="03C9F771" w:rsidR="00E551F6" w:rsidRPr="001A0A01" w:rsidRDefault="00E551F6" w:rsidP="00E551F6">
            <w:pPr>
              <w:rPr>
                <w:lang w:val="en-GB" w:eastAsia="en-US"/>
              </w:rPr>
            </w:pPr>
            <w:r w:rsidRPr="001A0A01">
              <w:rPr>
                <w:lang w:val="en-GB" w:eastAsia="en-US"/>
              </w:rPr>
              <w:t>Prices of exports increased by 3.7%, year-on-year, in Q2. The increase accelerated significantly compared to the previous quarter. Export prices rose by 0.6%, quarter-on-quarter. The koruna foreign exchange per euro as well as the dollar fostered stronger year-on-year dynamics of the international trade prices</w:t>
            </w:r>
            <w:r w:rsidRPr="001A0A01">
              <w:rPr>
                <w:rStyle w:val="Znakapoznpodarou"/>
                <w:lang w:val="en-GB" w:eastAsia="en-US"/>
              </w:rPr>
              <w:footnoteReference w:id="6"/>
            </w:r>
            <w:r w:rsidRPr="001A0A01">
              <w:rPr>
                <w:lang w:val="en-GB" w:eastAsia="en-US"/>
              </w:rPr>
              <w:t xml:space="preserve">. Products of the manufacturing industry, for which the increase accelerated to 4.6% in Q2, had the main share on the total year-on-year growth of export prices. Export prices of other transport equipment (14.9%) and furniture (14.8%) rose the most, year-on-year. The increase was also strong for motor vehicles (7.8%) and prices of exports of coke and refined petroleum products (7.8%) went from a decline to a significant year-on-year growth. Prices of exports of electrical equipment (6.3%), machinery and equipment (5.5%) and computer, electronic and optical appliances (5.2%) strengthened their growth. Only a minority of manufacturing products saw prices fall. The drop of prices of exports of basic metals slowed down (−2.8%), while the prices of exports of textiles (−2.4%), wood and wood products (−2.2%) and leather (−1.7%) were lower. Export prices for water distribution and services associated with wastewaters increased (9.4%). On the contrary, prices of exports of electricity, gas, steam and air conditioning continued to plunge, year-on-year (but slowed to −10.2%). The decline of exports of agriculture, forestry and fishing products also moderated (−4.1%). The year-on-year decrease of export prices of mining and quarrying deepened (−14.5%).   </w:t>
            </w:r>
          </w:p>
        </w:tc>
      </w:tr>
      <w:tr w:rsidR="00E551F6" w:rsidRPr="001A0A01" w14:paraId="4A20FB8E" w14:textId="77777777" w:rsidTr="00E551F6">
        <w:trPr>
          <w:trHeight w:val="145"/>
        </w:trPr>
        <w:tc>
          <w:tcPr>
            <w:tcW w:w="1791" w:type="dxa"/>
            <w:hideMark/>
          </w:tcPr>
          <w:p w14:paraId="62304F04" w14:textId="77777777" w:rsidR="00E551F6" w:rsidRPr="001A0A01" w:rsidRDefault="00E551F6" w:rsidP="00E551F6">
            <w:pPr>
              <w:pStyle w:val="Marginlie"/>
              <w:rPr>
                <w:spacing w:val="0"/>
                <w:lang w:val="en-GB" w:eastAsia="en-US"/>
              </w:rPr>
            </w:pPr>
            <w:r w:rsidRPr="001A0A01">
              <w:rPr>
                <w:spacing w:val="0"/>
                <w:lang w:val="en-GB" w:eastAsia="en-US"/>
              </w:rPr>
              <w:t xml:space="preserve">Terms of trade of the international trade with goods were positive. </w:t>
            </w:r>
          </w:p>
        </w:tc>
        <w:tc>
          <w:tcPr>
            <w:tcW w:w="223" w:type="dxa"/>
          </w:tcPr>
          <w:p w14:paraId="7254496E" w14:textId="77777777" w:rsidR="00E551F6" w:rsidRPr="001A0A01" w:rsidRDefault="00E551F6" w:rsidP="00E551F6">
            <w:pPr>
              <w:pStyle w:val="Textpoznpodarou1"/>
              <w:jc w:val="both"/>
              <w:rPr>
                <w:lang w:val="en-GB" w:eastAsia="en-US"/>
              </w:rPr>
            </w:pPr>
          </w:p>
        </w:tc>
        <w:tc>
          <w:tcPr>
            <w:tcW w:w="7625" w:type="dxa"/>
            <w:gridSpan w:val="2"/>
            <w:hideMark/>
          </w:tcPr>
          <w:p w14:paraId="26920044" w14:textId="77777777" w:rsidR="00E551F6" w:rsidRPr="001A0A01" w:rsidRDefault="00E551F6" w:rsidP="00E551F6">
            <w:pPr>
              <w:rPr>
                <w:lang w:val="en-GB" w:eastAsia="en-US"/>
              </w:rPr>
            </w:pPr>
            <w:r w:rsidRPr="001A0A01">
              <w:rPr>
                <w:lang w:val="en-GB" w:eastAsia="en-US"/>
              </w:rPr>
              <w:t xml:space="preserve">Import prices increased by 3.0%, year-on-year, in Q2 and were by 0.1% higher, quarter-on-quarter. Import prices of mining and quarrying (5.1%) and also in case of manufactured products (3.4%) went up year-on-year. The largest price increase was recorded for imports of other transport equipment (13.3%), followed by beverages (10.7%) and coke and refined petroleum products (8.1%). However, import prices rose for most divisions and the dynamics also strengthened. Nevertheless, the decrease lasted only for imports of wood and products (−3.3%), leather (−1.6%) or other products of the manufacturing industry (−1.7%). Prices of imports of electricity, gas, steam and air conditioning fell by 18.2%, year-on-year, in Q2 and the decrease for agriculture, forestry and fishery products deepened to −13.2%. The year-on-year terms of trade of the international trade with goods reached 100.6% in Q2. The quarter-on-quarter terms of trade reached 100.5%. The year-on-year terms of trade were markedly positive for products of agriculture, forestry and fishing (110.5%) and electricity, gas, steam and air conditioning (109.8%). The terms of trade for manufactured goods reached 101.2%. The total positive result was subdued significantly by negative terms of trade in mining and quarrying products (81.3%).    </w:t>
            </w:r>
          </w:p>
        </w:tc>
      </w:tr>
    </w:tbl>
    <w:p w14:paraId="5C40B8E0" w14:textId="2CE642E2" w:rsidR="00E551F6" w:rsidRPr="001A0A01" w:rsidRDefault="00E551F6" w:rsidP="00E551F6">
      <w:pPr>
        <w:spacing w:after="0" w:line="240" w:lineRule="auto"/>
        <w:jc w:val="left"/>
        <w:rPr>
          <w:rFonts w:eastAsia="MS Gothic"/>
          <w:b/>
          <w:bCs/>
          <w:color w:val="86BF5E"/>
          <w:sz w:val="32"/>
          <w:szCs w:val="28"/>
          <w:lang w:val="en-GB"/>
        </w:rPr>
      </w:pPr>
      <w:bookmarkStart w:id="5" w:name="_GoBack"/>
      <w:bookmarkEnd w:id="5"/>
    </w:p>
    <w:sectPr w:rsidR="00E551F6" w:rsidRPr="001A0A01" w:rsidSect="006F5416">
      <w:headerReference w:type="even" r:id="rId14"/>
      <w:headerReference w:type="default" r:id="rId15"/>
      <w:footerReference w:type="even" r:id="rId16"/>
      <w:footerReference w:type="default" r:id="rId17"/>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4B20A" w14:textId="77777777" w:rsidR="00816BBF" w:rsidRDefault="00816BBF" w:rsidP="00E71A58">
      <w:r>
        <w:separator/>
      </w:r>
    </w:p>
  </w:endnote>
  <w:endnote w:type="continuationSeparator" w:id="0">
    <w:p w14:paraId="52CECA42" w14:textId="77777777" w:rsidR="00816BBF" w:rsidRDefault="00816BBF" w:rsidP="00E71A58">
      <w:r>
        <w:continuationSeparator/>
      </w:r>
    </w:p>
  </w:endnote>
  <w:endnote w:type="continuationNotice" w:id="1">
    <w:p w14:paraId="371570F2" w14:textId="77777777" w:rsidR="00816BBF" w:rsidRDefault="00816B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3215335C" w:rsidR="00165465" w:rsidRPr="00932443" w:rsidRDefault="00165465"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964A25">
      <w:rPr>
        <w:szCs w:val="16"/>
      </w:rPr>
      <w:t>4</w:t>
    </w:r>
    <w:r w:rsidRPr="00932443">
      <w:rPr>
        <w:szCs w:val="16"/>
      </w:rPr>
      <w:fldChar w:fldCharType="end"/>
    </w:r>
    <w:r w:rsidRPr="00932443">
      <w:rPr>
        <w:szCs w:val="16"/>
      </w:rPr>
      <w:tab/>
    </w:r>
    <w:r>
      <w:rPr>
        <w:szCs w:val="16"/>
      </w:rPr>
      <w:t>First half of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4298F1D2" w:rsidR="00165465" w:rsidRPr="00932443" w:rsidRDefault="00165465"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816BBF">
      <w:rPr>
        <w:rStyle w:val="ZpatChar"/>
        <w:szCs w:val="16"/>
      </w:rPr>
      <w:t>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BA3B7" w14:textId="77777777" w:rsidR="00816BBF" w:rsidRDefault="00816BBF" w:rsidP="00EA4302">
      <w:pPr>
        <w:spacing w:after="0"/>
      </w:pPr>
      <w:r>
        <w:separator/>
      </w:r>
    </w:p>
  </w:footnote>
  <w:footnote w:type="continuationSeparator" w:id="0">
    <w:p w14:paraId="344A0A27" w14:textId="77777777" w:rsidR="00816BBF" w:rsidRDefault="00816BBF" w:rsidP="00E71A58">
      <w:r>
        <w:continuationSeparator/>
      </w:r>
    </w:p>
  </w:footnote>
  <w:footnote w:type="continuationNotice" w:id="1">
    <w:p w14:paraId="6323F547" w14:textId="77777777" w:rsidR="00816BBF" w:rsidRDefault="00816BBF">
      <w:pPr>
        <w:spacing w:after="0" w:line="240" w:lineRule="auto"/>
      </w:pPr>
    </w:p>
  </w:footnote>
  <w:footnote w:id="2">
    <w:p w14:paraId="63331ACB" w14:textId="6F632D38" w:rsidR="00165465" w:rsidRDefault="00165465" w:rsidP="00E551F6">
      <w:pPr>
        <w:pStyle w:val="Textpoznpodarou"/>
        <w:jc w:val="both"/>
        <w:rPr>
          <w:sz w:val="16"/>
          <w:szCs w:val="16"/>
        </w:rPr>
      </w:pPr>
      <w:r>
        <w:rPr>
          <w:rStyle w:val="Znakapoznpodarou"/>
          <w:sz w:val="16"/>
          <w:szCs w:val="16"/>
        </w:rPr>
        <w:footnoteRef/>
      </w:r>
      <w:r>
        <w:rPr>
          <w:sz w:val="16"/>
          <w:szCs w:val="16"/>
        </w:rPr>
        <w:t xml:space="preserve"> </w:t>
      </w:r>
      <w:r w:rsidRPr="00AE6A6E">
        <w:rPr>
          <w:sz w:val="16"/>
          <w:szCs w:val="16"/>
        </w:rPr>
        <w:t>Imputed rent expresses the cost of owner living. Apart from prices of housing themselves, it also contains the cost of construction and renovation and further fees</w:t>
      </w:r>
      <w:r>
        <w:rPr>
          <w:sz w:val="16"/>
          <w:szCs w:val="16"/>
        </w:rPr>
        <w:t xml:space="preserve">. For more see: </w:t>
      </w:r>
      <w:hyperlink r:id="rId1" w:history="1">
        <w:r>
          <w:rPr>
            <w:rStyle w:val="Hypertextovodkaz"/>
            <w:sz w:val="16"/>
            <w:szCs w:val="16"/>
          </w:rPr>
          <w:t>https://csu.gov.cz/methodological-note-to-consumer-price-index-imputed-rentals</w:t>
        </w:r>
      </w:hyperlink>
      <w:r>
        <w:rPr>
          <w:rStyle w:val="Hypertextovodkaz"/>
          <w:sz w:val="16"/>
          <w:szCs w:val="16"/>
        </w:rPr>
        <w:t>.</w:t>
      </w:r>
    </w:p>
  </w:footnote>
  <w:footnote w:id="3">
    <w:p w14:paraId="3A97D2DC" w14:textId="77777777" w:rsidR="00165465" w:rsidRDefault="00165465" w:rsidP="00E551F6">
      <w:pPr>
        <w:pStyle w:val="Textpoznpodarou"/>
        <w:rPr>
          <w:sz w:val="16"/>
          <w:szCs w:val="16"/>
        </w:rPr>
      </w:pPr>
      <w:r>
        <w:rPr>
          <w:rStyle w:val="Znakapoznpodarou"/>
          <w:sz w:val="16"/>
          <w:szCs w:val="16"/>
        </w:rPr>
        <w:footnoteRef/>
      </w:r>
      <w:r>
        <w:rPr>
          <w:sz w:val="16"/>
          <w:szCs w:val="16"/>
        </w:rPr>
        <w:t xml:space="preserve"> </w:t>
      </w:r>
      <w:r w:rsidRPr="00A1555B">
        <w:rPr>
          <w:sz w:val="16"/>
          <w:szCs w:val="16"/>
        </w:rPr>
        <w:t>Contains services of personal care and personal needs and accessories, social care, insurance and further financial services etc</w:t>
      </w:r>
      <w:r>
        <w:rPr>
          <w:sz w:val="16"/>
          <w:szCs w:val="16"/>
        </w:rPr>
        <w:t xml:space="preserve"> </w:t>
      </w:r>
    </w:p>
  </w:footnote>
  <w:footnote w:id="4">
    <w:p w14:paraId="6D811816" w14:textId="77777777" w:rsidR="00165465" w:rsidRPr="008D79F4" w:rsidRDefault="00165465" w:rsidP="00E551F6">
      <w:pPr>
        <w:pStyle w:val="Textpoznpodarou"/>
        <w:jc w:val="both"/>
        <w:rPr>
          <w:sz w:val="16"/>
          <w:szCs w:val="16"/>
          <w:lang w:val="en-GB"/>
        </w:rPr>
      </w:pPr>
      <w:r>
        <w:rPr>
          <w:rStyle w:val="Znakapoznpodarou"/>
          <w:sz w:val="16"/>
          <w:szCs w:val="16"/>
        </w:rPr>
        <w:footnoteRef/>
      </w:r>
      <w:r>
        <w:rPr>
          <w:sz w:val="16"/>
          <w:szCs w:val="16"/>
        </w:rPr>
        <w:t xml:space="preserve"> </w:t>
      </w:r>
      <w:r w:rsidRPr="008D79F4">
        <w:rPr>
          <w:sz w:val="16"/>
          <w:szCs w:val="16"/>
          <w:lang w:val="en-GB"/>
        </w:rPr>
        <w:t xml:space="preserve">Contrary to the consumer price index, which the CZSO compiles for the Czech economy, HICP does not contain imputed rent, which is the main reason for the difference between the HICP and Consumer price index. </w:t>
      </w:r>
    </w:p>
  </w:footnote>
  <w:footnote w:id="5">
    <w:p w14:paraId="0C85FFDA" w14:textId="77777777" w:rsidR="00165465" w:rsidRDefault="00165465" w:rsidP="00E551F6">
      <w:pPr>
        <w:pStyle w:val="Textpoznpodarou"/>
        <w:rPr>
          <w:sz w:val="16"/>
          <w:szCs w:val="16"/>
        </w:rPr>
      </w:pPr>
      <w:r>
        <w:rPr>
          <w:rStyle w:val="Znakapoznpodarou"/>
          <w:sz w:val="16"/>
          <w:szCs w:val="16"/>
        </w:rPr>
        <w:footnoteRef/>
      </w:r>
      <w:r>
        <w:rPr>
          <w:sz w:val="16"/>
          <w:szCs w:val="16"/>
        </w:rPr>
        <w:t xml:space="preserve"> </w:t>
      </w:r>
      <w:r w:rsidRPr="00DE6E29">
        <w:rPr>
          <w:sz w:val="16"/>
          <w:szCs w:val="16"/>
          <w:lang w:val="en-GB"/>
        </w:rPr>
        <w:t xml:space="preserve">Without prices of water distribution and </w:t>
      </w:r>
      <w:r>
        <w:rPr>
          <w:sz w:val="16"/>
          <w:szCs w:val="16"/>
          <w:lang w:val="en-GB"/>
        </w:rPr>
        <w:t>s</w:t>
      </w:r>
      <w:r w:rsidRPr="00DE6E29">
        <w:rPr>
          <w:sz w:val="16"/>
          <w:szCs w:val="16"/>
          <w:lang w:val="en-GB"/>
        </w:rPr>
        <w:t>ervices associated with wastewaters</w:t>
      </w:r>
      <w:r>
        <w:rPr>
          <w:sz w:val="16"/>
          <w:szCs w:val="16"/>
          <w:lang w:val="en-GB"/>
        </w:rPr>
        <w:t>.</w:t>
      </w:r>
      <w:r>
        <w:rPr>
          <w:sz w:val="16"/>
          <w:szCs w:val="16"/>
        </w:rPr>
        <w:t xml:space="preserve"> </w:t>
      </w:r>
    </w:p>
  </w:footnote>
  <w:footnote w:id="6">
    <w:p w14:paraId="0BB50B6A" w14:textId="77777777" w:rsidR="00165465" w:rsidRPr="00466D8B" w:rsidRDefault="00165465" w:rsidP="00E551F6">
      <w:pPr>
        <w:pStyle w:val="Textpoznpodarou"/>
        <w:jc w:val="both"/>
        <w:rPr>
          <w:sz w:val="16"/>
          <w:szCs w:val="16"/>
          <w:lang w:val="en-GB"/>
        </w:rPr>
      </w:pPr>
      <w:r>
        <w:rPr>
          <w:rStyle w:val="Znakapoznpodarou"/>
          <w:sz w:val="16"/>
          <w:szCs w:val="16"/>
        </w:rPr>
        <w:footnoteRef/>
      </w:r>
      <w:r>
        <w:rPr>
          <w:sz w:val="16"/>
          <w:szCs w:val="16"/>
        </w:rPr>
        <w:t xml:space="preserve"> </w:t>
      </w:r>
      <w:r w:rsidRPr="00466D8B">
        <w:rPr>
          <w:sz w:val="16"/>
          <w:szCs w:val="16"/>
          <w:lang w:val="en-GB"/>
        </w:rPr>
        <w:t xml:space="preserve">Based on the CNB data, the average koruna foreign exchange per euro was 24.958 CZK/EUR in Q2 2024. It was 23.588 CZK/EUR in Q2 2023. Koruna foreign exchange per dollar also weakened. The average was 23.179 CZK/USD in Q2 2024. It was 21.673 CZK/USD in the same period of year 2023.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165465" w:rsidRPr="00C27E4F" w:rsidRDefault="00165465"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165465" w:rsidRPr="006F5416" w:rsidRDefault="00165465"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165E9"/>
    <w:rsid w:val="0002195D"/>
    <w:rsid w:val="000234D6"/>
    <w:rsid w:val="00023D29"/>
    <w:rsid w:val="00026389"/>
    <w:rsid w:val="00031AE0"/>
    <w:rsid w:val="000322EF"/>
    <w:rsid w:val="00033FCD"/>
    <w:rsid w:val="00040A98"/>
    <w:rsid w:val="00040D10"/>
    <w:rsid w:val="00041CEC"/>
    <w:rsid w:val="00042F74"/>
    <w:rsid w:val="0004694F"/>
    <w:rsid w:val="000522E4"/>
    <w:rsid w:val="000610E1"/>
    <w:rsid w:val="00061186"/>
    <w:rsid w:val="00062EC5"/>
    <w:rsid w:val="00062F22"/>
    <w:rsid w:val="000674C7"/>
    <w:rsid w:val="000712B3"/>
    <w:rsid w:val="00074573"/>
    <w:rsid w:val="0008263E"/>
    <w:rsid w:val="00082C19"/>
    <w:rsid w:val="00083363"/>
    <w:rsid w:val="00085395"/>
    <w:rsid w:val="00087634"/>
    <w:rsid w:val="00087F2B"/>
    <w:rsid w:val="00095135"/>
    <w:rsid w:val="000974D1"/>
    <w:rsid w:val="0009799E"/>
    <w:rsid w:val="000A1183"/>
    <w:rsid w:val="000A256D"/>
    <w:rsid w:val="000A3A2C"/>
    <w:rsid w:val="000A57D4"/>
    <w:rsid w:val="000B7C8D"/>
    <w:rsid w:val="000C3408"/>
    <w:rsid w:val="000C6AFD"/>
    <w:rsid w:val="000D0754"/>
    <w:rsid w:val="000D3968"/>
    <w:rsid w:val="000D5637"/>
    <w:rsid w:val="000E5D6A"/>
    <w:rsid w:val="000E6FBD"/>
    <w:rsid w:val="00100F5C"/>
    <w:rsid w:val="00101CDA"/>
    <w:rsid w:val="00104C4C"/>
    <w:rsid w:val="00111F50"/>
    <w:rsid w:val="00117623"/>
    <w:rsid w:val="0012192F"/>
    <w:rsid w:val="00125D69"/>
    <w:rsid w:val="001405FA"/>
    <w:rsid w:val="001425C3"/>
    <w:rsid w:val="001443DB"/>
    <w:rsid w:val="001476BD"/>
    <w:rsid w:val="001612F4"/>
    <w:rsid w:val="0016256B"/>
    <w:rsid w:val="00163793"/>
    <w:rsid w:val="00165465"/>
    <w:rsid w:val="001706D6"/>
    <w:rsid w:val="001714F2"/>
    <w:rsid w:val="00175B9F"/>
    <w:rsid w:val="00181BBC"/>
    <w:rsid w:val="00184B08"/>
    <w:rsid w:val="00185010"/>
    <w:rsid w:val="0019143B"/>
    <w:rsid w:val="0019301D"/>
    <w:rsid w:val="001A0487"/>
    <w:rsid w:val="001A552F"/>
    <w:rsid w:val="001B2CA9"/>
    <w:rsid w:val="001B3110"/>
    <w:rsid w:val="001B4729"/>
    <w:rsid w:val="001B6310"/>
    <w:rsid w:val="001B6C09"/>
    <w:rsid w:val="001C05CD"/>
    <w:rsid w:val="001D48D4"/>
    <w:rsid w:val="001D68B2"/>
    <w:rsid w:val="001E504C"/>
    <w:rsid w:val="001E6062"/>
    <w:rsid w:val="001F2AEE"/>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3C0F"/>
    <w:rsid w:val="002558C1"/>
    <w:rsid w:val="00255B91"/>
    <w:rsid w:val="00271465"/>
    <w:rsid w:val="00285412"/>
    <w:rsid w:val="00291640"/>
    <w:rsid w:val="002A16D4"/>
    <w:rsid w:val="002A230C"/>
    <w:rsid w:val="002B2299"/>
    <w:rsid w:val="002B4845"/>
    <w:rsid w:val="002C43BD"/>
    <w:rsid w:val="002C544F"/>
    <w:rsid w:val="002D0E59"/>
    <w:rsid w:val="002D4EE0"/>
    <w:rsid w:val="002E02A1"/>
    <w:rsid w:val="002E278F"/>
    <w:rsid w:val="002E42AC"/>
    <w:rsid w:val="002E4E4C"/>
    <w:rsid w:val="002F39EC"/>
    <w:rsid w:val="00302ADD"/>
    <w:rsid w:val="00304771"/>
    <w:rsid w:val="0030495D"/>
    <w:rsid w:val="003052D4"/>
    <w:rsid w:val="00306C5B"/>
    <w:rsid w:val="003103E0"/>
    <w:rsid w:val="00314F9F"/>
    <w:rsid w:val="00316A85"/>
    <w:rsid w:val="003209D6"/>
    <w:rsid w:val="00321924"/>
    <w:rsid w:val="00322607"/>
    <w:rsid w:val="0032656E"/>
    <w:rsid w:val="00332190"/>
    <w:rsid w:val="0034335E"/>
    <w:rsid w:val="00344668"/>
    <w:rsid w:val="003462D9"/>
    <w:rsid w:val="003500C2"/>
    <w:rsid w:val="00360C86"/>
    <w:rsid w:val="00360FBC"/>
    <w:rsid w:val="00362E90"/>
    <w:rsid w:val="00364FA0"/>
    <w:rsid w:val="003657F3"/>
    <w:rsid w:val="003818DC"/>
    <w:rsid w:val="00384327"/>
    <w:rsid w:val="00385D98"/>
    <w:rsid w:val="003A2B4D"/>
    <w:rsid w:val="003A2D12"/>
    <w:rsid w:val="003A478C"/>
    <w:rsid w:val="003A5525"/>
    <w:rsid w:val="003A6B38"/>
    <w:rsid w:val="003B461F"/>
    <w:rsid w:val="003B5A32"/>
    <w:rsid w:val="003C3490"/>
    <w:rsid w:val="003C7E62"/>
    <w:rsid w:val="003D1AE0"/>
    <w:rsid w:val="003D4488"/>
    <w:rsid w:val="003D6920"/>
    <w:rsid w:val="003E0A6F"/>
    <w:rsid w:val="003E48F2"/>
    <w:rsid w:val="003E4C91"/>
    <w:rsid w:val="003F313C"/>
    <w:rsid w:val="003F37FC"/>
    <w:rsid w:val="003F3E6A"/>
    <w:rsid w:val="003F4B2C"/>
    <w:rsid w:val="003F551C"/>
    <w:rsid w:val="003F59AA"/>
    <w:rsid w:val="003F72ED"/>
    <w:rsid w:val="003F7D23"/>
    <w:rsid w:val="004018AC"/>
    <w:rsid w:val="00407C13"/>
    <w:rsid w:val="0041041D"/>
    <w:rsid w:val="00410638"/>
    <w:rsid w:val="0041501E"/>
    <w:rsid w:val="004159C3"/>
    <w:rsid w:val="0041630C"/>
    <w:rsid w:val="00416C72"/>
    <w:rsid w:val="00432A58"/>
    <w:rsid w:val="00434617"/>
    <w:rsid w:val="004350ED"/>
    <w:rsid w:val="00440900"/>
    <w:rsid w:val="00441BF6"/>
    <w:rsid w:val="004441A0"/>
    <w:rsid w:val="004455BA"/>
    <w:rsid w:val="004479D4"/>
    <w:rsid w:val="0045078A"/>
    <w:rsid w:val="0045086D"/>
    <w:rsid w:val="00451504"/>
    <w:rsid w:val="00460FB3"/>
    <w:rsid w:val="0046627E"/>
    <w:rsid w:val="004738EA"/>
    <w:rsid w:val="00473D3B"/>
    <w:rsid w:val="00476240"/>
    <w:rsid w:val="00476439"/>
    <w:rsid w:val="0047735C"/>
    <w:rsid w:val="004776BC"/>
    <w:rsid w:val="0048139F"/>
    <w:rsid w:val="00481E40"/>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697D"/>
    <w:rsid w:val="004C70DC"/>
    <w:rsid w:val="004D0211"/>
    <w:rsid w:val="004D0794"/>
    <w:rsid w:val="004F06F5"/>
    <w:rsid w:val="004F33A0"/>
    <w:rsid w:val="0050689D"/>
    <w:rsid w:val="005108C0"/>
    <w:rsid w:val="00511873"/>
    <w:rsid w:val="00512A2F"/>
    <w:rsid w:val="00513B7E"/>
    <w:rsid w:val="00515C74"/>
    <w:rsid w:val="0052007E"/>
    <w:rsid w:val="0052337A"/>
    <w:rsid w:val="00525137"/>
    <w:rsid w:val="005251DD"/>
    <w:rsid w:val="00530702"/>
    <w:rsid w:val="00532CE7"/>
    <w:rsid w:val="0053324C"/>
    <w:rsid w:val="00534A28"/>
    <w:rsid w:val="00541508"/>
    <w:rsid w:val="00543498"/>
    <w:rsid w:val="0055599F"/>
    <w:rsid w:val="00556D68"/>
    <w:rsid w:val="00563EB8"/>
    <w:rsid w:val="005647BF"/>
    <w:rsid w:val="00564AF1"/>
    <w:rsid w:val="005710B6"/>
    <w:rsid w:val="0057364B"/>
    <w:rsid w:val="00574773"/>
    <w:rsid w:val="00583FFD"/>
    <w:rsid w:val="00586A86"/>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7C78"/>
    <w:rsid w:val="005F18C5"/>
    <w:rsid w:val="005F3EB1"/>
    <w:rsid w:val="005F46D8"/>
    <w:rsid w:val="005F5469"/>
    <w:rsid w:val="005F7B4A"/>
    <w:rsid w:val="0060171C"/>
    <w:rsid w:val="00603FF5"/>
    <w:rsid w:val="00604307"/>
    <w:rsid w:val="0060487F"/>
    <w:rsid w:val="00604EAD"/>
    <w:rsid w:val="006104FB"/>
    <w:rsid w:val="00612A2F"/>
    <w:rsid w:val="00616E05"/>
    <w:rsid w:val="00622E30"/>
    <w:rsid w:val="006233F9"/>
    <w:rsid w:val="00624093"/>
    <w:rsid w:val="00625F8F"/>
    <w:rsid w:val="006350D5"/>
    <w:rsid w:val="006404A7"/>
    <w:rsid w:val="006451E4"/>
    <w:rsid w:val="00645B33"/>
    <w:rsid w:val="006516CB"/>
    <w:rsid w:val="00656FC8"/>
    <w:rsid w:val="00657E87"/>
    <w:rsid w:val="00664803"/>
    <w:rsid w:val="00665BA4"/>
    <w:rsid w:val="00667AF2"/>
    <w:rsid w:val="006710C9"/>
    <w:rsid w:val="00673BDC"/>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4AC1"/>
    <w:rsid w:val="006C56D4"/>
    <w:rsid w:val="006C6924"/>
    <w:rsid w:val="006C7CA6"/>
    <w:rsid w:val="006D3E8A"/>
    <w:rsid w:val="006D61F6"/>
    <w:rsid w:val="006E279A"/>
    <w:rsid w:val="006E313B"/>
    <w:rsid w:val="006E7124"/>
    <w:rsid w:val="006E7227"/>
    <w:rsid w:val="006F19D3"/>
    <w:rsid w:val="006F438E"/>
    <w:rsid w:val="006F5416"/>
    <w:rsid w:val="006F7076"/>
    <w:rsid w:val="00705242"/>
    <w:rsid w:val="00706AD4"/>
    <w:rsid w:val="00707150"/>
    <w:rsid w:val="007140BE"/>
    <w:rsid w:val="007155B7"/>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24B"/>
    <w:rsid w:val="00763B85"/>
    <w:rsid w:val="0076521E"/>
    <w:rsid w:val="007661E9"/>
    <w:rsid w:val="007701DE"/>
    <w:rsid w:val="00770D15"/>
    <w:rsid w:val="00771C27"/>
    <w:rsid w:val="007750EE"/>
    <w:rsid w:val="00776160"/>
    <w:rsid w:val="00776169"/>
    <w:rsid w:val="00776527"/>
    <w:rsid w:val="00780EF1"/>
    <w:rsid w:val="00790764"/>
    <w:rsid w:val="00793CA9"/>
    <w:rsid w:val="0079453C"/>
    <w:rsid w:val="00794677"/>
    <w:rsid w:val="00797445"/>
    <w:rsid w:val="007A516D"/>
    <w:rsid w:val="007B6689"/>
    <w:rsid w:val="007C21D2"/>
    <w:rsid w:val="007C6BBD"/>
    <w:rsid w:val="007D40DF"/>
    <w:rsid w:val="007E29B4"/>
    <w:rsid w:val="007E3731"/>
    <w:rsid w:val="007E435A"/>
    <w:rsid w:val="007E7E61"/>
    <w:rsid w:val="007E7FCE"/>
    <w:rsid w:val="007F0845"/>
    <w:rsid w:val="007F708D"/>
    <w:rsid w:val="00800216"/>
    <w:rsid w:val="00801E13"/>
    <w:rsid w:val="00807C82"/>
    <w:rsid w:val="00814B15"/>
    <w:rsid w:val="00816905"/>
    <w:rsid w:val="00816BBF"/>
    <w:rsid w:val="00821777"/>
    <w:rsid w:val="00821FF6"/>
    <w:rsid w:val="00822574"/>
    <w:rsid w:val="00825C4D"/>
    <w:rsid w:val="0083143E"/>
    <w:rsid w:val="00831CDE"/>
    <w:rsid w:val="00834304"/>
    <w:rsid w:val="00834FAA"/>
    <w:rsid w:val="00836086"/>
    <w:rsid w:val="00846121"/>
    <w:rsid w:val="0084708F"/>
    <w:rsid w:val="008477C8"/>
    <w:rsid w:val="0085114D"/>
    <w:rsid w:val="00852217"/>
    <w:rsid w:val="00855408"/>
    <w:rsid w:val="00856D65"/>
    <w:rsid w:val="008602EC"/>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A7D9B"/>
    <w:rsid w:val="008B5CF6"/>
    <w:rsid w:val="008B7C02"/>
    <w:rsid w:val="008B7D2B"/>
    <w:rsid w:val="008C0049"/>
    <w:rsid w:val="008C0E88"/>
    <w:rsid w:val="008C53CB"/>
    <w:rsid w:val="008D1E6A"/>
    <w:rsid w:val="008D2A16"/>
    <w:rsid w:val="008E2C57"/>
    <w:rsid w:val="008E31FF"/>
    <w:rsid w:val="008E6F06"/>
    <w:rsid w:val="008E6F7F"/>
    <w:rsid w:val="008E7FC9"/>
    <w:rsid w:val="008F029B"/>
    <w:rsid w:val="008F3FC9"/>
    <w:rsid w:val="008F585B"/>
    <w:rsid w:val="009003A8"/>
    <w:rsid w:val="00902500"/>
    <w:rsid w:val="00902EFF"/>
    <w:rsid w:val="00906401"/>
    <w:rsid w:val="0091155E"/>
    <w:rsid w:val="00912A92"/>
    <w:rsid w:val="00914DDD"/>
    <w:rsid w:val="0091728D"/>
    <w:rsid w:val="0092180B"/>
    <w:rsid w:val="00921F14"/>
    <w:rsid w:val="00922D58"/>
    <w:rsid w:val="009231A3"/>
    <w:rsid w:val="00924AC8"/>
    <w:rsid w:val="0092597A"/>
    <w:rsid w:val="00930FB1"/>
    <w:rsid w:val="0093139F"/>
    <w:rsid w:val="00932443"/>
    <w:rsid w:val="00937AE2"/>
    <w:rsid w:val="0094427A"/>
    <w:rsid w:val="00945245"/>
    <w:rsid w:val="0095759C"/>
    <w:rsid w:val="00964A25"/>
    <w:rsid w:val="009721DB"/>
    <w:rsid w:val="00974923"/>
    <w:rsid w:val="00980D3D"/>
    <w:rsid w:val="00987A30"/>
    <w:rsid w:val="00992CF3"/>
    <w:rsid w:val="009930C0"/>
    <w:rsid w:val="00994868"/>
    <w:rsid w:val="009968D6"/>
    <w:rsid w:val="009A1CAB"/>
    <w:rsid w:val="009A60D1"/>
    <w:rsid w:val="009A75AE"/>
    <w:rsid w:val="009B50EB"/>
    <w:rsid w:val="009B6FD3"/>
    <w:rsid w:val="009C1750"/>
    <w:rsid w:val="009C2E29"/>
    <w:rsid w:val="009C554B"/>
    <w:rsid w:val="009C719E"/>
    <w:rsid w:val="009C7A10"/>
    <w:rsid w:val="009D3ACD"/>
    <w:rsid w:val="009D73B5"/>
    <w:rsid w:val="009E1B59"/>
    <w:rsid w:val="009E5273"/>
    <w:rsid w:val="009E5DDB"/>
    <w:rsid w:val="009F4CA7"/>
    <w:rsid w:val="00A10D66"/>
    <w:rsid w:val="00A119FE"/>
    <w:rsid w:val="00A14114"/>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299B"/>
    <w:rsid w:val="00AE31A7"/>
    <w:rsid w:val="00AE31F4"/>
    <w:rsid w:val="00AE6221"/>
    <w:rsid w:val="00AF5165"/>
    <w:rsid w:val="00AF6128"/>
    <w:rsid w:val="00B00913"/>
    <w:rsid w:val="00B01593"/>
    <w:rsid w:val="00B023F2"/>
    <w:rsid w:val="00B04705"/>
    <w:rsid w:val="00B10A4D"/>
    <w:rsid w:val="00B14BC1"/>
    <w:rsid w:val="00B17E71"/>
    <w:rsid w:val="00B17FDE"/>
    <w:rsid w:val="00B2379C"/>
    <w:rsid w:val="00B25189"/>
    <w:rsid w:val="00B2687D"/>
    <w:rsid w:val="00B32DDB"/>
    <w:rsid w:val="00B34528"/>
    <w:rsid w:val="00B34CC9"/>
    <w:rsid w:val="00B35AAE"/>
    <w:rsid w:val="00B402FC"/>
    <w:rsid w:val="00B439DA"/>
    <w:rsid w:val="00B46604"/>
    <w:rsid w:val="00B530CD"/>
    <w:rsid w:val="00B55F5E"/>
    <w:rsid w:val="00B5752E"/>
    <w:rsid w:val="00B61F47"/>
    <w:rsid w:val="00B63A11"/>
    <w:rsid w:val="00B63B6A"/>
    <w:rsid w:val="00B64C24"/>
    <w:rsid w:val="00B6608F"/>
    <w:rsid w:val="00B67298"/>
    <w:rsid w:val="00B679FB"/>
    <w:rsid w:val="00B76D1E"/>
    <w:rsid w:val="00B80EC6"/>
    <w:rsid w:val="00B84CF6"/>
    <w:rsid w:val="00B92D1D"/>
    <w:rsid w:val="00B938C5"/>
    <w:rsid w:val="00B95940"/>
    <w:rsid w:val="00BA6C2B"/>
    <w:rsid w:val="00BA7CB2"/>
    <w:rsid w:val="00BB46F3"/>
    <w:rsid w:val="00BB4CB1"/>
    <w:rsid w:val="00BB4F98"/>
    <w:rsid w:val="00BB73B5"/>
    <w:rsid w:val="00BC5C12"/>
    <w:rsid w:val="00BC7154"/>
    <w:rsid w:val="00BC731E"/>
    <w:rsid w:val="00BD366B"/>
    <w:rsid w:val="00BD6D50"/>
    <w:rsid w:val="00BE18B9"/>
    <w:rsid w:val="00BE2495"/>
    <w:rsid w:val="00BE6FF8"/>
    <w:rsid w:val="00BE7090"/>
    <w:rsid w:val="00BF1578"/>
    <w:rsid w:val="00C04E28"/>
    <w:rsid w:val="00C050C9"/>
    <w:rsid w:val="00C21F94"/>
    <w:rsid w:val="00C2492A"/>
    <w:rsid w:val="00C27913"/>
    <w:rsid w:val="00C27E4F"/>
    <w:rsid w:val="00C32964"/>
    <w:rsid w:val="00C33B68"/>
    <w:rsid w:val="00C36A79"/>
    <w:rsid w:val="00C401D2"/>
    <w:rsid w:val="00C405D4"/>
    <w:rsid w:val="00C4293F"/>
    <w:rsid w:val="00C4431F"/>
    <w:rsid w:val="00C4513B"/>
    <w:rsid w:val="00C47052"/>
    <w:rsid w:val="00C503A6"/>
    <w:rsid w:val="00C5390B"/>
    <w:rsid w:val="00C54697"/>
    <w:rsid w:val="00C65535"/>
    <w:rsid w:val="00C71E85"/>
    <w:rsid w:val="00C72884"/>
    <w:rsid w:val="00C73885"/>
    <w:rsid w:val="00C747B1"/>
    <w:rsid w:val="00C8030A"/>
    <w:rsid w:val="00C82191"/>
    <w:rsid w:val="00C83134"/>
    <w:rsid w:val="00C85545"/>
    <w:rsid w:val="00C90CF4"/>
    <w:rsid w:val="00C9222E"/>
    <w:rsid w:val="00C92EB6"/>
    <w:rsid w:val="00C93389"/>
    <w:rsid w:val="00CA0914"/>
    <w:rsid w:val="00CA3057"/>
    <w:rsid w:val="00CA6AB4"/>
    <w:rsid w:val="00CB4930"/>
    <w:rsid w:val="00CC2E7D"/>
    <w:rsid w:val="00CD10A5"/>
    <w:rsid w:val="00CD2076"/>
    <w:rsid w:val="00CD29B5"/>
    <w:rsid w:val="00CD6331"/>
    <w:rsid w:val="00CE670B"/>
    <w:rsid w:val="00CF4908"/>
    <w:rsid w:val="00CF51EC"/>
    <w:rsid w:val="00CF73AE"/>
    <w:rsid w:val="00D01CDA"/>
    <w:rsid w:val="00D040DD"/>
    <w:rsid w:val="00D075BE"/>
    <w:rsid w:val="00D13986"/>
    <w:rsid w:val="00D21D83"/>
    <w:rsid w:val="00D235B7"/>
    <w:rsid w:val="00D23C02"/>
    <w:rsid w:val="00D25F28"/>
    <w:rsid w:val="00D26071"/>
    <w:rsid w:val="00D27973"/>
    <w:rsid w:val="00D35E1A"/>
    <w:rsid w:val="00D42211"/>
    <w:rsid w:val="00D50F46"/>
    <w:rsid w:val="00D54978"/>
    <w:rsid w:val="00D57677"/>
    <w:rsid w:val="00D66223"/>
    <w:rsid w:val="00D71625"/>
    <w:rsid w:val="00D8084C"/>
    <w:rsid w:val="00D915EA"/>
    <w:rsid w:val="00DA7C0C"/>
    <w:rsid w:val="00DB08A9"/>
    <w:rsid w:val="00DB2A7E"/>
    <w:rsid w:val="00DB2EC8"/>
    <w:rsid w:val="00DC5B3B"/>
    <w:rsid w:val="00DD129F"/>
    <w:rsid w:val="00DE02BD"/>
    <w:rsid w:val="00DF42FF"/>
    <w:rsid w:val="00E01C0E"/>
    <w:rsid w:val="00E03F9A"/>
    <w:rsid w:val="00E04694"/>
    <w:rsid w:val="00E063CE"/>
    <w:rsid w:val="00E12B1E"/>
    <w:rsid w:val="00E17262"/>
    <w:rsid w:val="00E200EF"/>
    <w:rsid w:val="00E2206E"/>
    <w:rsid w:val="00E253A2"/>
    <w:rsid w:val="00E3309D"/>
    <w:rsid w:val="00E43C1C"/>
    <w:rsid w:val="00E47EBA"/>
    <w:rsid w:val="00E50156"/>
    <w:rsid w:val="00E51643"/>
    <w:rsid w:val="00E53470"/>
    <w:rsid w:val="00E539F6"/>
    <w:rsid w:val="00E551F6"/>
    <w:rsid w:val="00E61613"/>
    <w:rsid w:val="00E62166"/>
    <w:rsid w:val="00E6519D"/>
    <w:rsid w:val="00E67696"/>
    <w:rsid w:val="00E71A58"/>
    <w:rsid w:val="00E72A7A"/>
    <w:rsid w:val="00E75C94"/>
    <w:rsid w:val="00E93820"/>
    <w:rsid w:val="00E94A86"/>
    <w:rsid w:val="00E96143"/>
    <w:rsid w:val="00E97D7E"/>
    <w:rsid w:val="00EA0987"/>
    <w:rsid w:val="00EA0C68"/>
    <w:rsid w:val="00EA32BC"/>
    <w:rsid w:val="00EA4302"/>
    <w:rsid w:val="00EB4511"/>
    <w:rsid w:val="00EB75B3"/>
    <w:rsid w:val="00EC03D7"/>
    <w:rsid w:val="00ED4F37"/>
    <w:rsid w:val="00ED62C6"/>
    <w:rsid w:val="00ED64C1"/>
    <w:rsid w:val="00EE3446"/>
    <w:rsid w:val="00EE3E78"/>
    <w:rsid w:val="00EE4B1B"/>
    <w:rsid w:val="00EE7F19"/>
    <w:rsid w:val="00EF089C"/>
    <w:rsid w:val="00EF150D"/>
    <w:rsid w:val="00EF1F5A"/>
    <w:rsid w:val="00EF3741"/>
    <w:rsid w:val="00EF47BF"/>
    <w:rsid w:val="00F04811"/>
    <w:rsid w:val="00F0488C"/>
    <w:rsid w:val="00F10F11"/>
    <w:rsid w:val="00F15AAA"/>
    <w:rsid w:val="00F15BEF"/>
    <w:rsid w:val="00F24407"/>
    <w:rsid w:val="00F24931"/>
    <w:rsid w:val="00F24FAA"/>
    <w:rsid w:val="00F312E5"/>
    <w:rsid w:val="00F3364D"/>
    <w:rsid w:val="00F437CC"/>
    <w:rsid w:val="00F44537"/>
    <w:rsid w:val="00F44B6A"/>
    <w:rsid w:val="00F47067"/>
    <w:rsid w:val="00F50FC3"/>
    <w:rsid w:val="00F525EB"/>
    <w:rsid w:val="00F63DDE"/>
    <w:rsid w:val="00F63FB7"/>
    <w:rsid w:val="00F6421B"/>
    <w:rsid w:val="00F649D2"/>
    <w:rsid w:val="00F6602B"/>
    <w:rsid w:val="00F73A0C"/>
    <w:rsid w:val="00F756DB"/>
    <w:rsid w:val="00F77810"/>
    <w:rsid w:val="00F84E7D"/>
    <w:rsid w:val="00F85066"/>
    <w:rsid w:val="00F87A4D"/>
    <w:rsid w:val="00F9785E"/>
    <w:rsid w:val="00FA5D4D"/>
    <w:rsid w:val="00FB0EE2"/>
    <w:rsid w:val="00FB542E"/>
    <w:rsid w:val="00FC0E5F"/>
    <w:rsid w:val="00FC1A95"/>
    <w:rsid w:val="00FC50BA"/>
    <w:rsid w:val="00FC56DE"/>
    <w:rsid w:val="00FC684B"/>
    <w:rsid w:val="00FD3265"/>
    <w:rsid w:val="00FD5F92"/>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3985577">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csu.gov.cz/methodological-note-to-consumer-price-index-imputed-rental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zabojnikova31519.CZSO\AppData\Roaming\Microsoft\Excel\Makroanal&#253;za%20grafy_eng%20(version%201).xlsb"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zabojnikova31519.CZSO\AppData\Roaming\Microsoft\Excel\Makroanal&#253;za%20grafy_eng%20(version%201).xlsb"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zabojnikova31519.CZSO\AppData\Roaming\Microsoft\Excel\Makroanal&#253;za%20grafy_eng%20(version%201).xlsb"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249577845322527E-2"/>
          <c:y val="2.1811335019919161E-2"/>
          <c:w val="0.92237743255066085"/>
          <c:h val="0.73318107621299466"/>
        </c:manualLayout>
      </c:layout>
      <c:barChart>
        <c:barDir val="col"/>
        <c:grouping val="clustered"/>
        <c:varyColors val="0"/>
        <c:ser>
          <c:idx val="0"/>
          <c:order val="0"/>
          <c:tx>
            <c:strRef>
              <c:f>'Ceny 2'!$C$5</c:f>
              <c:strCache>
                <c:ptCount val="1"/>
                <c:pt idx="0">
                  <c:v>Total</c:v>
                </c:pt>
              </c:strCache>
            </c:strRef>
          </c:tx>
          <c:spPr>
            <a:solidFill>
              <a:schemeClr val="bg1">
                <a:lumMod val="65000"/>
              </a:schemeClr>
            </a:solidFill>
            <a:ln w="19050">
              <a:noFill/>
            </a:ln>
          </c:spPr>
          <c:invertIfNegative val="0"/>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2'!$C$10:$C$31</c:f>
              <c:numCache>
                <c:formatCode>0.0</c:formatCode>
                <c:ptCount val="22"/>
                <c:pt idx="0">
                  <c:v>2.7</c:v>
                </c:pt>
                <c:pt idx="1">
                  <c:v>2.8</c:v>
                </c:pt>
                <c:pt idx="2">
                  <c:v>2.8</c:v>
                </c:pt>
                <c:pt idx="3">
                  <c:v>3</c:v>
                </c:pt>
                <c:pt idx="4">
                  <c:v>3.6</c:v>
                </c:pt>
                <c:pt idx="5">
                  <c:v>3.1</c:v>
                </c:pt>
                <c:pt idx="6">
                  <c:v>3.3</c:v>
                </c:pt>
                <c:pt idx="7">
                  <c:v>2.6</c:v>
                </c:pt>
                <c:pt idx="8">
                  <c:v>2.2000000000000002</c:v>
                </c:pt>
                <c:pt idx="9">
                  <c:v>2.9</c:v>
                </c:pt>
                <c:pt idx="10">
                  <c:v>4.0999999999999996</c:v>
                </c:pt>
                <c:pt idx="11">
                  <c:v>6.1</c:v>
                </c:pt>
                <c:pt idx="12">
                  <c:v>11.2</c:v>
                </c:pt>
                <c:pt idx="13">
                  <c:v>15.8</c:v>
                </c:pt>
                <c:pt idx="14">
                  <c:v>17.600000000000001</c:v>
                </c:pt>
                <c:pt idx="15">
                  <c:v>15.7</c:v>
                </c:pt>
                <c:pt idx="16">
                  <c:v>16.399999999999999</c:v>
                </c:pt>
                <c:pt idx="17">
                  <c:v>11.1</c:v>
                </c:pt>
                <c:pt idx="18">
                  <c:v>8</c:v>
                </c:pt>
                <c:pt idx="19">
                  <c:v>7.6</c:v>
                </c:pt>
                <c:pt idx="20">
                  <c:v>2.1</c:v>
                </c:pt>
                <c:pt idx="21">
                  <c:v>2.5</c:v>
                </c:pt>
              </c:numCache>
            </c:numRef>
          </c:val>
          <c:extLst>
            <c:ext xmlns:c16="http://schemas.microsoft.com/office/drawing/2014/chart" uri="{C3380CC4-5D6E-409C-BE32-E72D297353CC}">
              <c16:uniqueId val="{00000000-BC33-44E8-8152-9EDDA1DF7402}"/>
            </c:ext>
          </c:extLst>
        </c:ser>
        <c:dLbls>
          <c:showLegendKey val="0"/>
          <c:showVal val="0"/>
          <c:showCatName val="0"/>
          <c:showSerName val="0"/>
          <c:showPercent val="0"/>
          <c:showBubbleSize val="0"/>
        </c:dLbls>
        <c:gapWidth val="95"/>
        <c:axId val="130513536"/>
        <c:axId val="130531712"/>
      </c:barChart>
      <c:lineChart>
        <c:grouping val="standard"/>
        <c:varyColors val="0"/>
        <c:ser>
          <c:idx val="1"/>
          <c:order val="1"/>
          <c:tx>
            <c:strRef>
              <c:f>'Ceny 2'!$D$5</c:f>
              <c:strCache>
                <c:ptCount val="1"/>
                <c:pt idx="0">
                  <c:v>Food</c:v>
                </c:pt>
              </c:strCache>
            </c:strRef>
          </c:tx>
          <c:spPr>
            <a:ln w="19050">
              <a:solidFill>
                <a:srgbClr val="0071BC"/>
              </a:solidFill>
            </a:ln>
          </c:spPr>
          <c:marker>
            <c:symbol val="none"/>
          </c:marker>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2'!$D$10:$D$31</c:f>
              <c:numCache>
                <c:formatCode>0.0</c:formatCode>
                <c:ptCount val="22"/>
                <c:pt idx="0">
                  <c:v>1</c:v>
                </c:pt>
                <c:pt idx="1">
                  <c:v>2.5</c:v>
                </c:pt>
                <c:pt idx="2">
                  <c:v>3.5</c:v>
                </c:pt>
                <c:pt idx="3">
                  <c:v>4.3</c:v>
                </c:pt>
                <c:pt idx="4">
                  <c:v>6.1</c:v>
                </c:pt>
                <c:pt idx="5">
                  <c:v>6.5</c:v>
                </c:pt>
                <c:pt idx="6">
                  <c:v>4</c:v>
                </c:pt>
                <c:pt idx="7">
                  <c:v>1.7</c:v>
                </c:pt>
                <c:pt idx="8">
                  <c:v>0.3</c:v>
                </c:pt>
                <c:pt idx="9">
                  <c:v>-0.8</c:v>
                </c:pt>
                <c:pt idx="10">
                  <c:v>1.4</c:v>
                </c:pt>
                <c:pt idx="11">
                  <c:v>2.2999999999999998</c:v>
                </c:pt>
                <c:pt idx="12">
                  <c:v>6.7</c:v>
                </c:pt>
                <c:pt idx="13">
                  <c:v>14.6</c:v>
                </c:pt>
                <c:pt idx="14">
                  <c:v>20</c:v>
                </c:pt>
                <c:pt idx="15">
                  <c:v>25.5</c:v>
                </c:pt>
                <c:pt idx="16">
                  <c:v>24.1</c:v>
                </c:pt>
                <c:pt idx="17">
                  <c:v>14.6</c:v>
                </c:pt>
                <c:pt idx="18">
                  <c:v>7.8</c:v>
                </c:pt>
                <c:pt idx="19">
                  <c:v>1.6</c:v>
                </c:pt>
                <c:pt idx="20">
                  <c:v>-4.9000000000000004</c:v>
                </c:pt>
                <c:pt idx="21">
                  <c:v>-3.6</c:v>
                </c:pt>
              </c:numCache>
            </c:numRef>
          </c:val>
          <c:smooth val="0"/>
          <c:extLst>
            <c:ext xmlns:c16="http://schemas.microsoft.com/office/drawing/2014/chart" uri="{C3380CC4-5D6E-409C-BE32-E72D297353CC}">
              <c16:uniqueId val="{00000001-BC33-44E8-8152-9EDDA1DF7402}"/>
            </c:ext>
          </c:extLst>
        </c:ser>
        <c:ser>
          <c:idx val="3"/>
          <c:order val="2"/>
          <c:tx>
            <c:strRef>
              <c:f>'Ceny 2'!$F$5</c:f>
              <c:strCache>
                <c:ptCount val="1"/>
                <c:pt idx="0">
                  <c:v>Housing and energy</c:v>
                </c:pt>
              </c:strCache>
            </c:strRef>
          </c:tx>
          <c:spPr>
            <a:ln w="19050">
              <a:solidFill>
                <a:srgbClr val="7DBB2D"/>
              </a:solidFill>
            </a:ln>
          </c:spPr>
          <c:marker>
            <c:symbol val="none"/>
          </c:marker>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2'!$F$10:$F$31</c:f>
              <c:numCache>
                <c:formatCode>0.0</c:formatCode>
                <c:ptCount val="22"/>
                <c:pt idx="0">
                  <c:v>5.4</c:v>
                </c:pt>
                <c:pt idx="1">
                  <c:v>5.7</c:v>
                </c:pt>
                <c:pt idx="2">
                  <c:v>5.2</c:v>
                </c:pt>
                <c:pt idx="3">
                  <c:v>5</c:v>
                </c:pt>
                <c:pt idx="4">
                  <c:v>4.2</c:v>
                </c:pt>
                <c:pt idx="5">
                  <c:v>3.2</c:v>
                </c:pt>
                <c:pt idx="6">
                  <c:v>2.7</c:v>
                </c:pt>
                <c:pt idx="7">
                  <c:v>1.4</c:v>
                </c:pt>
                <c:pt idx="8">
                  <c:v>0.6</c:v>
                </c:pt>
                <c:pt idx="9">
                  <c:v>1.3</c:v>
                </c:pt>
                <c:pt idx="10">
                  <c:v>3.6</c:v>
                </c:pt>
                <c:pt idx="11">
                  <c:v>5.6</c:v>
                </c:pt>
                <c:pt idx="12">
                  <c:v>16</c:v>
                </c:pt>
                <c:pt idx="13">
                  <c:v>21.4</c:v>
                </c:pt>
                <c:pt idx="14">
                  <c:v>23.6</c:v>
                </c:pt>
                <c:pt idx="15">
                  <c:v>14.9</c:v>
                </c:pt>
                <c:pt idx="16">
                  <c:v>22.2</c:v>
                </c:pt>
                <c:pt idx="17">
                  <c:v>16</c:v>
                </c:pt>
                <c:pt idx="18">
                  <c:v>11.6</c:v>
                </c:pt>
                <c:pt idx="19">
                  <c:v>17.8</c:v>
                </c:pt>
                <c:pt idx="20">
                  <c:v>3.4</c:v>
                </c:pt>
                <c:pt idx="21">
                  <c:v>3.1</c:v>
                </c:pt>
              </c:numCache>
            </c:numRef>
          </c:val>
          <c:smooth val="0"/>
          <c:extLst>
            <c:ext xmlns:c16="http://schemas.microsoft.com/office/drawing/2014/chart" uri="{C3380CC4-5D6E-409C-BE32-E72D297353CC}">
              <c16:uniqueId val="{00000002-BC33-44E8-8152-9EDDA1DF7402}"/>
            </c:ext>
          </c:extLst>
        </c:ser>
        <c:ser>
          <c:idx val="4"/>
          <c:order val="3"/>
          <c:tx>
            <c:strRef>
              <c:f>'Ceny 2'!$G$5</c:f>
              <c:strCache>
                <c:ptCount val="1"/>
                <c:pt idx="0">
                  <c:v>Transportation</c:v>
                </c:pt>
              </c:strCache>
            </c:strRef>
          </c:tx>
          <c:spPr>
            <a:ln w="19050">
              <a:solidFill>
                <a:srgbClr val="FFC000"/>
              </a:solidFill>
            </a:ln>
          </c:spPr>
          <c:marker>
            <c:symbol val="none"/>
          </c:marker>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2'!$G$10:$G$31</c:f>
              <c:numCache>
                <c:formatCode>0.0</c:formatCode>
                <c:ptCount val="22"/>
                <c:pt idx="0">
                  <c:v>0.6</c:v>
                </c:pt>
                <c:pt idx="1">
                  <c:v>0.8</c:v>
                </c:pt>
                <c:pt idx="2">
                  <c:v>-0.2</c:v>
                </c:pt>
                <c:pt idx="3">
                  <c:v>0.5</c:v>
                </c:pt>
                <c:pt idx="4" formatCode="General">
                  <c:v>1.7</c:v>
                </c:pt>
                <c:pt idx="5">
                  <c:v>-3.4</c:v>
                </c:pt>
                <c:pt idx="6">
                  <c:v>-0.2</c:v>
                </c:pt>
                <c:pt idx="7">
                  <c:v>0.6</c:v>
                </c:pt>
                <c:pt idx="8">
                  <c:v>2.4</c:v>
                </c:pt>
                <c:pt idx="9">
                  <c:v>9.1</c:v>
                </c:pt>
                <c:pt idx="10">
                  <c:v>8.8000000000000007</c:v>
                </c:pt>
                <c:pt idx="11">
                  <c:v>13.1</c:v>
                </c:pt>
                <c:pt idx="12">
                  <c:v>17.2</c:v>
                </c:pt>
                <c:pt idx="13">
                  <c:v>22.7</c:v>
                </c:pt>
                <c:pt idx="14">
                  <c:v>19.7</c:v>
                </c:pt>
                <c:pt idx="15">
                  <c:v>13.1</c:v>
                </c:pt>
                <c:pt idx="16">
                  <c:v>4.5</c:v>
                </c:pt>
                <c:pt idx="17">
                  <c:v>-4</c:v>
                </c:pt>
                <c:pt idx="18">
                  <c:v>-2.4</c:v>
                </c:pt>
                <c:pt idx="19">
                  <c:v>-1.6</c:v>
                </c:pt>
                <c:pt idx="20">
                  <c:v>1.7</c:v>
                </c:pt>
                <c:pt idx="21">
                  <c:v>4.5999999999999996</c:v>
                </c:pt>
              </c:numCache>
            </c:numRef>
          </c:val>
          <c:smooth val="0"/>
          <c:extLst>
            <c:ext xmlns:c16="http://schemas.microsoft.com/office/drawing/2014/chart" uri="{C3380CC4-5D6E-409C-BE32-E72D297353CC}">
              <c16:uniqueId val="{00000003-BC33-44E8-8152-9EDDA1DF7402}"/>
            </c:ext>
          </c:extLst>
        </c:ser>
        <c:ser>
          <c:idx val="5"/>
          <c:order val="4"/>
          <c:tx>
            <c:strRef>
              <c:f>'Ceny 2'!$E$5</c:f>
              <c:strCache>
                <c:ptCount val="1"/>
                <c:pt idx="0">
                  <c:v>Alcoholic beverages and tobacco</c:v>
                </c:pt>
              </c:strCache>
              <c:extLst xmlns:c15="http://schemas.microsoft.com/office/drawing/2012/chart"/>
            </c:strRef>
          </c:tx>
          <c:spPr>
            <a:ln w="22225">
              <a:solidFill>
                <a:schemeClr val="accent2"/>
              </a:solidFill>
            </a:ln>
          </c:spPr>
          <c:marker>
            <c:symbol val="none"/>
          </c:marker>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2'!$E$10:$E$31</c:f>
              <c:numCache>
                <c:formatCode>0.0</c:formatCode>
                <c:ptCount val="22"/>
                <c:pt idx="0">
                  <c:v>3.3</c:v>
                </c:pt>
                <c:pt idx="1">
                  <c:v>1.7</c:v>
                </c:pt>
                <c:pt idx="2">
                  <c:v>1.9</c:v>
                </c:pt>
                <c:pt idx="3">
                  <c:v>1.8</c:v>
                </c:pt>
                <c:pt idx="4" formatCode="General">
                  <c:v>3.5</c:v>
                </c:pt>
                <c:pt idx="5">
                  <c:v>6.6</c:v>
                </c:pt>
                <c:pt idx="6">
                  <c:v>10.3</c:v>
                </c:pt>
                <c:pt idx="7">
                  <c:v>9.9</c:v>
                </c:pt>
                <c:pt idx="8">
                  <c:v>9.9</c:v>
                </c:pt>
                <c:pt idx="9">
                  <c:v>9.8000000000000007</c:v>
                </c:pt>
                <c:pt idx="10">
                  <c:v>6.5</c:v>
                </c:pt>
                <c:pt idx="11">
                  <c:v>7.7</c:v>
                </c:pt>
                <c:pt idx="12">
                  <c:v>7.1</c:v>
                </c:pt>
                <c:pt idx="13">
                  <c:v>5.6</c:v>
                </c:pt>
                <c:pt idx="14">
                  <c:v>6.3</c:v>
                </c:pt>
                <c:pt idx="15">
                  <c:v>6</c:v>
                </c:pt>
                <c:pt idx="16">
                  <c:v>6.8</c:v>
                </c:pt>
                <c:pt idx="17">
                  <c:v>6.5</c:v>
                </c:pt>
                <c:pt idx="18">
                  <c:v>7.2</c:v>
                </c:pt>
                <c:pt idx="19">
                  <c:v>5.9</c:v>
                </c:pt>
                <c:pt idx="20">
                  <c:v>4.7</c:v>
                </c:pt>
                <c:pt idx="21">
                  <c:v>6.2</c:v>
                </c:pt>
              </c:numCache>
            </c:numRef>
          </c:val>
          <c:smooth val="0"/>
          <c:extLst xmlns:c15="http://schemas.microsoft.com/office/drawing/2012/chart">
            <c:ext xmlns:c16="http://schemas.microsoft.com/office/drawing/2014/chart" uri="{C3380CC4-5D6E-409C-BE32-E72D297353CC}">
              <c16:uniqueId val="{00000004-BC33-44E8-8152-9EDDA1DF7402}"/>
            </c:ext>
          </c:extLst>
        </c:ser>
        <c:ser>
          <c:idx val="2"/>
          <c:order val="5"/>
          <c:tx>
            <c:strRef>
              <c:f>'Ceny 2'!$H$5</c:f>
              <c:strCache>
                <c:ptCount val="1"/>
                <c:pt idx="0">
                  <c:v>Restaurants and hotels</c:v>
                </c:pt>
              </c:strCache>
              <c:extLst xmlns:c15="http://schemas.microsoft.com/office/drawing/2012/chart"/>
            </c:strRef>
          </c:tx>
          <c:spPr>
            <a:ln w="19050">
              <a:solidFill>
                <a:srgbClr val="7030A0"/>
              </a:solidFill>
            </a:ln>
          </c:spPr>
          <c:marker>
            <c:symbol val="none"/>
          </c:marker>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2'!$H$10:$H$31</c:f>
              <c:numCache>
                <c:formatCode>0.0</c:formatCode>
                <c:ptCount val="22"/>
                <c:pt idx="0">
                  <c:v>3.8</c:v>
                </c:pt>
                <c:pt idx="1">
                  <c:v>4</c:v>
                </c:pt>
                <c:pt idx="2">
                  <c:v>4.5</c:v>
                </c:pt>
                <c:pt idx="3">
                  <c:v>4.5999999999999996</c:v>
                </c:pt>
                <c:pt idx="4">
                  <c:v>5.5</c:v>
                </c:pt>
                <c:pt idx="5">
                  <c:v>5.0999999999999996</c:v>
                </c:pt>
                <c:pt idx="6">
                  <c:v>4.9000000000000004</c:v>
                </c:pt>
                <c:pt idx="7">
                  <c:v>4.3</c:v>
                </c:pt>
                <c:pt idx="8">
                  <c:v>3</c:v>
                </c:pt>
                <c:pt idx="9">
                  <c:v>2.9</c:v>
                </c:pt>
                <c:pt idx="10">
                  <c:v>4.5999999999999996</c:v>
                </c:pt>
                <c:pt idx="11">
                  <c:v>6.8</c:v>
                </c:pt>
                <c:pt idx="12">
                  <c:v>12.3</c:v>
                </c:pt>
                <c:pt idx="13">
                  <c:v>21.4</c:v>
                </c:pt>
                <c:pt idx="14">
                  <c:v>24.3</c:v>
                </c:pt>
                <c:pt idx="15">
                  <c:v>25.6</c:v>
                </c:pt>
                <c:pt idx="16">
                  <c:v>22.4</c:v>
                </c:pt>
                <c:pt idx="17">
                  <c:v>15.4</c:v>
                </c:pt>
                <c:pt idx="18">
                  <c:v>11.6</c:v>
                </c:pt>
                <c:pt idx="19">
                  <c:v>8.8000000000000007</c:v>
                </c:pt>
                <c:pt idx="20">
                  <c:v>8.6</c:v>
                </c:pt>
                <c:pt idx="21">
                  <c:v>7.8</c:v>
                </c:pt>
              </c:numCache>
            </c:numRef>
          </c:val>
          <c:smooth val="0"/>
          <c:extLst xmlns:c15="http://schemas.microsoft.com/office/drawing/2012/chart">
            <c:ext xmlns:c16="http://schemas.microsoft.com/office/drawing/2014/chart" uri="{C3380CC4-5D6E-409C-BE32-E72D297353CC}">
              <c16:uniqueId val="{00000005-BC33-44E8-8152-9EDDA1DF7402}"/>
            </c:ext>
          </c:extLst>
        </c:ser>
        <c:dLbls>
          <c:showLegendKey val="0"/>
          <c:showVal val="0"/>
          <c:showCatName val="0"/>
          <c:showSerName val="0"/>
          <c:showPercent val="0"/>
          <c:showBubbleSize val="0"/>
        </c:dLbls>
        <c:marker val="1"/>
        <c:smooth val="0"/>
        <c:axId val="130513536"/>
        <c:axId val="130531712"/>
        <c:extLst>
          <c:ext xmlns:c15="http://schemas.microsoft.com/office/drawing/2012/chart" uri="{02D57815-91ED-43cb-92C2-25804820EDAC}">
            <c15:filteredLineSeries>
              <c15:ser>
                <c:idx val="6"/>
                <c:order val="6"/>
                <c:tx>
                  <c:strRef>
                    <c:extLst>
                      <c:ext uri="{02D57815-91ED-43cb-92C2-25804820EDAC}">
                        <c15:formulaRef>
                          <c15:sqref>'Ceny 2'!$I$5</c15:sqref>
                        </c15:formulaRef>
                      </c:ext>
                    </c:extLst>
                    <c:strCache>
                      <c:ptCount val="1"/>
                      <c:pt idx="0">
                        <c:v>Recreation and culture</c:v>
                      </c:pt>
                    </c:strCache>
                  </c:strRef>
                </c:tx>
                <c:spPr>
                  <a:ln w="22225">
                    <a:solidFill>
                      <a:srgbClr val="FF0000"/>
                    </a:solidFill>
                  </a:ln>
                </c:spPr>
                <c:marker>
                  <c:symbol val="none"/>
                </c:marker>
                <c:cat>
                  <c:multiLvlStrRef>
                    <c:extLst>
                      <c:ext uri="{02D57815-91ED-43cb-92C2-25804820EDAC}">
                        <c15:formulaRef>
                          <c15:sqref>'Ceny 2'!$A$10:$B$31</c15:sqref>
                        </c15:formulaRef>
                      </c:ext>
                    </c:extLst>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extLst>
                      <c:ext uri="{02D57815-91ED-43cb-92C2-25804820EDAC}">
                        <c15:formulaRef>
                          <c15:sqref>'Ceny 2'!$I$10:$I$31</c15:sqref>
                        </c15:formulaRef>
                      </c:ext>
                    </c:extLst>
                    <c:numCache>
                      <c:formatCode>General</c:formatCode>
                      <c:ptCount val="22"/>
                      <c:pt idx="0">
                        <c:v>1.7000000000000028</c:v>
                      </c:pt>
                      <c:pt idx="1">
                        <c:v>1</c:v>
                      </c:pt>
                      <c:pt idx="2">
                        <c:v>1.7000000000000028</c:v>
                      </c:pt>
                      <c:pt idx="3">
                        <c:v>2.0999999999999943</c:v>
                      </c:pt>
                      <c:pt idx="4">
                        <c:v>2.0999999999999943</c:v>
                      </c:pt>
                      <c:pt idx="5">
                        <c:v>2</c:v>
                      </c:pt>
                      <c:pt idx="6">
                        <c:v>2.2000000000000028</c:v>
                      </c:pt>
                      <c:pt idx="7">
                        <c:v>2.5</c:v>
                      </c:pt>
                      <c:pt idx="8">
                        <c:v>1.4000000000000057</c:v>
                      </c:pt>
                      <c:pt idx="9">
                        <c:v>2</c:v>
                      </c:pt>
                      <c:pt idx="10">
                        <c:v>3.0999999999999943</c:v>
                      </c:pt>
                      <c:pt idx="11">
                        <c:v>5.2999999999999972</c:v>
                      </c:pt>
                      <c:pt idx="12">
                        <c:v>8.5</c:v>
                      </c:pt>
                      <c:pt idx="13">
                        <c:v>11.299999999999997</c:v>
                      </c:pt>
                      <c:pt idx="14">
                        <c:v>12.599999999999994</c:v>
                      </c:pt>
                      <c:pt idx="15" formatCode="0.0">
                        <c:v>13.2</c:v>
                      </c:pt>
                      <c:pt idx="16" formatCode="0.0">
                        <c:v>14</c:v>
                      </c:pt>
                      <c:pt idx="17" formatCode="0.0">
                        <c:v>11.7</c:v>
                      </c:pt>
                      <c:pt idx="18" formatCode="0.0">
                        <c:v>9.6999999999999993</c:v>
                      </c:pt>
                      <c:pt idx="19" formatCode="0.0">
                        <c:v>6.9</c:v>
                      </c:pt>
                      <c:pt idx="20" formatCode="0.0">
                        <c:v>4.4000000000000004</c:v>
                      </c:pt>
                      <c:pt idx="21" formatCode="0.0">
                        <c:v>3.8</c:v>
                      </c:pt>
                    </c:numCache>
                  </c:numRef>
                </c:val>
                <c:smooth val="0"/>
                <c:extLst>
                  <c:ext xmlns:c16="http://schemas.microsoft.com/office/drawing/2014/chart" uri="{C3380CC4-5D6E-409C-BE32-E72D297353CC}">
                    <c16:uniqueId val="{00000006-BC33-44E8-8152-9EDDA1DF7402}"/>
                  </c:ext>
                </c:extLst>
              </c15:ser>
            </c15:filteredLineSeries>
          </c:ext>
        </c:extLst>
      </c:lineChart>
      <c:catAx>
        <c:axId val="13051353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531712"/>
        <c:crosses val="autoZero"/>
        <c:auto val="1"/>
        <c:lblAlgn val="ctr"/>
        <c:lblOffset val="100"/>
        <c:noMultiLvlLbl val="0"/>
      </c:catAx>
      <c:valAx>
        <c:axId val="130531712"/>
        <c:scaling>
          <c:orientation val="minMax"/>
          <c:max val="28"/>
          <c:min val="-8"/>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513536"/>
        <c:crosses val="autoZero"/>
        <c:crossBetween val="between"/>
        <c:majorUnit val="4"/>
      </c:valAx>
      <c:spPr>
        <a:ln>
          <a:solidFill>
            <a:schemeClr val="tx1"/>
          </a:solidFill>
        </a:ln>
      </c:spPr>
    </c:plotArea>
    <c:legend>
      <c:legendPos val="b"/>
      <c:layout>
        <c:manualLayout>
          <c:xMode val="edge"/>
          <c:yMode val="edge"/>
          <c:x val="5.6562816616008108E-2"/>
          <c:y val="0.87970674321738151"/>
          <c:w val="0.9271700861195542"/>
          <c:h val="0.1057713243277177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258203189717562E-2"/>
          <c:y val="2.9569886214146503E-2"/>
          <c:w val="0.92637856314472322"/>
          <c:h val="0.73556653157716956"/>
        </c:manualLayout>
      </c:layout>
      <c:barChart>
        <c:barDir val="col"/>
        <c:grouping val="clustered"/>
        <c:varyColors val="0"/>
        <c:ser>
          <c:idx val="0"/>
          <c:order val="0"/>
          <c:tx>
            <c:strRef>
              <c:f>'Ceny 1'!$C$5</c:f>
              <c:strCache>
                <c:ptCount val="1"/>
                <c:pt idx="0">
                  <c:v>Realised prices of older flats, the CR</c:v>
                </c:pt>
              </c:strCache>
            </c:strRef>
          </c:tx>
          <c:spPr>
            <a:solidFill>
              <a:schemeClr val="bg1">
                <a:lumMod val="65000"/>
              </a:schemeClr>
            </a:solidFill>
            <a:ln w="19050">
              <a:noFill/>
            </a:ln>
          </c:spPr>
          <c:invertIfNegative val="0"/>
          <c:cat>
            <c:multiLvlStrRef>
              <c:f>'Ceny 1'!$A$10:$B$31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1'!$C$10:$C$31</c:f>
              <c:numCache>
                <c:formatCode>General</c:formatCode>
                <c:ptCount val="22"/>
                <c:pt idx="0">
                  <c:v>11.299999999999997</c:v>
                </c:pt>
                <c:pt idx="1">
                  <c:v>10.599999999999994</c:v>
                </c:pt>
                <c:pt idx="2">
                  <c:v>9.5</c:v>
                </c:pt>
                <c:pt idx="3">
                  <c:v>9.4000000000000057</c:v>
                </c:pt>
                <c:pt idx="4">
                  <c:v>10.599999999999994</c:v>
                </c:pt>
                <c:pt idx="5">
                  <c:v>10.200000000000003</c:v>
                </c:pt>
                <c:pt idx="6">
                  <c:v>11.200000000000003</c:v>
                </c:pt>
                <c:pt idx="7">
                  <c:v>13.299999999999997</c:v>
                </c:pt>
                <c:pt idx="8">
                  <c:v>15.200000000000003</c:v>
                </c:pt>
                <c:pt idx="9">
                  <c:v>17.900000000000006</c:v>
                </c:pt>
                <c:pt idx="10">
                  <c:v>21.299999999999997</c:v>
                </c:pt>
                <c:pt idx="11">
                  <c:v>25.200000000000003</c:v>
                </c:pt>
                <c:pt idx="12">
                  <c:v>27.299999999999997</c:v>
                </c:pt>
                <c:pt idx="13">
                  <c:v>27.599999999999994</c:v>
                </c:pt>
                <c:pt idx="14">
                  <c:v>23.400000000000006</c:v>
                </c:pt>
                <c:pt idx="15">
                  <c:v>13.799999999999997</c:v>
                </c:pt>
                <c:pt idx="16">
                  <c:v>3.7000000000000028</c:v>
                </c:pt>
                <c:pt idx="17">
                  <c:v>-4.0999999999999943</c:v>
                </c:pt>
                <c:pt idx="18">
                  <c:v>-7</c:v>
                </c:pt>
                <c:pt idx="19">
                  <c:v>-5.5</c:v>
                </c:pt>
                <c:pt idx="20">
                  <c:v>9.9999999999994316E-2</c:v>
                </c:pt>
                <c:pt idx="21">
                  <c:v>6.0999999999999943</c:v>
                </c:pt>
              </c:numCache>
            </c:numRef>
          </c:val>
          <c:extLst>
            <c:ext xmlns:c16="http://schemas.microsoft.com/office/drawing/2014/chart" uri="{C3380CC4-5D6E-409C-BE32-E72D297353CC}">
              <c16:uniqueId val="{00000000-0DB5-4432-9F77-CBF1F715753C}"/>
            </c:ext>
          </c:extLst>
        </c:ser>
        <c:ser>
          <c:idx val="1"/>
          <c:order val="1"/>
          <c:tx>
            <c:strRef>
              <c:f>'Ceny 1'!$D$5</c:f>
              <c:strCache>
                <c:ptCount val="1"/>
                <c:pt idx="0">
                  <c:v>Realised prices of older flats, Prague</c:v>
                </c:pt>
              </c:strCache>
            </c:strRef>
          </c:tx>
          <c:spPr>
            <a:solidFill>
              <a:prstClr val="black">
                <a:lumMod val="50000"/>
                <a:lumOff val="50000"/>
              </a:prstClr>
            </a:solidFill>
            <a:ln w="19050">
              <a:noFill/>
            </a:ln>
          </c:spPr>
          <c:invertIfNegative val="0"/>
          <c:cat>
            <c:multiLvlStrRef>
              <c:f>'Ceny 1'!$A$10:$B$31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1'!$D$10:$D$31</c:f>
              <c:numCache>
                <c:formatCode>General</c:formatCode>
                <c:ptCount val="22"/>
                <c:pt idx="0">
                  <c:v>9.4000000000000057</c:v>
                </c:pt>
                <c:pt idx="1">
                  <c:v>8.7000000000000028</c:v>
                </c:pt>
                <c:pt idx="2">
                  <c:v>6.5</c:v>
                </c:pt>
                <c:pt idx="3">
                  <c:v>7.0999999999999943</c:v>
                </c:pt>
                <c:pt idx="4">
                  <c:v>6.2000000000000028</c:v>
                </c:pt>
                <c:pt idx="5">
                  <c:v>8</c:v>
                </c:pt>
                <c:pt idx="6">
                  <c:v>9.4000000000000057</c:v>
                </c:pt>
                <c:pt idx="7">
                  <c:v>10.599999999999994</c:v>
                </c:pt>
                <c:pt idx="8">
                  <c:v>14.299999999999997</c:v>
                </c:pt>
                <c:pt idx="9">
                  <c:v>15.799999999999997</c:v>
                </c:pt>
                <c:pt idx="10">
                  <c:v>16.599999999999994</c:v>
                </c:pt>
                <c:pt idx="11">
                  <c:v>20</c:v>
                </c:pt>
                <c:pt idx="12">
                  <c:v>19</c:v>
                </c:pt>
                <c:pt idx="13">
                  <c:v>16.700000000000003</c:v>
                </c:pt>
                <c:pt idx="14">
                  <c:v>15.599999999999994</c:v>
                </c:pt>
                <c:pt idx="15">
                  <c:v>8.4000000000000057</c:v>
                </c:pt>
                <c:pt idx="16">
                  <c:v>1.2000000000000028</c:v>
                </c:pt>
                <c:pt idx="17">
                  <c:v>-3.5999999999999943</c:v>
                </c:pt>
                <c:pt idx="18">
                  <c:v>-5.2999999999999972</c:v>
                </c:pt>
                <c:pt idx="19">
                  <c:v>-2.5999999999999943</c:v>
                </c:pt>
                <c:pt idx="20">
                  <c:v>1</c:v>
                </c:pt>
                <c:pt idx="21">
                  <c:v>8.5999999999999943</c:v>
                </c:pt>
              </c:numCache>
            </c:numRef>
          </c:val>
          <c:extLst>
            <c:ext xmlns:c16="http://schemas.microsoft.com/office/drawing/2014/chart" uri="{C3380CC4-5D6E-409C-BE32-E72D297353CC}">
              <c16:uniqueId val="{00000001-0DB5-4432-9F77-CBF1F715753C}"/>
            </c:ext>
          </c:extLst>
        </c:ser>
        <c:dLbls>
          <c:showLegendKey val="0"/>
          <c:showVal val="0"/>
          <c:showCatName val="0"/>
          <c:showSerName val="0"/>
          <c:showPercent val="0"/>
          <c:showBubbleSize val="0"/>
        </c:dLbls>
        <c:gapWidth val="95"/>
        <c:axId val="130418560"/>
        <c:axId val="130420096"/>
      </c:barChart>
      <c:lineChart>
        <c:grouping val="standard"/>
        <c:varyColors val="0"/>
        <c:ser>
          <c:idx val="2"/>
          <c:order val="2"/>
          <c:tx>
            <c:strRef>
              <c:f>'Ceny 1'!$E$5</c:f>
              <c:strCache>
                <c:ptCount val="1"/>
                <c:pt idx="0">
                  <c:v>Catalogue prices of flats, the CR</c:v>
                </c:pt>
              </c:strCache>
            </c:strRef>
          </c:tx>
          <c:spPr>
            <a:ln w="19050">
              <a:solidFill>
                <a:schemeClr val="accent2"/>
              </a:solidFill>
            </a:ln>
          </c:spPr>
          <c:marker>
            <c:symbol val="none"/>
          </c:marker>
          <c:cat>
            <c:multiLvlStrRef>
              <c:f>'Ceny 1'!$A$10:$B$31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1'!$E$10:$E$31</c:f>
              <c:numCache>
                <c:formatCode>0.0</c:formatCode>
                <c:ptCount val="22"/>
                <c:pt idx="0">
                  <c:v>7.4232690935046435</c:v>
                </c:pt>
                <c:pt idx="1">
                  <c:v>5.7262569832402335</c:v>
                </c:pt>
                <c:pt idx="2">
                  <c:v>5.1912568306010911</c:v>
                </c:pt>
                <c:pt idx="3">
                  <c:v>5.5144586415601964</c:v>
                </c:pt>
                <c:pt idx="4">
                  <c:v>6.0465116279069662</c:v>
                </c:pt>
                <c:pt idx="5">
                  <c:v>7.1334214002641829</c:v>
                </c:pt>
                <c:pt idx="6">
                  <c:v>7.9870129870129887</c:v>
                </c:pt>
                <c:pt idx="7">
                  <c:v>7.6481835564053569</c:v>
                </c:pt>
                <c:pt idx="8">
                  <c:v>7.6441102756892292</c:v>
                </c:pt>
                <c:pt idx="9">
                  <c:v>7.9531442663378584</c:v>
                </c:pt>
                <c:pt idx="10">
                  <c:v>9.3205051112447421</c:v>
                </c:pt>
                <c:pt idx="11">
                  <c:v>12.433392539964473</c:v>
                </c:pt>
                <c:pt idx="12">
                  <c:v>16.880093131548307</c:v>
                </c:pt>
                <c:pt idx="13">
                  <c:v>24.671616219303274</c:v>
                </c:pt>
                <c:pt idx="14">
                  <c:v>22.937293729372925</c:v>
                </c:pt>
                <c:pt idx="15">
                  <c:v>18.325434439178508</c:v>
                </c:pt>
                <c:pt idx="16">
                  <c:v>9.8107569721115624</c:v>
                </c:pt>
                <c:pt idx="17" formatCode="General">
                  <c:v>-0.73293632615667548</c:v>
                </c:pt>
                <c:pt idx="18" formatCode="General">
                  <c:v>-3.3109619686800897</c:v>
                </c:pt>
                <c:pt idx="19" formatCode="General">
                  <c:v>-4.1833555852247315</c:v>
                </c:pt>
                <c:pt idx="20" formatCode="General">
                  <c:v>-0.68027210884353906</c:v>
                </c:pt>
                <c:pt idx="21" formatCode="General">
                  <c:v>3.3687125057683573</c:v>
                </c:pt>
              </c:numCache>
            </c:numRef>
          </c:val>
          <c:smooth val="0"/>
          <c:extLst>
            <c:ext xmlns:c16="http://schemas.microsoft.com/office/drawing/2014/chart" uri="{C3380CC4-5D6E-409C-BE32-E72D297353CC}">
              <c16:uniqueId val="{00000002-0DB5-4432-9F77-CBF1F715753C}"/>
            </c:ext>
          </c:extLst>
        </c:ser>
        <c:ser>
          <c:idx val="3"/>
          <c:order val="3"/>
          <c:tx>
            <c:strRef>
              <c:f>'Ceny 1'!$F$5</c:f>
              <c:strCache>
                <c:ptCount val="1"/>
                <c:pt idx="0">
                  <c:v>Catalogue prices of flats, Prague</c:v>
                </c:pt>
              </c:strCache>
            </c:strRef>
          </c:tx>
          <c:spPr>
            <a:ln>
              <a:solidFill>
                <a:schemeClr val="accent1"/>
              </a:solidFill>
            </a:ln>
          </c:spPr>
          <c:marker>
            <c:symbol val="none"/>
          </c:marker>
          <c:cat>
            <c:multiLvlStrRef>
              <c:f>'Ceny 1'!$A$10:$B$31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1'!$F$10:$F$31</c:f>
              <c:numCache>
                <c:formatCode>0.0</c:formatCode>
                <c:ptCount val="22"/>
                <c:pt idx="0">
                  <c:v>8.3178150217256359</c:v>
                </c:pt>
                <c:pt idx="1">
                  <c:v>4.9397590361445651</c:v>
                </c:pt>
                <c:pt idx="2">
                  <c:v>3.3096926713947994</c:v>
                </c:pt>
                <c:pt idx="3">
                  <c:v>2.9530978575564575</c:v>
                </c:pt>
                <c:pt idx="4">
                  <c:v>3.5530085959885298</c:v>
                </c:pt>
                <c:pt idx="5">
                  <c:v>5.2812858783008068</c:v>
                </c:pt>
                <c:pt idx="6">
                  <c:v>6.2356979405034281</c:v>
                </c:pt>
                <c:pt idx="7">
                  <c:v>5.1743532058492718</c:v>
                </c:pt>
                <c:pt idx="8">
                  <c:v>4.759269507470961</c:v>
                </c:pt>
                <c:pt idx="9">
                  <c:v>4.5256270447110012</c:v>
                </c:pt>
                <c:pt idx="10">
                  <c:v>6.2466343564889826</c:v>
                </c:pt>
                <c:pt idx="11">
                  <c:v>9.1443850267379503</c:v>
                </c:pt>
                <c:pt idx="12">
                  <c:v>12.255678816693077</c:v>
                </c:pt>
                <c:pt idx="13">
                  <c:v>19.718309859154942</c:v>
                </c:pt>
                <c:pt idx="14">
                  <c:v>18.499746578813998</c:v>
                </c:pt>
                <c:pt idx="15">
                  <c:v>16.903478686918177</c:v>
                </c:pt>
                <c:pt idx="16">
                  <c:v>10.305882352941182</c:v>
                </c:pt>
                <c:pt idx="17" formatCode="General">
                  <c:v>0.30501089324617681</c:v>
                </c:pt>
                <c:pt idx="18" formatCode="General">
                  <c:v>-1.5825491873396089</c:v>
                </c:pt>
                <c:pt idx="19" formatCode="General">
                  <c:v>-3.5624476110645418</c:v>
                </c:pt>
                <c:pt idx="20" formatCode="General">
                  <c:v>0.3412969283276226</c:v>
                </c:pt>
                <c:pt idx="21" formatCode="General">
                  <c:v>3.9965247610773247</c:v>
                </c:pt>
              </c:numCache>
            </c:numRef>
          </c:val>
          <c:smooth val="0"/>
          <c:extLst>
            <c:ext xmlns:c16="http://schemas.microsoft.com/office/drawing/2014/chart" uri="{C3380CC4-5D6E-409C-BE32-E72D297353CC}">
              <c16:uniqueId val="{00000003-0DB5-4432-9F77-CBF1F715753C}"/>
            </c:ext>
          </c:extLst>
        </c:ser>
        <c:dLbls>
          <c:showLegendKey val="0"/>
          <c:showVal val="0"/>
          <c:showCatName val="0"/>
          <c:showSerName val="0"/>
          <c:showPercent val="0"/>
          <c:showBubbleSize val="0"/>
        </c:dLbls>
        <c:marker val="1"/>
        <c:smooth val="0"/>
        <c:axId val="130418560"/>
        <c:axId val="130420096"/>
      </c:lineChart>
      <c:catAx>
        <c:axId val="13041856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420096"/>
        <c:crosses val="autoZero"/>
        <c:auto val="1"/>
        <c:lblAlgn val="ctr"/>
        <c:lblOffset val="100"/>
        <c:noMultiLvlLbl val="0"/>
      </c:catAx>
      <c:valAx>
        <c:axId val="130420096"/>
        <c:scaling>
          <c:orientation val="minMax"/>
          <c:max val="28"/>
          <c:min val="-8"/>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418560"/>
        <c:crosses val="autoZero"/>
        <c:crossBetween val="between"/>
        <c:majorUnit val="4"/>
      </c:valAx>
      <c:spPr>
        <a:ln>
          <a:solidFill>
            <a:schemeClr val="tx1"/>
          </a:solidFill>
        </a:ln>
      </c:spPr>
    </c:plotArea>
    <c:legend>
      <c:legendPos val="b"/>
      <c:layout>
        <c:manualLayout>
          <c:xMode val="edge"/>
          <c:yMode val="edge"/>
          <c:x val="4.6528021206651497E-2"/>
          <c:y val="0.88817854328492629"/>
          <c:w val="0.9267997314289258"/>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8536533717322946E-2"/>
          <c:y val="2.0784574468085106E-2"/>
          <c:w val="0.93242262856416824"/>
          <c:h val="0.66772044917257678"/>
        </c:manualLayout>
      </c:layout>
      <c:barChart>
        <c:barDir val="col"/>
        <c:grouping val="clustered"/>
        <c:varyColors val="0"/>
        <c:ser>
          <c:idx val="0"/>
          <c:order val="0"/>
          <c:tx>
            <c:strRef>
              <c:f>'Ceny 4'!$C$5</c:f>
              <c:strCache>
                <c:ptCount val="1"/>
                <c:pt idx="0">
                  <c:v>Total</c:v>
                </c:pt>
              </c:strCache>
            </c:strRef>
          </c:tx>
          <c:spPr>
            <a:solidFill>
              <a:schemeClr val="bg1">
                <a:lumMod val="65000"/>
              </a:schemeClr>
            </a:solidFill>
            <a:ln>
              <a:noFill/>
            </a:ln>
            <a:effectLst/>
          </c:spPr>
          <c:invertIfNegative val="0"/>
          <c:cat>
            <c:multiLvlStrRef>
              <c:f>'Ceny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4'!$C$10:$C$31</c:f>
              <c:numCache>
                <c:formatCode>General</c:formatCode>
                <c:ptCount val="22"/>
                <c:pt idx="0">
                  <c:v>3.5</c:v>
                </c:pt>
                <c:pt idx="1">
                  <c:v>3.5</c:v>
                </c:pt>
                <c:pt idx="2">
                  <c:v>2</c:v>
                </c:pt>
                <c:pt idx="3">
                  <c:v>1.2999999999999972</c:v>
                </c:pt>
                <c:pt idx="4">
                  <c:v>1.4000000000000057</c:v>
                </c:pt>
                <c:pt idx="5">
                  <c:v>-0.59999999999999432</c:v>
                </c:pt>
                <c:pt idx="6">
                  <c:v>-0.29999999999999716</c:v>
                </c:pt>
                <c:pt idx="7">
                  <c:v>9.9999999999994316E-2</c:v>
                </c:pt>
                <c:pt idx="8">
                  <c:v>1.5</c:v>
                </c:pt>
                <c:pt idx="9">
                  <c:v>5.2999999999999972</c:v>
                </c:pt>
                <c:pt idx="10">
                  <c:v>9</c:v>
                </c:pt>
                <c:pt idx="11">
                  <c:v>12.799999999999997</c:v>
                </c:pt>
                <c:pt idx="12">
                  <c:v>21.799999999999997</c:v>
                </c:pt>
                <c:pt idx="13">
                  <c:v>27.700000000000003</c:v>
                </c:pt>
                <c:pt idx="14">
                  <c:v>25.900000000000006</c:v>
                </c:pt>
                <c:pt idx="15">
                  <c:v>21.799999999999997</c:v>
                </c:pt>
                <c:pt idx="16">
                  <c:v>15</c:v>
                </c:pt>
                <c:pt idx="17">
                  <c:v>3.9000000000000057</c:v>
                </c:pt>
                <c:pt idx="18">
                  <c:v>1.3</c:v>
                </c:pt>
                <c:pt idx="19">
                  <c:v>0.8</c:v>
                </c:pt>
                <c:pt idx="20">
                  <c:v>-0.9</c:v>
                </c:pt>
                <c:pt idx="21">
                  <c:v>1.1000000000000001</c:v>
                </c:pt>
              </c:numCache>
            </c:numRef>
          </c:val>
          <c:extLst>
            <c:ext xmlns:c16="http://schemas.microsoft.com/office/drawing/2014/chart" uri="{C3380CC4-5D6E-409C-BE32-E72D297353CC}">
              <c16:uniqueId val="{00000000-EB21-4DB4-805D-E88FF37A466D}"/>
            </c:ext>
          </c:extLst>
        </c:ser>
        <c:dLbls>
          <c:showLegendKey val="0"/>
          <c:showVal val="0"/>
          <c:showCatName val="0"/>
          <c:showSerName val="0"/>
          <c:showPercent val="0"/>
          <c:showBubbleSize val="0"/>
        </c:dLbls>
        <c:gapWidth val="90"/>
        <c:axId val="1717494240"/>
        <c:axId val="1718275936"/>
      </c:barChart>
      <c:lineChart>
        <c:grouping val="standard"/>
        <c:varyColors val="0"/>
        <c:ser>
          <c:idx val="1"/>
          <c:order val="1"/>
          <c:tx>
            <c:strRef>
              <c:f>'Ceny 4'!$D$5</c:f>
              <c:strCache>
                <c:ptCount val="1"/>
                <c:pt idx="0">
                  <c:v>Mining and quarrying</c:v>
                </c:pt>
              </c:strCache>
            </c:strRef>
          </c:tx>
          <c:spPr>
            <a:ln w="22225" cap="rnd">
              <a:solidFill>
                <a:srgbClr val="7DBB2D"/>
              </a:solidFill>
              <a:round/>
            </a:ln>
            <a:effectLst/>
          </c:spPr>
          <c:marker>
            <c:symbol val="none"/>
          </c:marker>
          <c:cat>
            <c:multiLvlStrRef>
              <c:f>'Ceny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4'!$D$10:$D$31</c:f>
              <c:numCache>
                <c:formatCode>General</c:formatCode>
                <c:ptCount val="22"/>
                <c:pt idx="0">
                  <c:v>7.7000000000000028</c:v>
                </c:pt>
                <c:pt idx="1">
                  <c:v>7.7000000000000028</c:v>
                </c:pt>
                <c:pt idx="2">
                  <c:v>6.7000000000000028</c:v>
                </c:pt>
                <c:pt idx="3">
                  <c:v>3.7000000000000028</c:v>
                </c:pt>
                <c:pt idx="4">
                  <c:v>-2.0999999999999943</c:v>
                </c:pt>
                <c:pt idx="5">
                  <c:v>-3.5</c:v>
                </c:pt>
                <c:pt idx="6">
                  <c:v>-3.5999999999999943</c:v>
                </c:pt>
                <c:pt idx="7">
                  <c:v>-2</c:v>
                </c:pt>
                <c:pt idx="8">
                  <c:v>-0.5</c:v>
                </c:pt>
                <c:pt idx="9">
                  <c:v>0.79999999999999716</c:v>
                </c:pt>
                <c:pt idx="10">
                  <c:v>3.2999999999999972</c:v>
                </c:pt>
                <c:pt idx="11">
                  <c:v>13.799999999999997</c:v>
                </c:pt>
                <c:pt idx="12">
                  <c:v>25.200000000000003</c:v>
                </c:pt>
                <c:pt idx="13">
                  <c:v>31.900000000000006</c:v>
                </c:pt>
                <c:pt idx="14">
                  <c:v>30.199999999999989</c:v>
                </c:pt>
                <c:pt idx="15">
                  <c:v>23.299999999999997</c:v>
                </c:pt>
                <c:pt idx="16">
                  <c:v>54</c:v>
                </c:pt>
                <c:pt idx="17">
                  <c:v>47.599999999999994</c:v>
                </c:pt>
                <c:pt idx="18">
                  <c:v>44.5</c:v>
                </c:pt>
                <c:pt idx="19">
                  <c:v>40.200000000000003</c:v>
                </c:pt>
                <c:pt idx="20">
                  <c:v>-1.2</c:v>
                </c:pt>
                <c:pt idx="21">
                  <c:v>-1.7</c:v>
                </c:pt>
              </c:numCache>
            </c:numRef>
          </c:val>
          <c:smooth val="0"/>
          <c:extLst>
            <c:ext xmlns:c16="http://schemas.microsoft.com/office/drawing/2014/chart" uri="{C3380CC4-5D6E-409C-BE32-E72D297353CC}">
              <c16:uniqueId val="{00000001-EB21-4DB4-805D-E88FF37A466D}"/>
            </c:ext>
          </c:extLst>
        </c:ser>
        <c:ser>
          <c:idx val="2"/>
          <c:order val="2"/>
          <c:tx>
            <c:strRef>
              <c:f>'Ceny 4'!$E$5</c:f>
              <c:strCache>
                <c:ptCount val="1"/>
                <c:pt idx="0">
                  <c:v>Manufacturing</c:v>
                </c:pt>
              </c:strCache>
            </c:strRef>
          </c:tx>
          <c:spPr>
            <a:ln w="22225" cap="rnd">
              <a:solidFill>
                <a:srgbClr val="BD1B21"/>
              </a:solidFill>
              <a:round/>
            </a:ln>
            <a:effectLst/>
          </c:spPr>
          <c:marker>
            <c:symbol val="none"/>
          </c:marker>
          <c:cat>
            <c:multiLvlStrRef>
              <c:f>'Ceny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4'!$E$10:$E$31</c:f>
              <c:numCache>
                <c:formatCode>General</c:formatCode>
                <c:ptCount val="22"/>
                <c:pt idx="0">
                  <c:v>2.5999999999999943</c:v>
                </c:pt>
                <c:pt idx="1">
                  <c:v>2.5999999999999943</c:v>
                </c:pt>
                <c:pt idx="2">
                  <c:v>0.79999999999999716</c:v>
                </c:pt>
                <c:pt idx="3">
                  <c:v>-9.9999999999994316E-2</c:v>
                </c:pt>
                <c:pt idx="4">
                  <c:v>0</c:v>
                </c:pt>
                <c:pt idx="5">
                  <c:v>-2.2999999999999972</c:v>
                </c:pt>
                <c:pt idx="6">
                  <c:v>-1.7999999999999972</c:v>
                </c:pt>
                <c:pt idx="7">
                  <c:v>-1.2000000000000028</c:v>
                </c:pt>
                <c:pt idx="8">
                  <c:v>1.7999999999999972</c:v>
                </c:pt>
                <c:pt idx="9">
                  <c:v>6.5</c:v>
                </c:pt>
                <c:pt idx="10">
                  <c:v>11</c:v>
                </c:pt>
                <c:pt idx="11">
                  <c:v>14.5</c:v>
                </c:pt>
                <c:pt idx="12">
                  <c:v>17.5</c:v>
                </c:pt>
                <c:pt idx="13">
                  <c:v>24.200000000000003</c:v>
                </c:pt>
                <c:pt idx="14">
                  <c:v>20.5</c:v>
                </c:pt>
                <c:pt idx="15">
                  <c:v>16</c:v>
                </c:pt>
                <c:pt idx="16">
                  <c:v>10.299999999999997</c:v>
                </c:pt>
                <c:pt idx="17">
                  <c:v>-0.90000000000000568</c:v>
                </c:pt>
                <c:pt idx="18">
                  <c:v>-2.4</c:v>
                </c:pt>
                <c:pt idx="19">
                  <c:v>-2.2999999999999998</c:v>
                </c:pt>
                <c:pt idx="20">
                  <c:v>-1.7</c:v>
                </c:pt>
                <c:pt idx="21">
                  <c:v>0.1</c:v>
                </c:pt>
              </c:numCache>
            </c:numRef>
          </c:val>
          <c:smooth val="0"/>
          <c:extLst>
            <c:ext xmlns:c16="http://schemas.microsoft.com/office/drawing/2014/chart" uri="{C3380CC4-5D6E-409C-BE32-E72D297353CC}">
              <c16:uniqueId val="{00000002-EB21-4DB4-805D-E88FF37A466D}"/>
            </c:ext>
          </c:extLst>
        </c:ser>
        <c:ser>
          <c:idx val="3"/>
          <c:order val="3"/>
          <c:tx>
            <c:strRef>
              <c:f>'Ceny 4'!$F$5</c:f>
              <c:strCache>
                <c:ptCount val="1"/>
                <c:pt idx="0">
                  <c:v>Electricity, gas, steam and air conditioning supply</c:v>
                </c:pt>
              </c:strCache>
            </c:strRef>
          </c:tx>
          <c:spPr>
            <a:ln w="22225" cap="rnd">
              <a:solidFill>
                <a:srgbClr val="FFC000"/>
              </a:solidFill>
              <a:round/>
            </a:ln>
            <a:effectLst/>
          </c:spPr>
          <c:marker>
            <c:symbol val="none"/>
          </c:marker>
          <c:cat>
            <c:multiLvlStrRef>
              <c:f>'Ceny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4'!$F$10:$F$31</c:f>
              <c:numCache>
                <c:formatCode>General</c:formatCode>
                <c:ptCount val="22"/>
                <c:pt idx="0">
                  <c:v>7.7000000000000028</c:v>
                </c:pt>
                <c:pt idx="1">
                  <c:v>8.2999999999999972</c:v>
                </c:pt>
                <c:pt idx="2">
                  <c:v>7.7999999999999972</c:v>
                </c:pt>
                <c:pt idx="3">
                  <c:v>8.2999999999999972</c:v>
                </c:pt>
                <c:pt idx="4">
                  <c:v>8.9000000000000057</c:v>
                </c:pt>
                <c:pt idx="5">
                  <c:v>8.2000000000000028</c:v>
                </c:pt>
                <c:pt idx="6">
                  <c:v>7.7999999999999972</c:v>
                </c:pt>
                <c:pt idx="7">
                  <c:v>6.0999999999999943</c:v>
                </c:pt>
                <c:pt idx="8">
                  <c:v>0.29999999999999716</c:v>
                </c:pt>
                <c:pt idx="9">
                  <c:v>9.9999999999994316E-2</c:v>
                </c:pt>
                <c:pt idx="10">
                  <c:v>0.79999999999999716</c:v>
                </c:pt>
                <c:pt idx="11">
                  <c:v>5.5</c:v>
                </c:pt>
                <c:pt idx="12">
                  <c:v>45</c:v>
                </c:pt>
                <c:pt idx="13">
                  <c:v>47.199999999999989</c:v>
                </c:pt>
                <c:pt idx="14">
                  <c:v>56</c:v>
                </c:pt>
                <c:pt idx="15">
                  <c:v>54.300000000000011</c:v>
                </c:pt>
                <c:pt idx="16">
                  <c:v>28.400000000000006</c:v>
                </c:pt>
                <c:pt idx="17">
                  <c:v>18.400000000000006</c:v>
                </c:pt>
                <c:pt idx="18">
                  <c:v>10.5</c:v>
                </c:pt>
                <c:pt idx="19">
                  <c:v>7.1</c:v>
                </c:pt>
                <c:pt idx="20">
                  <c:v>0.8</c:v>
                </c:pt>
                <c:pt idx="21">
                  <c:v>4.5</c:v>
                </c:pt>
              </c:numCache>
            </c:numRef>
          </c:val>
          <c:smooth val="0"/>
          <c:extLst>
            <c:ext xmlns:c16="http://schemas.microsoft.com/office/drawing/2014/chart" uri="{C3380CC4-5D6E-409C-BE32-E72D297353CC}">
              <c16:uniqueId val="{00000003-EB21-4DB4-805D-E88FF37A466D}"/>
            </c:ext>
          </c:extLst>
        </c:ser>
        <c:ser>
          <c:idx val="4"/>
          <c:order val="4"/>
          <c:tx>
            <c:strRef>
              <c:f>'Ceny 4'!$G$5</c:f>
              <c:strCache>
                <c:ptCount val="1"/>
                <c:pt idx="0">
                  <c:v>Water supply, sewerage</c:v>
                </c:pt>
              </c:strCache>
            </c:strRef>
          </c:tx>
          <c:spPr>
            <a:ln w="22225" cap="rnd">
              <a:solidFill>
                <a:srgbClr val="0071BC"/>
              </a:solidFill>
              <a:round/>
            </a:ln>
            <a:effectLst/>
          </c:spPr>
          <c:marker>
            <c:symbol val="none"/>
          </c:marker>
          <c:cat>
            <c:multiLvlStrRef>
              <c:f>'Ceny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4'!$G$10:$G$31</c:f>
              <c:numCache>
                <c:formatCode>General</c:formatCode>
                <c:ptCount val="22"/>
                <c:pt idx="0">
                  <c:v>2.9000000000000057</c:v>
                </c:pt>
                <c:pt idx="1">
                  <c:v>2.9000000000000057</c:v>
                </c:pt>
                <c:pt idx="2">
                  <c:v>2.9000000000000057</c:v>
                </c:pt>
                <c:pt idx="3">
                  <c:v>2.9000000000000057</c:v>
                </c:pt>
                <c:pt idx="4">
                  <c:v>5.4000000000000057</c:v>
                </c:pt>
                <c:pt idx="5">
                  <c:v>6.0999999999999943</c:v>
                </c:pt>
                <c:pt idx="6">
                  <c:v>6.4000000000000057</c:v>
                </c:pt>
                <c:pt idx="7">
                  <c:v>6.4000000000000057</c:v>
                </c:pt>
                <c:pt idx="8">
                  <c:v>6.9000000000000057</c:v>
                </c:pt>
                <c:pt idx="9">
                  <c:v>6.2000000000000028</c:v>
                </c:pt>
                <c:pt idx="10">
                  <c:v>5.9000000000000057</c:v>
                </c:pt>
                <c:pt idx="11">
                  <c:v>5.9000000000000057</c:v>
                </c:pt>
                <c:pt idx="12">
                  <c:v>5.2999999999999972</c:v>
                </c:pt>
                <c:pt idx="13">
                  <c:v>5.2999999999999972</c:v>
                </c:pt>
                <c:pt idx="14">
                  <c:v>5.2999999999999972</c:v>
                </c:pt>
                <c:pt idx="15">
                  <c:v>5.2999999999999972</c:v>
                </c:pt>
                <c:pt idx="16">
                  <c:v>16.299999999999997</c:v>
                </c:pt>
                <c:pt idx="17">
                  <c:v>16.299999999999997</c:v>
                </c:pt>
                <c:pt idx="18">
                  <c:v>16.3</c:v>
                </c:pt>
                <c:pt idx="19">
                  <c:v>16.3</c:v>
                </c:pt>
                <c:pt idx="20">
                  <c:v>9.1999999999999993</c:v>
                </c:pt>
                <c:pt idx="21">
                  <c:v>9.1999999999999993</c:v>
                </c:pt>
              </c:numCache>
            </c:numRef>
          </c:val>
          <c:smooth val="0"/>
          <c:extLst>
            <c:ext xmlns:c16="http://schemas.microsoft.com/office/drawing/2014/chart" uri="{C3380CC4-5D6E-409C-BE32-E72D297353CC}">
              <c16:uniqueId val="{00000004-EB21-4DB4-805D-E88FF37A466D}"/>
            </c:ext>
          </c:extLst>
        </c:ser>
        <c:dLbls>
          <c:showLegendKey val="0"/>
          <c:showVal val="0"/>
          <c:showCatName val="0"/>
          <c:showSerName val="0"/>
          <c:showPercent val="0"/>
          <c:showBubbleSize val="0"/>
        </c:dLbls>
        <c:marker val="1"/>
        <c:smooth val="0"/>
        <c:axId val="1717494240"/>
        <c:axId val="1718275936"/>
      </c:lineChart>
      <c:catAx>
        <c:axId val="1717494240"/>
        <c:scaling>
          <c:orientation val="minMax"/>
        </c:scaling>
        <c:delete val="0"/>
        <c:axPos val="b"/>
        <c:numFmt formatCode="General" sourceLinked="1"/>
        <c:majorTickMark val="none"/>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718275936"/>
        <c:crosses val="autoZero"/>
        <c:auto val="1"/>
        <c:lblAlgn val="ctr"/>
        <c:lblOffset val="100"/>
        <c:noMultiLvlLbl val="0"/>
      </c:catAx>
      <c:valAx>
        <c:axId val="1718275936"/>
        <c:scaling>
          <c:orientation val="minMax"/>
          <c:max val="60"/>
          <c:min val="-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717494240"/>
        <c:crosses val="autoZero"/>
        <c:crossBetween val="between"/>
        <c:majorUnit val="5"/>
      </c:valAx>
      <c:spPr>
        <a:noFill/>
        <a:ln>
          <a:solidFill>
            <a:schemeClr val="tx1"/>
          </a:solidFill>
        </a:ln>
        <a:effectLst/>
      </c:spPr>
    </c:plotArea>
    <c:legend>
      <c:legendPos val="b"/>
      <c:layout>
        <c:manualLayout>
          <c:xMode val="edge"/>
          <c:yMode val="edge"/>
          <c:x val="5.4913125880123238E-2"/>
          <c:y val="0.80408628841607566"/>
          <c:w val="0.93175198788738656"/>
          <c:h val="0.18321187943262413"/>
        </c:manualLayout>
      </c:layout>
      <c:overlay val="0"/>
      <c:spPr>
        <a:noFill/>
        <a:ln>
          <a:solidFill>
            <a:schemeClr val="tx1"/>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4FFE1B-910D-488E-A0BF-7AF63084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2595</Words>
  <Characters>15316</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Kamenický Jiří</cp:lastModifiedBy>
  <cp:revision>3</cp:revision>
  <cp:lastPrinted>2014-07-17T14:07:00Z</cp:lastPrinted>
  <dcterms:created xsi:type="dcterms:W3CDTF">2024-10-16T11:33:00Z</dcterms:created>
  <dcterms:modified xsi:type="dcterms:W3CDTF">2024-10-16T11:34:00Z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