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3CB83F" w14:textId="77777777" w:rsidR="00E551F6" w:rsidRPr="001A0A01" w:rsidRDefault="00E551F6" w:rsidP="00E551F6">
      <w:pPr>
        <w:pStyle w:val="Nadpis1"/>
        <w:rPr>
          <w:lang w:val="en-GB"/>
        </w:rPr>
      </w:pPr>
      <w:bookmarkStart w:id="0" w:name="_Toc179774111"/>
      <w:r w:rsidRPr="001A0A01">
        <w:rPr>
          <w:lang w:val="en-GB"/>
        </w:rPr>
        <w:t>7. Monetary Conditions</w:t>
      </w:r>
      <w:bookmarkEnd w:id="0"/>
    </w:p>
    <w:tbl>
      <w:tblPr>
        <w:tblW w:w="9641" w:type="dxa"/>
        <w:tblInd w:w="-15" w:type="dxa"/>
        <w:tblCellMar>
          <w:left w:w="0" w:type="dxa"/>
          <w:right w:w="0" w:type="dxa"/>
        </w:tblCellMar>
        <w:tblLook w:val="00A0" w:firstRow="1" w:lastRow="0" w:firstColumn="1" w:lastColumn="0" w:noHBand="0" w:noVBand="0"/>
      </w:tblPr>
      <w:tblGrid>
        <w:gridCol w:w="1802"/>
        <w:gridCol w:w="229"/>
        <w:gridCol w:w="7610"/>
      </w:tblGrid>
      <w:tr w:rsidR="00E551F6" w:rsidRPr="001A0A01" w14:paraId="3D58E421" w14:textId="77777777" w:rsidTr="00E551F6">
        <w:trPr>
          <w:trHeight w:val="145"/>
        </w:trPr>
        <w:tc>
          <w:tcPr>
            <w:tcW w:w="1802" w:type="dxa"/>
          </w:tcPr>
          <w:p w14:paraId="2E751504" w14:textId="77777777" w:rsidR="00E551F6" w:rsidRPr="001A0A01" w:rsidRDefault="00E551F6" w:rsidP="00E551F6">
            <w:pPr>
              <w:pStyle w:val="Marginlie"/>
              <w:rPr>
                <w:lang w:val="en-GB" w:eastAsia="en-US"/>
              </w:rPr>
            </w:pPr>
            <w:r w:rsidRPr="001A0A01">
              <w:rPr>
                <w:lang w:val="en-GB" w:eastAsia="en-US"/>
              </w:rPr>
              <w:t>Monetary policy-relevant rates continued to decrease in Q2.</w:t>
            </w:r>
          </w:p>
        </w:tc>
        <w:tc>
          <w:tcPr>
            <w:tcW w:w="229" w:type="dxa"/>
          </w:tcPr>
          <w:p w14:paraId="5CB402E8" w14:textId="77777777" w:rsidR="00E551F6" w:rsidRPr="001A0A01" w:rsidRDefault="00E551F6" w:rsidP="00E551F6">
            <w:pPr>
              <w:pStyle w:val="Textpoznpodarou"/>
              <w:jc w:val="both"/>
              <w:rPr>
                <w:spacing w:val="-4"/>
                <w:lang w:val="en-GB" w:eastAsia="en-US"/>
              </w:rPr>
            </w:pPr>
          </w:p>
        </w:tc>
        <w:tc>
          <w:tcPr>
            <w:tcW w:w="7610" w:type="dxa"/>
          </w:tcPr>
          <w:p w14:paraId="00E070ED" w14:textId="5A4FDD6E" w:rsidR="00E551F6" w:rsidRPr="001A0A01" w:rsidRDefault="00E551F6" w:rsidP="00E551F6">
            <w:pPr>
              <w:rPr>
                <w:spacing w:val="-2"/>
                <w:lang w:val="en-GB" w:eastAsia="en-US"/>
              </w:rPr>
            </w:pPr>
            <w:bookmarkStart w:id="1" w:name="_Hlk179068130"/>
            <w:r w:rsidRPr="001A0A01">
              <w:rPr>
                <w:spacing w:val="-2"/>
                <w:lang w:val="en-GB" w:eastAsia="en-US"/>
              </w:rPr>
              <w:t>The process of a gradual decrease of monetary policy-relevant rates continued in Q2. There were two half-point cuts (in May and June) and the two-week repo rate thus attained 4.75%, the discount rate 3.75% and the Lombard rate 5.75%</w:t>
            </w:r>
            <w:r w:rsidRPr="001A0A01">
              <w:rPr>
                <w:rStyle w:val="Znakapoznpodarou"/>
                <w:spacing w:val="-2"/>
                <w:lang w:val="en-GB" w:eastAsia="en-US"/>
              </w:rPr>
              <w:footnoteReference w:id="2"/>
            </w:r>
            <w:r w:rsidRPr="001A0A01">
              <w:rPr>
                <w:spacing w:val="-2"/>
                <w:lang w:val="en-GB" w:eastAsia="en-US"/>
              </w:rPr>
              <w:t xml:space="preserve"> at the end of June. The koruna foreign exchange per euro reached an average value of 24.96 CZK/EUR for the whole Q2 and thus weakened 1</w:t>
            </w:r>
            <w:r w:rsidR="002F39EC">
              <w:rPr>
                <w:spacing w:val="-2"/>
                <w:lang w:val="en-GB" w:eastAsia="en-US"/>
              </w:rPr>
              <w:t>.37</w:t>
            </w:r>
            <w:r w:rsidRPr="001A0A01">
              <w:rPr>
                <w:spacing w:val="-2"/>
                <w:lang w:val="en-GB" w:eastAsia="en-US"/>
              </w:rPr>
              <w:t xml:space="preserve"> CZK (5.81%), year-on-year. Quarter-on-quarter, the koruna foreign exchange per euro strengthened slightly by </w:t>
            </w:r>
            <w:r w:rsidR="002F39EC">
              <w:rPr>
                <w:spacing w:val="-2"/>
                <w:lang w:val="en-GB" w:eastAsia="en-US"/>
              </w:rPr>
              <w:t>0.</w:t>
            </w:r>
            <w:r w:rsidRPr="001A0A01">
              <w:rPr>
                <w:spacing w:val="-2"/>
                <w:lang w:val="en-GB" w:eastAsia="en-US"/>
              </w:rPr>
              <w:t xml:space="preserve">11 </w:t>
            </w:r>
            <w:r w:rsidR="002F39EC">
              <w:rPr>
                <w:spacing w:val="-2"/>
                <w:lang w:val="en-GB" w:eastAsia="en-US"/>
              </w:rPr>
              <w:t>CZK</w:t>
            </w:r>
            <w:r w:rsidRPr="001A0A01">
              <w:rPr>
                <w:spacing w:val="-2"/>
                <w:lang w:val="en-GB" w:eastAsia="en-US"/>
              </w:rPr>
              <w:t xml:space="preserve"> (0.45%). During Q2, the exchange rate gradually strengthened from the level of 25.31 CZK/EUR to the value of 24.70 CZK/EUR during Q2, however weakened again during June and closed the quarter at 25.03 CZK/EUR. The koruna foreign exchange per dollar </w:t>
            </w:r>
            <w:r w:rsidR="006F19D3">
              <w:rPr>
                <w:spacing w:val="-2"/>
                <w:lang w:val="en-GB" w:eastAsia="en-US"/>
              </w:rPr>
              <w:t>also</w:t>
            </w:r>
            <w:r w:rsidRPr="001A0A01">
              <w:rPr>
                <w:spacing w:val="-2"/>
                <w:lang w:val="en-GB" w:eastAsia="en-US"/>
              </w:rPr>
              <w:t xml:space="preserve"> strengthened to 22.56 CZK/USD until the beginning of June, but subsequently weakened and reached 23.39 CZK/USD at the end of June. The average for the whole quarter was 23.18 CZK/USD and meant a year-on-year weakening of 1</w:t>
            </w:r>
            <w:r w:rsidR="002F39EC">
              <w:rPr>
                <w:spacing w:val="-2"/>
                <w:lang w:val="en-GB" w:eastAsia="en-US"/>
              </w:rPr>
              <w:t>.</w:t>
            </w:r>
            <w:r w:rsidRPr="001A0A01">
              <w:rPr>
                <w:spacing w:val="-2"/>
                <w:lang w:val="en-GB" w:eastAsia="en-US"/>
              </w:rPr>
              <w:t xml:space="preserve">51 CZK (6.95%) and a quarter-on-quarter weakening of </w:t>
            </w:r>
            <w:r w:rsidR="002F39EC">
              <w:rPr>
                <w:spacing w:val="-2"/>
                <w:lang w:val="en-GB" w:eastAsia="en-US"/>
              </w:rPr>
              <w:t>0.0</w:t>
            </w:r>
            <w:r w:rsidRPr="001A0A01">
              <w:rPr>
                <w:spacing w:val="-2"/>
                <w:lang w:val="en-GB" w:eastAsia="en-US"/>
              </w:rPr>
              <w:t>9</w:t>
            </w:r>
            <w:r w:rsidR="002F39EC">
              <w:rPr>
                <w:spacing w:val="-2"/>
                <w:lang w:val="en-GB" w:eastAsia="en-US"/>
              </w:rPr>
              <w:t xml:space="preserve"> CZK</w:t>
            </w:r>
            <w:r w:rsidRPr="001A0A01">
              <w:rPr>
                <w:spacing w:val="-2"/>
                <w:lang w:val="en-GB" w:eastAsia="en-US"/>
              </w:rPr>
              <w:t xml:space="preserve"> (0.39%). </w:t>
            </w:r>
            <w:bookmarkEnd w:id="1"/>
          </w:p>
        </w:tc>
      </w:tr>
      <w:tr w:rsidR="00E551F6" w:rsidRPr="001A0A01" w14:paraId="36241915" w14:textId="77777777" w:rsidTr="00E551F6">
        <w:trPr>
          <w:trHeight w:val="145"/>
        </w:trPr>
        <w:tc>
          <w:tcPr>
            <w:tcW w:w="1802" w:type="dxa"/>
          </w:tcPr>
          <w:p w14:paraId="16348A07" w14:textId="77777777" w:rsidR="00E551F6" w:rsidRPr="001A0A01" w:rsidRDefault="00E551F6" w:rsidP="00E551F6">
            <w:pPr>
              <w:pStyle w:val="Marginlie"/>
              <w:rPr>
                <w:lang w:val="en-GB" w:eastAsia="en-US"/>
              </w:rPr>
            </w:pPr>
            <w:bookmarkStart w:id="2" w:name="_Hlk179068678"/>
            <w:r w:rsidRPr="001A0A01">
              <w:rPr>
                <w:lang w:val="en-GB" w:eastAsia="en-US"/>
              </w:rPr>
              <w:t xml:space="preserve">Interest rates on government bonds were rising. </w:t>
            </w:r>
            <w:bookmarkEnd w:id="2"/>
          </w:p>
        </w:tc>
        <w:tc>
          <w:tcPr>
            <w:tcW w:w="229" w:type="dxa"/>
          </w:tcPr>
          <w:p w14:paraId="789FEAC8" w14:textId="77777777" w:rsidR="00E551F6" w:rsidRPr="001A0A01" w:rsidRDefault="00E551F6" w:rsidP="00E551F6">
            <w:pPr>
              <w:pStyle w:val="Textpoznpodarou"/>
              <w:jc w:val="both"/>
              <w:rPr>
                <w:spacing w:val="-4"/>
                <w:lang w:val="en-GB" w:eastAsia="en-US"/>
              </w:rPr>
            </w:pPr>
          </w:p>
        </w:tc>
        <w:tc>
          <w:tcPr>
            <w:tcW w:w="7610" w:type="dxa"/>
          </w:tcPr>
          <w:p w14:paraId="29FEFC5C" w14:textId="77777777" w:rsidR="00E551F6" w:rsidRPr="001A0A01" w:rsidRDefault="00E551F6" w:rsidP="00E551F6">
            <w:pPr>
              <w:rPr>
                <w:spacing w:val="-1"/>
                <w:lang w:val="en-GB" w:eastAsia="en-US"/>
              </w:rPr>
            </w:pPr>
            <w:r w:rsidRPr="001A0A01">
              <w:rPr>
                <w:spacing w:val="-1"/>
                <w:lang w:val="en-GB" w:eastAsia="en-US"/>
              </w:rPr>
              <w:t>Interest rates on the interbank market also reacted by decrease to the lowering of the monetary policy-relevant rates. Rates on deposits with shorter maturities fell the most significantly. The three-month PRIBOR rate thus decreased by 0.81</w:t>
            </w:r>
            <w:r w:rsidRPr="001A0A01">
              <w:rPr>
                <w:rStyle w:val="Znakapoznpodarou"/>
                <w:spacing w:val="-1"/>
                <w:lang w:val="en-GB" w:eastAsia="en-US"/>
              </w:rPr>
              <w:footnoteReference w:id="3"/>
            </w:r>
            <w:r w:rsidRPr="001A0A01">
              <w:rPr>
                <w:spacing w:val="-1"/>
                <w:lang w:val="en-GB" w:eastAsia="en-US"/>
              </w:rPr>
              <w:t xml:space="preserve"> p. p. to 5.03% during Q2, while the annual PRIBOR decreased by 0.23 p. p. to 4.57%. The interest rate on government bonds grew in Q2. The average interest rate on bonds with a maturity of up to two years increased by 0.49 p. p. to 4.22% at the end of June, medium-term bonds had an average interest rate of 4.12% (+0.56 p. p.) at the end of June, and interest on long-term bonds increased by 0.39 p. p. 4.21%.  </w:t>
            </w:r>
          </w:p>
        </w:tc>
      </w:tr>
      <w:tr w:rsidR="00E551F6" w:rsidRPr="001A0A01" w14:paraId="0AC9D42E" w14:textId="77777777" w:rsidTr="00E551F6">
        <w:trPr>
          <w:trHeight w:val="145"/>
        </w:trPr>
        <w:tc>
          <w:tcPr>
            <w:tcW w:w="1802" w:type="dxa"/>
          </w:tcPr>
          <w:p w14:paraId="21E3154B" w14:textId="77777777" w:rsidR="00E551F6" w:rsidRPr="001A0A01" w:rsidRDefault="00E551F6" w:rsidP="00E551F6">
            <w:pPr>
              <w:pStyle w:val="Marginlie"/>
              <w:rPr>
                <w:lang w:val="en-GB" w:eastAsia="en-US"/>
              </w:rPr>
            </w:pPr>
            <w:r w:rsidRPr="001A0A01">
              <w:rPr>
                <w:lang w:val="en-GB" w:eastAsia="en-US"/>
              </w:rPr>
              <w:t>The growth of term deposit volume slowed down.</w:t>
            </w:r>
          </w:p>
        </w:tc>
        <w:tc>
          <w:tcPr>
            <w:tcW w:w="229" w:type="dxa"/>
          </w:tcPr>
          <w:p w14:paraId="1FB4AFD8" w14:textId="77777777" w:rsidR="00E551F6" w:rsidRPr="001A0A01" w:rsidRDefault="00E551F6" w:rsidP="00E551F6">
            <w:pPr>
              <w:pStyle w:val="Textpoznpodarou"/>
              <w:jc w:val="both"/>
              <w:rPr>
                <w:spacing w:val="-4"/>
                <w:lang w:val="en-GB" w:eastAsia="en-US"/>
              </w:rPr>
            </w:pPr>
          </w:p>
        </w:tc>
        <w:tc>
          <w:tcPr>
            <w:tcW w:w="7610" w:type="dxa"/>
          </w:tcPr>
          <w:p w14:paraId="71CAC3E3" w14:textId="77777777" w:rsidR="00E551F6" w:rsidRPr="001A0A01" w:rsidRDefault="00E551F6" w:rsidP="00E551F6">
            <w:pPr>
              <w:rPr>
                <w:spacing w:val="-3"/>
                <w:lang w:val="en-GB" w:eastAsia="en-US"/>
              </w:rPr>
            </w:pPr>
            <w:bookmarkStart w:id="3" w:name="_Hlk179106981"/>
            <w:r w:rsidRPr="001A0A01">
              <w:rPr>
                <w:spacing w:val="-3"/>
                <w:lang w:val="en-GB" w:eastAsia="en-US"/>
              </w:rPr>
              <w:t>Interest rates on client deposits also fell in Q2. Rates on overnight deposits of households were still increasing in Q1, nevertheless fell by 0.27 p. p. to 1.43% during Q2. For current accounts, the average interest rate fell below the 0.2% level after six quarters. Deposits with agreed maturity were remunerated at an average of 4.30% (−0.87 p.p.) at the end of June. Non-financial businesses also faced an across-the-board decreases of interest rates on their accounts - current accounts experienced decrease of 0.17 p. p. to 0.81% and the average rate on deposits with agreed maturity fell by 0.83 p. p. to 4.56%. The total volume of deposits was by 6.5% higher, year-on-year, at the end of Q2 (445.5 bn CZK), which was the slowest pace since the end of year 2022. At the same time, both term and non-term deposits grew at a similar pace. Mainly households</w:t>
            </w:r>
            <w:r w:rsidRPr="001A0A01">
              <w:rPr>
                <w:rStyle w:val="Znakapoznpodarou"/>
                <w:spacing w:val="-3"/>
                <w:lang w:val="en-GB" w:eastAsia="en-US"/>
              </w:rPr>
              <w:footnoteReference w:id="4"/>
            </w:r>
            <w:r w:rsidRPr="001A0A01">
              <w:rPr>
                <w:spacing w:val="-3"/>
                <w:lang w:val="en-GB" w:eastAsia="en-US"/>
              </w:rPr>
              <w:t xml:space="preserve"> contributed to the year-on-year increase of deposits (+293.0 bn), followed by the general government (+113.3 bn).  </w:t>
            </w:r>
            <w:bookmarkEnd w:id="3"/>
          </w:p>
        </w:tc>
      </w:tr>
      <w:tr w:rsidR="00E551F6" w:rsidRPr="001A0A01" w14:paraId="65E0616C" w14:textId="77777777" w:rsidTr="00E551F6">
        <w:trPr>
          <w:trHeight w:val="145"/>
        </w:trPr>
        <w:tc>
          <w:tcPr>
            <w:tcW w:w="1802" w:type="dxa"/>
          </w:tcPr>
          <w:p w14:paraId="7BDD8DCC" w14:textId="77777777" w:rsidR="00E551F6" w:rsidRPr="001A0A01" w:rsidRDefault="00E551F6" w:rsidP="00E551F6">
            <w:pPr>
              <w:pStyle w:val="Marginlie"/>
              <w:rPr>
                <w:lang w:val="en-GB" w:eastAsia="en-US"/>
              </w:rPr>
            </w:pPr>
            <w:bookmarkStart w:id="4" w:name="_Hlk179108607"/>
            <w:r w:rsidRPr="001A0A01">
              <w:rPr>
                <w:lang w:val="en-GB" w:eastAsia="en-US"/>
              </w:rPr>
              <w:t xml:space="preserve">Interest rates on household consumer credit did not fall. </w:t>
            </w:r>
            <w:r w:rsidRPr="001A0A01">
              <w:rPr>
                <w:lang w:val="en-GB" w:eastAsia="en-US"/>
              </w:rPr>
              <w:br/>
              <w:t xml:space="preserve">A recovery in new mortgage loan agreements as well as a greater volume of renegotiations on new terms of existing contracts from previous years was evident. </w:t>
            </w:r>
            <w:bookmarkEnd w:id="4"/>
          </w:p>
        </w:tc>
        <w:tc>
          <w:tcPr>
            <w:tcW w:w="229" w:type="dxa"/>
          </w:tcPr>
          <w:p w14:paraId="7D95C7F0" w14:textId="77777777" w:rsidR="00E551F6" w:rsidRPr="001A0A01" w:rsidRDefault="00E551F6" w:rsidP="00E551F6">
            <w:pPr>
              <w:pStyle w:val="Textpoznpodarou"/>
              <w:jc w:val="both"/>
              <w:rPr>
                <w:spacing w:val="-4"/>
                <w:lang w:val="en-GB" w:eastAsia="en-US"/>
              </w:rPr>
            </w:pPr>
          </w:p>
        </w:tc>
        <w:tc>
          <w:tcPr>
            <w:tcW w:w="7610" w:type="dxa"/>
          </w:tcPr>
          <w:p w14:paraId="762433B3" w14:textId="77777777" w:rsidR="00E551F6" w:rsidRPr="001A0A01" w:rsidRDefault="00E551F6" w:rsidP="0032718D">
            <w:pPr>
              <w:spacing w:after="200"/>
              <w:rPr>
                <w:lang w:val="en-GB" w:eastAsia="en-US"/>
              </w:rPr>
            </w:pPr>
            <w:bookmarkStart w:id="5" w:name="_Hlk179108641"/>
            <w:bookmarkStart w:id="6" w:name="_Hlk179141216"/>
            <w:r w:rsidRPr="001A0A01">
              <w:rPr>
                <w:lang w:val="en-GB" w:eastAsia="en-US"/>
              </w:rPr>
              <w:t xml:space="preserve">The reduction of interest rates on household credit was significantly milder compared to deposit rates. Consumer credit had an average interest rate of 8.90% at the end of June and the rate thus increased slightly during Q2 (+0.07 p.p.). The volume of consumer credit provided went up by 8.7%, year on year. The average interest rate on mortgages fell slightly (−0.16 p. p.) and the rate reached 5.00% at the end of June. The interest rate decreased the most for mortgages with the shortest fixation period (−0.26 p.p.) and for fixation periods between 5 and 10 years (−0.24 p.p.). The volume of mortgages provided rose by 3.5%, year on year, slowing down. The slowdown was mainly due to mortgage loans (3.2% was the slightest increase in the entire time series available since year 1997). </w:t>
            </w:r>
            <w:bookmarkEnd w:id="5"/>
            <w:bookmarkEnd w:id="6"/>
            <w:r w:rsidRPr="001A0A01">
              <w:rPr>
                <w:lang w:val="en-GB" w:eastAsia="en-US"/>
              </w:rPr>
              <w:t xml:space="preserve">The volume of credit from building society accounts </w:t>
            </w:r>
            <w:r w:rsidRPr="001A0A01">
              <w:rPr>
                <w:lang w:val="en-GB" w:eastAsia="en-US"/>
              </w:rPr>
              <w:lastRenderedPageBreak/>
              <w:t>continued to grow at a double-digit rate (30.9%)</w:t>
            </w:r>
            <w:r w:rsidRPr="001A0A01">
              <w:rPr>
                <w:rStyle w:val="Znakapoznpodarou"/>
                <w:lang w:val="en-GB" w:eastAsia="en-US"/>
              </w:rPr>
              <w:footnoteReference w:id="5"/>
            </w:r>
            <w:r w:rsidRPr="001A0A01">
              <w:rPr>
                <w:lang w:val="en-GB" w:eastAsia="en-US"/>
              </w:rPr>
              <w:t>, year on year. Recurred recovery could be observed in new mortgage loans</w:t>
            </w:r>
            <w:r w:rsidRPr="001A0A01">
              <w:rPr>
                <w:rStyle w:val="Znakapoznpodarou"/>
                <w:lang w:val="en-GB" w:eastAsia="en-US"/>
              </w:rPr>
              <w:footnoteReference w:id="6"/>
            </w:r>
            <w:r w:rsidRPr="001A0A01">
              <w:rPr>
                <w:lang w:val="en-GB" w:eastAsia="en-US"/>
              </w:rPr>
              <w:t>, driven mainly by net new loans. The value of new contracts concluded in Q2 amounted to 116.6 bn CZK. In that, net new loans, including extension comprised 54.5 bn CZK (+26.5 bn, year-on-year, 19.7 bn CZK, quarter-on-quarter) and other new contracts attained the volume of 54.2 bn CZK (+9.2 bn CZK, year-on-year, +13.1 bn, quarter-on-quarter). Refinanced loans accounted for 7.9 bn CZK from new contracts, up by 3.7 bn CZK, year-on-year, and 2.1 bn CZK, quarter-on-quarter. Apart from the revival of the mortgage market, it is apparent that credit concluded during the period of peak interest in 2021, when interest rates were significantly lower than at present, have reached the stage of negotiating new fixations.</w:t>
            </w:r>
          </w:p>
        </w:tc>
      </w:tr>
      <w:tr w:rsidR="006F19D3" w:rsidRPr="001A0A01" w14:paraId="267EB4E3" w14:textId="77777777" w:rsidTr="006F19D3">
        <w:trPr>
          <w:trHeight w:val="170"/>
        </w:trPr>
        <w:tc>
          <w:tcPr>
            <w:tcW w:w="1802" w:type="dxa"/>
            <w:vMerge w:val="restart"/>
          </w:tcPr>
          <w:p w14:paraId="527978D8" w14:textId="228ECCCD" w:rsidR="006F19D3" w:rsidRPr="001A0A01" w:rsidRDefault="006F19D3" w:rsidP="006F19D3">
            <w:pPr>
              <w:pStyle w:val="Marginlie"/>
              <w:rPr>
                <w:lang w:val="en-GB" w:eastAsia="en-US"/>
              </w:rPr>
            </w:pPr>
          </w:p>
        </w:tc>
        <w:tc>
          <w:tcPr>
            <w:tcW w:w="229" w:type="dxa"/>
            <w:vMerge w:val="restart"/>
          </w:tcPr>
          <w:p w14:paraId="191DCFA3" w14:textId="77777777" w:rsidR="006F19D3" w:rsidRPr="001A0A01" w:rsidRDefault="006F19D3" w:rsidP="006F19D3">
            <w:pPr>
              <w:pStyle w:val="Textpoznpodarou"/>
              <w:jc w:val="both"/>
              <w:rPr>
                <w:spacing w:val="-4"/>
                <w:lang w:val="en-GB" w:eastAsia="en-US"/>
              </w:rPr>
            </w:pPr>
          </w:p>
        </w:tc>
        <w:tc>
          <w:tcPr>
            <w:tcW w:w="7610" w:type="dxa"/>
          </w:tcPr>
          <w:p w14:paraId="27B35989" w14:textId="5B95F2C1" w:rsidR="006F19D3" w:rsidRPr="001A0A01" w:rsidRDefault="006F19D3" w:rsidP="006F19D3">
            <w:pPr>
              <w:spacing w:after="0"/>
              <w:rPr>
                <w:lang w:val="en-GB" w:eastAsia="en-US"/>
              </w:rPr>
            </w:pPr>
            <w:r w:rsidRPr="001A0A01">
              <w:rPr>
                <w:rFonts w:cs="Arial"/>
                <w:b/>
                <w:bCs/>
                <w:color w:val="000000"/>
                <w:szCs w:val="20"/>
                <w:lang w:val="en-GB" w:eastAsia="en-US"/>
              </w:rPr>
              <w:t xml:space="preserve">Chart 16 </w:t>
            </w:r>
            <w:r w:rsidRPr="001A0A01">
              <w:rPr>
                <w:b/>
                <w:spacing w:val="-4"/>
                <w:szCs w:val="20"/>
                <w:lang w:val="en-GB" w:eastAsia="en-US"/>
              </w:rPr>
              <w:t xml:space="preserve">Market interest rates </w:t>
            </w:r>
            <w:r w:rsidRPr="001A0A01">
              <w:rPr>
                <w:bCs/>
                <w:spacing w:val="-4"/>
                <w:szCs w:val="20"/>
                <w:lang w:val="en-GB" w:eastAsia="en-US"/>
              </w:rPr>
              <w:t>(in %)</w:t>
            </w:r>
          </w:p>
        </w:tc>
      </w:tr>
      <w:tr w:rsidR="006F19D3" w:rsidRPr="001A0A01" w14:paraId="1948EC62" w14:textId="77777777" w:rsidTr="00E551F6">
        <w:trPr>
          <w:trHeight w:val="170"/>
        </w:trPr>
        <w:tc>
          <w:tcPr>
            <w:tcW w:w="1802" w:type="dxa"/>
            <w:vMerge/>
          </w:tcPr>
          <w:p w14:paraId="313BD10B" w14:textId="77777777" w:rsidR="006F19D3" w:rsidRDefault="006F19D3" w:rsidP="006F19D3">
            <w:pPr>
              <w:pStyle w:val="Marginlie"/>
              <w:rPr>
                <w:lang w:val="en-GB" w:eastAsia="en-US"/>
              </w:rPr>
            </w:pPr>
          </w:p>
        </w:tc>
        <w:tc>
          <w:tcPr>
            <w:tcW w:w="229" w:type="dxa"/>
            <w:vMerge/>
          </w:tcPr>
          <w:p w14:paraId="5ECF4DAA" w14:textId="77777777" w:rsidR="006F19D3" w:rsidRPr="001A0A01" w:rsidRDefault="006F19D3" w:rsidP="006F19D3">
            <w:pPr>
              <w:pStyle w:val="Textpoznpodarou"/>
              <w:jc w:val="both"/>
              <w:rPr>
                <w:spacing w:val="-4"/>
                <w:lang w:val="en-GB" w:eastAsia="en-US"/>
              </w:rPr>
            </w:pPr>
          </w:p>
        </w:tc>
        <w:tc>
          <w:tcPr>
            <w:tcW w:w="7610" w:type="dxa"/>
          </w:tcPr>
          <w:p w14:paraId="51E35536" w14:textId="1E715700" w:rsidR="006F19D3" w:rsidRDefault="006F19D3" w:rsidP="006F19D3">
            <w:pPr>
              <w:spacing w:after="0"/>
              <w:rPr>
                <w:lang w:val="en-GB" w:eastAsia="en-US"/>
              </w:rPr>
            </w:pPr>
            <w:r>
              <w:rPr>
                <w:noProof/>
              </w:rPr>
              <w:drawing>
                <wp:inline distT="0" distB="0" distL="0" distR="0" wp14:anchorId="7D235687" wp14:editId="7E359E1C">
                  <wp:extent cx="4733925" cy="3362325"/>
                  <wp:effectExtent l="0" t="0" r="0" b="0"/>
                  <wp:docPr id="15" name="Graf 15">
                    <a:extLst xmlns:a="http://schemas.openxmlformats.org/drawingml/2006/main">
                      <a:ext uri="{FF2B5EF4-FFF2-40B4-BE49-F238E27FC236}">
                        <a16:creationId xmlns:a16="http://schemas.microsoft.com/office/drawing/2014/main" id="{00000000-0008-0000-09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6F19D3" w:rsidRPr="001A0A01" w14:paraId="07F848E5" w14:textId="77777777" w:rsidTr="00E551F6">
        <w:trPr>
          <w:trHeight w:val="170"/>
        </w:trPr>
        <w:tc>
          <w:tcPr>
            <w:tcW w:w="1802" w:type="dxa"/>
            <w:vMerge/>
          </w:tcPr>
          <w:p w14:paraId="1DA1376E" w14:textId="77777777" w:rsidR="006F19D3" w:rsidRDefault="006F19D3" w:rsidP="006F19D3">
            <w:pPr>
              <w:pStyle w:val="Marginlie"/>
              <w:rPr>
                <w:lang w:val="en-GB" w:eastAsia="en-US"/>
              </w:rPr>
            </w:pPr>
          </w:p>
        </w:tc>
        <w:tc>
          <w:tcPr>
            <w:tcW w:w="229" w:type="dxa"/>
            <w:vMerge/>
          </w:tcPr>
          <w:p w14:paraId="4CD849E8" w14:textId="77777777" w:rsidR="006F19D3" w:rsidRPr="001A0A01" w:rsidRDefault="006F19D3" w:rsidP="006F19D3">
            <w:pPr>
              <w:pStyle w:val="Textpoznpodarou"/>
              <w:jc w:val="both"/>
              <w:rPr>
                <w:spacing w:val="-4"/>
                <w:lang w:val="en-GB" w:eastAsia="en-US"/>
              </w:rPr>
            </w:pPr>
          </w:p>
        </w:tc>
        <w:tc>
          <w:tcPr>
            <w:tcW w:w="7610" w:type="dxa"/>
          </w:tcPr>
          <w:p w14:paraId="2098260B" w14:textId="664831B7" w:rsidR="006F19D3" w:rsidRDefault="006F19D3" w:rsidP="0032718D">
            <w:pPr>
              <w:spacing w:after="200"/>
              <w:rPr>
                <w:lang w:val="en-GB" w:eastAsia="en-US"/>
              </w:rPr>
            </w:pPr>
            <w:r w:rsidRPr="001A0A01">
              <w:rPr>
                <w:sz w:val="14"/>
                <w:szCs w:val="14"/>
                <w:lang w:val="en-GB" w:eastAsia="en-US"/>
              </w:rPr>
              <w:t>Source: ARAD, CNB</w:t>
            </w:r>
          </w:p>
        </w:tc>
      </w:tr>
      <w:tr w:rsidR="00E551F6" w:rsidRPr="001A0A01" w14:paraId="7D4E893B" w14:textId="77777777" w:rsidTr="00E551F6">
        <w:trPr>
          <w:trHeight w:val="145"/>
        </w:trPr>
        <w:tc>
          <w:tcPr>
            <w:tcW w:w="1802" w:type="dxa"/>
          </w:tcPr>
          <w:p w14:paraId="6C064EC3" w14:textId="77777777" w:rsidR="00E551F6" w:rsidRPr="001A0A01" w:rsidRDefault="00E551F6" w:rsidP="00E551F6">
            <w:pPr>
              <w:pStyle w:val="Marginlie"/>
              <w:rPr>
                <w:lang w:val="en-GB" w:eastAsia="en-US"/>
              </w:rPr>
            </w:pPr>
            <w:r w:rsidRPr="001A0A01">
              <w:rPr>
                <w:lang w:val="en-GB" w:eastAsia="en-US"/>
              </w:rPr>
              <w:t xml:space="preserve">Interest in foreign currency credit diminished at non-financial businesses. </w:t>
            </w:r>
          </w:p>
        </w:tc>
        <w:tc>
          <w:tcPr>
            <w:tcW w:w="229" w:type="dxa"/>
          </w:tcPr>
          <w:p w14:paraId="49088992" w14:textId="77777777" w:rsidR="00E551F6" w:rsidRPr="001A0A01" w:rsidRDefault="00E551F6" w:rsidP="00E551F6">
            <w:pPr>
              <w:pStyle w:val="Textpoznpodarou"/>
              <w:jc w:val="both"/>
              <w:rPr>
                <w:spacing w:val="-4"/>
                <w:lang w:val="en-GB" w:eastAsia="en-US"/>
              </w:rPr>
            </w:pPr>
          </w:p>
        </w:tc>
        <w:tc>
          <w:tcPr>
            <w:tcW w:w="7610" w:type="dxa"/>
          </w:tcPr>
          <w:p w14:paraId="67929442" w14:textId="77777777" w:rsidR="00E551F6" w:rsidRPr="001A0A01" w:rsidRDefault="00E551F6" w:rsidP="005C159F">
            <w:pPr>
              <w:spacing w:after="0"/>
              <w:rPr>
                <w:lang w:val="en-GB" w:eastAsia="en-US"/>
              </w:rPr>
            </w:pPr>
            <w:bookmarkStart w:id="8" w:name="_Hlk179145127"/>
            <w:r w:rsidRPr="001A0A01">
              <w:rPr>
                <w:lang w:val="en-GB" w:eastAsia="en-US"/>
              </w:rPr>
              <w:t>Interest rates on credit to non-financial businesses fell the most sharply in the category of credit over 30 million CZK (−0.83 p. p. to 6.92%). At the end of June, credit between 7.5 million CZK and 30 million CZK had an average interest rate of 6.96% (−0.68 p.p.) and those up to 7.5 million CZK 6.94% (−0.52 p.p.). The total volume of credit and liabilities of non-financial businesses was 7.2% higher, year on year, at the end of June. The fast growth of credit provided in foreign currency</w:t>
            </w:r>
            <w:r w:rsidRPr="001A0A01">
              <w:rPr>
                <w:rStyle w:val="Znakapoznpodarou"/>
                <w:lang w:val="en-GB" w:eastAsia="en-US"/>
              </w:rPr>
              <w:footnoteReference w:id="7"/>
            </w:r>
            <w:r w:rsidRPr="001A0A01">
              <w:rPr>
                <w:lang w:val="en-GB" w:eastAsia="en-US"/>
              </w:rPr>
              <w:t xml:space="preserve"> slowed down (14.8%) and the year-on-year slump of credit in CZK halte</w:t>
            </w:r>
            <w:bookmarkStart w:id="9" w:name="_GoBack"/>
            <w:bookmarkEnd w:id="9"/>
            <w:r w:rsidRPr="001A0A01">
              <w:rPr>
                <w:lang w:val="en-GB" w:eastAsia="en-US"/>
              </w:rPr>
              <w:t>d (0.1%). The share of credit denominated in foreign currency to the total volume of credit decreased slightly to 51.7%. At the end of the quarter, the volume of credit increased the most, year-on-year, in information and communication (18.9%), professional, scientific, technical and administrative activities (15.1%), real estate activities (12.3%), financial and insurance activities (12.2%) and in accommodation, food service and restaurants (11.1%). The volume of credit provided in mining and quarrying (−6.1%) and in the generation and distribution of electricity, gas, heat, air, water and wastewater (−5.8%) was lower, year-on-year</w:t>
            </w:r>
            <w:bookmarkStart w:id="10" w:name="_Hlk179147536"/>
            <w:r w:rsidRPr="001A0A01">
              <w:rPr>
                <w:lang w:val="en-GB" w:eastAsia="en-US"/>
              </w:rPr>
              <w:t xml:space="preserve">.  </w:t>
            </w:r>
            <w:bookmarkEnd w:id="8"/>
            <w:bookmarkEnd w:id="10"/>
          </w:p>
        </w:tc>
      </w:tr>
    </w:tbl>
    <w:p w14:paraId="2143296F" w14:textId="75BBE336" w:rsidR="00A50D73" w:rsidRPr="0032718D" w:rsidRDefault="00A50D73" w:rsidP="0032718D">
      <w:pPr>
        <w:pStyle w:val="Nadpis1"/>
        <w:rPr>
          <w:sz w:val="2"/>
          <w:szCs w:val="2"/>
        </w:rPr>
      </w:pPr>
    </w:p>
    <w:sectPr w:rsidR="00A50D73" w:rsidRPr="0032718D" w:rsidSect="006F5416">
      <w:headerReference w:type="even" r:id="rId12"/>
      <w:headerReference w:type="default" r:id="rId13"/>
      <w:footerReference w:type="even" r:id="rId14"/>
      <w:footerReference w:type="default" r:id="rId15"/>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88BB7" w14:textId="77777777" w:rsidR="00AF6E46" w:rsidRDefault="00AF6E46" w:rsidP="00E71A58">
      <w:r>
        <w:separator/>
      </w:r>
    </w:p>
  </w:endnote>
  <w:endnote w:type="continuationSeparator" w:id="0">
    <w:p w14:paraId="09CE51AE" w14:textId="77777777" w:rsidR="00AF6E46" w:rsidRDefault="00AF6E46" w:rsidP="00E71A58">
      <w:r>
        <w:continuationSeparator/>
      </w:r>
    </w:p>
  </w:endnote>
  <w:endnote w:type="continuationNotice" w:id="1">
    <w:p w14:paraId="2D0CDCE1" w14:textId="77777777" w:rsidR="00AF6E46" w:rsidRDefault="00AF6E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77E92B74" w:rsidR="00165465" w:rsidRPr="00932443" w:rsidRDefault="00165465"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32718D">
      <w:rPr>
        <w:szCs w:val="16"/>
      </w:rPr>
      <w:t>2</w:t>
    </w:r>
    <w:r w:rsidRPr="00932443">
      <w:rPr>
        <w:szCs w:val="16"/>
      </w:rPr>
      <w:fldChar w:fldCharType="end"/>
    </w:r>
    <w:r w:rsidRPr="00932443">
      <w:rPr>
        <w:szCs w:val="16"/>
      </w:rPr>
      <w:tab/>
    </w:r>
    <w:r>
      <w:rPr>
        <w:szCs w:val="16"/>
      </w:rPr>
      <w:t>First half of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1F6440AC" w:rsidR="00165465" w:rsidRPr="00932443" w:rsidRDefault="00165465"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First half of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AF6E46">
      <w:rPr>
        <w:rStyle w:val="ZpatChar"/>
        <w:szCs w:val="16"/>
      </w:rPr>
      <w:t>1</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3CE0E" w14:textId="77777777" w:rsidR="00AF6E46" w:rsidRDefault="00AF6E46" w:rsidP="00EA4302">
      <w:pPr>
        <w:spacing w:after="0"/>
      </w:pPr>
      <w:r>
        <w:separator/>
      </w:r>
    </w:p>
  </w:footnote>
  <w:footnote w:type="continuationSeparator" w:id="0">
    <w:p w14:paraId="7A8E4D8B" w14:textId="77777777" w:rsidR="00AF6E46" w:rsidRDefault="00AF6E46" w:rsidP="00E71A58">
      <w:r>
        <w:continuationSeparator/>
      </w:r>
    </w:p>
  </w:footnote>
  <w:footnote w:type="continuationNotice" w:id="1">
    <w:p w14:paraId="38071791" w14:textId="77777777" w:rsidR="00AF6E46" w:rsidRDefault="00AF6E46">
      <w:pPr>
        <w:spacing w:after="0" w:line="240" w:lineRule="auto"/>
      </w:pPr>
    </w:p>
  </w:footnote>
  <w:footnote w:id="2">
    <w:p w14:paraId="18F1E927" w14:textId="77777777" w:rsidR="00165465" w:rsidRPr="009E160F" w:rsidRDefault="00165465" w:rsidP="00E551F6">
      <w:pPr>
        <w:pStyle w:val="Textpoznpodarou"/>
        <w:jc w:val="both"/>
        <w:rPr>
          <w:sz w:val="16"/>
          <w:szCs w:val="16"/>
          <w:lang w:val="en-GB"/>
        </w:rPr>
      </w:pPr>
      <w:r>
        <w:rPr>
          <w:rStyle w:val="Znakapoznpodarou"/>
          <w:sz w:val="16"/>
          <w:szCs w:val="16"/>
        </w:rPr>
        <w:footnoteRef/>
      </w:r>
      <w:r>
        <w:rPr>
          <w:sz w:val="16"/>
          <w:szCs w:val="16"/>
        </w:rPr>
        <w:t xml:space="preserve"> </w:t>
      </w:r>
      <w:r w:rsidRPr="00C54F83">
        <w:rPr>
          <w:sz w:val="16"/>
          <w:szCs w:val="16"/>
        </w:rPr>
        <w:t>Unless stated otherwise, the source of data in the chapter is the Czech National Bank database ARAD. Values of foreign exchange rates also stem from the CNB.</w:t>
      </w:r>
      <w:r>
        <w:rPr>
          <w:sz w:val="16"/>
          <w:szCs w:val="16"/>
        </w:rPr>
        <w:t xml:space="preserve"> </w:t>
      </w:r>
    </w:p>
  </w:footnote>
  <w:footnote w:id="3">
    <w:p w14:paraId="138A45DA" w14:textId="1B56749C" w:rsidR="00165465" w:rsidRPr="009E160F" w:rsidRDefault="00165465" w:rsidP="00E551F6">
      <w:pPr>
        <w:pStyle w:val="Textpoznpodarou"/>
        <w:jc w:val="both"/>
        <w:rPr>
          <w:sz w:val="16"/>
          <w:szCs w:val="16"/>
          <w:lang w:val="en-GB"/>
        </w:rPr>
      </w:pPr>
      <w:r w:rsidRPr="009E160F">
        <w:rPr>
          <w:rStyle w:val="Znakapoznpodarou"/>
          <w:sz w:val="16"/>
          <w:szCs w:val="16"/>
          <w:lang w:val="en-GB"/>
        </w:rPr>
        <w:footnoteRef/>
      </w:r>
      <w:r w:rsidRPr="009E160F">
        <w:rPr>
          <w:sz w:val="16"/>
          <w:szCs w:val="16"/>
          <w:lang w:val="en-GB"/>
        </w:rPr>
        <w:t xml:space="preserve"> </w:t>
      </w:r>
      <w:r w:rsidRPr="00C54F83">
        <w:rPr>
          <w:sz w:val="16"/>
          <w:szCs w:val="16"/>
          <w:lang w:val="en-GB"/>
        </w:rPr>
        <w:t>Unless stated otherwise, as the change of interest rates is meant the difference between value as of 3</w:t>
      </w:r>
      <w:r>
        <w:rPr>
          <w:sz w:val="16"/>
          <w:szCs w:val="16"/>
          <w:lang w:val="en-GB"/>
        </w:rPr>
        <w:t>0</w:t>
      </w:r>
      <w:r w:rsidRPr="00C54F83">
        <w:rPr>
          <w:sz w:val="16"/>
          <w:szCs w:val="16"/>
          <w:vertAlign w:val="superscript"/>
          <w:lang w:val="en-GB"/>
        </w:rPr>
        <w:t>rd</w:t>
      </w:r>
      <w:r w:rsidRPr="00C54F83">
        <w:rPr>
          <w:sz w:val="16"/>
          <w:szCs w:val="16"/>
          <w:lang w:val="en-GB"/>
        </w:rPr>
        <w:t xml:space="preserve"> </w:t>
      </w:r>
      <w:r>
        <w:rPr>
          <w:sz w:val="16"/>
          <w:szCs w:val="16"/>
          <w:lang w:val="en-GB"/>
        </w:rPr>
        <w:t>June</w:t>
      </w:r>
      <w:r w:rsidRPr="00C54F83">
        <w:rPr>
          <w:sz w:val="16"/>
          <w:szCs w:val="16"/>
          <w:lang w:val="en-GB"/>
        </w:rPr>
        <w:t xml:space="preserve"> and 3</w:t>
      </w:r>
      <w:r>
        <w:rPr>
          <w:sz w:val="16"/>
          <w:szCs w:val="16"/>
          <w:lang w:val="en-GB"/>
        </w:rPr>
        <w:t>1</w:t>
      </w:r>
      <w:r w:rsidRPr="00C54F83">
        <w:rPr>
          <w:sz w:val="16"/>
          <w:szCs w:val="16"/>
          <w:vertAlign w:val="superscript"/>
          <w:lang w:val="en-GB"/>
        </w:rPr>
        <w:t>s</w:t>
      </w:r>
      <w:r>
        <w:rPr>
          <w:sz w:val="16"/>
          <w:szCs w:val="16"/>
          <w:vertAlign w:val="superscript"/>
          <w:lang w:val="en-GB"/>
        </w:rPr>
        <w:t>t</w:t>
      </w:r>
      <w:r w:rsidRPr="00C54F83">
        <w:rPr>
          <w:sz w:val="16"/>
          <w:szCs w:val="16"/>
          <w:lang w:val="en-GB"/>
        </w:rPr>
        <w:t xml:space="preserve"> </w:t>
      </w:r>
      <w:r>
        <w:rPr>
          <w:sz w:val="16"/>
          <w:szCs w:val="16"/>
          <w:lang w:val="en-GB"/>
        </w:rPr>
        <w:t xml:space="preserve">March </w:t>
      </w:r>
      <w:r w:rsidRPr="00C54F83">
        <w:rPr>
          <w:sz w:val="16"/>
          <w:szCs w:val="16"/>
          <w:lang w:val="en-GB"/>
        </w:rPr>
        <w:t>202</w:t>
      </w:r>
      <w:r>
        <w:rPr>
          <w:sz w:val="16"/>
          <w:szCs w:val="16"/>
          <w:lang w:val="en-GB"/>
        </w:rPr>
        <w:t>4</w:t>
      </w:r>
      <w:r w:rsidRPr="00C54F83">
        <w:rPr>
          <w:sz w:val="16"/>
          <w:szCs w:val="16"/>
          <w:lang w:val="en-GB"/>
        </w:rPr>
        <w:t>.</w:t>
      </w:r>
      <w:r>
        <w:rPr>
          <w:sz w:val="16"/>
          <w:szCs w:val="16"/>
          <w:lang w:val="en-GB"/>
        </w:rPr>
        <w:t xml:space="preserve"> </w:t>
      </w:r>
    </w:p>
  </w:footnote>
  <w:footnote w:id="4">
    <w:p w14:paraId="3AA67704" w14:textId="77777777" w:rsidR="00165465" w:rsidRPr="009E160F" w:rsidRDefault="00165465" w:rsidP="00E551F6">
      <w:pPr>
        <w:pStyle w:val="Textpoznpodarou"/>
        <w:jc w:val="both"/>
        <w:rPr>
          <w:sz w:val="16"/>
          <w:szCs w:val="16"/>
          <w:lang w:val="en-GB"/>
        </w:rPr>
      </w:pPr>
      <w:r w:rsidRPr="009E160F">
        <w:rPr>
          <w:rStyle w:val="Znakapoznpodarou"/>
          <w:sz w:val="16"/>
          <w:szCs w:val="16"/>
          <w:lang w:val="en-GB"/>
        </w:rPr>
        <w:footnoteRef/>
      </w:r>
      <w:r w:rsidRPr="009E160F">
        <w:rPr>
          <w:sz w:val="16"/>
          <w:szCs w:val="16"/>
          <w:lang w:val="en-GB"/>
        </w:rPr>
        <w:t xml:space="preserve"> </w:t>
      </w:r>
      <w:r>
        <w:rPr>
          <w:sz w:val="16"/>
          <w:szCs w:val="16"/>
          <w:lang w:val="en-GB"/>
        </w:rPr>
        <w:t xml:space="preserve">Population including self-employed persons. </w:t>
      </w:r>
    </w:p>
  </w:footnote>
  <w:footnote w:id="5">
    <w:p w14:paraId="1F309E7C" w14:textId="77777777" w:rsidR="00165465" w:rsidRPr="00DF7E1D" w:rsidRDefault="00165465" w:rsidP="00E551F6">
      <w:pPr>
        <w:pStyle w:val="Textpoznpodarou"/>
        <w:jc w:val="both"/>
        <w:rPr>
          <w:sz w:val="16"/>
          <w:szCs w:val="16"/>
          <w:lang w:val="en-GB"/>
        </w:rPr>
      </w:pPr>
      <w:r w:rsidRPr="00A90EF9">
        <w:rPr>
          <w:rStyle w:val="Znakapoznpodarou"/>
          <w:sz w:val="16"/>
          <w:szCs w:val="16"/>
        </w:rPr>
        <w:footnoteRef/>
      </w:r>
      <w:r w:rsidRPr="00A90EF9">
        <w:rPr>
          <w:sz w:val="16"/>
          <w:szCs w:val="16"/>
        </w:rPr>
        <w:t xml:space="preserve"> </w:t>
      </w:r>
      <w:r w:rsidRPr="007B0F9E">
        <w:rPr>
          <w:sz w:val="16"/>
          <w:szCs w:val="16"/>
        </w:rPr>
        <w:t xml:space="preserve">Building savings loans have maintained a double-digit pace since the end of 2022, </w:t>
      </w:r>
      <w:r>
        <w:rPr>
          <w:sz w:val="16"/>
          <w:szCs w:val="16"/>
        </w:rPr>
        <w:t xml:space="preserve">the </w:t>
      </w:r>
      <w:r w:rsidRPr="007B0F9E">
        <w:rPr>
          <w:sz w:val="16"/>
          <w:szCs w:val="16"/>
        </w:rPr>
        <w:t xml:space="preserve">increase </w:t>
      </w:r>
      <w:r>
        <w:rPr>
          <w:sz w:val="16"/>
          <w:szCs w:val="16"/>
        </w:rPr>
        <w:t xml:space="preserve">is </w:t>
      </w:r>
      <w:r w:rsidRPr="007B0F9E">
        <w:rPr>
          <w:sz w:val="16"/>
          <w:szCs w:val="16"/>
        </w:rPr>
        <w:t xml:space="preserve">more than 30% for the third time in a row. </w:t>
      </w:r>
      <w:r>
        <w:rPr>
          <w:sz w:val="16"/>
          <w:szCs w:val="16"/>
        </w:rPr>
        <w:t xml:space="preserve">Credit from the building </w:t>
      </w:r>
      <w:r w:rsidRPr="00DF7E1D">
        <w:rPr>
          <w:sz w:val="16"/>
          <w:szCs w:val="16"/>
          <w:lang w:val="en-GB"/>
        </w:rPr>
        <w:t xml:space="preserve">society accounts, for which the maximum interest rate is </w:t>
      </w:r>
      <w:r>
        <w:rPr>
          <w:sz w:val="16"/>
          <w:szCs w:val="16"/>
          <w:lang w:val="en-GB"/>
        </w:rPr>
        <w:t xml:space="preserve">restricted </w:t>
      </w:r>
      <w:r w:rsidRPr="00DF7E1D">
        <w:rPr>
          <w:sz w:val="16"/>
          <w:szCs w:val="16"/>
          <w:lang w:val="en-GB"/>
        </w:rPr>
        <w:t>by law</w:t>
      </w:r>
      <w:r>
        <w:rPr>
          <w:sz w:val="16"/>
          <w:szCs w:val="16"/>
          <w:lang w:val="en-GB"/>
        </w:rPr>
        <w:t xml:space="preserve">, </w:t>
      </w:r>
      <w:r w:rsidRPr="00DF7E1D">
        <w:rPr>
          <w:sz w:val="16"/>
          <w:szCs w:val="16"/>
          <w:lang w:val="en-GB"/>
        </w:rPr>
        <w:t>have become a more advantageous financing instrument for borrowers compared to mortgage loans</w:t>
      </w:r>
      <w:r>
        <w:rPr>
          <w:sz w:val="16"/>
          <w:szCs w:val="16"/>
          <w:lang w:val="en-GB"/>
        </w:rPr>
        <w:t xml:space="preserve">. </w:t>
      </w:r>
      <w:r w:rsidRPr="00DF7E1D">
        <w:rPr>
          <w:sz w:val="16"/>
          <w:szCs w:val="16"/>
          <w:lang w:val="en-GB"/>
        </w:rPr>
        <w:t xml:space="preserve"> </w:t>
      </w:r>
    </w:p>
  </w:footnote>
  <w:footnote w:id="6">
    <w:p w14:paraId="273CC035" w14:textId="77777777" w:rsidR="00165465" w:rsidRPr="00A44252" w:rsidRDefault="00165465" w:rsidP="00E551F6">
      <w:pPr>
        <w:pStyle w:val="Textpoznpodarou"/>
        <w:jc w:val="both"/>
        <w:rPr>
          <w:sz w:val="16"/>
          <w:szCs w:val="16"/>
          <w:lang w:val="en-GB"/>
        </w:rPr>
      </w:pPr>
      <w:r w:rsidRPr="00DF7E1D">
        <w:rPr>
          <w:rStyle w:val="Znakapoznpodarou"/>
          <w:sz w:val="16"/>
          <w:szCs w:val="16"/>
          <w:lang w:val="en-GB"/>
        </w:rPr>
        <w:footnoteRef/>
      </w:r>
      <w:r w:rsidRPr="00DF7E1D">
        <w:rPr>
          <w:sz w:val="16"/>
          <w:szCs w:val="16"/>
          <w:lang w:val="en-GB"/>
        </w:rPr>
        <w:t xml:space="preserve"> </w:t>
      </w:r>
      <w:bookmarkStart w:id="7" w:name="_Hlk179149199"/>
      <w:r w:rsidRPr="0011434B">
        <w:rPr>
          <w:sz w:val="16"/>
          <w:szCs w:val="16"/>
          <w:lang w:val="en-GB"/>
        </w:rPr>
        <w:t xml:space="preserve">The new contracts also include </w:t>
      </w:r>
      <w:r>
        <w:rPr>
          <w:sz w:val="16"/>
          <w:szCs w:val="16"/>
          <w:lang w:val="en-GB"/>
        </w:rPr>
        <w:t xml:space="preserve">the </w:t>
      </w:r>
      <w:r w:rsidRPr="0011434B">
        <w:rPr>
          <w:sz w:val="16"/>
          <w:szCs w:val="16"/>
          <w:lang w:val="en-GB"/>
        </w:rPr>
        <w:t xml:space="preserve">refinanced </w:t>
      </w:r>
      <w:r>
        <w:rPr>
          <w:sz w:val="16"/>
          <w:szCs w:val="16"/>
          <w:lang w:val="en-GB"/>
        </w:rPr>
        <w:t xml:space="preserve">credit </w:t>
      </w:r>
      <w:r w:rsidRPr="0011434B">
        <w:rPr>
          <w:sz w:val="16"/>
          <w:szCs w:val="16"/>
          <w:lang w:val="en-GB"/>
        </w:rPr>
        <w:t>and other arrangements.</w:t>
      </w:r>
      <w:r>
        <w:rPr>
          <w:sz w:val="16"/>
          <w:szCs w:val="16"/>
          <w:lang w:val="en-GB"/>
        </w:rPr>
        <w:t xml:space="preserve"> </w:t>
      </w:r>
      <w:r w:rsidRPr="00D252F5">
        <w:rPr>
          <w:sz w:val="16"/>
          <w:szCs w:val="16"/>
          <w:lang w:val="en-GB"/>
        </w:rPr>
        <w:t>Refinanced credit includes current contracts concluded newly at other bank, while other renegotiated loans are current contracts concluded with new conditions at the same bank.</w:t>
      </w:r>
    </w:p>
    <w:bookmarkEnd w:id="7"/>
  </w:footnote>
  <w:footnote w:id="7">
    <w:p w14:paraId="60A67DD4" w14:textId="77777777" w:rsidR="00165465" w:rsidRPr="00A44252" w:rsidRDefault="00165465" w:rsidP="00E551F6">
      <w:pPr>
        <w:pStyle w:val="Textpoznpodarou"/>
        <w:jc w:val="both"/>
        <w:rPr>
          <w:sz w:val="16"/>
          <w:szCs w:val="16"/>
          <w:lang w:val="en-GB"/>
        </w:rPr>
      </w:pPr>
      <w:r w:rsidRPr="00A44252">
        <w:rPr>
          <w:rStyle w:val="Znakapoznpodarou"/>
          <w:sz w:val="16"/>
          <w:szCs w:val="16"/>
          <w:lang w:val="en-GB"/>
        </w:rPr>
        <w:footnoteRef/>
      </w:r>
      <w:r w:rsidRPr="00A44252">
        <w:rPr>
          <w:sz w:val="16"/>
          <w:szCs w:val="16"/>
          <w:lang w:val="en-GB"/>
        </w:rPr>
        <w:t xml:space="preserve"> </w:t>
      </w:r>
      <w:r>
        <w:rPr>
          <w:sz w:val="16"/>
          <w:szCs w:val="16"/>
          <w:lang w:val="en-GB"/>
        </w:rPr>
        <w:t xml:space="preserve">Credit in foreign currency started to rise steeply following the commencement of the repeated increase of the monetary policy-relevant rates in June </w:t>
      </w:r>
      <w:r w:rsidRPr="007E1443">
        <w:rPr>
          <w:sz w:val="16"/>
          <w:szCs w:val="16"/>
          <w:lang w:val="en-GB"/>
        </w:rPr>
        <w:t>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3008622" w:rsidR="00165465" w:rsidRPr="00C27E4F" w:rsidRDefault="00165465" w:rsidP="00C27E4F">
    <w:pPr>
      <w:pStyle w:val="Zhlav"/>
    </w:pPr>
    <w: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66FE4D49" w:rsidR="00165465" w:rsidRPr="006F5416" w:rsidRDefault="00165465" w:rsidP="00937AE2">
    <w:pPr>
      <w:pStyle w:val="Zhlav"/>
    </w:pPr>
    <w: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0"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20"/>
  </w:num>
  <w:num w:numId="14">
    <w:abstractNumId w:val="10"/>
  </w:num>
  <w:num w:numId="15">
    <w:abstractNumId w:val="16"/>
  </w:num>
  <w:num w:numId="16">
    <w:abstractNumId w:val="12"/>
  </w:num>
  <w:num w:numId="17">
    <w:abstractNumId w:val="21"/>
  </w:num>
  <w:num w:numId="18">
    <w:abstractNumId w:val="17"/>
  </w:num>
  <w:num w:numId="19">
    <w:abstractNumId w:val="22"/>
  </w:num>
  <w:num w:numId="20">
    <w:abstractNumId w:val="25"/>
  </w:num>
  <w:num w:numId="21">
    <w:abstractNumId w:val="19"/>
  </w:num>
  <w:num w:numId="22">
    <w:abstractNumId w:val="15"/>
  </w:num>
  <w:num w:numId="23">
    <w:abstractNumId w:val="13"/>
  </w:num>
  <w:num w:numId="24">
    <w:abstractNumId w:val="14"/>
  </w:num>
  <w:num w:numId="25">
    <w:abstractNumId w:val="23"/>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savePreviewPicture/>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4D5A"/>
    <w:rsid w:val="000056D5"/>
    <w:rsid w:val="00006ABD"/>
    <w:rsid w:val="0000767A"/>
    <w:rsid w:val="00010256"/>
    <w:rsid w:val="00010702"/>
    <w:rsid w:val="00011912"/>
    <w:rsid w:val="000165E9"/>
    <w:rsid w:val="0002195D"/>
    <w:rsid w:val="000234D6"/>
    <w:rsid w:val="00023D29"/>
    <w:rsid w:val="00026389"/>
    <w:rsid w:val="00031AE0"/>
    <w:rsid w:val="000322EF"/>
    <w:rsid w:val="00033FCD"/>
    <w:rsid w:val="00040A98"/>
    <w:rsid w:val="00040D10"/>
    <w:rsid w:val="00041CEC"/>
    <w:rsid w:val="00042F74"/>
    <w:rsid w:val="0004694F"/>
    <w:rsid w:val="000522E4"/>
    <w:rsid w:val="000610E1"/>
    <w:rsid w:val="00061186"/>
    <w:rsid w:val="00062EC5"/>
    <w:rsid w:val="00062F22"/>
    <w:rsid w:val="000674C7"/>
    <w:rsid w:val="000712B3"/>
    <w:rsid w:val="00074573"/>
    <w:rsid w:val="0008263E"/>
    <w:rsid w:val="00082C19"/>
    <w:rsid w:val="00083363"/>
    <w:rsid w:val="00085395"/>
    <w:rsid w:val="00087634"/>
    <w:rsid w:val="00087F2B"/>
    <w:rsid w:val="00095135"/>
    <w:rsid w:val="000974D1"/>
    <w:rsid w:val="0009799E"/>
    <w:rsid w:val="000A1183"/>
    <w:rsid w:val="000A256D"/>
    <w:rsid w:val="000A3A2C"/>
    <w:rsid w:val="000A57D4"/>
    <w:rsid w:val="000B7C8D"/>
    <w:rsid w:val="000C3408"/>
    <w:rsid w:val="000C6AFD"/>
    <w:rsid w:val="000D0754"/>
    <w:rsid w:val="000D3968"/>
    <w:rsid w:val="000D5637"/>
    <w:rsid w:val="000E5D6A"/>
    <w:rsid w:val="000E6FBD"/>
    <w:rsid w:val="00100F5C"/>
    <w:rsid w:val="00101CDA"/>
    <w:rsid w:val="00104C4C"/>
    <w:rsid w:val="00111F50"/>
    <w:rsid w:val="00117623"/>
    <w:rsid w:val="0012192F"/>
    <w:rsid w:val="00125D69"/>
    <w:rsid w:val="001405FA"/>
    <w:rsid w:val="001425C3"/>
    <w:rsid w:val="001443DB"/>
    <w:rsid w:val="001476BD"/>
    <w:rsid w:val="001612F4"/>
    <w:rsid w:val="0016256B"/>
    <w:rsid w:val="00163793"/>
    <w:rsid w:val="00165465"/>
    <w:rsid w:val="001706D6"/>
    <w:rsid w:val="001714F2"/>
    <w:rsid w:val="00175B9F"/>
    <w:rsid w:val="00181BBC"/>
    <w:rsid w:val="00184B08"/>
    <w:rsid w:val="00185010"/>
    <w:rsid w:val="0019143B"/>
    <w:rsid w:val="0019301D"/>
    <w:rsid w:val="001A0487"/>
    <w:rsid w:val="001A552F"/>
    <w:rsid w:val="001B2CA9"/>
    <w:rsid w:val="001B3110"/>
    <w:rsid w:val="001B4729"/>
    <w:rsid w:val="001B6310"/>
    <w:rsid w:val="001B6C09"/>
    <w:rsid w:val="001C05CD"/>
    <w:rsid w:val="001D48D4"/>
    <w:rsid w:val="001D68B2"/>
    <w:rsid w:val="001E504C"/>
    <w:rsid w:val="001E6062"/>
    <w:rsid w:val="001F2AEE"/>
    <w:rsid w:val="001F4597"/>
    <w:rsid w:val="00203DA4"/>
    <w:rsid w:val="002118B9"/>
    <w:rsid w:val="00214CF7"/>
    <w:rsid w:val="00217C5B"/>
    <w:rsid w:val="0022139E"/>
    <w:rsid w:val="00222729"/>
    <w:rsid w:val="002252E0"/>
    <w:rsid w:val="002255F6"/>
    <w:rsid w:val="00227850"/>
    <w:rsid w:val="00227A53"/>
    <w:rsid w:val="00230C6E"/>
    <w:rsid w:val="00236443"/>
    <w:rsid w:val="00241B06"/>
    <w:rsid w:val="002436BA"/>
    <w:rsid w:val="00244A15"/>
    <w:rsid w:val="00246358"/>
    <w:rsid w:val="00247319"/>
    <w:rsid w:val="0024799E"/>
    <w:rsid w:val="00253C0F"/>
    <w:rsid w:val="002558C1"/>
    <w:rsid w:val="00255B91"/>
    <w:rsid w:val="00271465"/>
    <w:rsid w:val="00285412"/>
    <w:rsid w:val="00291640"/>
    <w:rsid w:val="002A16D4"/>
    <w:rsid w:val="002A230C"/>
    <w:rsid w:val="002B2299"/>
    <w:rsid w:val="002B4845"/>
    <w:rsid w:val="002C43BD"/>
    <w:rsid w:val="002C544F"/>
    <w:rsid w:val="002D0E59"/>
    <w:rsid w:val="002D4EE0"/>
    <w:rsid w:val="002E02A1"/>
    <w:rsid w:val="002E278F"/>
    <w:rsid w:val="002E42AC"/>
    <w:rsid w:val="002E4E4C"/>
    <w:rsid w:val="002F39EC"/>
    <w:rsid w:val="00302ADD"/>
    <w:rsid w:val="00304771"/>
    <w:rsid w:val="0030495D"/>
    <w:rsid w:val="003052D4"/>
    <w:rsid w:val="00306C5B"/>
    <w:rsid w:val="003103E0"/>
    <w:rsid w:val="00314F9F"/>
    <w:rsid w:val="00316A85"/>
    <w:rsid w:val="003209D6"/>
    <w:rsid w:val="00321924"/>
    <w:rsid w:val="00322607"/>
    <w:rsid w:val="0032656E"/>
    <w:rsid w:val="0032718D"/>
    <w:rsid w:val="00332190"/>
    <w:rsid w:val="0034335E"/>
    <w:rsid w:val="00344668"/>
    <w:rsid w:val="003462D9"/>
    <w:rsid w:val="003500C2"/>
    <w:rsid w:val="00360C86"/>
    <w:rsid w:val="00360FBC"/>
    <w:rsid w:val="00362E90"/>
    <w:rsid w:val="00364FA0"/>
    <w:rsid w:val="003657F3"/>
    <w:rsid w:val="003818DC"/>
    <w:rsid w:val="00384327"/>
    <w:rsid w:val="00385D98"/>
    <w:rsid w:val="003A2B4D"/>
    <w:rsid w:val="003A2D12"/>
    <w:rsid w:val="003A478C"/>
    <w:rsid w:val="003A5525"/>
    <w:rsid w:val="003A6B38"/>
    <w:rsid w:val="003B461F"/>
    <w:rsid w:val="003B5A32"/>
    <w:rsid w:val="003C3490"/>
    <w:rsid w:val="003C7E62"/>
    <w:rsid w:val="003D1AE0"/>
    <w:rsid w:val="003D4488"/>
    <w:rsid w:val="003D6920"/>
    <w:rsid w:val="003E0A6F"/>
    <w:rsid w:val="003E48F2"/>
    <w:rsid w:val="003E4C91"/>
    <w:rsid w:val="003F313C"/>
    <w:rsid w:val="003F37FC"/>
    <w:rsid w:val="003F3E6A"/>
    <w:rsid w:val="003F4B2C"/>
    <w:rsid w:val="003F551C"/>
    <w:rsid w:val="003F59AA"/>
    <w:rsid w:val="003F72ED"/>
    <w:rsid w:val="003F7D23"/>
    <w:rsid w:val="004018AC"/>
    <w:rsid w:val="00407C13"/>
    <w:rsid w:val="0041041D"/>
    <w:rsid w:val="00410638"/>
    <w:rsid w:val="0041501E"/>
    <w:rsid w:val="004159C3"/>
    <w:rsid w:val="0041630C"/>
    <w:rsid w:val="00416C72"/>
    <w:rsid w:val="00432A58"/>
    <w:rsid w:val="00434617"/>
    <w:rsid w:val="004350ED"/>
    <w:rsid w:val="00440900"/>
    <w:rsid w:val="00441BF6"/>
    <w:rsid w:val="004441A0"/>
    <w:rsid w:val="004455BA"/>
    <w:rsid w:val="004479D4"/>
    <w:rsid w:val="0045078A"/>
    <w:rsid w:val="0045086D"/>
    <w:rsid w:val="00451504"/>
    <w:rsid w:val="00460FB3"/>
    <w:rsid w:val="0046627E"/>
    <w:rsid w:val="004738EA"/>
    <w:rsid w:val="00473D3B"/>
    <w:rsid w:val="00476240"/>
    <w:rsid w:val="00476439"/>
    <w:rsid w:val="0047735C"/>
    <w:rsid w:val="004776BC"/>
    <w:rsid w:val="0048139F"/>
    <w:rsid w:val="00481E40"/>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697D"/>
    <w:rsid w:val="004C70DC"/>
    <w:rsid w:val="004D0211"/>
    <w:rsid w:val="004D0794"/>
    <w:rsid w:val="004F06F5"/>
    <w:rsid w:val="004F33A0"/>
    <w:rsid w:val="0050689D"/>
    <w:rsid w:val="005108C0"/>
    <w:rsid w:val="00511873"/>
    <w:rsid w:val="00512A2F"/>
    <w:rsid w:val="00513B7E"/>
    <w:rsid w:val="00515C74"/>
    <w:rsid w:val="0052007E"/>
    <w:rsid w:val="0052337A"/>
    <w:rsid w:val="00525137"/>
    <w:rsid w:val="005251DD"/>
    <w:rsid w:val="00530702"/>
    <w:rsid w:val="00532CE7"/>
    <w:rsid w:val="0053324C"/>
    <w:rsid w:val="00534A28"/>
    <w:rsid w:val="00541508"/>
    <w:rsid w:val="00543498"/>
    <w:rsid w:val="0055599F"/>
    <w:rsid w:val="00556D68"/>
    <w:rsid w:val="00563EB8"/>
    <w:rsid w:val="005647BF"/>
    <w:rsid w:val="00564AF1"/>
    <w:rsid w:val="005710B6"/>
    <w:rsid w:val="0057364B"/>
    <w:rsid w:val="00574773"/>
    <w:rsid w:val="00583FFD"/>
    <w:rsid w:val="00586A86"/>
    <w:rsid w:val="005911BE"/>
    <w:rsid w:val="00593152"/>
    <w:rsid w:val="005A10F2"/>
    <w:rsid w:val="005A21E0"/>
    <w:rsid w:val="005A28FF"/>
    <w:rsid w:val="005A3DF8"/>
    <w:rsid w:val="005A5549"/>
    <w:rsid w:val="005A7038"/>
    <w:rsid w:val="005B121D"/>
    <w:rsid w:val="005C06ED"/>
    <w:rsid w:val="005C159F"/>
    <w:rsid w:val="005C2609"/>
    <w:rsid w:val="005D5802"/>
    <w:rsid w:val="005D7119"/>
    <w:rsid w:val="005D7890"/>
    <w:rsid w:val="005E7C78"/>
    <w:rsid w:val="005F18C5"/>
    <w:rsid w:val="005F3EB1"/>
    <w:rsid w:val="005F46D8"/>
    <w:rsid w:val="005F5469"/>
    <w:rsid w:val="005F7B4A"/>
    <w:rsid w:val="0060171C"/>
    <w:rsid w:val="00603FF5"/>
    <w:rsid w:val="00604307"/>
    <w:rsid w:val="0060487F"/>
    <w:rsid w:val="00604EAD"/>
    <w:rsid w:val="006104FB"/>
    <w:rsid w:val="00612A2F"/>
    <w:rsid w:val="00616E05"/>
    <w:rsid w:val="00622E30"/>
    <w:rsid w:val="006233F9"/>
    <w:rsid w:val="00624093"/>
    <w:rsid w:val="00625F8F"/>
    <w:rsid w:val="00631186"/>
    <w:rsid w:val="006350D5"/>
    <w:rsid w:val="006404A7"/>
    <w:rsid w:val="006451E4"/>
    <w:rsid w:val="00645B33"/>
    <w:rsid w:val="006516CB"/>
    <w:rsid w:val="00656FC8"/>
    <w:rsid w:val="00657E87"/>
    <w:rsid w:val="00664803"/>
    <w:rsid w:val="00665BA4"/>
    <w:rsid w:val="00667AF2"/>
    <w:rsid w:val="006710C9"/>
    <w:rsid w:val="00673BDC"/>
    <w:rsid w:val="006741AC"/>
    <w:rsid w:val="00674D89"/>
    <w:rsid w:val="00675E37"/>
    <w:rsid w:val="0068174E"/>
    <w:rsid w:val="00681DCE"/>
    <w:rsid w:val="0068260E"/>
    <w:rsid w:val="00695BEF"/>
    <w:rsid w:val="006977F6"/>
    <w:rsid w:val="00697A13"/>
    <w:rsid w:val="006A109C"/>
    <w:rsid w:val="006B0F92"/>
    <w:rsid w:val="006B344A"/>
    <w:rsid w:val="006B78D8"/>
    <w:rsid w:val="006C113F"/>
    <w:rsid w:val="006C123E"/>
    <w:rsid w:val="006C1752"/>
    <w:rsid w:val="006C4AC1"/>
    <w:rsid w:val="006C56D4"/>
    <w:rsid w:val="006C6924"/>
    <w:rsid w:val="006C7CA6"/>
    <w:rsid w:val="006D3E8A"/>
    <w:rsid w:val="006D61F6"/>
    <w:rsid w:val="006E279A"/>
    <w:rsid w:val="006E313B"/>
    <w:rsid w:val="006E7124"/>
    <w:rsid w:val="006E7227"/>
    <w:rsid w:val="006F19D3"/>
    <w:rsid w:val="006F438E"/>
    <w:rsid w:val="006F5416"/>
    <w:rsid w:val="006F7076"/>
    <w:rsid w:val="00705242"/>
    <w:rsid w:val="00706AD4"/>
    <w:rsid w:val="00707150"/>
    <w:rsid w:val="00707816"/>
    <w:rsid w:val="007140BE"/>
    <w:rsid w:val="007155B7"/>
    <w:rsid w:val="007211F5"/>
    <w:rsid w:val="00723946"/>
    <w:rsid w:val="007240E2"/>
    <w:rsid w:val="00725BB5"/>
    <w:rsid w:val="00730AE8"/>
    <w:rsid w:val="00730F1B"/>
    <w:rsid w:val="00741493"/>
    <w:rsid w:val="00752180"/>
    <w:rsid w:val="00753CAB"/>
    <w:rsid w:val="00755202"/>
    <w:rsid w:val="00755D3A"/>
    <w:rsid w:val="007578D3"/>
    <w:rsid w:val="007609C6"/>
    <w:rsid w:val="00760EA4"/>
    <w:rsid w:val="0076175D"/>
    <w:rsid w:val="0076324B"/>
    <w:rsid w:val="00763B85"/>
    <w:rsid w:val="0076521E"/>
    <w:rsid w:val="007661E9"/>
    <w:rsid w:val="007701DE"/>
    <w:rsid w:val="00770D15"/>
    <w:rsid w:val="00771C27"/>
    <w:rsid w:val="007750EE"/>
    <w:rsid w:val="00776160"/>
    <w:rsid w:val="00776169"/>
    <w:rsid w:val="00776527"/>
    <w:rsid w:val="00780EF1"/>
    <w:rsid w:val="00790764"/>
    <w:rsid w:val="00793CA9"/>
    <w:rsid w:val="0079453C"/>
    <w:rsid w:val="00794677"/>
    <w:rsid w:val="00797445"/>
    <w:rsid w:val="007A516D"/>
    <w:rsid w:val="007B6689"/>
    <w:rsid w:val="007C21D2"/>
    <w:rsid w:val="007C6BBD"/>
    <w:rsid w:val="007D40DF"/>
    <w:rsid w:val="007E29B4"/>
    <w:rsid w:val="007E3731"/>
    <w:rsid w:val="007E435A"/>
    <w:rsid w:val="007E7E61"/>
    <w:rsid w:val="007E7FCE"/>
    <w:rsid w:val="007F0845"/>
    <w:rsid w:val="007F708D"/>
    <w:rsid w:val="00800216"/>
    <w:rsid w:val="00801E13"/>
    <w:rsid w:val="00807C82"/>
    <w:rsid w:val="00814B15"/>
    <w:rsid w:val="00816905"/>
    <w:rsid w:val="00821777"/>
    <w:rsid w:val="00821FF6"/>
    <w:rsid w:val="00822574"/>
    <w:rsid w:val="00825C4D"/>
    <w:rsid w:val="0083143E"/>
    <w:rsid w:val="00831CDE"/>
    <w:rsid w:val="00834304"/>
    <w:rsid w:val="00834FAA"/>
    <w:rsid w:val="00836086"/>
    <w:rsid w:val="00846121"/>
    <w:rsid w:val="0084708F"/>
    <w:rsid w:val="008477C8"/>
    <w:rsid w:val="0085114D"/>
    <w:rsid w:val="00852217"/>
    <w:rsid w:val="00855408"/>
    <w:rsid w:val="00856D65"/>
    <w:rsid w:val="008602EC"/>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A7D9B"/>
    <w:rsid w:val="008B5CF6"/>
    <w:rsid w:val="008B7C02"/>
    <w:rsid w:val="008B7D2B"/>
    <w:rsid w:val="008C0049"/>
    <w:rsid w:val="008C0E88"/>
    <w:rsid w:val="008C53CB"/>
    <w:rsid w:val="008D1E6A"/>
    <w:rsid w:val="008D2A16"/>
    <w:rsid w:val="008E2C57"/>
    <w:rsid w:val="008E31FF"/>
    <w:rsid w:val="008E6F06"/>
    <w:rsid w:val="008E6F7F"/>
    <w:rsid w:val="008E7FC9"/>
    <w:rsid w:val="008F029B"/>
    <w:rsid w:val="008F3FC9"/>
    <w:rsid w:val="008F585B"/>
    <w:rsid w:val="009003A8"/>
    <w:rsid w:val="00902500"/>
    <w:rsid w:val="00902EFF"/>
    <w:rsid w:val="00906401"/>
    <w:rsid w:val="0091155E"/>
    <w:rsid w:val="00912A92"/>
    <w:rsid w:val="00914DDD"/>
    <w:rsid w:val="0091728D"/>
    <w:rsid w:val="0092180B"/>
    <w:rsid w:val="00921F14"/>
    <w:rsid w:val="00922D58"/>
    <w:rsid w:val="009231A3"/>
    <w:rsid w:val="00924AC8"/>
    <w:rsid w:val="0092597A"/>
    <w:rsid w:val="00930FB1"/>
    <w:rsid w:val="0093139F"/>
    <w:rsid w:val="00932443"/>
    <w:rsid w:val="00937AE2"/>
    <w:rsid w:val="0094427A"/>
    <w:rsid w:val="00945245"/>
    <w:rsid w:val="0095759C"/>
    <w:rsid w:val="009721DB"/>
    <w:rsid w:val="00974923"/>
    <w:rsid w:val="00980D3D"/>
    <w:rsid w:val="00987A30"/>
    <w:rsid w:val="00992CF3"/>
    <w:rsid w:val="009930C0"/>
    <w:rsid w:val="00994868"/>
    <w:rsid w:val="009968D6"/>
    <w:rsid w:val="009A1CAB"/>
    <w:rsid w:val="009A60D1"/>
    <w:rsid w:val="009A75AE"/>
    <w:rsid w:val="009B6FD3"/>
    <w:rsid w:val="009C1750"/>
    <w:rsid w:val="009C2E29"/>
    <w:rsid w:val="009C554B"/>
    <w:rsid w:val="009C719E"/>
    <w:rsid w:val="009C7A10"/>
    <w:rsid w:val="009D3ACD"/>
    <w:rsid w:val="009D73B5"/>
    <w:rsid w:val="009E1B59"/>
    <w:rsid w:val="009E5273"/>
    <w:rsid w:val="009E5DDB"/>
    <w:rsid w:val="009F4CA7"/>
    <w:rsid w:val="00A10D66"/>
    <w:rsid w:val="00A119FE"/>
    <w:rsid w:val="00A14114"/>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5E40"/>
    <w:rsid w:val="00A77D1D"/>
    <w:rsid w:val="00A84A6A"/>
    <w:rsid w:val="00A857C0"/>
    <w:rsid w:val="00A90FED"/>
    <w:rsid w:val="00AA2996"/>
    <w:rsid w:val="00AA52BF"/>
    <w:rsid w:val="00AA559A"/>
    <w:rsid w:val="00AB2AF1"/>
    <w:rsid w:val="00AC45BD"/>
    <w:rsid w:val="00AD168E"/>
    <w:rsid w:val="00AD306C"/>
    <w:rsid w:val="00AD68C4"/>
    <w:rsid w:val="00AE09B3"/>
    <w:rsid w:val="00AE0ED3"/>
    <w:rsid w:val="00AE1A83"/>
    <w:rsid w:val="00AE299B"/>
    <w:rsid w:val="00AE31A7"/>
    <w:rsid w:val="00AE31F4"/>
    <w:rsid w:val="00AE6221"/>
    <w:rsid w:val="00AF5165"/>
    <w:rsid w:val="00AF6128"/>
    <w:rsid w:val="00AF6E46"/>
    <w:rsid w:val="00B00913"/>
    <w:rsid w:val="00B01593"/>
    <w:rsid w:val="00B023F2"/>
    <w:rsid w:val="00B04705"/>
    <w:rsid w:val="00B10A4D"/>
    <w:rsid w:val="00B14BC1"/>
    <w:rsid w:val="00B17E71"/>
    <w:rsid w:val="00B17FDE"/>
    <w:rsid w:val="00B2379C"/>
    <w:rsid w:val="00B25189"/>
    <w:rsid w:val="00B2687D"/>
    <w:rsid w:val="00B32DDB"/>
    <w:rsid w:val="00B34528"/>
    <w:rsid w:val="00B34CC9"/>
    <w:rsid w:val="00B35AAE"/>
    <w:rsid w:val="00B402FC"/>
    <w:rsid w:val="00B439DA"/>
    <w:rsid w:val="00B46604"/>
    <w:rsid w:val="00B530CD"/>
    <w:rsid w:val="00B55F5E"/>
    <w:rsid w:val="00B5752E"/>
    <w:rsid w:val="00B61F47"/>
    <w:rsid w:val="00B63A11"/>
    <w:rsid w:val="00B63B6A"/>
    <w:rsid w:val="00B64C24"/>
    <w:rsid w:val="00B6608F"/>
    <w:rsid w:val="00B67298"/>
    <w:rsid w:val="00B679FB"/>
    <w:rsid w:val="00B76D1E"/>
    <w:rsid w:val="00B80EC6"/>
    <w:rsid w:val="00B84CF6"/>
    <w:rsid w:val="00B92D1D"/>
    <w:rsid w:val="00B938C5"/>
    <w:rsid w:val="00B95940"/>
    <w:rsid w:val="00BA6C2B"/>
    <w:rsid w:val="00BA7CB2"/>
    <w:rsid w:val="00BB46F3"/>
    <w:rsid w:val="00BB4CB1"/>
    <w:rsid w:val="00BB4F98"/>
    <w:rsid w:val="00BB73B5"/>
    <w:rsid w:val="00BC5C12"/>
    <w:rsid w:val="00BC7154"/>
    <w:rsid w:val="00BC731E"/>
    <w:rsid w:val="00BD366B"/>
    <w:rsid w:val="00BD6D50"/>
    <w:rsid w:val="00BE18B9"/>
    <w:rsid w:val="00BE2495"/>
    <w:rsid w:val="00BE6FF8"/>
    <w:rsid w:val="00BE7090"/>
    <w:rsid w:val="00BF1578"/>
    <w:rsid w:val="00C04E28"/>
    <w:rsid w:val="00C050C9"/>
    <w:rsid w:val="00C21F94"/>
    <w:rsid w:val="00C2492A"/>
    <w:rsid w:val="00C27913"/>
    <w:rsid w:val="00C27E4F"/>
    <w:rsid w:val="00C32964"/>
    <w:rsid w:val="00C33B68"/>
    <w:rsid w:val="00C36A79"/>
    <w:rsid w:val="00C401D2"/>
    <w:rsid w:val="00C405D4"/>
    <w:rsid w:val="00C4293F"/>
    <w:rsid w:val="00C4431F"/>
    <w:rsid w:val="00C4513B"/>
    <w:rsid w:val="00C47052"/>
    <w:rsid w:val="00C503A6"/>
    <w:rsid w:val="00C5390B"/>
    <w:rsid w:val="00C54697"/>
    <w:rsid w:val="00C65535"/>
    <w:rsid w:val="00C71E85"/>
    <w:rsid w:val="00C72884"/>
    <w:rsid w:val="00C73885"/>
    <w:rsid w:val="00C747B1"/>
    <w:rsid w:val="00C8030A"/>
    <w:rsid w:val="00C82191"/>
    <w:rsid w:val="00C83134"/>
    <w:rsid w:val="00C85545"/>
    <w:rsid w:val="00C90CF4"/>
    <w:rsid w:val="00C91B54"/>
    <w:rsid w:val="00C9222E"/>
    <w:rsid w:val="00C92EB6"/>
    <w:rsid w:val="00C93389"/>
    <w:rsid w:val="00CA0914"/>
    <w:rsid w:val="00CA3057"/>
    <w:rsid w:val="00CA6AB4"/>
    <w:rsid w:val="00CB4930"/>
    <w:rsid w:val="00CC2E7D"/>
    <w:rsid w:val="00CD10A5"/>
    <w:rsid w:val="00CD2076"/>
    <w:rsid w:val="00CD29B5"/>
    <w:rsid w:val="00CD6331"/>
    <w:rsid w:val="00CE670B"/>
    <w:rsid w:val="00CF4908"/>
    <w:rsid w:val="00CF51EC"/>
    <w:rsid w:val="00CF73AE"/>
    <w:rsid w:val="00D01CDA"/>
    <w:rsid w:val="00D040DD"/>
    <w:rsid w:val="00D075BE"/>
    <w:rsid w:val="00D13986"/>
    <w:rsid w:val="00D21D83"/>
    <w:rsid w:val="00D235B7"/>
    <w:rsid w:val="00D23C02"/>
    <w:rsid w:val="00D25F28"/>
    <w:rsid w:val="00D26071"/>
    <w:rsid w:val="00D27973"/>
    <w:rsid w:val="00D35E1A"/>
    <w:rsid w:val="00D42211"/>
    <w:rsid w:val="00D50F46"/>
    <w:rsid w:val="00D54978"/>
    <w:rsid w:val="00D57677"/>
    <w:rsid w:val="00D66223"/>
    <w:rsid w:val="00D71625"/>
    <w:rsid w:val="00D8084C"/>
    <w:rsid w:val="00D915EA"/>
    <w:rsid w:val="00DA7C0C"/>
    <w:rsid w:val="00DB08A9"/>
    <w:rsid w:val="00DB2A7E"/>
    <w:rsid w:val="00DB2EC8"/>
    <w:rsid w:val="00DC5B3B"/>
    <w:rsid w:val="00DD129F"/>
    <w:rsid w:val="00DE02BD"/>
    <w:rsid w:val="00DF42FF"/>
    <w:rsid w:val="00E01C0E"/>
    <w:rsid w:val="00E03F9A"/>
    <w:rsid w:val="00E04694"/>
    <w:rsid w:val="00E063CE"/>
    <w:rsid w:val="00E12B1E"/>
    <w:rsid w:val="00E17262"/>
    <w:rsid w:val="00E200EF"/>
    <w:rsid w:val="00E2206E"/>
    <w:rsid w:val="00E253A2"/>
    <w:rsid w:val="00E3309D"/>
    <w:rsid w:val="00E43C1C"/>
    <w:rsid w:val="00E47EBA"/>
    <w:rsid w:val="00E50156"/>
    <w:rsid w:val="00E51643"/>
    <w:rsid w:val="00E53470"/>
    <w:rsid w:val="00E539F6"/>
    <w:rsid w:val="00E551F6"/>
    <w:rsid w:val="00E61613"/>
    <w:rsid w:val="00E62166"/>
    <w:rsid w:val="00E6519D"/>
    <w:rsid w:val="00E67696"/>
    <w:rsid w:val="00E71A58"/>
    <w:rsid w:val="00E72A7A"/>
    <w:rsid w:val="00E75C94"/>
    <w:rsid w:val="00E93820"/>
    <w:rsid w:val="00E94A86"/>
    <w:rsid w:val="00E96143"/>
    <w:rsid w:val="00E97D7E"/>
    <w:rsid w:val="00EA0987"/>
    <w:rsid w:val="00EA0C68"/>
    <w:rsid w:val="00EA32BC"/>
    <w:rsid w:val="00EA4302"/>
    <w:rsid w:val="00EB4511"/>
    <w:rsid w:val="00EB75B3"/>
    <w:rsid w:val="00EC03D7"/>
    <w:rsid w:val="00ED4F37"/>
    <w:rsid w:val="00ED62C6"/>
    <w:rsid w:val="00ED64C1"/>
    <w:rsid w:val="00EE3446"/>
    <w:rsid w:val="00EE3E78"/>
    <w:rsid w:val="00EE4B1B"/>
    <w:rsid w:val="00EE7F19"/>
    <w:rsid w:val="00EF089C"/>
    <w:rsid w:val="00EF150D"/>
    <w:rsid w:val="00EF1F5A"/>
    <w:rsid w:val="00EF3741"/>
    <w:rsid w:val="00EF47BF"/>
    <w:rsid w:val="00F04811"/>
    <w:rsid w:val="00F0488C"/>
    <w:rsid w:val="00F10F11"/>
    <w:rsid w:val="00F15AAA"/>
    <w:rsid w:val="00F15BEF"/>
    <w:rsid w:val="00F24407"/>
    <w:rsid w:val="00F24931"/>
    <w:rsid w:val="00F24FAA"/>
    <w:rsid w:val="00F312E5"/>
    <w:rsid w:val="00F3364D"/>
    <w:rsid w:val="00F437CC"/>
    <w:rsid w:val="00F44537"/>
    <w:rsid w:val="00F44B6A"/>
    <w:rsid w:val="00F47067"/>
    <w:rsid w:val="00F50FC3"/>
    <w:rsid w:val="00F525EB"/>
    <w:rsid w:val="00F63DDE"/>
    <w:rsid w:val="00F63FB7"/>
    <w:rsid w:val="00F6421B"/>
    <w:rsid w:val="00F649D2"/>
    <w:rsid w:val="00F6602B"/>
    <w:rsid w:val="00F73A0C"/>
    <w:rsid w:val="00F756DB"/>
    <w:rsid w:val="00F77810"/>
    <w:rsid w:val="00F84E7D"/>
    <w:rsid w:val="00F85066"/>
    <w:rsid w:val="00F87A4D"/>
    <w:rsid w:val="00F9785E"/>
    <w:rsid w:val="00FA5D4D"/>
    <w:rsid w:val="00FB0EE2"/>
    <w:rsid w:val="00FB542E"/>
    <w:rsid w:val="00FC0E5F"/>
    <w:rsid w:val="00FC1A95"/>
    <w:rsid w:val="00FC50BA"/>
    <w:rsid w:val="00FC56DE"/>
    <w:rsid w:val="00FC684B"/>
    <w:rsid w:val="00FD3265"/>
    <w:rsid w:val="00FD5F92"/>
    <w:rsid w:val="00FE2F78"/>
    <w:rsid w:val="00FE65D5"/>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3985577">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2/ENG/Makroanal&#253;za%20grafy_e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557159743329959E-2"/>
          <c:y val="2.1711264016309892E-2"/>
          <c:w val="0.93757303275920301"/>
          <c:h val="0.73130361364404473"/>
        </c:manualLayout>
      </c:layout>
      <c:barChart>
        <c:barDir val="col"/>
        <c:grouping val="clustered"/>
        <c:varyColors val="0"/>
        <c:ser>
          <c:idx val="0"/>
          <c:order val="0"/>
          <c:tx>
            <c:strRef>
              <c:f>'Měnové podmínky 1'!$C$5</c:f>
              <c:strCache>
                <c:ptCount val="1"/>
                <c:pt idx="0">
                  <c:v>2W repo rate</c:v>
                </c:pt>
              </c:strCache>
            </c:strRef>
          </c:tx>
          <c:spPr>
            <a:solidFill>
              <a:schemeClr val="bg1">
                <a:lumMod val="65000"/>
              </a:schemeClr>
            </a:solidFill>
          </c:spPr>
          <c:invertIfNegative val="0"/>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2019</c:v>
                  </c:pt>
                  <c:pt idx="12">
                    <c:v>2020</c:v>
                  </c:pt>
                  <c:pt idx="24">
                    <c:v>2021</c:v>
                  </c:pt>
                  <c:pt idx="36">
                    <c:v>2022</c:v>
                  </c:pt>
                  <c:pt idx="48">
                    <c:v>2023</c:v>
                  </c:pt>
                  <c:pt idx="60">
                    <c:v>2024</c:v>
                  </c:pt>
                </c:lvl>
              </c:multiLvlStrCache>
            </c:multiLvlStrRef>
          </c:cat>
          <c:val>
            <c:numRef>
              <c:f>'Měnové podmínky 1'!$C$18:$C$83</c:f>
              <c:numCache>
                <c:formatCode>General</c:formatCode>
                <c:ptCount val="66"/>
                <c:pt idx="0">
                  <c:v>1.75</c:v>
                </c:pt>
                <c:pt idx="1">
                  <c:v>1.75</c:v>
                </c:pt>
                <c:pt idx="2">
                  <c:v>1.75</c:v>
                </c:pt>
                <c:pt idx="3">
                  <c:v>1.75</c:v>
                </c:pt>
                <c:pt idx="4">
                  <c:v>2</c:v>
                </c:pt>
                <c:pt idx="5">
                  <c:v>2</c:v>
                </c:pt>
                <c:pt idx="6">
                  <c:v>2</c:v>
                </c:pt>
                <c:pt idx="7">
                  <c:v>2</c:v>
                </c:pt>
                <c:pt idx="8">
                  <c:v>2</c:v>
                </c:pt>
                <c:pt idx="9">
                  <c:v>2</c:v>
                </c:pt>
                <c:pt idx="10">
                  <c:v>2</c:v>
                </c:pt>
                <c:pt idx="11">
                  <c:v>2</c:v>
                </c:pt>
                <c:pt idx="12">
                  <c:v>2</c:v>
                </c:pt>
                <c:pt idx="13">
                  <c:v>2.25</c:v>
                </c:pt>
                <c:pt idx="14">
                  <c:v>1</c:v>
                </c:pt>
                <c:pt idx="15">
                  <c:v>1</c:v>
                </c:pt>
                <c:pt idx="16">
                  <c:v>0.25</c:v>
                </c:pt>
                <c:pt idx="17">
                  <c:v>0.25</c:v>
                </c:pt>
                <c:pt idx="18">
                  <c:v>0.25</c:v>
                </c:pt>
                <c:pt idx="19">
                  <c:v>0.25</c:v>
                </c:pt>
                <c:pt idx="20">
                  <c:v>0.25</c:v>
                </c:pt>
                <c:pt idx="21">
                  <c:v>0.25</c:v>
                </c:pt>
                <c:pt idx="22">
                  <c:v>0.25</c:v>
                </c:pt>
                <c:pt idx="23">
                  <c:v>0.25</c:v>
                </c:pt>
                <c:pt idx="24">
                  <c:v>0.25</c:v>
                </c:pt>
                <c:pt idx="25">
                  <c:v>0.25</c:v>
                </c:pt>
                <c:pt idx="26">
                  <c:v>0.25</c:v>
                </c:pt>
                <c:pt idx="27">
                  <c:v>0.25</c:v>
                </c:pt>
                <c:pt idx="28">
                  <c:v>0.25</c:v>
                </c:pt>
                <c:pt idx="29">
                  <c:v>0.5</c:v>
                </c:pt>
                <c:pt idx="30">
                  <c:v>0.5</c:v>
                </c:pt>
                <c:pt idx="31">
                  <c:v>0.75</c:v>
                </c:pt>
                <c:pt idx="32">
                  <c:v>0.75</c:v>
                </c:pt>
                <c:pt idx="33">
                  <c:v>1.5</c:v>
                </c:pt>
                <c:pt idx="34">
                  <c:v>2.75</c:v>
                </c:pt>
                <c:pt idx="35">
                  <c:v>3.75</c:v>
                </c:pt>
                <c:pt idx="36">
                  <c:v>3.75</c:v>
                </c:pt>
                <c:pt idx="37">
                  <c:v>4.5</c:v>
                </c:pt>
                <c:pt idx="38">
                  <c:v>4.5</c:v>
                </c:pt>
                <c:pt idx="39">
                  <c:v>5</c:v>
                </c:pt>
                <c:pt idx="40">
                  <c:v>5.75</c:v>
                </c:pt>
                <c:pt idx="41">
                  <c:v>7</c:v>
                </c:pt>
                <c:pt idx="42">
                  <c:v>7</c:v>
                </c:pt>
                <c:pt idx="43">
                  <c:v>7</c:v>
                </c:pt>
                <c:pt idx="44">
                  <c:v>7</c:v>
                </c:pt>
                <c:pt idx="45">
                  <c:v>7</c:v>
                </c:pt>
                <c:pt idx="46">
                  <c:v>7</c:v>
                </c:pt>
                <c:pt idx="47">
                  <c:v>7</c:v>
                </c:pt>
                <c:pt idx="48">
                  <c:v>7</c:v>
                </c:pt>
                <c:pt idx="49">
                  <c:v>7</c:v>
                </c:pt>
                <c:pt idx="50">
                  <c:v>7</c:v>
                </c:pt>
                <c:pt idx="51" formatCode="###\ ###\ ###\ ###\ ##0.00;\-###\ ###\ ###\ ###\ ##0.00">
                  <c:v>7</c:v>
                </c:pt>
                <c:pt idx="52" formatCode="###\ ###\ ###\ ###\ ##0.00;\-###\ ###\ ###\ ###\ ##0.00">
                  <c:v>7</c:v>
                </c:pt>
                <c:pt idx="53" formatCode="###\ ###\ ###\ ###\ ##0.00;\-###\ ###\ ###\ ###\ ##0.00">
                  <c:v>7</c:v>
                </c:pt>
                <c:pt idx="54" formatCode="###\ ###\ ###\ ###\ ##0.00;\-###\ ###\ ###\ ###\ ##0.00">
                  <c:v>7</c:v>
                </c:pt>
                <c:pt idx="55" formatCode="###\ ###\ ###\ ###\ ##0.00;\-###\ ###\ ###\ ###\ ##0.00">
                  <c:v>7</c:v>
                </c:pt>
                <c:pt idx="56" formatCode="###\ ###\ ###\ ###\ ##0.00;\-###\ ###\ ###\ ###\ ##0.00">
                  <c:v>7</c:v>
                </c:pt>
                <c:pt idx="57" formatCode="###\ ###\ ###\ ###\ ##0.00;\-###\ ###\ ###\ ###\ ##0.00">
                  <c:v>7</c:v>
                </c:pt>
                <c:pt idx="58" formatCode="###\ ###\ ###\ ###\ ##0.00;\-###\ ###\ ###\ ###\ ##0.00">
                  <c:v>7</c:v>
                </c:pt>
                <c:pt idx="59" formatCode="###\ ###\ ###\ ###\ ##0.00;\-###\ ###\ ###\ ###\ ##0.00">
                  <c:v>6.75</c:v>
                </c:pt>
                <c:pt idx="60" formatCode="###\ ###\ ###\ ###\ ##0.00;\-###\ ###\ ###\ ###\ ##0.00">
                  <c:v>6.75</c:v>
                </c:pt>
                <c:pt idx="61" formatCode="###\ ###\ ###\ ###\ ##0.00;\-###\ ###\ ###\ ###\ ##0.00">
                  <c:v>6.25</c:v>
                </c:pt>
                <c:pt idx="62" formatCode="###\ ###\ ###\ ###\ ##0.00;\-###\ ###\ ###\ ###\ ##0.00">
                  <c:v>5.75</c:v>
                </c:pt>
                <c:pt idx="63" formatCode="###\ ###\ ###\ ###\ ##0.00;\-###\ ###\ ###\ ###\ ##0.00">
                  <c:v>5.75</c:v>
                </c:pt>
                <c:pt idx="64" formatCode="###\ ###\ ###\ ###\ ##0.00;\-###\ ###\ ###\ ###\ ##0.00">
                  <c:v>5.25</c:v>
                </c:pt>
                <c:pt idx="65" formatCode="###\ ###\ ###\ ###\ ##0.00;\-###\ ###\ ###\ ###\ ##0.00">
                  <c:v>4.75</c:v>
                </c:pt>
              </c:numCache>
            </c:numRef>
          </c:val>
          <c:extLst>
            <c:ext xmlns:c16="http://schemas.microsoft.com/office/drawing/2014/chart" uri="{C3380CC4-5D6E-409C-BE32-E72D297353CC}">
              <c16:uniqueId val="{00000000-7BE8-4E40-8915-29A940F5F5A2}"/>
            </c:ext>
          </c:extLst>
        </c:ser>
        <c:dLbls>
          <c:showLegendKey val="0"/>
          <c:showVal val="0"/>
          <c:showCatName val="0"/>
          <c:showSerName val="0"/>
          <c:showPercent val="0"/>
          <c:showBubbleSize val="0"/>
        </c:dLbls>
        <c:gapWidth val="31"/>
        <c:axId val="131001344"/>
        <c:axId val="131027712"/>
      </c:barChart>
      <c:lineChart>
        <c:grouping val="standard"/>
        <c:varyColors val="0"/>
        <c:ser>
          <c:idx val="3"/>
          <c:order val="1"/>
          <c:tx>
            <c:strRef>
              <c:f>'Měnové podmínky 1'!$F$5</c:f>
              <c:strCache>
                <c:ptCount val="1"/>
                <c:pt idx="0">
                  <c:v>Average yield of government bonds (2Y)</c:v>
                </c:pt>
              </c:strCache>
            </c:strRef>
          </c:tx>
          <c:spPr>
            <a:ln w="19050">
              <a:solidFill>
                <a:srgbClr val="7DBB2D"/>
              </a:solidFill>
            </a:ln>
          </c:spPr>
          <c:marker>
            <c:symbol val="none"/>
          </c:marke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2019</c:v>
                  </c:pt>
                  <c:pt idx="12">
                    <c:v>2020</c:v>
                  </c:pt>
                  <c:pt idx="24">
                    <c:v>2021</c:v>
                  </c:pt>
                  <c:pt idx="36">
                    <c:v>2022</c:v>
                  </c:pt>
                  <c:pt idx="48">
                    <c:v>2023</c:v>
                  </c:pt>
                  <c:pt idx="60">
                    <c:v>2024</c:v>
                  </c:pt>
                </c:lvl>
              </c:multiLvlStrCache>
            </c:multiLvlStrRef>
          </c:cat>
          <c:val>
            <c:numRef>
              <c:f>'Měnové podmínky 1'!$F$18:$F$83</c:f>
              <c:numCache>
                <c:formatCode>General</c:formatCode>
                <c:ptCount val="66"/>
                <c:pt idx="0">
                  <c:v>1.66</c:v>
                </c:pt>
                <c:pt idx="1">
                  <c:v>1.74</c:v>
                </c:pt>
                <c:pt idx="2">
                  <c:v>1.71</c:v>
                </c:pt>
                <c:pt idx="3">
                  <c:v>1.63</c:v>
                </c:pt>
                <c:pt idx="4">
                  <c:v>1.62</c:v>
                </c:pt>
                <c:pt idx="5">
                  <c:v>1.52</c:v>
                </c:pt>
                <c:pt idx="6">
                  <c:v>1.35</c:v>
                </c:pt>
                <c:pt idx="7">
                  <c:v>0.85</c:v>
                </c:pt>
                <c:pt idx="8">
                  <c:v>1.07</c:v>
                </c:pt>
                <c:pt idx="9">
                  <c:v>1.17</c:v>
                </c:pt>
                <c:pt idx="10">
                  <c:v>1.33</c:v>
                </c:pt>
                <c:pt idx="11">
                  <c:v>1.36</c:v>
                </c:pt>
                <c:pt idx="12">
                  <c:v>1.55</c:v>
                </c:pt>
                <c:pt idx="13">
                  <c:v>1.57</c:v>
                </c:pt>
                <c:pt idx="14">
                  <c:v>1.27</c:v>
                </c:pt>
                <c:pt idx="15">
                  <c:v>0.71</c:v>
                </c:pt>
                <c:pt idx="16">
                  <c:v>0.13</c:v>
                </c:pt>
                <c:pt idx="17">
                  <c:v>0.08</c:v>
                </c:pt>
                <c:pt idx="18">
                  <c:v>0.02</c:v>
                </c:pt>
                <c:pt idx="19">
                  <c:v>0.04</c:v>
                </c:pt>
                <c:pt idx="20">
                  <c:v>0.05</c:v>
                </c:pt>
                <c:pt idx="21">
                  <c:v>0</c:v>
                </c:pt>
                <c:pt idx="22">
                  <c:v>0.06</c:v>
                </c:pt>
                <c:pt idx="23">
                  <c:v>0.16</c:v>
                </c:pt>
                <c:pt idx="24">
                  <c:v>0.26</c:v>
                </c:pt>
                <c:pt idx="25">
                  <c:v>0.45</c:v>
                </c:pt>
                <c:pt idx="26">
                  <c:v>0.75</c:v>
                </c:pt>
                <c:pt idx="27">
                  <c:v>0.76</c:v>
                </c:pt>
                <c:pt idx="28">
                  <c:v>0.76</c:v>
                </c:pt>
                <c:pt idx="29">
                  <c:v>0.69</c:v>
                </c:pt>
                <c:pt idx="30">
                  <c:v>0.84</c:v>
                </c:pt>
                <c:pt idx="31">
                  <c:v>1.24</c:v>
                </c:pt>
                <c:pt idx="32">
                  <c:v>1.6</c:v>
                </c:pt>
                <c:pt idx="33">
                  <c:v>2.29</c:v>
                </c:pt>
                <c:pt idx="34">
                  <c:v>3</c:v>
                </c:pt>
                <c:pt idx="35">
                  <c:v>3.07</c:v>
                </c:pt>
                <c:pt idx="36">
                  <c:v>3.81</c:v>
                </c:pt>
                <c:pt idx="37">
                  <c:v>3.77</c:v>
                </c:pt>
                <c:pt idx="38">
                  <c:v>4.54</c:v>
                </c:pt>
                <c:pt idx="39">
                  <c:v>5.13</c:v>
                </c:pt>
                <c:pt idx="40">
                  <c:v>5.65</c:v>
                </c:pt>
                <c:pt idx="41">
                  <c:v>6.26</c:v>
                </c:pt>
                <c:pt idx="42">
                  <c:v>6.38</c:v>
                </c:pt>
                <c:pt idx="43">
                  <c:v>5.86</c:v>
                </c:pt>
                <c:pt idx="44">
                  <c:v>5.9</c:v>
                </c:pt>
                <c:pt idx="45">
                  <c:v>6.18</c:v>
                </c:pt>
                <c:pt idx="46">
                  <c:v>5.68</c:v>
                </c:pt>
                <c:pt idx="47">
                  <c:v>5.19</c:v>
                </c:pt>
                <c:pt idx="48" formatCode="###\ ###\ ###\ ###\ ##0.00;\-###\ ###\ ###\ ###\ ##0.00">
                  <c:v>5.3820143358172814</c:v>
                </c:pt>
                <c:pt idx="49" formatCode="###\ ###\ ###\ ###\ ##0.00;\-###\ ###\ ###\ ###\ ##0.00">
                  <c:v>5.5102623550618501</c:v>
                </c:pt>
                <c:pt idx="50" formatCode="###\ ###\ ###\ ###\ ##0.00;\-###\ ###\ ###\ ###\ ##0.00">
                  <c:v>5.2897725027111999</c:v>
                </c:pt>
                <c:pt idx="51" formatCode="###\ ###\ ###\ ###\ ##0.00;\-###\ ###\ ###\ ###\ ##0.00">
                  <c:v>5.4232360381175866</c:v>
                </c:pt>
                <c:pt idx="52" formatCode="###\ ###\ ###\ ###\ ##0.00;\-###\ ###\ ###\ ###\ ##0.00">
                  <c:v>5.4162815888395777</c:v>
                </c:pt>
                <c:pt idx="53" formatCode="###\ ###\ ###\ ###\ ##0.00;\-###\ ###\ ###\ ###\ ##0.00">
                  <c:v>5.3664752553650841</c:v>
                </c:pt>
                <c:pt idx="54" formatCode="###\ ###\ ###\ ###\ ##0.00;\-###\ ###\ ###\ ###\ ##0.00">
                  <c:v>5.2428078558777935</c:v>
                </c:pt>
                <c:pt idx="55" formatCode="###\ ###\ ###\ ###\ ##0.00;\-###\ ###\ ###\ ###\ ##0.00">
                  <c:v>5.1353490658602521</c:v>
                </c:pt>
                <c:pt idx="56" formatCode="###\ ###\ ###\ ###\ ##0.00;\-###\ ###\ ###\ ###\ ##0.00">
                  <c:v>5.0416686003519704</c:v>
                </c:pt>
                <c:pt idx="57" formatCode="###\ ###\ ###\ ###\ ##0.00;\-###\ ###\ ###\ ###\ ##0.00">
                  <c:v>5.0079198294298592</c:v>
                </c:pt>
                <c:pt idx="58" formatCode="###\ ###\ ###\ ###\ ##0.00;\-###\ ###\ ###\ ###\ ##0.00">
                  <c:v>4.8554647740100689</c:v>
                </c:pt>
                <c:pt idx="59" formatCode="###\ ###\ ###\ ###\ ##0.00;\-###\ ###\ ###\ ###\ ##0.00">
                  <c:v>4.6053753410259048</c:v>
                </c:pt>
                <c:pt idx="60" formatCode="###\ ###\ ###\ ###\ ##0.00;\-###\ ###\ ###\ ###\ ##0.00">
                  <c:v>4.2136537187056122</c:v>
                </c:pt>
                <c:pt idx="61" formatCode="###\ ###\ ###\ ###\ ##0.00;\-###\ ###\ ###\ ###\ ##0.00">
                  <c:v>3.7766020145670578</c:v>
                </c:pt>
                <c:pt idx="62" formatCode="###\ ###\ ###\ ###\ ##0.00;\-###\ ###\ ###\ ###\ ##0.00">
                  <c:v>3.7279261080474861</c:v>
                </c:pt>
                <c:pt idx="63" formatCode="###\ ###\ ###\ ###\ ##0.00;\-###\ ###\ ###\ ###\ ##0.00">
                  <c:v>4.0118973322405145</c:v>
                </c:pt>
                <c:pt idx="64" formatCode="###\ ###\ ###\ ###\ ##0.00;\-###\ ###\ ###\ ###\ ##0.00">
                  <c:v>4.1300681765456435</c:v>
                </c:pt>
                <c:pt idx="65" formatCode="###\ ###\ ###\ ###\ ##0.00;\-###\ ###\ ###\ ###\ ##0.00">
                  <c:v>4.2164856033630391</c:v>
                </c:pt>
              </c:numCache>
            </c:numRef>
          </c:val>
          <c:smooth val="0"/>
          <c:extLst>
            <c:ext xmlns:c16="http://schemas.microsoft.com/office/drawing/2014/chart" uri="{C3380CC4-5D6E-409C-BE32-E72D297353CC}">
              <c16:uniqueId val="{00000001-7BE8-4E40-8915-29A940F5F5A2}"/>
            </c:ext>
          </c:extLst>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2019</c:v>
                  </c:pt>
                  <c:pt idx="12">
                    <c:v>2020</c:v>
                  </c:pt>
                  <c:pt idx="24">
                    <c:v>2021</c:v>
                  </c:pt>
                  <c:pt idx="36">
                    <c:v>2022</c:v>
                  </c:pt>
                  <c:pt idx="48">
                    <c:v>2023</c:v>
                  </c:pt>
                  <c:pt idx="60">
                    <c:v>2024</c:v>
                  </c:pt>
                </c:lvl>
              </c:multiLvlStrCache>
            </c:multiLvlStrRef>
          </c:cat>
          <c:val>
            <c:numRef>
              <c:f>'Měnové podmínky 1'!$D$18:$D$83</c:f>
              <c:numCache>
                <c:formatCode>General</c:formatCode>
                <c:ptCount val="66"/>
                <c:pt idx="0">
                  <c:v>2.0099999999999998</c:v>
                </c:pt>
                <c:pt idx="1">
                  <c:v>2.0099999999999998</c:v>
                </c:pt>
                <c:pt idx="2">
                  <c:v>2.0299999999999998</c:v>
                </c:pt>
                <c:pt idx="3">
                  <c:v>2.02</c:v>
                </c:pt>
                <c:pt idx="4">
                  <c:v>2.19</c:v>
                </c:pt>
                <c:pt idx="5">
                  <c:v>2.17</c:v>
                </c:pt>
                <c:pt idx="6">
                  <c:v>2.16</c:v>
                </c:pt>
                <c:pt idx="7">
                  <c:v>2.14</c:v>
                </c:pt>
                <c:pt idx="8">
                  <c:v>2.14</c:v>
                </c:pt>
                <c:pt idx="9">
                  <c:v>2.17</c:v>
                </c:pt>
                <c:pt idx="10">
                  <c:v>2.1800000000000002</c:v>
                </c:pt>
                <c:pt idx="11">
                  <c:v>2.1800000000000002</c:v>
                </c:pt>
                <c:pt idx="12">
                  <c:v>2.17</c:v>
                </c:pt>
                <c:pt idx="13">
                  <c:v>2.34</c:v>
                </c:pt>
                <c:pt idx="14">
                  <c:v>2</c:v>
                </c:pt>
                <c:pt idx="15">
                  <c:v>0.97</c:v>
                </c:pt>
                <c:pt idx="16">
                  <c:v>0.46</c:v>
                </c:pt>
                <c:pt idx="17">
                  <c:v>0.34</c:v>
                </c:pt>
                <c:pt idx="18">
                  <c:v>0.34</c:v>
                </c:pt>
                <c:pt idx="19">
                  <c:v>0.34</c:v>
                </c:pt>
                <c:pt idx="20">
                  <c:v>0.34</c:v>
                </c:pt>
                <c:pt idx="21">
                  <c:v>0.35</c:v>
                </c:pt>
                <c:pt idx="22">
                  <c:v>0.35</c:v>
                </c:pt>
                <c:pt idx="23">
                  <c:v>0.35</c:v>
                </c:pt>
                <c:pt idx="24">
                  <c:v>0.36</c:v>
                </c:pt>
                <c:pt idx="25">
                  <c:v>0.36</c:v>
                </c:pt>
                <c:pt idx="26">
                  <c:v>0.36</c:v>
                </c:pt>
                <c:pt idx="27">
                  <c:v>0.36</c:v>
                </c:pt>
                <c:pt idx="28">
                  <c:v>0.37</c:v>
                </c:pt>
                <c:pt idx="29">
                  <c:v>0.48</c:v>
                </c:pt>
                <c:pt idx="30">
                  <c:v>0.69</c:v>
                </c:pt>
                <c:pt idx="31">
                  <c:v>0.94</c:v>
                </c:pt>
                <c:pt idx="32">
                  <c:v>1.1100000000000001</c:v>
                </c:pt>
                <c:pt idx="33">
                  <c:v>2.02</c:v>
                </c:pt>
                <c:pt idx="34">
                  <c:v>2.97</c:v>
                </c:pt>
                <c:pt idx="35">
                  <c:v>3.5</c:v>
                </c:pt>
                <c:pt idx="36">
                  <c:v>4.21</c:v>
                </c:pt>
                <c:pt idx="37">
                  <c:v>4.6900000000000004</c:v>
                </c:pt>
                <c:pt idx="38">
                  <c:v>4.8600000000000003</c:v>
                </c:pt>
                <c:pt idx="39">
                  <c:v>5.36</c:v>
                </c:pt>
                <c:pt idx="40">
                  <c:v>5.97</c:v>
                </c:pt>
                <c:pt idx="41">
                  <c:v>6.64</c:v>
                </c:pt>
                <c:pt idx="42">
                  <c:v>7.3</c:v>
                </c:pt>
                <c:pt idx="43">
                  <c:v>7.27</c:v>
                </c:pt>
                <c:pt idx="44">
                  <c:v>7.25</c:v>
                </c:pt>
                <c:pt idx="45">
                  <c:v>7.28</c:v>
                </c:pt>
                <c:pt idx="46">
                  <c:v>7.27</c:v>
                </c:pt>
                <c:pt idx="47">
                  <c:v>7.26</c:v>
                </c:pt>
                <c:pt idx="48" formatCode="###\ ###\ ###\ ###\ ##0.00;\-###\ ###\ ###\ ###\ ##0.00">
                  <c:v>7.2161904761904765</c:v>
                </c:pt>
                <c:pt idx="49" formatCode="###\ ###\ ###\ ###\ ##0.00;\-###\ ###\ ###\ ###\ ##0.00">
                  <c:v>7.2010526315789471</c:v>
                </c:pt>
                <c:pt idx="50" formatCode="###\ ###\ ###\ ###\ ##0.00;\-###\ ###\ ###\ ###\ ##0.00">
                  <c:v>7.1931818181818183</c:v>
                </c:pt>
                <c:pt idx="51" formatCode="###\ ###\ ###\ ###\ ##0.00;\-###\ ###\ ###\ ###\ ##0.00">
                  <c:v>7.1788888888888893</c:v>
                </c:pt>
                <c:pt idx="52" formatCode="###\ ###\ ###\ ###\ ##0.00;\-###\ ###\ ###\ ###\ ##0.00">
                  <c:v>7.1790476190476191</c:v>
                </c:pt>
                <c:pt idx="53" formatCode="###\ ###\ ###\ ###\ ##0.00;\-###\ ###\ ###\ ###\ ##0.00">
                  <c:v>7.1472727272727274</c:v>
                </c:pt>
                <c:pt idx="54" formatCode="###\ ###\ ###\ ###\ ##0.00;\-###\ ###\ ###\ ###\ ##0.00">
                  <c:v>7.1121052631578952</c:v>
                </c:pt>
                <c:pt idx="55" formatCode="###\ ###\ ###\ ###\ ##0.00;\-###\ ###\ ###\ ###\ ##0.00">
                  <c:v>7.1030434782608696</c:v>
                </c:pt>
                <c:pt idx="56" formatCode="###\ ###\ ###\ ###\ ##0.00;\-###\ ###\ ###\ ###\ ##0.00">
                  <c:v>7.0895000000000001</c:v>
                </c:pt>
                <c:pt idx="57" formatCode="###\ ###\ ###\ ###\ ##0.00;\-###\ ###\ ###\ ###\ ##0.00">
                  <c:v>7.0472727272727269</c:v>
                </c:pt>
                <c:pt idx="58" formatCode="###\ ###\ ###\ ###\ ##0.00;\-###\ ###\ ###\ ###\ ##0.00">
                  <c:v>7.062380952380952</c:v>
                </c:pt>
                <c:pt idx="59" formatCode="###\ ###\ ###\ ###\ ##0.00;\-###\ ###\ ###\ ###\ ##0.00">
                  <c:v>6.9663157894736845</c:v>
                </c:pt>
                <c:pt idx="60" formatCode="###\ ###\ ###\ ###\ ##0.00;\-###\ ###\ ###\ ###\ ##0.00">
                  <c:v>6.6340909090909088</c:v>
                </c:pt>
                <c:pt idx="61" formatCode="###\ ###\ ###\ ###\ ##0.00;\-###\ ###\ ###\ ###\ ##0.00">
                  <c:v>6.2019047619047623</c:v>
                </c:pt>
                <c:pt idx="62" formatCode="###\ ###\ ###\ ###\ ##0.00;\-###\ ###\ ###\ ###\ ##0.00">
                  <c:v>5.8363157894736846</c:v>
                </c:pt>
                <c:pt idx="63" formatCode="###\ ###\ ###\ ###\ ##0.00;\-###\ ###\ ###\ ###\ ##0.00">
                  <c:v>5.5461904761904766</c:v>
                </c:pt>
                <c:pt idx="64" formatCode="###\ ###\ ###\ ###\ ##0.00;\-###\ ###\ ###\ ###\ ##0.00">
                  <c:v>5.1704761904761902</c:v>
                </c:pt>
                <c:pt idx="65" formatCode="###\ ###\ ###\ ###\ ##0.00;\-###\ ###\ ###\ ###\ ##0.00">
                  <c:v>5.0274999999999999</c:v>
                </c:pt>
              </c:numCache>
            </c:numRef>
          </c:val>
          <c:smooth val="0"/>
          <c:extLst>
            <c:ext xmlns:c16="http://schemas.microsoft.com/office/drawing/2014/chart" uri="{C3380CC4-5D6E-409C-BE32-E72D297353CC}">
              <c16:uniqueId val="{00000002-7BE8-4E40-8915-29A940F5F5A2}"/>
            </c:ext>
          </c:extLst>
        </c:ser>
        <c:ser>
          <c:idx val="4"/>
          <c:order val="3"/>
          <c:tx>
            <c:strRef>
              <c:f>'Měnové podmínky 1'!$G$5</c:f>
              <c:strCache>
                <c:ptCount val="1"/>
                <c:pt idx="0">
                  <c:v>Average yield of government bonds (5Y)</c:v>
                </c:pt>
              </c:strCache>
            </c:strRef>
          </c:tx>
          <c:spPr>
            <a:ln w="19050">
              <a:solidFill>
                <a:srgbClr val="F8A124"/>
              </a:solidFill>
            </a:ln>
          </c:spPr>
          <c:marker>
            <c:symbol val="none"/>
          </c:marke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2019</c:v>
                  </c:pt>
                  <c:pt idx="12">
                    <c:v>2020</c:v>
                  </c:pt>
                  <c:pt idx="24">
                    <c:v>2021</c:v>
                  </c:pt>
                  <c:pt idx="36">
                    <c:v>2022</c:v>
                  </c:pt>
                  <c:pt idx="48">
                    <c:v>2023</c:v>
                  </c:pt>
                  <c:pt idx="60">
                    <c:v>2024</c:v>
                  </c:pt>
                </c:lvl>
              </c:multiLvlStrCache>
            </c:multiLvlStrRef>
          </c:cat>
          <c:val>
            <c:numRef>
              <c:f>'Měnové podmínky 1'!$G$18:$G$83</c:f>
              <c:numCache>
                <c:formatCode>General</c:formatCode>
                <c:ptCount val="66"/>
                <c:pt idx="0">
                  <c:v>1.6</c:v>
                </c:pt>
                <c:pt idx="1">
                  <c:v>1.61</c:v>
                </c:pt>
                <c:pt idx="2">
                  <c:v>1.7</c:v>
                </c:pt>
                <c:pt idx="3">
                  <c:v>1.63</c:v>
                </c:pt>
                <c:pt idx="4">
                  <c:v>1.57</c:v>
                </c:pt>
                <c:pt idx="5">
                  <c:v>1.43</c:v>
                </c:pt>
                <c:pt idx="6">
                  <c:v>1.31</c:v>
                </c:pt>
                <c:pt idx="7">
                  <c:v>0.89</c:v>
                </c:pt>
                <c:pt idx="8">
                  <c:v>1.1299999999999999</c:v>
                </c:pt>
                <c:pt idx="9">
                  <c:v>1.23</c:v>
                </c:pt>
                <c:pt idx="10">
                  <c:v>1.32</c:v>
                </c:pt>
                <c:pt idx="11">
                  <c:v>1.31</c:v>
                </c:pt>
                <c:pt idx="12">
                  <c:v>1.51</c:v>
                </c:pt>
                <c:pt idx="13">
                  <c:v>1.52</c:v>
                </c:pt>
                <c:pt idx="14">
                  <c:v>1.23</c:v>
                </c:pt>
                <c:pt idx="15">
                  <c:v>1.06</c:v>
                </c:pt>
                <c:pt idx="16">
                  <c:v>0.56999999999999995</c:v>
                </c:pt>
                <c:pt idx="17">
                  <c:v>0.52</c:v>
                </c:pt>
                <c:pt idx="18">
                  <c:v>0.52</c:v>
                </c:pt>
                <c:pt idx="19">
                  <c:v>0.57999999999999996</c:v>
                </c:pt>
                <c:pt idx="20">
                  <c:v>0.57999999999999996</c:v>
                </c:pt>
                <c:pt idx="21">
                  <c:v>0.54</c:v>
                </c:pt>
                <c:pt idx="22">
                  <c:v>0.66</c:v>
                </c:pt>
                <c:pt idx="23">
                  <c:v>0.8</c:v>
                </c:pt>
                <c:pt idx="24">
                  <c:v>0.82</c:v>
                </c:pt>
                <c:pt idx="25">
                  <c:v>1.06</c:v>
                </c:pt>
                <c:pt idx="26">
                  <c:v>1.4</c:v>
                </c:pt>
                <c:pt idx="27">
                  <c:v>1.43</c:v>
                </c:pt>
                <c:pt idx="28">
                  <c:v>1.47</c:v>
                </c:pt>
                <c:pt idx="29">
                  <c:v>1.55</c:v>
                </c:pt>
                <c:pt idx="30">
                  <c:v>1.63</c:v>
                </c:pt>
                <c:pt idx="31">
                  <c:v>1.68</c:v>
                </c:pt>
                <c:pt idx="32">
                  <c:v>1.87</c:v>
                </c:pt>
                <c:pt idx="33">
                  <c:v>2.37</c:v>
                </c:pt>
                <c:pt idx="34">
                  <c:v>2.84</c:v>
                </c:pt>
                <c:pt idx="35">
                  <c:v>2.84</c:v>
                </c:pt>
                <c:pt idx="36">
                  <c:v>3.36</c:v>
                </c:pt>
                <c:pt idx="37">
                  <c:v>3.2</c:v>
                </c:pt>
                <c:pt idx="38">
                  <c:v>3.85</c:v>
                </c:pt>
                <c:pt idx="39">
                  <c:v>4.54</c:v>
                </c:pt>
                <c:pt idx="40">
                  <c:v>4.99</c:v>
                </c:pt>
                <c:pt idx="41">
                  <c:v>5.49</c:v>
                </c:pt>
                <c:pt idx="42">
                  <c:v>5.12</c:v>
                </c:pt>
                <c:pt idx="43">
                  <c:v>4.67</c:v>
                </c:pt>
                <c:pt idx="44">
                  <c:v>5.0599999999999996</c:v>
                </c:pt>
                <c:pt idx="45">
                  <c:v>5.69</c:v>
                </c:pt>
                <c:pt idx="46">
                  <c:v>5.31</c:v>
                </c:pt>
                <c:pt idx="47">
                  <c:v>4.9000000000000004</c:v>
                </c:pt>
                <c:pt idx="48" formatCode="###\ ###\ ###\ ###\ ##0.00;\-###\ ###\ ###\ ###\ ##0.00">
                  <c:v>4.7307064721228871</c:v>
                </c:pt>
                <c:pt idx="49" formatCode="###\ ###\ ###\ ###\ ##0.00;\-###\ ###\ ###\ ###\ ##0.00">
                  <c:v>4.869274267276765</c:v>
                </c:pt>
                <c:pt idx="50" formatCode="###\ ###\ ###\ ###\ ##0.00;\-###\ ###\ ###\ ###\ ##0.00">
                  <c:v>4.8901662581800389</c:v>
                </c:pt>
                <c:pt idx="51" formatCode="###\ ###\ ###\ ###\ ##0.00;\-###\ ###\ ###\ ###\ ##0.00">
                  <c:v>4.9165403661897455</c:v>
                </c:pt>
                <c:pt idx="52" formatCode="###\ ###\ ###\ ###\ ##0.00;\-###\ ###\ ###\ ###\ ##0.00">
                  <c:v>4.8278684891401031</c:v>
                </c:pt>
                <c:pt idx="53" formatCode="###\ ###\ ###\ ###\ ##0.00;\-###\ ###\ ###\ ###\ ##0.00">
                  <c:v>4.641252073600076</c:v>
                </c:pt>
                <c:pt idx="54" formatCode="###\ ###\ ###\ ###\ ##0.00;\-###\ ###\ ###\ ###\ ##0.00">
                  <c:v>4.3712476122939803</c:v>
                </c:pt>
                <c:pt idx="55" formatCode="###\ ###\ ###\ ###\ ##0.00;\-###\ ###\ ###\ ###\ ##0.00">
                  <c:v>4.4394883944569479</c:v>
                </c:pt>
                <c:pt idx="56" formatCode="###\ ###\ ###\ ###\ ##0.00;\-###\ ###\ ###\ ###\ ##0.00">
                  <c:v>4.5697569170379646</c:v>
                </c:pt>
                <c:pt idx="57" formatCode="###\ ###\ ###\ ###\ ##0.00;\-###\ ###\ ###\ ###\ ##0.00">
                  <c:v>4.6213398432367514</c:v>
                </c:pt>
                <c:pt idx="58" formatCode="###\ ###\ ###\ ###\ ##0.00;\-###\ ###\ ###\ ###\ ##0.00">
                  <c:v>4.3189525391351618</c:v>
                </c:pt>
                <c:pt idx="59" formatCode="###\ ###\ ###\ ###\ ##0.00;\-###\ ###\ ###\ ###\ ##0.00">
                  <c:v>3.9581509254616192</c:v>
                </c:pt>
                <c:pt idx="60" formatCode="###\ ###\ ###\ ###\ ##0.00;\-###\ ###\ ###\ ###\ ##0.00">
                  <c:v>3.7948081133062201</c:v>
                </c:pt>
                <c:pt idx="61" formatCode="###\ ###\ ###\ ###\ ##0.00;\-###\ ###\ ###\ ###\ ##0.00">
                  <c:v>3.5373832658022923</c:v>
                </c:pt>
                <c:pt idx="62" formatCode="###\ ###\ ###\ ###\ ##0.00;\-###\ ###\ ###\ ###\ ##0.00">
                  <c:v>3.5659496523361214</c:v>
                </c:pt>
                <c:pt idx="63" formatCode="###\ ###\ ###\ ###\ ##0.00;\-###\ ###\ ###\ ###\ ##0.00">
                  <c:v>4.0341267380705332</c:v>
                </c:pt>
                <c:pt idx="64" formatCode="###\ ###\ ###\ ###\ ##0.00;\-###\ ###\ ###\ ###\ ##0.00">
                  <c:v>4.0872759187026269</c:v>
                </c:pt>
                <c:pt idx="65" formatCode="###\ ###\ ###\ ###\ ##0.00;\-###\ ###\ ###\ ###\ ##0.00">
                  <c:v>4.1227102073974615</c:v>
                </c:pt>
              </c:numCache>
            </c:numRef>
          </c:val>
          <c:smooth val="0"/>
          <c:extLst>
            <c:ext xmlns:c16="http://schemas.microsoft.com/office/drawing/2014/chart" uri="{C3380CC4-5D6E-409C-BE32-E72D297353CC}">
              <c16:uniqueId val="{00000003-7BE8-4E40-8915-29A940F5F5A2}"/>
            </c:ext>
          </c:extLst>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2019</c:v>
                  </c:pt>
                  <c:pt idx="12">
                    <c:v>2020</c:v>
                  </c:pt>
                  <c:pt idx="24">
                    <c:v>2021</c:v>
                  </c:pt>
                  <c:pt idx="36">
                    <c:v>2022</c:v>
                  </c:pt>
                  <c:pt idx="48">
                    <c:v>2023</c:v>
                  </c:pt>
                  <c:pt idx="60">
                    <c:v>2024</c:v>
                  </c:pt>
                </c:lvl>
              </c:multiLvlStrCache>
            </c:multiLvlStrRef>
          </c:cat>
          <c:val>
            <c:numRef>
              <c:f>'Měnové podmínky 1'!$E$18:$E$83</c:f>
              <c:numCache>
                <c:formatCode>General</c:formatCode>
                <c:ptCount val="66"/>
                <c:pt idx="0">
                  <c:v>2.21</c:v>
                </c:pt>
                <c:pt idx="1">
                  <c:v>2.2000000000000002</c:v>
                </c:pt>
                <c:pt idx="2">
                  <c:v>2.2000000000000002</c:v>
                </c:pt>
                <c:pt idx="3">
                  <c:v>2.21</c:v>
                </c:pt>
                <c:pt idx="4">
                  <c:v>2.3199999999999998</c:v>
                </c:pt>
                <c:pt idx="5">
                  <c:v>2.29</c:v>
                </c:pt>
                <c:pt idx="6">
                  <c:v>2.2799999999999998</c:v>
                </c:pt>
                <c:pt idx="7">
                  <c:v>2.2200000000000002</c:v>
                </c:pt>
                <c:pt idx="8">
                  <c:v>2.2000000000000002</c:v>
                </c:pt>
                <c:pt idx="9">
                  <c:v>2.2799999999999998</c:v>
                </c:pt>
                <c:pt idx="10">
                  <c:v>2.2799999999999998</c:v>
                </c:pt>
                <c:pt idx="11">
                  <c:v>2.27</c:v>
                </c:pt>
                <c:pt idx="12">
                  <c:v>2.27</c:v>
                </c:pt>
                <c:pt idx="13">
                  <c:v>2.42</c:v>
                </c:pt>
                <c:pt idx="14">
                  <c:v>2.0099999999999998</c:v>
                </c:pt>
                <c:pt idx="15">
                  <c:v>0.92</c:v>
                </c:pt>
                <c:pt idx="16">
                  <c:v>0.51</c:v>
                </c:pt>
                <c:pt idx="17">
                  <c:v>0.43</c:v>
                </c:pt>
                <c:pt idx="18">
                  <c:v>0.43</c:v>
                </c:pt>
                <c:pt idx="19">
                  <c:v>0.43</c:v>
                </c:pt>
                <c:pt idx="20">
                  <c:v>0.44</c:v>
                </c:pt>
                <c:pt idx="21">
                  <c:v>0.43</c:v>
                </c:pt>
                <c:pt idx="22">
                  <c:v>0.44</c:v>
                </c:pt>
                <c:pt idx="23">
                  <c:v>0.49</c:v>
                </c:pt>
                <c:pt idx="24">
                  <c:v>0.49</c:v>
                </c:pt>
                <c:pt idx="25">
                  <c:v>0.54</c:v>
                </c:pt>
                <c:pt idx="26">
                  <c:v>0.56000000000000005</c:v>
                </c:pt>
                <c:pt idx="27">
                  <c:v>0.56000000000000005</c:v>
                </c:pt>
                <c:pt idx="28">
                  <c:v>0.67</c:v>
                </c:pt>
                <c:pt idx="29">
                  <c:v>0.78</c:v>
                </c:pt>
                <c:pt idx="30">
                  <c:v>1</c:v>
                </c:pt>
                <c:pt idx="31">
                  <c:v>1.3</c:v>
                </c:pt>
                <c:pt idx="32">
                  <c:v>1.52</c:v>
                </c:pt>
                <c:pt idx="33">
                  <c:v>2.44</c:v>
                </c:pt>
                <c:pt idx="34">
                  <c:v>3.5</c:v>
                </c:pt>
                <c:pt idx="35">
                  <c:v>3.96</c:v>
                </c:pt>
                <c:pt idx="36">
                  <c:v>4.55</c:v>
                </c:pt>
                <c:pt idx="37">
                  <c:v>4.87</c:v>
                </c:pt>
                <c:pt idx="38">
                  <c:v>5.12</c:v>
                </c:pt>
                <c:pt idx="39">
                  <c:v>5.74</c:v>
                </c:pt>
                <c:pt idx="40">
                  <c:v>6.33</c:v>
                </c:pt>
                <c:pt idx="41">
                  <c:v>7.02</c:v>
                </c:pt>
                <c:pt idx="42">
                  <c:v>7.55</c:v>
                </c:pt>
                <c:pt idx="43">
                  <c:v>7.48</c:v>
                </c:pt>
                <c:pt idx="44">
                  <c:v>7.44</c:v>
                </c:pt>
                <c:pt idx="45">
                  <c:v>7.45</c:v>
                </c:pt>
                <c:pt idx="46">
                  <c:v>7.39</c:v>
                </c:pt>
                <c:pt idx="47">
                  <c:v>7.28</c:v>
                </c:pt>
                <c:pt idx="48" formatCode="###\ ###\ ###\ ###\ ##0.00;\-###\ ###\ ###\ ###\ ##0.00">
                  <c:v>7.2480952380952379</c:v>
                </c:pt>
                <c:pt idx="49" formatCode="###\ ###\ ###\ ###\ ##0.00;\-###\ ###\ ###\ ###\ ##0.00">
                  <c:v>7.2326315789473687</c:v>
                </c:pt>
                <c:pt idx="50" formatCode="###\ ###\ ###\ ###\ ##0.00;\-###\ ###\ ###\ ###\ ##0.00">
                  <c:v>7.2263636363636365</c:v>
                </c:pt>
                <c:pt idx="51" formatCode="###\ ###\ ###\ ###\ ##0.00;\-###\ ###\ ###\ ###\ ##0.00">
                  <c:v>7.2088888888888887</c:v>
                </c:pt>
                <c:pt idx="52" formatCode="###\ ###\ ###\ ###\ ##0.00;\-###\ ###\ ###\ ###\ ##0.00">
                  <c:v>7.196190476190476</c:v>
                </c:pt>
                <c:pt idx="53" formatCode="###\ ###\ ###\ ###\ ##0.00;\-###\ ###\ ###\ ###\ ##0.00">
                  <c:v>7.1377272727272727</c:v>
                </c:pt>
                <c:pt idx="54" formatCode="###\ ###\ ###\ ###\ ##0.00;\-###\ ###\ ###\ ###\ ##0.00">
                  <c:v>7.0289473684210524</c:v>
                </c:pt>
                <c:pt idx="55" formatCode="###\ ###\ ###\ ###\ ##0.00;\-###\ ###\ ###\ ###\ ##0.00">
                  <c:v>6.9473913043478257</c:v>
                </c:pt>
                <c:pt idx="56" formatCode="###\ ###\ ###\ ###\ ##0.00;\-###\ ###\ ###\ ###\ ##0.00">
                  <c:v>6.8470000000000004</c:v>
                </c:pt>
                <c:pt idx="57" formatCode="###\ ###\ ###\ ###\ ##0.00;\-###\ ###\ ###\ ###\ ##0.00">
                  <c:v>6.6090909090909093</c:v>
                </c:pt>
                <c:pt idx="58" formatCode="###\ ###\ ###\ ###\ ##0.00;\-###\ ###\ ###\ ###\ ##0.00">
                  <c:v>6.4771428571428569</c:v>
                </c:pt>
                <c:pt idx="59" formatCode="###\ ###\ ###\ ###\ ##0.00;\-###\ ###\ ###\ ###\ ##0.00">
                  <c:v>6.1873684210526312</c:v>
                </c:pt>
                <c:pt idx="60" formatCode="###\ ###\ ###\ ###\ ##0.00;\-###\ ###\ ###\ ###\ ##0.00">
                  <c:v>5.4690909090909088</c:v>
                </c:pt>
                <c:pt idx="61" formatCode="###\ ###\ ###\ ###\ ##0.00;\-###\ ###\ ###\ ###\ ##0.00">
                  <c:v>5.0338095238095235</c:v>
                </c:pt>
                <c:pt idx="62" formatCode="###\ ###\ ###\ ###\ ##0.00;\-###\ ###\ ###\ ###\ ##0.00">
                  <c:v>4.7994736842105263</c:v>
                </c:pt>
                <c:pt idx="63" formatCode="###\ ###\ ###\ ###\ ##0.00;\-###\ ###\ ###\ ###\ ##0.00">
                  <c:v>4.588571428571429</c:v>
                </c:pt>
                <c:pt idx="64" formatCode="###\ ###\ ###\ ###\ ##0.00;\-###\ ###\ ###\ ###\ ##0.00">
                  <c:v>4.6500000000000004</c:v>
                </c:pt>
                <c:pt idx="65" formatCode="###\ ###\ ###\ ###\ ##0.00;\-###\ ###\ ###\ ###\ ##0.00">
                  <c:v>4.5715000000000003</c:v>
                </c:pt>
              </c:numCache>
            </c:numRef>
          </c:val>
          <c:smooth val="0"/>
          <c:extLst>
            <c:ext xmlns:c16="http://schemas.microsoft.com/office/drawing/2014/chart" uri="{C3380CC4-5D6E-409C-BE32-E72D297353CC}">
              <c16:uniqueId val="{00000004-7BE8-4E40-8915-29A940F5F5A2}"/>
            </c:ext>
          </c:extLst>
        </c:ser>
        <c:ser>
          <c:idx val="5"/>
          <c:order val="5"/>
          <c:tx>
            <c:strRef>
              <c:f>'Měnové podmínky 1'!$H$5</c:f>
              <c:strCache>
                <c:ptCount val="1"/>
                <c:pt idx="0">
                  <c:v>Average yield of government bonds (10Y)</c:v>
                </c:pt>
              </c:strCache>
            </c:strRef>
          </c:tx>
          <c:spPr>
            <a:ln w="19050">
              <a:solidFill>
                <a:srgbClr val="48AEE7"/>
              </a:solidFill>
            </a:ln>
          </c:spPr>
          <c:marker>
            <c:symbol val="none"/>
          </c:marke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2019</c:v>
                  </c:pt>
                  <c:pt idx="12">
                    <c:v>2020</c:v>
                  </c:pt>
                  <c:pt idx="24">
                    <c:v>2021</c:v>
                  </c:pt>
                  <c:pt idx="36">
                    <c:v>2022</c:v>
                  </c:pt>
                  <c:pt idx="48">
                    <c:v>2023</c:v>
                  </c:pt>
                  <c:pt idx="60">
                    <c:v>2024</c:v>
                  </c:pt>
                </c:lvl>
              </c:multiLvlStrCache>
            </c:multiLvlStrRef>
          </c:cat>
          <c:val>
            <c:numRef>
              <c:f>'Měnové podmínky 1'!$H$18:$H$83</c:f>
              <c:numCache>
                <c:formatCode>General</c:formatCode>
                <c:ptCount val="66"/>
                <c:pt idx="0">
                  <c:v>1.85</c:v>
                </c:pt>
                <c:pt idx="1">
                  <c:v>1.76</c:v>
                </c:pt>
                <c:pt idx="2">
                  <c:v>1.82</c:v>
                </c:pt>
                <c:pt idx="3">
                  <c:v>1.82</c:v>
                </c:pt>
                <c:pt idx="4">
                  <c:v>1.86</c:v>
                </c:pt>
                <c:pt idx="5">
                  <c:v>1.58</c:v>
                </c:pt>
                <c:pt idx="6">
                  <c:v>1.36</c:v>
                </c:pt>
                <c:pt idx="7">
                  <c:v>0.99</c:v>
                </c:pt>
                <c:pt idx="8">
                  <c:v>1.24</c:v>
                </c:pt>
                <c:pt idx="9">
                  <c:v>1.32</c:v>
                </c:pt>
                <c:pt idx="10">
                  <c:v>1.47</c:v>
                </c:pt>
                <c:pt idx="11">
                  <c:v>1.51</c:v>
                </c:pt>
                <c:pt idx="12">
                  <c:v>1.62</c:v>
                </c:pt>
                <c:pt idx="13">
                  <c:v>1.47</c:v>
                </c:pt>
                <c:pt idx="14">
                  <c:v>1.28</c:v>
                </c:pt>
                <c:pt idx="15">
                  <c:v>1.28</c:v>
                </c:pt>
                <c:pt idx="16">
                  <c:v>0.92</c:v>
                </c:pt>
                <c:pt idx="17">
                  <c:v>0.86</c:v>
                </c:pt>
                <c:pt idx="18">
                  <c:v>0.86</c:v>
                </c:pt>
                <c:pt idx="19">
                  <c:v>0.95</c:v>
                </c:pt>
                <c:pt idx="20">
                  <c:v>0.98</c:v>
                </c:pt>
                <c:pt idx="21">
                  <c:v>0.94</c:v>
                </c:pt>
                <c:pt idx="22">
                  <c:v>1.1200000000000001</c:v>
                </c:pt>
                <c:pt idx="23">
                  <c:v>1.26</c:v>
                </c:pt>
                <c:pt idx="24">
                  <c:v>1.28</c:v>
                </c:pt>
                <c:pt idx="25">
                  <c:v>1.49</c:v>
                </c:pt>
                <c:pt idx="26">
                  <c:v>1.87</c:v>
                </c:pt>
                <c:pt idx="27">
                  <c:v>1.86</c:v>
                </c:pt>
                <c:pt idx="28">
                  <c:v>1.74</c:v>
                </c:pt>
                <c:pt idx="29">
                  <c:v>1.67</c:v>
                </c:pt>
                <c:pt idx="30">
                  <c:v>1.72</c:v>
                </c:pt>
                <c:pt idx="31">
                  <c:v>1.74</c:v>
                </c:pt>
                <c:pt idx="32">
                  <c:v>1.9</c:v>
                </c:pt>
                <c:pt idx="33">
                  <c:v>2.34</c:v>
                </c:pt>
                <c:pt idx="34">
                  <c:v>2.62</c:v>
                </c:pt>
                <c:pt idx="35">
                  <c:v>2.62</c:v>
                </c:pt>
                <c:pt idx="36">
                  <c:v>3.12</c:v>
                </c:pt>
                <c:pt idx="37">
                  <c:v>3.03</c:v>
                </c:pt>
                <c:pt idx="38">
                  <c:v>3.53</c:v>
                </c:pt>
                <c:pt idx="39">
                  <c:v>4.01</c:v>
                </c:pt>
                <c:pt idx="40">
                  <c:v>4.6100000000000003</c:v>
                </c:pt>
                <c:pt idx="41">
                  <c:v>5.12</c:v>
                </c:pt>
                <c:pt idx="42">
                  <c:v>4.4000000000000004</c:v>
                </c:pt>
                <c:pt idx="43">
                  <c:v>4.1100000000000003</c:v>
                </c:pt>
                <c:pt idx="44">
                  <c:v>4.72</c:v>
                </c:pt>
                <c:pt idx="45">
                  <c:v>5.52</c:v>
                </c:pt>
                <c:pt idx="46">
                  <c:v>5.1100000000000003</c:v>
                </c:pt>
                <c:pt idx="47">
                  <c:v>4.71</c:v>
                </c:pt>
                <c:pt idx="48" formatCode="###\ ###\ ###\ ###\ ##0.00;\-###\ ###\ ###\ ###\ ##0.00">
                  <c:v>4.4683071740930735</c:v>
                </c:pt>
                <c:pt idx="49" formatCode="###\ ###\ ###\ ###\ ##0.00;\-###\ ###\ ###\ ###\ ##0.00">
                  <c:v>4.6124456250457779</c:v>
                </c:pt>
                <c:pt idx="50" formatCode="###\ ###\ ###\ ###\ ##0.00;\-###\ ###\ ###\ ###\ ##0.00">
                  <c:v>4.6664316498532505</c:v>
                </c:pt>
                <c:pt idx="51" formatCode="###\ ###\ ###\ ###\ ##0.00;\-###\ ###\ ###\ ###\ ##0.00">
                  <c:v>4.6464031535593682</c:v>
                </c:pt>
                <c:pt idx="52" formatCode="###\ ###\ ###\ ###\ ##0.00;\-###\ ###\ ###\ ###\ ##0.00">
                  <c:v>4.4999821517871696</c:v>
                </c:pt>
                <c:pt idx="53" formatCode="###\ ###\ ###\ ###\ ##0.00;\-###\ ###\ ###\ ###\ ##0.00">
                  <c:v>4.3475817201909166</c:v>
                </c:pt>
                <c:pt idx="54" formatCode="###\ ###\ ###\ ###\ ##0.00;\-###\ ###\ ###\ ###\ ##0.00">
                  <c:v>4.1488922058727873</c:v>
                </c:pt>
                <c:pt idx="55" formatCode="###\ ###\ ###\ ###\ ##0.00;\-###\ ###\ ###\ ###\ ##0.00">
                  <c:v>4.2612326220421171</c:v>
                </c:pt>
                <c:pt idx="56" formatCode="###\ ###\ ###\ ###\ ##0.00;\-###\ ###\ ###\ ###\ ##0.00">
                  <c:v>4.4941452526073471</c:v>
                </c:pt>
                <c:pt idx="57" formatCode="###\ ###\ ###\ ###\ ##0.00;\-###\ ###\ ###\ ###\ ##0.00">
                  <c:v>4.7196492538174732</c:v>
                </c:pt>
                <c:pt idx="58" formatCode="###\ ###\ ###\ ###\ ##0.00;\-###\ ###\ ###\ ###\ ##0.00">
                  <c:v>4.4238011822001155</c:v>
                </c:pt>
                <c:pt idx="59" formatCode="###\ ###\ ###\ ###\ ##0.00;\-###\ ###\ ###\ ###\ ##0.00">
                  <c:v>3.9723129766524465</c:v>
                </c:pt>
                <c:pt idx="60" formatCode="###\ ###\ ###\ ###\ ##0.00;\-###\ ###\ ###\ ###\ ##0.00">
                  <c:v>3.8808928950535173</c:v>
                </c:pt>
                <c:pt idx="61" formatCode="###\ ###\ ###\ ###\ ##0.00;\-###\ ###\ ###\ ###\ ##0.00">
                  <c:v>3.7595547903987336</c:v>
                </c:pt>
                <c:pt idx="62" formatCode="###\ ###\ ###\ ###\ ##0.00;\-###\ ###\ ###\ ###\ ##0.00">
                  <c:v>3.8237627295684833</c:v>
                </c:pt>
                <c:pt idx="63" formatCode="###\ ###\ ###\ ###\ ##0.00;\-###\ ###\ ###\ ###\ ##0.00">
                  <c:v>4.2047003389485704</c:v>
                </c:pt>
                <c:pt idx="64" formatCode="###\ ###\ ###\ ###\ ##0.00;\-###\ ###\ ###\ ###\ ##0.00">
                  <c:v>4.1563388742973695</c:v>
                </c:pt>
                <c:pt idx="65" formatCode="###\ ###\ ###\ ###\ ##0.00;\-###\ ###\ ###\ ###\ ##0.00">
                  <c:v>4.2111868231811522</c:v>
                </c:pt>
              </c:numCache>
            </c:numRef>
          </c:val>
          <c:smooth val="0"/>
          <c:extLst>
            <c:ext xmlns:c16="http://schemas.microsoft.com/office/drawing/2014/chart" uri="{C3380CC4-5D6E-409C-BE32-E72D297353CC}">
              <c16:uniqueId val="{00000005-7BE8-4E40-8915-29A940F5F5A2}"/>
            </c:ext>
          </c:extLst>
        </c:ser>
        <c:dLbls>
          <c:showLegendKey val="0"/>
          <c:showVal val="0"/>
          <c:showCatName val="0"/>
          <c:showSerName val="0"/>
          <c:showPercent val="0"/>
          <c:showBubbleSize val="0"/>
        </c:dLbls>
        <c:marker val="1"/>
        <c:smooth val="0"/>
        <c:axId val="131001344"/>
        <c:axId val="131027712"/>
      </c:lineChart>
      <c:catAx>
        <c:axId val="131001344"/>
        <c:scaling>
          <c:orientation val="minMax"/>
        </c:scaling>
        <c:delete val="0"/>
        <c:axPos val="b"/>
        <c:numFmt formatCode="General" sourceLinked="0"/>
        <c:majorTickMark val="out"/>
        <c:minorTickMark val="none"/>
        <c:tickLblPos val="low"/>
        <c:spPr>
          <a:ln>
            <a:solidFill>
              <a:schemeClr val="tx1"/>
            </a:solidFill>
          </a:ln>
        </c:spPr>
        <c:crossAx val="131027712"/>
        <c:crosses val="autoZero"/>
        <c:auto val="1"/>
        <c:lblAlgn val="ctr"/>
        <c:lblOffset val="100"/>
        <c:noMultiLvlLbl val="0"/>
      </c:catAx>
      <c:valAx>
        <c:axId val="131027712"/>
        <c:scaling>
          <c:orientation val="minMax"/>
          <c:min val="-1"/>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31001344"/>
        <c:crosses val="autoZero"/>
        <c:crossBetween val="between"/>
        <c:majorUnit val="1"/>
      </c:valAx>
      <c:spPr>
        <a:ln>
          <a:solidFill>
            <a:schemeClr val="tx1"/>
          </a:solidFill>
        </a:ln>
      </c:spPr>
    </c:plotArea>
    <c:legend>
      <c:legendPos val="b"/>
      <c:layout>
        <c:manualLayout>
          <c:xMode val="edge"/>
          <c:yMode val="edge"/>
          <c:x val="4.2139690982776527E-2"/>
          <c:y val="0.87558269120103249"/>
          <c:w val="0.93886651469098281"/>
          <c:h val="0.11015705924459968"/>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681AD-41B0-431A-9D34-CF6700A12FA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3.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46C87A-F982-49D1-B075-D38527AC1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886</Words>
  <Characters>5230</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Kamenický Jiří</cp:lastModifiedBy>
  <cp:revision>4</cp:revision>
  <cp:lastPrinted>2014-07-17T14:07:00Z</cp:lastPrinted>
  <dcterms:created xsi:type="dcterms:W3CDTF">2024-10-16T11:35:00Z</dcterms:created>
  <dcterms:modified xsi:type="dcterms:W3CDTF">2024-10-16T11:39:00Z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