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0A1B8" w14:textId="77777777" w:rsidR="00E551F6" w:rsidRDefault="00246358" w:rsidP="00C72884">
      <w:pPr>
        <w:pStyle w:val="Obsah"/>
      </w:pPr>
      <w:r>
        <w:rPr>
          <w:noProof/>
        </w:rPr>
        <w:drawing>
          <wp:anchor distT="0" distB="0" distL="114300" distR="114300" simplePos="0" relativeHeight="251658245" behindDoc="1" locked="0" layoutInCell="1" allowOverlap="1" wp14:anchorId="6A9B9BC8" wp14:editId="5736D100">
            <wp:simplePos x="0" y="0"/>
            <wp:positionH relativeFrom="column">
              <wp:posOffset>-144145</wp:posOffset>
            </wp:positionH>
            <wp:positionV relativeFrom="paragraph">
              <wp:posOffset>-277964</wp:posOffset>
            </wp:positionV>
            <wp:extent cx="2279652" cy="540000"/>
            <wp:effectExtent l="0" t="0" r="635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3.1 barevna verze logotypu eng.wmf"/>
                    <pic:cNvPicPr/>
                  </pic:nvPicPr>
                  <pic:blipFill>
                    <a:blip r:embed="rId11">
                      <a:extLst>
                        <a:ext uri="{28A0092B-C50C-407E-A947-70E740481C1C}">
                          <a14:useLocalDpi xmlns:a14="http://schemas.microsoft.com/office/drawing/2010/main" val="0"/>
                        </a:ext>
                      </a:extLst>
                    </a:blip>
                    <a:stretch>
                      <a:fillRect/>
                    </a:stretch>
                  </pic:blipFill>
                  <pic:spPr>
                    <a:xfrm>
                      <a:off x="0" y="0"/>
                      <a:ext cx="2279652" cy="540000"/>
                    </a:xfrm>
                    <a:prstGeom prst="rect">
                      <a:avLst/>
                    </a:prstGeom>
                  </pic:spPr>
                </pic:pic>
              </a:graphicData>
            </a:graphic>
            <wp14:sizeRelH relativeFrom="margin">
              <wp14:pctWidth>0</wp14:pctWidth>
            </wp14:sizeRelH>
            <wp14:sizeRelV relativeFrom="margin">
              <wp14:pctHeight>0</wp14:pctHeight>
            </wp14:sizeRelV>
          </wp:anchor>
        </w:drawing>
      </w:r>
      <w:r w:rsidR="00D57677">
        <w:rPr>
          <w:noProof/>
        </w:rPr>
        <mc:AlternateContent>
          <mc:Choice Requires="wps">
            <w:drawing>
              <wp:anchor distT="0" distB="0" distL="114300" distR="114300" simplePos="0" relativeHeight="251658243" behindDoc="0" locked="1" layoutInCell="1" allowOverlap="1" wp14:anchorId="21432972" wp14:editId="5D13B4AB">
                <wp:simplePos x="0" y="0"/>
                <wp:positionH relativeFrom="page">
                  <wp:posOffset>1705610</wp:posOffset>
                </wp:positionH>
                <wp:positionV relativeFrom="page">
                  <wp:posOffset>8173085</wp:posOffset>
                </wp:positionV>
                <wp:extent cx="5130165" cy="925195"/>
                <wp:effectExtent l="3810" t="0" r="0" b="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08481A" w14:textId="77777777" w:rsidR="00165465" w:rsidRPr="00BC3D26" w:rsidRDefault="00165465" w:rsidP="00E551F6">
                            <w:pPr>
                              <w:rPr>
                                <w:lang w:val="en-GB"/>
                              </w:rPr>
                            </w:pPr>
                            <w:r w:rsidRPr="00BC3D26">
                              <w:rPr>
                                <w:lang w:val="en-GB"/>
                              </w:rPr>
                              <w:t>Prepared by: Office of the President of the CZSO</w:t>
                            </w:r>
                          </w:p>
                          <w:p w14:paraId="46C2F5AC" w14:textId="77777777" w:rsidR="00165465" w:rsidRPr="00BC3D26" w:rsidRDefault="00165465" w:rsidP="00E551F6">
                            <w:pPr>
                              <w:rPr>
                                <w:lang w:val="en-GB"/>
                              </w:rPr>
                            </w:pPr>
                            <w:r w:rsidRPr="00BC3D26">
                              <w:rPr>
                                <w:lang w:val="en-GB"/>
                              </w:rPr>
                              <w:t>Director: Egor Sidorov, Ph.D.</w:t>
                            </w:r>
                          </w:p>
                          <w:p w14:paraId="4057945C" w14:textId="23BB3E9D" w:rsidR="00165465" w:rsidRPr="006C5577" w:rsidRDefault="00165465" w:rsidP="00E551F6">
                            <w:r w:rsidRPr="00BC3D26">
                              <w:rPr>
                                <w:lang w:val="en-GB"/>
                              </w:rPr>
                              <w:t>Contact person: Karolína Zábojníková</w:t>
                            </w:r>
                            <w:r w:rsidRPr="006C5577">
                              <w:t>,</w:t>
                            </w:r>
                            <w:r>
                              <w:t xml:space="preserve"> e-mail: karolina.zabojnikova@csu.gov.cz</w:t>
                            </w:r>
                          </w:p>
                          <w:p w14:paraId="21432990" w14:textId="2B03A61C" w:rsidR="00165465" w:rsidRPr="006C5577" w:rsidRDefault="00165465" w:rsidP="004924DC"/>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432972"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0zSAIAADo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0pkaxDiZ7FYGH/4ztR0AqSOIp6ZXL0fFLoa4d7GFBq365Rj8A/GyJhWTO5FXdaQ18LVmKJsYsM&#10;L0JHHONANv07KDEX21nwQEOlO8cfMkIQHaU6nOXBegjHx2l8FcWzKSUc/7JkGmdTn4Llp2iljX0j&#10;oCPOKKhG+T062z8a66ph+cnFJZOwbtrWj0Arf3tAx/EFc2Oo+3NVeEVfsih7mD/M0yBNZg9BGpVl&#10;cLdepsFsHV9PV1er5XIVfxsn6yIoTtLoPsmC9Wx+HaRVOg2y62geRHF2n82iNEtXax+EqU9JPXmO&#10;r5E5O2yGoxgbKA9Io4ZxoHEB0ahBf6Wkx2EuqPmyY1pQ0r6VKIWb/JOhT8bmZDDJMbSglpLRXNpx&#10;Q3ZKN9sakUexJdyhXFXjmXS6jlUcRcYB9QQfl8ltwOXde/1a+cVPA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Am&#10;k80zSAIAADoEAAAOAAAAAAAAAAAAAAAAAC4CAABkcnMvZTJvRG9jLnhtbFBLAQItABQABgAIAAAA&#10;IQBU965p4gAAAA4BAAAPAAAAAAAAAAAAAAAAAKIEAABkcnMvZG93bnJldi54bWxQSwUGAAAAAAQA&#10;BADzAAAAsQUAAAAA&#10;" filled="f" stroked="f">
                <v:textbox inset="0,0,0,0">
                  <w:txbxContent>
                    <w:p w14:paraId="4608481A" w14:textId="77777777" w:rsidR="00165465" w:rsidRPr="00BC3D26" w:rsidRDefault="00165465" w:rsidP="00E551F6">
                      <w:pPr>
                        <w:rPr>
                          <w:lang w:val="en-GB"/>
                        </w:rPr>
                      </w:pPr>
                      <w:r w:rsidRPr="00BC3D26">
                        <w:rPr>
                          <w:lang w:val="en-GB"/>
                        </w:rPr>
                        <w:t>Prepared by: Office of the President of the CZSO</w:t>
                      </w:r>
                    </w:p>
                    <w:p w14:paraId="46C2F5AC" w14:textId="77777777" w:rsidR="00165465" w:rsidRPr="00BC3D26" w:rsidRDefault="00165465" w:rsidP="00E551F6">
                      <w:pPr>
                        <w:rPr>
                          <w:lang w:val="en-GB"/>
                        </w:rPr>
                      </w:pPr>
                      <w:r w:rsidRPr="00BC3D26">
                        <w:rPr>
                          <w:lang w:val="en-GB"/>
                        </w:rPr>
                        <w:t>Director: Egor Sidorov, Ph.D.</w:t>
                      </w:r>
                    </w:p>
                    <w:p w14:paraId="4057945C" w14:textId="23BB3E9D" w:rsidR="00165465" w:rsidRPr="006C5577" w:rsidRDefault="00165465" w:rsidP="00E551F6">
                      <w:r w:rsidRPr="00BC3D26">
                        <w:rPr>
                          <w:lang w:val="en-GB"/>
                        </w:rPr>
                        <w:t>Contact person: Karolína Zábojníková</w:t>
                      </w:r>
                      <w:r w:rsidRPr="006C5577">
                        <w:t>,</w:t>
                      </w:r>
                      <w:r>
                        <w:t xml:space="preserve"> e-mail: karolina.zabojnikova@csu.gov.cz</w:t>
                      </w:r>
                    </w:p>
                    <w:p w14:paraId="21432990" w14:textId="2B03A61C" w:rsidR="00165465" w:rsidRPr="006C5577" w:rsidRDefault="00165465" w:rsidP="004924DC"/>
                  </w:txbxContent>
                </v:textbox>
                <w10:wrap anchorx="page" anchory="page"/>
                <w10:anchorlock/>
              </v:shape>
            </w:pict>
          </mc:Fallback>
        </mc:AlternateContent>
      </w:r>
      <w:r w:rsidR="00D57677">
        <w:rPr>
          <w:noProof/>
        </w:rPr>
        <mc:AlternateContent>
          <mc:Choice Requires="wps">
            <w:drawing>
              <wp:anchor distT="0" distB="0" distL="114300" distR="114300" simplePos="0" relativeHeight="251658242" behindDoc="0" locked="1" layoutInCell="1" allowOverlap="1" wp14:anchorId="21432974" wp14:editId="21432975">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15863B2" w14:textId="77777777" w:rsidR="00165465" w:rsidRDefault="00165465" w:rsidP="00E551F6">
                            <w:pPr>
                              <w:pStyle w:val="TLIdentifikace-sted"/>
                            </w:pPr>
                            <w:proofErr w:type="spellStart"/>
                            <w:r w:rsidRPr="00C72884">
                              <w:t>S</w:t>
                            </w:r>
                            <w:r>
                              <w:t>ummary</w:t>
                            </w:r>
                            <w:proofErr w:type="spellEnd"/>
                            <w:r>
                              <w:t xml:space="preserve"> Data on </w:t>
                            </w:r>
                            <w:proofErr w:type="spellStart"/>
                            <w:r>
                              <w:t>the</w:t>
                            </w:r>
                            <w:proofErr w:type="spellEnd"/>
                            <w:r>
                              <w:t xml:space="preserve"> Czech Republic</w:t>
                            </w:r>
                          </w:p>
                          <w:p w14:paraId="66F5A92F" w14:textId="77777777" w:rsidR="00165465" w:rsidRPr="004924DC" w:rsidRDefault="00165465" w:rsidP="00E551F6">
                            <w:pPr>
                              <w:pStyle w:val="TLIdentifikace-sted"/>
                            </w:pPr>
                            <w:r>
                              <w:t>Prague, 16</w:t>
                            </w:r>
                            <w:r w:rsidRPr="00194385">
                              <w:rPr>
                                <w:vertAlign w:val="superscript"/>
                              </w:rPr>
                              <w:t>th</w:t>
                            </w:r>
                            <w:r>
                              <w:t xml:space="preserve"> </w:t>
                            </w:r>
                            <w:proofErr w:type="spellStart"/>
                            <w:r>
                              <w:t>September</w:t>
                            </w:r>
                            <w:proofErr w:type="spellEnd"/>
                            <w:r>
                              <w:t xml:space="preserve"> 2024</w:t>
                            </w:r>
                          </w:p>
                          <w:p w14:paraId="79686449" w14:textId="12E32DC8" w:rsidR="00165465" w:rsidRPr="004924DC" w:rsidRDefault="00165465" w:rsidP="00E551F6">
                            <w:pPr>
                              <w:pStyle w:val="TLIdentifikace-sted"/>
                            </w:pPr>
                            <w:proofErr w:type="spellStart"/>
                            <w:r>
                              <w:t>Publication</w:t>
                            </w:r>
                            <w:proofErr w:type="spellEnd"/>
                            <w:r>
                              <w:t xml:space="preserve"> </w:t>
                            </w:r>
                            <w:proofErr w:type="spellStart"/>
                            <w:r>
                              <w:t>Code</w:t>
                            </w:r>
                            <w:proofErr w:type="spellEnd"/>
                            <w:r w:rsidRPr="004924DC">
                              <w:t xml:space="preserve">: </w:t>
                            </w:r>
                            <w:r w:rsidR="00111F50">
                              <w:t>320194</w:t>
                            </w:r>
                            <w:r>
                              <w:t>-24</w:t>
                            </w:r>
                          </w:p>
                          <w:p w14:paraId="21432994" w14:textId="14149335" w:rsidR="00165465" w:rsidRPr="004924DC" w:rsidRDefault="00165465" w:rsidP="004924DC">
                            <w:pPr>
                              <w:pStyle w:val="TLIdentifikace-sted"/>
                            </w:pPr>
                            <w:proofErr w:type="spellStart"/>
                            <w:r>
                              <w:t>Yearly</w:t>
                            </w:r>
                            <w:proofErr w:type="spellEnd"/>
                            <w:r>
                              <w:t xml:space="preserve"> </w:t>
                            </w:r>
                            <w:proofErr w:type="spellStart"/>
                            <w:r>
                              <w:t>Publication</w:t>
                            </w:r>
                            <w:proofErr w:type="spellEnd"/>
                            <w:r>
                              <w:t xml:space="preserve"> </w:t>
                            </w:r>
                            <w:proofErr w:type="spellStart"/>
                            <w:r>
                              <w:t>Code</w:t>
                            </w:r>
                            <w:proofErr w:type="spellEnd"/>
                            <w:r>
                              <w:t>: 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4" id="_x0000_s1027" type="#_x0000_t202" style="position:absolute;margin-left:134.65pt;margin-top:368.55pt;width:403.9pt;height:132.8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14:paraId="715863B2" w14:textId="77777777" w:rsidR="00165465" w:rsidRDefault="00165465" w:rsidP="00E551F6">
                      <w:pPr>
                        <w:pStyle w:val="TLIdentifikace-sted"/>
                      </w:pPr>
                      <w:proofErr w:type="spellStart"/>
                      <w:r w:rsidRPr="00C72884">
                        <w:t>S</w:t>
                      </w:r>
                      <w:r>
                        <w:t>ummary</w:t>
                      </w:r>
                      <w:proofErr w:type="spellEnd"/>
                      <w:r>
                        <w:t xml:space="preserve"> Data on </w:t>
                      </w:r>
                      <w:proofErr w:type="spellStart"/>
                      <w:r>
                        <w:t>the</w:t>
                      </w:r>
                      <w:proofErr w:type="spellEnd"/>
                      <w:r>
                        <w:t xml:space="preserve"> Czech Republic</w:t>
                      </w:r>
                    </w:p>
                    <w:p w14:paraId="66F5A92F" w14:textId="77777777" w:rsidR="00165465" w:rsidRPr="004924DC" w:rsidRDefault="00165465" w:rsidP="00E551F6">
                      <w:pPr>
                        <w:pStyle w:val="TLIdentifikace-sted"/>
                      </w:pPr>
                      <w:r>
                        <w:t>Prague, 16</w:t>
                      </w:r>
                      <w:r w:rsidRPr="00194385">
                        <w:rPr>
                          <w:vertAlign w:val="superscript"/>
                        </w:rPr>
                        <w:t>th</w:t>
                      </w:r>
                      <w:r>
                        <w:t xml:space="preserve"> </w:t>
                      </w:r>
                      <w:proofErr w:type="spellStart"/>
                      <w:r>
                        <w:t>September</w:t>
                      </w:r>
                      <w:proofErr w:type="spellEnd"/>
                      <w:r>
                        <w:t xml:space="preserve"> 2024</w:t>
                      </w:r>
                    </w:p>
                    <w:p w14:paraId="79686449" w14:textId="12E32DC8" w:rsidR="00165465" w:rsidRPr="004924DC" w:rsidRDefault="00165465" w:rsidP="00E551F6">
                      <w:pPr>
                        <w:pStyle w:val="TLIdentifikace-sted"/>
                      </w:pPr>
                      <w:proofErr w:type="spellStart"/>
                      <w:r>
                        <w:t>Publication</w:t>
                      </w:r>
                      <w:proofErr w:type="spellEnd"/>
                      <w:r>
                        <w:t xml:space="preserve"> </w:t>
                      </w:r>
                      <w:proofErr w:type="spellStart"/>
                      <w:r>
                        <w:t>Code</w:t>
                      </w:r>
                      <w:proofErr w:type="spellEnd"/>
                      <w:r w:rsidRPr="004924DC">
                        <w:t xml:space="preserve">: </w:t>
                      </w:r>
                      <w:r w:rsidR="00111F50">
                        <w:t>320194</w:t>
                      </w:r>
                      <w:r>
                        <w:t>-24</w:t>
                      </w:r>
                    </w:p>
                    <w:p w14:paraId="21432994" w14:textId="14149335" w:rsidR="00165465" w:rsidRPr="004924DC" w:rsidRDefault="00165465" w:rsidP="004924DC">
                      <w:pPr>
                        <w:pStyle w:val="TLIdentifikace-sted"/>
                      </w:pPr>
                      <w:proofErr w:type="spellStart"/>
                      <w:r>
                        <w:t>Yearly</w:t>
                      </w:r>
                      <w:proofErr w:type="spellEnd"/>
                      <w:r>
                        <w:t xml:space="preserve"> </w:t>
                      </w:r>
                      <w:proofErr w:type="spellStart"/>
                      <w:r>
                        <w:t>Publication</w:t>
                      </w:r>
                      <w:proofErr w:type="spellEnd"/>
                      <w:r>
                        <w:t xml:space="preserve"> </w:t>
                      </w:r>
                      <w:proofErr w:type="spellStart"/>
                      <w:r>
                        <w:t>Code</w:t>
                      </w:r>
                      <w:proofErr w:type="spellEnd"/>
                      <w:r>
                        <w:t>: 1</w:t>
                      </w:r>
                    </w:p>
                  </w:txbxContent>
                </v:textbox>
                <w10:wrap anchorx="page" anchory="page"/>
                <w10:anchorlock/>
              </v:shape>
            </w:pict>
          </mc:Fallback>
        </mc:AlternateContent>
      </w:r>
      <w:r w:rsidR="00D57677">
        <w:rPr>
          <w:noProof/>
        </w:rPr>
        <mc:AlternateContent>
          <mc:Choice Requires="wps">
            <w:drawing>
              <wp:anchor distT="0" distB="0" distL="114300" distR="114300" simplePos="0" relativeHeight="251658241" behindDoc="0" locked="1" layoutInCell="1" allowOverlap="1" wp14:anchorId="21432976" wp14:editId="21432977">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D0573A5" w14:textId="77777777" w:rsidR="00165465" w:rsidRPr="00DE02BD" w:rsidRDefault="00165465" w:rsidP="00E551F6">
                            <w:pPr>
                              <w:pStyle w:val="Podnadpis"/>
                            </w:pPr>
                            <w:r>
                              <w:rPr>
                                <w:rFonts w:cs="Times New Roman"/>
                                <w:bCs/>
                                <w:caps/>
                                <w:kern w:val="28"/>
                                <w:sz w:val="56"/>
                                <w:szCs w:val="32"/>
                              </w:rPr>
                              <w:t>THE CZECH ECONOMY DEVELOPMENT</w:t>
                            </w:r>
                          </w:p>
                          <w:p w14:paraId="6532615F" w14:textId="77777777" w:rsidR="00165465" w:rsidRPr="00DE02BD" w:rsidRDefault="00165465" w:rsidP="00E551F6">
                            <w:pPr>
                              <w:pStyle w:val="Podnadpis"/>
                            </w:pPr>
                            <w:proofErr w:type="spellStart"/>
                            <w:r>
                              <w:t>First</w:t>
                            </w:r>
                            <w:proofErr w:type="spellEnd"/>
                            <w:r>
                              <w:t xml:space="preserve"> </w:t>
                            </w:r>
                            <w:proofErr w:type="spellStart"/>
                            <w:r>
                              <w:t>half</w:t>
                            </w:r>
                            <w:proofErr w:type="spellEnd"/>
                            <w:r>
                              <w:t xml:space="preserve"> </w:t>
                            </w:r>
                            <w:proofErr w:type="spellStart"/>
                            <w:r>
                              <w:t>of</w:t>
                            </w:r>
                            <w:proofErr w:type="spellEnd"/>
                            <w:r>
                              <w:t xml:space="preserve"> 2024</w:t>
                            </w:r>
                          </w:p>
                          <w:p w14:paraId="21432997" w14:textId="7706700C" w:rsidR="00165465" w:rsidRPr="00DE02BD" w:rsidRDefault="00165465" w:rsidP="0012192F">
                            <w:pPr>
                              <w:pStyle w:val="Podnadpis"/>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6" id="_x0000_s1028" type="#_x0000_t202" style="position:absolute;margin-left:134.65pt;margin-top:116.25pt;width:403.9pt;height:173.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oLSQ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SRKt1tvA5WD6HK23s&#10;GwE9cUZBNQ6Ah2enW2NdOSyfv7hsEsq26/wQdPK3B/w4vWByDHU+V4bX9DGLspv1zToN0mR5E6RR&#10;VQVX5TYNlmW8WuzOd9vtLv42zdaLoDhJo+skC8rlehWkdboIslW0DqI4u86WUZqlu9IHYeo5qWfP&#10;ETZRZ8f9OIk1i7KH6gHp1DBNNm4iGg3or5QMONUFNV+OTAtKurcSJXErMBt6NvazwSTH0IJaSiZz&#10;a6dVOSrdHhpEnkW/QtnK1hPq9J2qeBIbJ9Xz/LRVbhVe3v2vX7u/+QkAAP//AwBQSwMEFAAGAAgA&#10;AAAhAHvuk7fgAAAADAEAAA8AAABkcnMvZG93bnJldi54bWxMj7FOwzAQhnck3sE6JBbU2nHVtA1x&#10;KoRgYaOwsLnxNYmwz1HsJqFPjzvBdqf79N/3l/vZWTbiEDpPCrKlAIZUe9NRo+Dz43WxBRaiJqOt&#10;J1TwgwH21e1NqQvjJ3rH8RAblkIoFFpBG2NfcB7qFp0OS98jpdvJD07HtA4NN4OeUrizXAqRc6c7&#10;Sh9a3eNzi/X34ewU5PNL//C2QzldajvS1yXLImZK3d/NT4/AIs7xD4arflKHKjkd/ZlMYFaBzHer&#10;hKZhJdfAroTYbDJgRwXrrZDAq5L/L1H9AgAA//8DAFBLAQItABQABgAIAAAAIQC2gziS/gAAAOEB&#10;AAATAAAAAAAAAAAAAAAAAAAAAABbQ29udGVudF9UeXBlc10ueG1sUEsBAi0AFAAGAAgAAAAhADj9&#10;If/WAAAAlAEAAAsAAAAAAAAAAAAAAAAALwEAAF9yZWxzLy5yZWxzUEsBAi0AFAAGAAgAAAAhANFQ&#10;SgtJAgAAQwQAAA4AAAAAAAAAAAAAAAAALgIAAGRycy9lMm9Eb2MueG1sUEsBAi0AFAAGAAgAAAAh&#10;AHvuk7fgAAAADAEAAA8AAAAAAAAAAAAAAAAAowQAAGRycy9kb3ducmV2LnhtbFBLBQYAAAAABAAE&#10;APMAAACwBQAAAAA=&#10;" filled="f" stroked="f">
                <v:textbox style="mso-fit-shape-to-text:t" inset="0,0,0,0">
                  <w:txbxContent>
                    <w:p w14:paraId="4D0573A5" w14:textId="77777777" w:rsidR="00165465" w:rsidRPr="00DE02BD" w:rsidRDefault="00165465" w:rsidP="00E551F6">
                      <w:pPr>
                        <w:pStyle w:val="Podnadpis"/>
                      </w:pPr>
                      <w:r>
                        <w:rPr>
                          <w:rFonts w:cs="Times New Roman"/>
                          <w:bCs/>
                          <w:caps/>
                          <w:kern w:val="28"/>
                          <w:sz w:val="56"/>
                          <w:szCs w:val="32"/>
                        </w:rPr>
                        <w:t>THE CZECH ECONOMY DEVELOPMENT</w:t>
                      </w:r>
                    </w:p>
                    <w:p w14:paraId="6532615F" w14:textId="77777777" w:rsidR="00165465" w:rsidRPr="00DE02BD" w:rsidRDefault="00165465" w:rsidP="00E551F6">
                      <w:pPr>
                        <w:pStyle w:val="Podnadpis"/>
                      </w:pPr>
                      <w:proofErr w:type="spellStart"/>
                      <w:r>
                        <w:t>First</w:t>
                      </w:r>
                      <w:proofErr w:type="spellEnd"/>
                      <w:r>
                        <w:t xml:space="preserve"> </w:t>
                      </w:r>
                      <w:proofErr w:type="spellStart"/>
                      <w:r>
                        <w:t>half</w:t>
                      </w:r>
                      <w:proofErr w:type="spellEnd"/>
                      <w:r>
                        <w:t xml:space="preserve"> </w:t>
                      </w:r>
                      <w:proofErr w:type="spellStart"/>
                      <w:r>
                        <w:t>of</w:t>
                      </w:r>
                      <w:proofErr w:type="spellEnd"/>
                      <w:r>
                        <w:t xml:space="preserve"> 2024</w:t>
                      </w:r>
                    </w:p>
                    <w:p w14:paraId="21432997" w14:textId="7706700C" w:rsidR="00165465" w:rsidRPr="00DE02BD" w:rsidRDefault="00165465" w:rsidP="0012192F">
                      <w:pPr>
                        <w:pStyle w:val="Podnadpis"/>
                      </w:pPr>
                    </w:p>
                  </w:txbxContent>
                </v:textbox>
                <w10:wrap anchorx="page" anchory="page"/>
                <w10:anchorlock/>
              </v:shape>
            </w:pict>
          </mc:Fallback>
        </mc:AlternateContent>
      </w:r>
      <w:r w:rsidR="00D57677">
        <w:rPr>
          <w:noProof/>
        </w:rPr>
        <mc:AlternateContent>
          <mc:Choice Requires="wps">
            <w:drawing>
              <wp:anchor distT="0" distB="0" distL="114300" distR="114300" simplePos="0" relativeHeight="251658244" behindDoc="0" locked="1" layoutInCell="1" allowOverlap="1" wp14:anchorId="21432978" wp14:editId="5BD8AB08">
                <wp:simplePos x="0" y="0"/>
                <wp:positionH relativeFrom="page">
                  <wp:posOffset>1700530</wp:posOffset>
                </wp:positionH>
                <wp:positionV relativeFrom="page">
                  <wp:posOffset>9649460</wp:posOffset>
                </wp:positionV>
                <wp:extent cx="5130165" cy="179705"/>
                <wp:effectExtent l="0" t="0" r="13335" b="1079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43299A" w14:textId="6B0BD893" w:rsidR="00165465" w:rsidRPr="005251DD" w:rsidRDefault="00165465" w:rsidP="00665BA4">
                            <w:r w:rsidRPr="004924DC">
                              <w:t xml:space="preserve">© </w:t>
                            </w:r>
                            <w:r w:rsidRPr="004509CE">
                              <w:rPr>
                                <w:lang w:val="en-GB"/>
                              </w:rPr>
                              <w:t>Czech Statistical Office, Prague</w:t>
                            </w:r>
                            <w:r w:rsidRPr="004924DC">
                              <w:t xml:space="preserve">, </w:t>
                            </w:r>
                            <w:r>
                              <w:t>2024</w:t>
                            </w:r>
                          </w:p>
                          <w:p w14:paraId="2143299B" w14:textId="77777777" w:rsidR="00165465" w:rsidRPr="005251DD" w:rsidRDefault="00165465" w:rsidP="00FC684B"/>
                          <w:p w14:paraId="2143299C" w14:textId="77777777" w:rsidR="00165465" w:rsidRDefault="00165465"/>
                          <w:p w14:paraId="2143299D" w14:textId="77777777" w:rsidR="00165465" w:rsidRPr="00097407" w:rsidRDefault="0016546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2143299E" w14:textId="77777777" w:rsidR="00165465" w:rsidRPr="005251DD" w:rsidRDefault="00165465" w:rsidP="00665BA4"/>
                          <w:p w14:paraId="2143299F" w14:textId="77777777" w:rsidR="00165465" w:rsidRPr="005251DD" w:rsidRDefault="00165465"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8" id="_x0000_s1029" type="#_x0000_t202" style="position:absolute;margin-left:133.9pt;margin-top:759.8pt;width:403.95pt;height:14.1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XKSQIAAEEEAAAOAAAAZHJzL2Uyb0RvYy54bWysU0uO2zAM3RfoHQTtHdsZ52NjnMHkVxSY&#10;foCZHkCR5dioLaqSEjsd9EA9Ry9WSk7SabsruhEoiXwk3yNv7/q2IUehTQ0yp/EookRIDkUt9zn9&#10;9LQN5pQYy2TBGpAipydh6N3i9avbTmViDBU0hdAEQaTJOpXTylqVhaHhlWiZGYESEj9L0C2zeNX7&#10;sNCsQ/S2CcdRNA070IXSwIUx+LoePunC45el4PZDWRphSZNTrM36U/tz585wccuyvWaqqvm5DPYP&#10;VbSslpj0CrVmlpGDrv+CamuuwUBpRxzaEMqy5sL3gN3E0R/dPFZMCd8LkmPUlSbz/2D5++NHTeoi&#10;pzeUSNaiRE+it3D88Z0oaAQZO4o6ZTL0fFToa/sl9Ci1b9eoB+CfDZGwqpjci3utoasEK7DE2EWG&#10;L0IHHONAdt07KDAXO1jwQH2pW8cfMkIQHaU6XeXBegjHx0l8E8XTCSUc/+JZOosmPgXLLtFKG/tG&#10;QEuckVON8nt0dnww1lXDsouLSyZhWzeNH4FG/vaAjsML5sZQ9+eq8Io+p1G6mW/mSZCMp5sgiYoi&#10;uN+ukmC6jWeT9c16tVrH34bJehEUj5NoOU6D7XQ+C5IymQTYwDyI4nSZTqMkTdZbH4SpL0k9eY6v&#10;gTnb7/qzVGdNdlCckE0Nw1zjHqJRgf5KSYcznVPz5cC0oKR5K1ERtwAXQ1+M3cVgkmNoTi0lg7my&#10;w6IclK73FSIPmku4R9XK2hPq5B2qOGuNc+p5Pu+UW4SXd+/1a/MXPwEAAP//AwBQSwMEFAAGAAgA&#10;AAAhACKATITiAAAADgEAAA8AAABkcnMvZG93bnJldi54bWxMj8FOwzAQRO9I/IO1lbhRpxVNSBqn&#10;qhCckBBpOHB04m1iNV6H2G3D3+OcynF2RjNv891kenbB0WlLAlbLCBhSY5WmVsBX9fb4DMx5SUr2&#10;llDALzrYFfd3ucyUvVKJl4NvWSghl0kBnfdDxrlrOjTSLe2AFLyjHY30QY4tV6O8hnLT83UUxdxI&#10;TWGhkwO+dNicDmcjYP9N5av++ag/y2OpqyqN6D0+CfGwmPZbYB4nfwvDjB/QoQhMtT2TcqwXsI6T&#10;gO6DsVmlMbA5EiWbBFg9356SFHiR8/9vFH8AAAD//wMAUEsBAi0AFAAGAAgAAAAhALaDOJL+AAAA&#10;4QEAABMAAAAAAAAAAAAAAAAAAAAAAFtDb250ZW50X1R5cGVzXS54bWxQSwECLQAUAAYACAAAACEA&#10;OP0h/9YAAACUAQAACwAAAAAAAAAAAAAAAAAvAQAAX3JlbHMvLnJlbHNQSwECLQAUAAYACAAAACEA&#10;qlX1ykkCAABBBAAADgAAAAAAAAAAAAAAAAAuAgAAZHJzL2Uyb0RvYy54bWxQSwECLQAUAAYACAAA&#10;ACEAIoBMhOIAAAAOAQAADwAAAAAAAAAAAAAAAACjBAAAZHJzL2Rvd25yZXYueG1sUEsFBgAAAAAE&#10;AAQA8wAAALIFAAAAAA==&#10;" filled="f" stroked="f">
                <v:textbox inset="0,0,0,0">
                  <w:txbxContent>
                    <w:p w14:paraId="2143299A" w14:textId="6B0BD893" w:rsidR="00165465" w:rsidRPr="005251DD" w:rsidRDefault="00165465" w:rsidP="00665BA4">
                      <w:r w:rsidRPr="004924DC">
                        <w:t xml:space="preserve">© </w:t>
                      </w:r>
                      <w:r w:rsidRPr="004509CE">
                        <w:rPr>
                          <w:lang w:val="en-GB"/>
                        </w:rPr>
                        <w:t>Czech Statistical Office, Prague</w:t>
                      </w:r>
                      <w:r w:rsidRPr="004924DC">
                        <w:t xml:space="preserve">, </w:t>
                      </w:r>
                      <w:r>
                        <w:t>2024</w:t>
                      </w:r>
                    </w:p>
                    <w:p w14:paraId="2143299B" w14:textId="77777777" w:rsidR="00165465" w:rsidRPr="005251DD" w:rsidRDefault="00165465" w:rsidP="00FC684B"/>
                    <w:p w14:paraId="2143299C" w14:textId="77777777" w:rsidR="00165465" w:rsidRDefault="00165465"/>
                    <w:p w14:paraId="2143299D" w14:textId="77777777" w:rsidR="00165465" w:rsidRPr="00097407" w:rsidRDefault="0016546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2143299E" w14:textId="77777777" w:rsidR="00165465" w:rsidRPr="005251DD" w:rsidRDefault="00165465" w:rsidP="00665BA4"/>
                    <w:p w14:paraId="2143299F" w14:textId="77777777" w:rsidR="00165465" w:rsidRPr="005251DD" w:rsidRDefault="00165465" w:rsidP="00FC684B"/>
                  </w:txbxContent>
                </v:textbox>
                <w10:wrap anchorx="page" anchory="page"/>
                <w10:anchorlock/>
              </v:shape>
            </w:pict>
          </mc:Fallback>
        </mc:AlternateContent>
      </w:r>
      <w:r w:rsidR="00D57677">
        <w:rPr>
          <w:noProof/>
        </w:rPr>
        <mc:AlternateContent>
          <mc:Choice Requires="wps">
            <w:drawing>
              <wp:anchor distT="4294967294" distB="4294967294" distL="114300" distR="114300" simplePos="0" relativeHeight="251658240" behindDoc="0" locked="1" layoutInCell="0" allowOverlap="1" wp14:anchorId="2143297A" wp14:editId="2143297B">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817333" id="Přímá spojnice 33" o:spid="_x0000_s1026" style="position:absolute;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bookmarkStart w:id="0" w:name="_GoBack"/>
      <w:bookmarkEnd w:id="0"/>
    </w:p>
    <w:p w14:paraId="1739CF39" w14:textId="77777777" w:rsidR="00E551F6" w:rsidRPr="001A0A01" w:rsidRDefault="00E551F6" w:rsidP="00E551F6">
      <w:pPr>
        <w:pStyle w:val="Obsah"/>
        <w:rPr>
          <w:lang w:val="en-GB" w:eastAsia="ar-SA"/>
        </w:rPr>
        <w:sectPr w:rsidR="00E551F6" w:rsidRPr="001A0A01"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sidRPr="001A0A01">
        <w:rPr>
          <w:lang w:val="en-GB"/>
        </w:rPr>
        <w:lastRenderedPageBreak/>
        <w:br w:type="page"/>
      </w:r>
      <w:r w:rsidRPr="001A0A01">
        <w:rPr>
          <w:noProof/>
        </w:rPr>
        <mc:AlternateContent>
          <mc:Choice Requires="wps">
            <w:drawing>
              <wp:anchor distT="0" distB="0" distL="114300" distR="114300" simplePos="0" relativeHeight="251658246" behindDoc="0" locked="1" layoutInCell="1" allowOverlap="1" wp14:anchorId="1FCF8172" wp14:editId="76A5ADAE">
                <wp:simplePos x="0" y="0"/>
                <wp:positionH relativeFrom="page">
                  <wp:posOffset>723900</wp:posOffset>
                </wp:positionH>
                <wp:positionV relativeFrom="page">
                  <wp:posOffset>1440180</wp:posOffset>
                </wp:positionV>
                <wp:extent cx="6119495" cy="7673340"/>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F8DAC7" w14:textId="77777777" w:rsidR="00165465" w:rsidRPr="00DE02BD" w:rsidRDefault="00165465" w:rsidP="00E551F6">
                            <w:pPr>
                              <w:pStyle w:val="TLKontaktyerven"/>
                            </w:pPr>
                            <w:r>
                              <w:t>CONTACTS IN THE HEADQUARTERS</w:t>
                            </w:r>
                          </w:p>
                          <w:p w14:paraId="7CEDA9FA" w14:textId="77777777" w:rsidR="00165465" w:rsidRPr="007D40DF" w:rsidRDefault="00165465" w:rsidP="00E551F6">
                            <w:pPr>
                              <w:pStyle w:val="TLKontakty"/>
                              <w:spacing w:after="80" w:line="240" w:lineRule="auto"/>
                              <w:contextualSpacing w:val="0"/>
                              <w:rPr>
                                <w:b w:val="0"/>
                                <w:color w:val="auto"/>
                              </w:rPr>
                            </w:pPr>
                            <w:r>
                              <w:t xml:space="preserve">Czech </w:t>
                            </w:r>
                            <w:proofErr w:type="spellStart"/>
                            <w:r>
                              <w:t>Statistical</w:t>
                            </w:r>
                            <w:proofErr w:type="spellEnd"/>
                            <w:r>
                              <w:t xml:space="preserve"> Office</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proofErr w:type="spellStart"/>
                            <w:r>
                              <w:rPr>
                                <w:b w:val="0"/>
                                <w:color w:val="auto"/>
                              </w:rPr>
                              <w:t>ph</w:t>
                            </w:r>
                            <w:proofErr w:type="spellEnd"/>
                            <w:r w:rsidRPr="007D40DF">
                              <w:rPr>
                                <w:b w:val="0"/>
                                <w:color w:val="auto"/>
                              </w:rPr>
                              <w:t xml:space="preserve">.: 274 051 111 | </w:t>
                            </w:r>
                            <w:r>
                              <w:rPr>
                                <w:color w:val="auto"/>
                              </w:rPr>
                              <w:t>www.csu.gov</w:t>
                            </w:r>
                            <w:r w:rsidRPr="007D40DF">
                              <w:rPr>
                                <w:color w:val="auto"/>
                              </w:rPr>
                              <w:t>.cz</w:t>
                            </w:r>
                          </w:p>
                          <w:p w14:paraId="449EEA09" w14:textId="77777777" w:rsidR="00165465" w:rsidRPr="00D235B7" w:rsidRDefault="00165465" w:rsidP="00E551F6">
                            <w:pPr>
                              <w:pStyle w:val="TLKontakty"/>
                              <w:spacing w:after="80" w:line="240" w:lineRule="auto"/>
                              <w:contextualSpacing w:val="0"/>
                              <w:rPr>
                                <w:b w:val="0"/>
                                <w:color w:val="auto"/>
                              </w:rPr>
                            </w:pPr>
                            <w:proofErr w:type="spellStart"/>
                            <w:r>
                              <w:rPr>
                                <w:color w:val="auto"/>
                              </w:rPr>
                              <w:t>Information</w:t>
                            </w:r>
                            <w:proofErr w:type="spellEnd"/>
                            <w:r>
                              <w:rPr>
                                <w:color w:val="auto"/>
                              </w:rPr>
                              <w:t xml:space="preserve"> </w:t>
                            </w:r>
                            <w:proofErr w:type="spellStart"/>
                            <w:r>
                              <w:rPr>
                                <w:color w:val="auto"/>
                              </w:rPr>
                              <w:t>Services</w:t>
                            </w:r>
                            <w:proofErr w:type="spellEnd"/>
                            <w:r>
                              <w:rPr>
                                <w:b w:val="0"/>
                                <w:color w:val="auto"/>
                              </w:rPr>
                              <w:t xml:space="preserve"> | </w:t>
                            </w:r>
                            <w:proofErr w:type="spellStart"/>
                            <w:r>
                              <w:rPr>
                                <w:b w:val="0"/>
                                <w:color w:val="auto"/>
                              </w:rPr>
                              <w:t>ph</w:t>
                            </w:r>
                            <w:proofErr w:type="spellEnd"/>
                            <w:r>
                              <w:rPr>
                                <w:b w:val="0"/>
                                <w:color w:val="auto"/>
                              </w:rPr>
                              <w:t>.: 274 056 789 | e-mail: infoservis@csu.gov</w:t>
                            </w:r>
                            <w:r w:rsidRPr="00D235B7">
                              <w:rPr>
                                <w:b w:val="0"/>
                                <w:color w:val="auto"/>
                              </w:rPr>
                              <w:t>.cz</w:t>
                            </w:r>
                          </w:p>
                          <w:p w14:paraId="1F852BD2" w14:textId="77777777" w:rsidR="00165465" w:rsidRPr="00D235B7" w:rsidRDefault="00165465" w:rsidP="00E551F6">
                            <w:pPr>
                              <w:pStyle w:val="TLKontakty"/>
                              <w:spacing w:after="80" w:line="240" w:lineRule="auto"/>
                              <w:contextualSpacing w:val="0"/>
                              <w:rPr>
                                <w:b w:val="0"/>
                                <w:color w:val="auto"/>
                              </w:rPr>
                            </w:pPr>
                            <w:r>
                              <w:rPr>
                                <w:color w:val="auto"/>
                              </w:rPr>
                              <w:t xml:space="preserve">CZSO </w:t>
                            </w:r>
                            <w:proofErr w:type="spellStart"/>
                            <w:r>
                              <w:rPr>
                                <w:color w:val="auto"/>
                              </w:rPr>
                              <w:t>Publication</w:t>
                            </w:r>
                            <w:proofErr w:type="spellEnd"/>
                            <w:r>
                              <w:rPr>
                                <w:color w:val="auto"/>
                              </w:rPr>
                              <w:t xml:space="preserve"> </w:t>
                            </w:r>
                            <w:proofErr w:type="spellStart"/>
                            <w:r>
                              <w:rPr>
                                <w:color w:val="auto"/>
                              </w:rPr>
                              <w:t>Shop</w:t>
                            </w:r>
                            <w:proofErr w:type="spellEnd"/>
                            <w:r w:rsidRPr="00D235B7">
                              <w:rPr>
                                <w:b w:val="0"/>
                                <w:color w:val="auto"/>
                              </w:rPr>
                              <w:t xml:space="preserve"> | </w:t>
                            </w:r>
                            <w:proofErr w:type="spellStart"/>
                            <w:r>
                              <w:rPr>
                                <w:b w:val="0"/>
                                <w:color w:val="auto"/>
                              </w:rPr>
                              <w:t>ph</w:t>
                            </w:r>
                            <w:proofErr w:type="spellEnd"/>
                            <w:r w:rsidRPr="00D235B7">
                              <w:rPr>
                                <w:b w:val="0"/>
                                <w:color w:val="auto"/>
                              </w:rPr>
                              <w:t>.: 274</w:t>
                            </w:r>
                            <w:r>
                              <w:rPr>
                                <w:b w:val="0"/>
                                <w:color w:val="auto"/>
                              </w:rPr>
                              <w:t xml:space="preserve"> 052 361 | e-mail: prodejna@csu.gov</w:t>
                            </w:r>
                            <w:r w:rsidRPr="00D235B7">
                              <w:rPr>
                                <w:b w:val="0"/>
                                <w:color w:val="auto"/>
                              </w:rPr>
                              <w:t>.cz</w:t>
                            </w:r>
                          </w:p>
                          <w:p w14:paraId="52EED4E1" w14:textId="77777777" w:rsidR="00165465" w:rsidRPr="00D235B7" w:rsidRDefault="00165465" w:rsidP="00E551F6">
                            <w:pPr>
                              <w:pStyle w:val="TLKontakty"/>
                              <w:spacing w:after="80" w:line="240" w:lineRule="auto"/>
                              <w:contextualSpacing w:val="0"/>
                              <w:rPr>
                                <w:b w:val="0"/>
                                <w:color w:val="auto"/>
                              </w:rPr>
                            </w:pPr>
                            <w:proofErr w:type="spellStart"/>
                            <w:r w:rsidRPr="00D235B7">
                              <w:rPr>
                                <w:color w:val="auto"/>
                              </w:rPr>
                              <w:t>E</w:t>
                            </w:r>
                            <w:r>
                              <w:rPr>
                                <w:color w:val="auto"/>
                              </w:rPr>
                              <w:t>uropean</w:t>
                            </w:r>
                            <w:proofErr w:type="spellEnd"/>
                            <w:r>
                              <w:rPr>
                                <w:color w:val="auto"/>
                              </w:rPr>
                              <w:t xml:space="preserve"> Data </w:t>
                            </w:r>
                            <w:r w:rsidRPr="00D235B7">
                              <w:rPr>
                                <w:color w:val="auto"/>
                              </w:rPr>
                              <w:t xml:space="preserve">(ESDS), </w:t>
                            </w:r>
                            <w:proofErr w:type="spellStart"/>
                            <w:r>
                              <w:rPr>
                                <w:color w:val="auto"/>
                              </w:rPr>
                              <w:t>international</w:t>
                            </w:r>
                            <w:proofErr w:type="spellEnd"/>
                            <w:r>
                              <w:rPr>
                                <w:color w:val="auto"/>
                              </w:rPr>
                              <w:t xml:space="preserve"> </w:t>
                            </w:r>
                            <w:proofErr w:type="spellStart"/>
                            <w:r>
                              <w:rPr>
                                <w:color w:val="auto"/>
                              </w:rPr>
                              <w:t>comparison</w:t>
                            </w:r>
                            <w:proofErr w:type="spellEnd"/>
                            <w:r>
                              <w:rPr>
                                <w:b w:val="0"/>
                                <w:color w:val="auto"/>
                              </w:rPr>
                              <w:t xml:space="preserve"> | </w:t>
                            </w:r>
                            <w:proofErr w:type="spellStart"/>
                            <w:r>
                              <w:rPr>
                                <w:b w:val="0"/>
                                <w:color w:val="auto"/>
                              </w:rPr>
                              <w:t>ph</w:t>
                            </w:r>
                            <w:proofErr w:type="spellEnd"/>
                            <w:r>
                              <w:rPr>
                                <w:b w:val="0"/>
                                <w:color w:val="auto"/>
                              </w:rPr>
                              <w:t>.: 274 052 732 | e-mail: esds@csu.gov</w:t>
                            </w:r>
                            <w:r w:rsidRPr="00D235B7">
                              <w:rPr>
                                <w:b w:val="0"/>
                                <w:color w:val="auto"/>
                              </w:rPr>
                              <w:t>.cz</w:t>
                            </w:r>
                          </w:p>
                          <w:p w14:paraId="2F69A16B" w14:textId="77777777" w:rsidR="00165465" w:rsidRPr="00D235B7" w:rsidRDefault="00165465" w:rsidP="00E551F6">
                            <w:pPr>
                              <w:pStyle w:val="TLKontakty"/>
                              <w:spacing w:after="80" w:line="240" w:lineRule="auto"/>
                              <w:contextualSpacing w:val="0"/>
                              <w:rPr>
                                <w:b w:val="0"/>
                                <w:color w:val="auto"/>
                              </w:rPr>
                            </w:pPr>
                            <w:proofErr w:type="spellStart"/>
                            <w:r>
                              <w:rPr>
                                <w:color w:val="auto"/>
                              </w:rPr>
                              <w:t>Central</w:t>
                            </w:r>
                            <w:proofErr w:type="spellEnd"/>
                            <w:r>
                              <w:rPr>
                                <w:color w:val="auto"/>
                              </w:rPr>
                              <w:t xml:space="preserve"> </w:t>
                            </w:r>
                            <w:proofErr w:type="spellStart"/>
                            <w:r>
                              <w:rPr>
                                <w:color w:val="auto"/>
                              </w:rPr>
                              <w:t>Statistical</w:t>
                            </w:r>
                            <w:proofErr w:type="spellEnd"/>
                            <w:r>
                              <w:rPr>
                                <w:color w:val="auto"/>
                              </w:rPr>
                              <w:t xml:space="preserve"> </w:t>
                            </w:r>
                            <w:proofErr w:type="spellStart"/>
                            <w:r>
                              <w:rPr>
                                <w:color w:val="auto"/>
                              </w:rPr>
                              <w:t>Library</w:t>
                            </w:r>
                            <w:proofErr w:type="spellEnd"/>
                            <w:r w:rsidRPr="00D235B7">
                              <w:rPr>
                                <w:b w:val="0"/>
                                <w:color w:val="auto"/>
                              </w:rPr>
                              <w:t xml:space="preserve"> | </w:t>
                            </w:r>
                            <w:proofErr w:type="spellStart"/>
                            <w:r>
                              <w:rPr>
                                <w:b w:val="0"/>
                                <w:color w:val="auto"/>
                              </w:rPr>
                              <w:t>ph</w:t>
                            </w:r>
                            <w:proofErr w:type="spellEnd"/>
                            <w:r w:rsidRPr="00D235B7">
                              <w:rPr>
                                <w:b w:val="0"/>
                                <w:color w:val="auto"/>
                              </w:rPr>
                              <w:t>.: 274</w:t>
                            </w:r>
                            <w:r>
                              <w:rPr>
                                <w:b w:val="0"/>
                                <w:color w:val="auto"/>
                              </w:rPr>
                              <w:t xml:space="preserve"> 052 361 | e-mail: knihovna@csu.gov</w:t>
                            </w:r>
                            <w:r w:rsidRPr="00D235B7">
                              <w:rPr>
                                <w:b w:val="0"/>
                                <w:color w:val="auto"/>
                              </w:rPr>
                              <w:t>.cz</w:t>
                            </w:r>
                          </w:p>
                          <w:p w14:paraId="02624C02" w14:textId="77777777" w:rsidR="00165465" w:rsidRPr="004A61C5" w:rsidRDefault="00165465" w:rsidP="00E551F6">
                            <w:pPr>
                              <w:pStyle w:val="TLKontakty"/>
                              <w:spacing w:after="80" w:line="240" w:lineRule="auto"/>
                              <w:contextualSpacing w:val="0"/>
                              <w:rPr>
                                <w:color w:val="auto"/>
                              </w:rPr>
                            </w:pPr>
                          </w:p>
                          <w:p w14:paraId="100A9CCE" w14:textId="77777777" w:rsidR="00165465" w:rsidRPr="00DE02BD" w:rsidRDefault="00165465" w:rsidP="00E551F6">
                            <w:pPr>
                              <w:pStyle w:val="TLKontaktyerven"/>
                            </w:pPr>
                            <w:r w:rsidRPr="00DE02BD">
                              <w:t>INFORMA</w:t>
                            </w:r>
                            <w:r>
                              <w:t>TION SERVICES IN THE REGIONS</w:t>
                            </w:r>
                          </w:p>
                          <w:p w14:paraId="022E4789" w14:textId="77777777" w:rsidR="00165465" w:rsidRPr="00992CF3" w:rsidRDefault="00165465" w:rsidP="00E551F6">
                            <w:pPr>
                              <w:pStyle w:val="TLKontakty"/>
                              <w:spacing w:after="80" w:line="240" w:lineRule="auto"/>
                              <w:rPr>
                                <w:b w:val="0"/>
                                <w:color w:val="auto"/>
                              </w:rPr>
                            </w:pPr>
                            <w:proofErr w:type="spellStart"/>
                            <w:r>
                              <w:t>Capital</w:t>
                            </w:r>
                            <w:proofErr w:type="spellEnd"/>
                            <w:r>
                              <w:t xml:space="preserve"> City Prague</w:t>
                            </w:r>
                            <w:r w:rsidRPr="00EA0987">
                              <w:rPr>
                                <w:b w:val="0"/>
                              </w:rPr>
                              <w:t xml:space="preserve"> </w:t>
                            </w:r>
                            <w:r w:rsidRPr="00992CF3">
                              <w:rPr>
                                <w:b w:val="0"/>
                                <w:color w:val="auto"/>
                              </w:rPr>
                              <w:t>| Na</w:t>
                            </w:r>
                            <w:r>
                              <w:rPr>
                                <w:b w:val="0"/>
                                <w:color w:val="auto"/>
                              </w:rPr>
                              <w:t xml:space="preserve"> padesátém 81, 100 82 Praha 10, </w:t>
                            </w:r>
                            <w:proofErr w:type="spellStart"/>
                            <w:r>
                              <w:rPr>
                                <w:b w:val="0"/>
                                <w:color w:val="auto"/>
                              </w:rPr>
                              <w:t>ph</w:t>
                            </w:r>
                            <w:proofErr w:type="spellEnd"/>
                            <w:r w:rsidRPr="00992CF3">
                              <w:rPr>
                                <w:b w:val="0"/>
                                <w:color w:val="auto"/>
                              </w:rPr>
                              <w:t>.</w:t>
                            </w:r>
                            <w:r w:rsidRPr="007D40DF">
                              <w:rPr>
                                <w:b w:val="0"/>
                                <w:color w:val="auto"/>
                              </w:rPr>
                              <w:t>:</w:t>
                            </w:r>
                            <w:r>
                              <w:rPr>
                                <w:b w:val="0"/>
                                <w:color w:val="auto"/>
                              </w:rPr>
                              <w:t xml:space="preserve"> 274 052 673</w:t>
                            </w:r>
                          </w:p>
                          <w:p w14:paraId="447AFBD5" w14:textId="77777777" w:rsidR="00165465" w:rsidRPr="00992CF3" w:rsidRDefault="00165465" w:rsidP="00E551F6">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3D1BE28A" w14:textId="77777777" w:rsidR="00165465" w:rsidRPr="004A61C5" w:rsidRDefault="00165465" w:rsidP="00E551F6">
                            <w:pPr>
                              <w:pStyle w:val="TLKontakty"/>
                              <w:spacing w:after="80" w:line="240" w:lineRule="auto"/>
                              <w:rPr>
                                <w:color w:val="auto"/>
                              </w:rPr>
                            </w:pPr>
                          </w:p>
                          <w:p w14:paraId="71CE8F89" w14:textId="77777777" w:rsidR="00165465" w:rsidRPr="00992CF3" w:rsidRDefault="00165465" w:rsidP="00E551F6">
                            <w:pPr>
                              <w:pStyle w:val="TLKontakty"/>
                              <w:spacing w:after="80" w:line="240" w:lineRule="auto"/>
                              <w:rPr>
                                <w:b w:val="0"/>
                                <w:color w:val="auto"/>
                              </w:rPr>
                            </w:pPr>
                            <w:proofErr w:type="spellStart"/>
                            <w:r>
                              <w:t>Central</w:t>
                            </w:r>
                            <w:proofErr w:type="spellEnd"/>
                            <w:r>
                              <w:t xml:space="preserve"> Bohemia</w:t>
                            </w:r>
                            <w:r w:rsidRPr="00EA0987">
                              <w:rPr>
                                <w:b w:val="0"/>
                              </w:rPr>
                              <w:t xml:space="preserve"> </w:t>
                            </w:r>
                            <w:r w:rsidRPr="00992CF3">
                              <w:rPr>
                                <w:b w:val="0"/>
                                <w:color w:val="auto"/>
                              </w:rPr>
                              <w:t xml:space="preserve">| Na padesátém 81, 100 82 Praha 10, </w:t>
                            </w:r>
                            <w:proofErr w:type="spellStart"/>
                            <w:r>
                              <w:rPr>
                                <w:b w:val="0"/>
                                <w:color w:val="auto"/>
                              </w:rPr>
                              <w:t>ph</w:t>
                            </w:r>
                            <w:proofErr w:type="spellEnd"/>
                            <w:r w:rsidRPr="00992CF3">
                              <w:rPr>
                                <w:b w:val="0"/>
                                <w:color w:val="auto"/>
                              </w:rPr>
                              <w:t>.</w:t>
                            </w:r>
                            <w:r>
                              <w:rPr>
                                <w:b w:val="0"/>
                                <w:color w:val="auto"/>
                              </w:rPr>
                              <w:t xml:space="preserve">: </w:t>
                            </w:r>
                            <w:r w:rsidRPr="00992CF3">
                              <w:rPr>
                                <w:b w:val="0"/>
                                <w:color w:val="auto"/>
                              </w:rPr>
                              <w:t>274 054 175</w:t>
                            </w:r>
                          </w:p>
                          <w:p w14:paraId="1C657EF2" w14:textId="77777777" w:rsidR="00165465" w:rsidRPr="00992CF3" w:rsidRDefault="00165465" w:rsidP="00E551F6">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CC3CD45" w14:textId="77777777" w:rsidR="00165465" w:rsidRPr="004A61C5" w:rsidRDefault="00165465" w:rsidP="00E551F6">
                            <w:pPr>
                              <w:pStyle w:val="TLKontakty"/>
                              <w:spacing w:after="80" w:line="240" w:lineRule="auto"/>
                              <w:rPr>
                                <w:color w:val="auto"/>
                              </w:rPr>
                            </w:pPr>
                          </w:p>
                          <w:p w14:paraId="7EA6DB94" w14:textId="77777777" w:rsidR="00165465" w:rsidRPr="00992CF3" w:rsidRDefault="00165465" w:rsidP="00E551F6">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proofErr w:type="spellStart"/>
                            <w:r>
                              <w:rPr>
                                <w:b w:val="0"/>
                                <w:color w:val="auto"/>
                              </w:rPr>
                              <w:t>ph</w:t>
                            </w:r>
                            <w:proofErr w:type="spellEnd"/>
                            <w:r w:rsidRPr="00992CF3">
                              <w:rPr>
                                <w:b w:val="0"/>
                                <w:color w:val="auto"/>
                              </w:rPr>
                              <w:t>.</w:t>
                            </w:r>
                            <w:r>
                              <w:rPr>
                                <w:b w:val="0"/>
                                <w:color w:val="auto"/>
                              </w:rPr>
                              <w:t xml:space="preserve">: </w:t>
                            </w:r>
                            <w:r w:rsidRPr="00992CF3">
                              <w:rPr>
                                <w:b w:val="0"/>
                                <w:color w:val="auto"/>
                              </w:rPr>
                              <w:t>386 718 440</w:t>
                            </w:r>
                          </w:p>
                          <w:p w14:paraId="6242C55C" w14:textId="77777777" w:rsidR="00165465" w:rsidRPr="00992CF3" w:rsidRDefault="00165465" w:rsidP="00E551F6">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69A395B" w14:textId="77777777" w:rsidR="00165465" w:rsidRPr="004A61C5" w:rsidRDefault="00165465" w:rsidP="00E551F6">
                            <w:pPr>
                              <w:pStyle w:val="TLKontakty"/>
                              <w:spacing w:after="80" w:line="240" w:lineRule="auto"/>
                              <w:rPr>
                                <w:color w:val="auto"/>
                              </w:rPr>
                            </w:pPr>
                          </w:p>
                          <w:p w14:paraId="55973737" w14:textId="77777777" w:rsidR="00165465" w:rsidRPr="00BC731E" w:rsidRDefault="00165465" w:rsidP="00E551F6">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377 612 108</w:t>
                            </w:r>
                          </w:p>
                          <w:p w14:paraId="252E2D0C" w14:textId="77777777" w:rsidR="00165465" w:rsidRPr="004A61C5" w:rsidRDefault="00165465" w:rsidP="00E551F6">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782E6B2" w14:textId="77777777" w:rsidR="00165465" w:rsidRPr="004A61C5" w:rsidRDefault="00165465" w:rsidP="00E551F6">
                            <w:pPr>
                              <w:pStyle w:val="TLKontakty"/>
                              <w:spacing w:after="80" w:line="240" w:lineRule="auto"/>
                              <w:rPr>
                                <w:color w:val="auto"/>
                              </w:rPr>
                            </w:pPr>
                          </w:p>
                          <w:p w14:paraId="73D9237C" w14:textId="77777777" w:rsidR="00165465" w:rsidRPr="004A61C5" w:rsidRDefault="00165465" w:rsidP="00E551F6">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353 114 525</w:t>
                            </w:r>
                          </w:p>
                          <w:p w14:paraId="6C3350BE" w14:textId="77777777" w:rsidR="00165465" w:rsidRPr="004A61C5" w:rsidRDefault="00165465" w:rsidP="00E551F6">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7AD7D3E" w14:textId="77777777" w:rsidR="00165465" w:rsidRPr="004A61C5" w:rsidRDefault="00165465" w:rsidP="00E551F6">
                            <w:pPr>
                              <w:pStyle w:val="TLKontakty"/>
                              <w:spacing w:after="80" w:line="240" w:lineRule="auto"/>
                              <w:rPr>
                                <w:color w:val="auto"/>
                              </w:rPr>
                            </w:pPr>
                          </w:p>
                          <w:p w14:paraId="25AA5C83" w14:textId="77777777" w:rsidR="00165465" w:rsidRPr="004A61C5" w:rsidRDefault="00165465" w:rsidP="00E551F6">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proofErr w:type="spellStart"/>
                            <w:r>
                              <w:rPr>
                                <w:b w:val="0"/>
                                <w:color w:val="auto"/>
                              </w:rPr>
                              <w:t>ph</w:t>
                            </w:r>
                            <w:proofErr w:type="spellEnd"/>
                            <w:r w:rsidRPr="004A61C5">
                              <w:rPr>
                                <w:b w:val="0"/>
                                <w:color w:val="auto"/>
                              </w:rPr>
                              <w:t>.</w:t>
                            </w:r>
                            <w:r>
                              <w:rPr>
                                <w:b w:val="0"/>
                                <w:color w:val="auto"/>
                              </w:rPr>
                              <w:t>: 472 706 176</w:t>
                            </w:r>
                          </w:p>
                          <w:p w14:paraId="13ABCEC8" w14:textId="77777777" w:rsidR="00165465" w:rsidRPr="004A61C5" w:rsidRDefault="00165465" w:rsidP="00E551F6">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4128832E" w14:textId="77777777" w:rsidR="00165465" w:rsidRPr="004A61C5" w:rsidRDefault="00165465" w:rsidP="00E551F6">
                            <w:pPr>
                              <w:pStyle w:val="TLKontakty"/>
                              <w:spacing w:after="80" w:line="240" w:lineRule="auto"/>
                              <w:rPr>
                                <w:color w:val="auto"/>
                              </w:rPr>
                            </w:pPr>
                          </w:p>
                          <w:p w14:paraId="4A3D6236" w14:textId="77777777" w:rsidR="00165465" w:rsidRPr="004A61C5" w:rsidRDefault="00165465" w:rsidP="00E551F6">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485 238 811</w:t>
                            </w:r>
                          </w:p>
                          <w:p w14:paraId="2FED9E0A" w14:textId="77777777" w:rsidR="00165465" w:rsidRPr="004A61C5" w:rsidRDefault="00165465" w:rsidP="00E551F6">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49D4B91A" w14:textId="77777777" w:rsidR="00165465" w:rsidRPr="004A61C5" w:rsidRDefault="00165465" w:rsidP="00E551F6">
                            <w:pPr>
                              <w:pStyle w:val="TLKontakty"/>
                              <w:spacing w:after="80" w:line="240" w:lineRule="auto"/>
                              <w:rPr>
                                <w:b w:val="0"/>
                                <w:color w:val="auto"/>
                              </w:rPr>
                            </w:pPr>
                          </w:p>
                          <w:p w14:paraId="00CE01A0" w14:textId="77777777" w:rsidR="00165465" w:rsidRPr="004A61C5" w:rsidRDefault="00165465" w:rsidP="00E551F6">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proofErr w:type="spellStart"/>
                            <w:r>
                              <w:rPr>
                                <w:b w:val="0"/>
                                <w:color w:val="auto"/>
                              </w:rPr>
                              <w:t>ph</w:t>
                            </w:r>
                            <w:proofErr w:type="spellEnd"/>
                            <w:r>
                              <w:rPr>
                                <w:b w:val="0"/>
                                <w:color w:val="auto"/>
                              </w:rPr>
                              <w:t>.</w:t>
                            </w:r>
                            <w:r w:rsidRPr="007D40DF">
                              <w:rPr>
                                <w:b w:val="0"/>
                                <w:color w:val="auto"/>
                              </w:rPr>
                              <w:t>:</w:t>
                            </w:r>
                            <w:r>
                              <w:rPr>
                                <w:b w:val="0"/>
                                <w:color w:val="auto"/>
                              </w:rPr>
                              <w:t xml:space="preserve"> 495 762 322</w:t>
                            </w:r>
                          </w:p>
                          <w:p w14:paraId="7A210F2B" w14:textId="77777777" w:rsidR="00165465" w:rsidRPr="004A61C5" w:rsidRDefault="00165465" w:rsidP="00E551F6">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614FDFBA" w14:textId="77777777" w:rsidR="00165465" w:rsidRPr="004A61C5" w:rsidRDefault="00165465" w:rsidP="00E551F6">
                            <w:pPr>
                              <w:pStyle w:val="TLKontakty"/>
                              <w:spacing w:after="80" w:line="240" w:lineRule="auto"/>
                              <w:rPr>
                                <w:color w:val="auto"/>
                              </w:rPr>
                            </w:pPr>
                          </w:p>
                          <w:p w14:paraId="5046D8BB" w14:textId="77777777" w:rsidR="00165465" w:rsidRPr="004A61C5" w:rsidRDefault="00165465" w:rsidP="00E551F6">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proofErr w:type="spellStart"/>
                            <w:r>
                              <w:rPr>
                                <w:b w:val="0"/>
                                <w:color w:val="auto"/>
                              </w:rPr>
                              <w:t>ph</w:t>
                            </w:r>
                            <w:proofErr w:type="spellEnd"/>
                            <w:r w:rsidRPr="004A61C5">
                              <w:rPr>
                                <w:b w:val="0"/>
                                <w:color w:val="auto"/>
                              </w:rPr>
                              <w:t>.</w:t>
                            </w:r>
                            <w:r>
                              <w:rPr>
                                <w:b w:val="0"/>
                                <w:color w:val="auto"/>
                              </w:rPr>
                              <w:t>: 466 743 480</w:t>
                            </w:r>
                          </w:p>
                          <w:p w14:paraId="48F568EE" w14:textId="77777777" w:rsidR="00165465" w:rsidRPr="004A61C5" w:rsidRDefault="00165465" w:rsidP="00E551F6">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09C75AFD" w14:textId="77777777" w:rsidR="00165465" w:rsidRPr="004A61C5" w:rsidRDefault="00165465" w:rsidP="00E551F6">
                            <w:pPr>
                              <w:pStyle w:val="TLKontakty"/>
                              <w:spacing w:after="80" w:line="240" w:lineRule="auto"/>
                              <w:rPr>
                                <w:b w:val="0"/>
                                <w:color w:val="auto"/>
                              </w:rPr>
                            </w:pPr>
                          </w:p>
                          <w:p w14:paraId="3FFA5E4C" w14:textId="77777777" w:rsidR="00165465" w:rsidRPr="004A61C5" w:rsidRDefault="00165465" w:rsidP="00E551F6">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w:t>
                            </w:r>
                            <w:proofErr w:type="spellStart"/>
                            <w:r>
                              <w:rPr>
                                <w:b w:val="0"/>
                                <w:color w:val="auto"/>
                              </w:rPr>
                              <w:t>ph</w:t>
                            </w:r>
                            <w:proofErr w:type="spellEnd"/>
                            <w:r>
                              <w:rPr>
                                <w:b w:val="0"/>
                                <w:color w:val="auto"/>
                              </w:rPr>
                              <w:t xml:space="preserve">.: </w:t>
                            </w:r>
                            <w:r w:rsidRPr="004A61C5">
                              <w:rPr>
                                <w:b w:val="0"/>
                                <w:color w:val="auto"/>
                              </w:rPr>
                              <w:t xml:space="preserve">567 109 </w:t>
                            </w:r>
                            <w:r>
                              <w:rPr>
                                <w:b w:val="0"/>
                                <w:color w:val="auto"/>
                              </w:rPr>
                              <w:t>062</w:t>
                            </w:r>
                          </w:p>
                          <w:p w14:paraId="030060E8" w14:textId="77777777" w:rsidR="00165465" w:rsidRPr="004A61C5" w:rsidRDefault="00165465" w:rsidP="00E551F6">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409248D9" w14:textId="77777777" w:rsidR="00165465" w:rsidRDefault="00165465" w:rsidP="00E551F6">
                            <w:pPr>
                              <w:pStyle w:val="TLKontakty"/>
                              <w:spacing w:after="80" w:line="240" w:lineRule="auto"/>
                            </w:pPr>
                          </w:p>
                          <w:p w14:paraId="470178E3" w14:textId="77777777" w:rsidR="00165465" w:rsidRPr="00BC731E" w:rsidRDefault="00165465" w:rsidP="00E551F6">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proofErr w:type="spellStart"/>
                            <w:r>
                              <w:rPr>
                                <w:b w:val="0"/>
                                <w:color w:val="auto"/>
                              </w:rPr>
                              <w:t>ph</w:t>
                            </w:r>
                            <w:proofErr w:type="spellEnd"/>
                            <w:r>
                              <w:rPr>
                                <w:b w:val="0"/>
                                <w:color w:val="auto"/>
                              </w:rPr>
                              <w:t xml:space="preserve">: </w:t>
                            </w:r>
                            <w:r w:rsidRPr="00BC731E">
                              <w:rPr>
                                <w:b w:val="0"/>
                                <w:color w:val="auto"/>
                              </w:rPr>
                              <w:t>542 528 200</w:t>
                            </w:r>
                          </w:p>
                          <w:p w14:paraId="1E8774F5" w14:textId="77777777" w:rsidR="00165465" w:rsidRPr="004A61C5" w:rsidRDefault="00165465" w:rsidP="00E551F6">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4D9EA256" w14:textId="77777777" w:rsidR="00165465" w:rsidRPr="004A61C5" w:rsidRDefault="00165465" w:rsidP="00E551F6">
                            <w:pPr>
                              <w:pStyle w:val="TLKontakty"/>
                              <w:spacing w:after="80" w:line="240" w:lineRule="auto"/>
                              <w:rPr>
                                <w:b w:val="0"/>
                                <w:color w:val="auto"/>
                              </w:rPr>
                            </w:pPr>
                          </w:p>
                          <w:p w14:paraId="59C69415" w14:textId="77777777" w:rsidR="00165465" w:rsidRPr="005E7C78" w:rsidRDefault="00165465" w:rsidP="00E551F6">
                            <w:pPr>
                              <w:pStyle w:val="TLKontakty"/>
                              <w:spacing w:after="80" w:line="240" w:lineRule="auto"/>
                              <w:rPr>
                                <w:b w:val="0"/>
                                <w:color w:val="auto"/>
                              </w:rPr>
                            </w:pPr>
                            <w:r w:rsidRPr="00EA0987">
                              <w:t>Olomouc</w:t>
                            </w:r>
                            <w:r w:rsidRPr="005E7C78">
                              <w:rPr>
                                <w:b w:val="0"/>
                                <w:color w:val="auto"/>
                              </w:rPr>
                              <w:t xml:space="preserve"> | Jeremenkova 1142/42, 772 11 Olomouc, </w:t>
                            </w:r>
                            <w:proofErr w:type="spellStart"/>
                            <w:r>
                              <w:rPr>
                                <w:b w:val="0"/>
                                <w:color w:val="auto"/>
                              </w:rPr>
                              <w:t>ph</w:t>
                            </w:r>
                            <w:proofErr w:type="spellEnd"/>
                            <w:r>
                              <w:rPr>
                                <w:b w:val="0"/>
                                <w:color w:val="auto"/>
                              </w:rPr>
                              <w:t xml:space="preserve">.: </w:t>
                            </w:r>
                            <w:r w:rsidRPr="00BC731E">
                              <w:rPr>
                                <w:b w:val="0"/>
                                <w:color w:val="auto"/>
                              </w:rPr>
                              <w:t>585 731 511</w:t>
                            </w:r>
                          </w:p>
                          <w:p w14:paraId="322BD77A" w14:textId="77777777" w:rsidR="00165465" w:rsidRPr="005E7C78" w:rsidRDefault="00165465" w:rsidP="00E551F6">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56F621BC" w14:textId="77777777" w:rsidR="00165465" w:rsidRPr="005E7C78" w:rsidRDefault="00165465" w:rsidP="00E551F6">
                            <w:pPr>
                              <w:pStyle w:val="TLKontakty"/>
                              <w:spacing w:after="80" w:line="240" w:lineRule="auto"/>
                              <w:rPr>
                                <w:b w:val="0"/>
                                <w:color w:val="auto"/>
                              </w:rPr>
                            </w:pPr>
                          </w:p>
                          <w:p w14:paraId="3B790EE6" w14:textId="77777777" w:rsidR="00165465" w:rsidRPr="005E7C78" w:rsidRDefault="00165465" w:rsidP="00E551F6">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proofErr w:type="spellStart"/>
                            <w:r>
                              <w:rPr>
                                <w:b w:val="0"/>
                                <w:color w:val="auto"/>
                              </w:rPr>
                              <w:t>ph</w:t>
                            </w:r>
                            <w:proofErr w:type="spellEnd"/>
                            <w:r>
                              <w:rPr>
                                <w:b w:val="0"/>
                                <w:color w:val="auto"/>
                              </w:rPr>
                              <w:t>.: 577 004 936</w:t>
                            </w:r>
                          </w:p>
                          <w:p w14:paraId="2E3D7315" w14:textId="77777777" w:rsidR="00165465" w:rsidRDefault="00165465" w:rsidP="00E551F6">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0674CB31" w14:textId="77777777" w:rsidR="00165465" w:rsidRPr="005E7C78" w:rsidRDefault="00165465" w:rsidP="00E551F6">
                            <w:pPr>
                              <w:pStyle w:val="TLKontakty"/>
                              <w:spacing w:after="80" w:line="240" w:lineRule="auto"/>
                              <w:rPr>
                                <w:b w:val="0"/>
                                <w:color w:val="auto"/>
                              </w:rPr>
                            </w:pPr>
                          </w:p>
                          <w:p w14:paraId="49A3D31E" w14:textId="77777777" w:rsidR="00165465" w:rsidRPr="005E7C78" w:rsidRDefault="00165465" w:rsidP="00E551F6">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w:t>
                            </w:r>
                            <w:proofErr w:type="spellStart"/>
                            <w:r>
                              <w:rPr>
                                <w:b w:val="0"/>
                                <w:color w:val="auto"/>
                              </w:rPr>
                              <w:t>ph</w:t>
                            </w:r>
                            <w:proofErr w:type="spellEnd"/>
                            <w:r>
                              <w:rPr>
                                <w:b w:val="0"/>
                                <w:color w:val="auto"/>
                              </w:rPr>
                              <w:t>: 595 131 230</w:t>
                            </w:r>
                          </w:p>
                          <w:p w14:paraId="2CE70835" w14:textId="77777777" w:rsidR="00165465" w:rsidRPr="00095135" w:rsidRDefault="00165465" w:rsidP="00E551F6">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FCF8172" id="_x0000_s1030" type="#_x0000_t202" style="position:absolute;margin-left:57pt;margin-top:113.4pt;width:481.85pt;height:604.2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FuUSgIAAEIEAAAOAAAAZHJzL2Uyb0RvYy54bWysU9tu1DAQfUfiHyy/p7k0zW6iZqt2t0FI&#10;3KSWD/A6ziYi8Rjbu0lBfBDfwY8xdppS4A3xYo3tmTMz58xcXk1DT05Cmw5kSeOziBIhOdSdPJT0&#10;430VrCkxlsma9SBFSR+EoVebly8uR1WIBFroa6EJgkhTjKqkrbWqCEPDWzEwcwZKSPxsQA/M4lUf&#10;wlqzEdGHPkyiKAtH0LXSwIUx+LqbP+nG4zeN4PZ90xhhSV9SrM36U/tz785wc8mKg2aq7fhjGewf&#10;qhhYJzHpE9SOWUaOuvsLaui4BgONPeMwhNA0HRe+B+wmjv7o5q5lSvhekByjnmgy/w+Wvzt90KSr&#10;S5pQItmAEt2LycLpx3eioBckcRSNyhToeafQ1043MKHUvl2j3gD/ZIiEbcvkQVxrDWMrWI0lxi4y&#10;fBY64xgHsh/fQo252NGCB5oaPTj+kBGC6CjVw5M8WA/h+JjFcZ7mF5Rw/Ftlq/Pz1AsYsmIJV9rY&#10;VwIG4oySatTfw7PTG2NdOaxYXFw2CVXX934GevnbAzrOL5gcQ92fK8NL+jWP8tv17ToN0iS7DdKo&#10;roPrapsGWRWvLnbnu+12F3+bR+tZUJyk0U2SB1W2XgVpk14E+SpaB1Gc3+RZlObprvJBmHpJ6tlz&#10;hM3U2Wk/ea3SRZQ91A9Ip4Z5sHER0WhBf6FkxKEuqfl8ZFpQ0r+WKInbgMXQi7FfDCY5hpbUUjKb&#10;WztvylHp7tAi8iL6NcpWdZ5Qp+9cxaPYOKie58elcpvw/O69fq3+5icAAAD//wMAUEsDBBQABgAI&#10;AAAAIQCtGkZc4AAAAA0BAAAPAAAAZHJzL2Rvd25yZXYueG1sTI/BTsMwEETvSPyDtUhcUOs4lARC&#10;nAohuHCjcOnNTZYkwl5HsZuEfj3bE9x2tKOZeeV2cVZMOIbekwa1TkAg1b7pqdXw+fG6ugcRoqHG&#10;WE+o4QcDbKvLi9IUjZ/pHaddbAWHUCiMhi7GoZAy1B06E9Z+QOLflx+diSzHVjajmTncWZkmSSad&#10;6YkbOjPgc4f19+7oNGTLy3Dz9oDpfKrtRPuTUhGV1tdXy9MjiIhL/DPDeT5Ph4o3HfyRmiAsa7Vh&#10;lqghTTNmODuSPM9BHPja3N6lIKtS/qeofgEAAP//AwBQSwECLQAUAAYACAAAACEAtoM4kv4AAADh&#10;AQAAEwAAAAAAAAAAAAAAAAAAAAAAW0NvbnRlbnRfVHlwZXNdLnhtbFBLAQItABQABgAIAAAAIQA4&#10;/SH/1gAAAJQBAAALAAAAAAAAAAAAAAAAAC8BAABfcmVscy8ucmVsc1BLAQItABQABgAIAAAAIQAO&#10;cFuUSgIAAEIEAAAOAAAAAAAAAAAAAAAAAC4CAABkcnMvZTJvRG9jLnhtbFBLAQItABQABgAIAAAA&#10;IQCtGkZc4AAAAA0BAAAPAAAAAAAAAAAAAAAAAKQEAABkcnMvZG93bnJldi54bWxQSwUGAAAAAAQA&#10;BADzAAAAsQUAAAAA&#10;" filled="f" stroked="f">
                <v:textbox style="mso-fit-shape-to-text:t" inset="0,0,0,0">
                  <w:txbxContent>
                    <w:p w14:paraId="03F8DAC7" w14:textId="77777777" w:rsidR="00165465" w:rsidRPr="00DE02BD" w:rsidRDefault="00165465" w:rsidP="00E551F6">
                      <w:pPr>
                        <w:pStyle w:val="TLKontaktyerven"/>
                      </w:pPr>
                      <w:r>
                        <w:t>CONTACTS IN THE HEADQUARTERS</w:t>
                      </w:r>
                    </w:p>
                    <w:p w14:paraId="7CEDA9FA" w14:textId="77777777" w:rsidR="00165465" w:rsidRPr="007D40DF" w:rsidRDefault="00165465" w:rsidP="00E551F6">
                      <w:pPr>
                        <w:pStyle w:val="TLKontakty"/>
                        <w:spacing w:after="80" w:line="240" w:lineRule="auto"/>
                        <w:contextualSpacing w:val="0"/>
                        <w:rPr>
                          <w:b w:val="0"/>
                          <w:color w:val="auto"/>
                        </w:rPr>
                      </w:pPr>
                      <w:r>
                        <w:t xml:space="preserve">Czech </w:t>
                      </w:r>
                      <w:proofErr w:type="spellStart"/>
                      <w:r>
                        <w:t>Statistical</w:t>
                      </w:r>
                      <w:proofErr w:type="spellEnd"/>
                      <w:r>
                        <w:t xml:space="preserve"> Office</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proofErr w:type="spellStart"/>
                      <w:r>
                        <w:rPr>
                          <w:b w:val="0"/>
                          <w:color w:val="auto"/>
                        </w:rPr>
                        <w:t>ph</w:t>
                      </w:r>
                      <w:proofErr w:type="spellEnd"/>
                      <w:r w:rsidRPr="007D40DF">
                        <w:rPr>
                          <w:b w:val="0"/>
                          <w:color w:val="auto"/>
                        </w:rPr>
                        <w:t xml:space="preserve">.: 274 051 111 | </w:t>
                      </w:r>
                      <w:r>
                        <w:rPr>
                          <w:color w:val="auto"/>
                        </w:rPr>
                        <w:t>www.csu.gov</w:t>
                      </w:r>
                      <w:r w:rsidRPr="007D40DF">
                        <w:rPr>
                          <w:color w:val="auto"/>
                        </w:rPr>
                        <w:t>.cz</w:t>
                      </w:r>
                    </w:p>
                    <w:p w14:paraId="449EEA09" w14:textId="77777777" w:rsidR="00165465" w:rsidRPr="00D235B7" w:rsidRDefault="00165465" w:rsidP="00E551F6">
                      <w:pPr>
                        <w:pStyle w:val="TLKontakty"/>
                        <w:spacing w:after="80" w:line="240" w:lineRule="auto"/>
                        <w:contextualSpacing w:val="0"/>
                        <w:rPr>
                          <w:b w:val="0"/>
                          <w:color w:val="auto"/>
                        </w:rPr>
                      </w:pPr>
                      <w:proofErr w:type="spellStart"/>
                      <w:r>
                        <w:rPr>
                          <w:color w:val="auto"/>
                        </w:rPr>
                        <w:t>Information</w:t>
                      </w:r>
                      <w:proofErr w:type="spellEnd"/>
                      <w:r>
                        <w:rPr>
                          <w:color w:val="auto"/>
                        </w:rPr>
                        <w:t xml:space="preserve"> </w:t>
                      </w:r>
                      <w:proofErr w:type="spellStart"/>
                      <w:r>
                        <w:rPr>
                          <w:color w:val="auto"/>
                        </w:rPr>
                        <w:t>Services</w:t>
                      </w:r>
                      <w:proofErr w:type="spellEnd"/>
                      <w:r>
                        <w:rPr>
                          <w:b w:val="0"/>
                          <w:color w:val="auto"/>
                        </w:rPr>
                        <w:t xml:space="preserve"> | </w:t>
                      </w:r>
                      <w:proofErr w:type="spellStart"/>
                      <w:r>
                        <w:rPr>
                          <w:b w:val="0"/>
                          <w:color w:val="auto"/>
                        </w:rPr>
                        <w:t>ph</w:t>
                      </w:r>
                      <w:proofErr w:type="spellEnd"/>
                      <w:r>
                        <w:rPr>
                          <w:b w:val="0"/>
                          <w:color w:val="auto"/>
                        </w:rPr>
                        <w:t>.: 274 056 789 | e-mail: infoservis@csu.gov</w:t>
                      </w:r>
                      <w:r w:rsidRPr="00D235B7">
                        <w:rPr>
                          <w:b w:val="0"/>
                          <w:color w:val="auto"/>
                        </w:rPr>
                        <w:t>.cz</w:t>
                      </w:r>
                    </w:p>
                    <w:p w14:paraId="1F852BD2" w14:textId="77777777" w:rsidR="00165465" w:rsidRPr="00D235B7" w:rsidRDefault="00165465" w:rsidP="00E551F6">
                      <w:pPr>
                        <w:pStyle w:val="TLKontakty"/>
                        <w:spacing w:after="80" w:line="240" w:lineRule="auto"/>
                        <w:contextualSpacing w:val="0"/>
                        <w:rPr>
                          <w:b w:val="0"/>
                          <w:color w:val="auto"/>
                        </w:rPr>
                      </w:pPr>
                      <w:r>
                        <w:rPr>
                          <w:color w:val="auto"/>
                        </w:rPr>
                        <w:t xml:space="preserve">CZSO </w:t>
                      </w:r>
                      <w:proofErr w:type="spellStart"/>
                      <w:r>
                        <w:rPr>
                          <w:color w:val="auto"/>
                        </w:rPr>
                        <w:t>Publication</w:t>
                      </w:r>
                      <w:proofErr w:type="spellEnd"/>
                      <w:r>
                        <w:rPr>
                          <w:color w:val="auto"/>
                        </w:rPr>
                        <w:t xml:space="preserve"> </w:t>
                      </w:r>
                      <w:proofErr w:type="spellStart"/>
                      <w:r>
                        <w:rPr>
                          <w:color w:val="auto"/>
                        </w:rPr>
                        <w:t>Shop</w:t>
                      </w:r>
                      <w:proofErr w:type="spellEnd"/>
                      <w:r w:rsidRPr="00D235B7">
                        <w:rPr>
                          <w:b w:val="0"/>
                          <w:color w:val="auto"/>
                        </w:rPr>
                        <w:t xml:space="preserve"> | </w:t>
                      </w:r>
                      <w:proofErr w:type="spellStart"/>
                      <w:r>
                        <w:rPr>
                          <w:b w:val="0"/>
                          <w:color w:val="auto"/>
                        </w:rPr>
                        <w:t>ph</w:t>
                      </w:r>
                      <w:proofErr w:type="spellEnd"/>
                      <w:r w:rsidRPr="00D235B7">
                        <w:rPr>
                          <w:b w:val="0"/>
                          <w:color w:val="auto"/>
                        </w:rPr>
                        <w:t>.: 274</w:t>
                      </w:r>
                      <w:r>
                        <w:rPr>
                          <w:b w:val="0"/>
                          <w:color w:val="auto"/>
                        </w:rPr>
                        <w:t xml:space="preserve"> 052 361 | e-mail: prodejna@csu.gov</w:t>
                      </w:r>
                      <w:r w:rsidRPr="00D235B7">
                        <w:rPr>
                          <w:b w:val="0"/>
                          <w:color w:val="auto"/>
                        </w:rPr>
                        <w:t>.cz</w:t>
                      </w:r>
                    </w:p>
                    <w:p w14:paraId="52EED4E1" w14:textId="77777777" w:rsidR="00165465" w:rsidRPr="00D235B7" w:rsidRDefault="00165465" w:rsidP="00E551F6">
                      <w:pPr>
                        <w:pStyle w:val="TLKontakty"/>
                        <w:spacing w:after="80" w:line="240" w:lineRule="auto"/>
                        <w:contextualSpacing w:val="0"/>
                        <w:rPr>
                          <w:b w:val="0"/>
                          <w:color w:val="auto"/>
                        </w:rPr>
                      </w:pPr>
                      <w:proofErr w:type="spellStart"/>
                      <w:r w:rsidRPr="00D235B7">
                        <w:rPr>
                          <w:color w:val="auto"/>
                        </w:rPr>
                        <w:t>E</w:t>
                      </w:r>
                      <w:r>
                        <w:rPr>
                          <w:color w:val="auto"/>
                        </w:rPr>
                        <w:t>uropean</w:t>
                      </w:r>
                      <w:proofErr w:type="spellEnd"/>
                      <w:r>
                        <w:rPr>
                          <w:color w:val="auto"/>
                        </w:rPr>
                        <w:t xml:space="preserve"> Data </w:t>
                      </w:r>
                      <w:r w:rsidRPr="00D235B7">
                        <w:rPr>
                          <w:color w:val="auto"/>
                        </w:rPr>
                        <w:t xml:space="preserve">(ESDS), </w:t>
                      </w:r>
                      <w:proofErr w:type="spellStart"/>
                      <w:r>
                        <w:rPr>
                          <w:color w:val="auto"/>
                        </w:rPr>
                        <w:t>international</w:t>
                      </w:r>
                      <w:proofErr w:type="spellEnd"/>
                      <w:r>
                        <w:rPr>
                          <w:color w:val="auto"/>
                        </w:rPr>
                        <w:t xml:space="preserve"> </w:t>
                      </w:r>
                      <w:proofErr w:type="spellStart"/>
                      <w:r>
                        <w:rPr>
                          <w:color w:val="auto"/>
                        </w:rPr>
                        <w:t>comparison</w:t>
                      </w:r>
                      <w:proofErr w:type="spellEnd"/>
                      <w:r>
                        <w:rPr>
                          <w:b w:val="0"/>
                          <w:color w:val="auto"/>
                        </w:rPr>
                        <w:t xml:space="preserve"> | </w:t>
                      </w:r>
                      <w:proofErr w:type="spellStart"/>
                      <w:r>
                        <w:rPr>
                          <w:b w:val="0"/>
                          <w:color w:val="auto"/>
                        </w:rPr>
                        <w:t>ph</w:t>
                      </w:r>
                      <w:proofErr w:type="spellEnd"/>
                      <w:r>
                        <w:rPr>
                          <w:b w:val="0"/>
                          <w:color w:val="auto"/>
                        </w:rPr>
                        <w:t>.: 274 052 732 | e-mail: esds@csu.gov</w:t>
                      </w:r>
                      <w:r w:rsidRPr="00D235B7">
                        <w:rPr>
                          <w:b w:val="0"/>
                          <w:color w:val="auto"/>
                        </w:rPr>
                        <w:t>.cz</w:t>
                      </w:r>
                    </w:p>
                    <w:p w14:paraId="2F69A16B" w14:textId="77777777" w:rsidR="00165465" w:rsidRPr="00D235B7" w:rsidRDefault="00165465" w:rsidP="00E551F6">
                      <w:pPr>
                        <w:pStyle w:val="TLKontakty"/>
                        <w:spacing w:after="80" w:line="240" w:lineRule="auto"/>
                        <w:contextualSpacing w:val="0"/>
                        <w:rPr>
                          <w:b w:val="0"/>
                          <w:color w:val="auto"/>
                        </w:rPr>
                      </w:pPr>
                      <w:proofErr w:type="spellStart"/>
                      <w:r>
                        <w:rPr>
                          <w:color w:val="auto"/>
                        </w:rPr>
                        <w:t>Central</w:t>
                      </w:r>
                      <w:proofErr w:type="spellEnd"/>
                      <w:r>
                        <w:rPr>
                          <w:color w:val="auto"/>
                        </w:rPr>
                        <w:t xml:space="preserve"> </w:t>
                      </w:r>
                      <w:proofErr w:type="spellStart"/>
                      <w:r>
                        <w:rPr>
                          <w:color w:val="auto"/>
                        </w:rPr>
                        <w:t>Statistical</w:t>
                      </w:r>
                      <w:proofErr w:type="spellEnd"/>
                      <w:r>
                        <w:rPr>
                          <w:color w:val="auto"/>
                        </w:rPr>
                        <w:t xml:space="preserve"> </w:t>
                      </w:r>
                      <w:proofErr w:type="spellStart"/>
                      <w:r>
                        <w:rPr>
                          <w:color w:val="auto"/>
                        </w:rPr>
                        <w:t>Library</w:t>
                      </w:r>
                      <w:proofErr w:type="spellEnd"/>
                      <w:r w:rsidRPr="00D235B7">
                        <w:rPr>
                          <w:b w:val="0"/>
                          <w:color w:val="auto"/>
                        </w:rPr>
                        <w:t xml:space="preserve"> | </w:t>
                      </w:r>
                      <w:proofErr w:type="spellStart"/>
                      <w:r>
                        <w:rPr>
                          <w:b w:val="0"/>
                          <w:color w:val="auto"/>
                        </w:rPr>
                        <w:t>ph</w:t>
                      </w:r>
                      <w:proofErr w:type="spellEnd"/>
                      <w:r w:rsidRPr="00D235B7">
                        <w:rPr>
                          <w:b w:val="0"/>
                          <w:color w:val="auto"/>
                        </w:rPr>
                        <w:t>.: 274</w:t>
                      </w:r>
                      <w:r>
                        <w:rPr>
                          <w:b w:val="0"/>
                          <w:color w:val="auto"/>
                        </w:rPr>
                        <w:t xml:space="preserve"> 052 361 | e-mail: knihovna@csu.gov</w:t>
                      </w:r>
                      <w:r w:rsidRPr="00D235B7">
                        <w:rPr>
                          <w:b w:val="0"/>
                          <w:color w:val="auto"/>
                        </w:rPr>
                        <w:t>.cz</w:t>
                      </w:r>
                    </w:p>
                    <w:p w14:paraId="02624C02" w14:textId="77777777" w:rsidR="00165465" w:rsidRPr="004A61C5" w:rsidRDefault="00165465" w:rsidP="00E551F6">
                      <w:pPr>
                        <w:pStyle w:val="TLKontakty"/>
                        <w:spacing w:after="80" w:line="240" w:lineRule="auto"/>
                        <w:contextualSpacing w:val="0"/>
                        <w:rPr>
                          <w:color w:val="auto"/>
                        </w:rPr>
                      </w:pPr>
                    </w:p>
                    <w:p w14:paraId="100A9CCE" w14:textId="77777777" w:rsidR="00165465" w:rsidRPr="00DE02BD" w:rsidRDefault="00165465" w:rsidP="00E551F6">
                      <w:pPr>
                        <w:pStyle w:val="TLKontaktyerven"/>
                      </w:pPr>
                      <w:r w:rsidRPr="00DE02BD">
                        <w:t>INFORMA</w:t>
                      </w:r>
                      <w:r>
                        <w:t>TION SERVICES IN THE REGIONS</w:t>
                      </w:r>
                    </w:p>
                    <w:p w14:paraId="022E4789" w14:textId="77777777" w:rsidR="00165465" w:rsidRPr="00992CF3" w:rsidRDefault="00165465" w:rsidP="00E551F6">
                      <w:pPr>
                        <w:pStyle w:val="TLKontakty"/>
                        <w:spacing w:after="80" w:line="240" w:lineRule="auto"/>
                        <w:rPr>
                          <w:b w:val="0"/>
                          <w:color w:val="auto"/>
                        </w:rPr>
                      </w:pPr>
                      <w:proofErr w:type="spellStart"/>
                      <w:r>
                        <w:t>Capital</w:t>
                      </w:r>
                      <w:proofErr w:type="spellEnd"/>
                      <w:r>
                        <w:t xml:space="preserve"> City Prague</w:t>
                      </w:r>
                      <w:r w:rsidRPr="00EA0987">
                        <w:rPr>
                          <w:b w:val="0"/>
                        </w:rPr>
                        <w:t xml:space="preserve"> </w:t>
                      </w:r>
                      <w:r w:rsidRPr="00992CF3">
                        <w:rPr>
                          <w:b w:val="0"/>
                          <w:color w:val="auto"/>
                        </w:rPr>
                        <w:t>| Na</w:t>
                      </w:r>
                      <w:r>
                        <w:rPr>
                          <w:b w:val="0"/>
                          <w:color w:val="auto"/>
                        </w:rPr>
                        <w:t xml:space="preserve"> padesátém 81, 100 82 Praha 10, </w:t>
                      </w:r>
                      <w:proofErr w:type="spellStart"/>
                      <w:r>
                        <w:rPr>
                          <w:b w:val="0"/>
                          <w:color w:val="auto"/>
                        </w:rPr>
                        <w:t>ph</w:t>
                      </w:r>
                      <w:proofErr w:type="spellEnd"/>
                      <w:r w:rsidRPr="00992CF3">
                        <w:rPr>
                          <w:b w:val="0"/>
                          <w:color w:val="auto"/>
                        </w:rPr>
                        <w:t>.</w:t>
                      </w:r>
                      <w:r w:rsidRPr="007D40DF">
                        <w:rPr>
                          <w:b w:val="0"/>
                          <w:color w:val="auto"/>
                        </w:rPr>
                        <w:t>:</w:t>
                      </w:r>
                      <w:r>
                        <w:rPr>
                          <w:b w:val="0"/>
                          <w:color w:val="auto"/>
                        </w:rPr>
                        <w:t xml:space="preserve"> 274 052 673</w:t>
                      </w:r>
                    </w:p>
                    <w:p w14:paraId="447AFBD5" w14:textId="77777777" w:rsidR="00165465" w:rsidRPr="00992CF3" w:rsidRDefault="00165465" w:rsidP="00E551F6">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3D1BE28A" w14:textId="77777777" w:rsidR="00165465" w:rsidRPr="004A61C5" w:rsidRDefault="00165465" w:rsidP="00E551F6">
                      <w:pPr>
                        <w:pStyle w:val="TLKontakty"/>
                        <w:spacing w:after="80" w:line="240" w:lineRule="auto"/>
                        <w:rPr>
                          <w:color w:val="auto"/>
                        </w:rPr>
                      </w:pPr>
                    </w:p>
                    <w:p w14:paraId="71CE8F89" w14:textId="77777777" w:rsidR="00165465" w:rsidRPr="00992CF3" w:rsidRDefault="00165465" w:rsidP="00E551F6">
                      <w:pPr>
                        <w:pStyle w:val="TLKontakty"/>
                        <w:spacing w:after="80" w:line="240" w:lineRule="auto"/>
                        <w:rPr>
                          <w:b w:val="0"/>
                          <w:color w:val="auto"/>
                        </w:rPr>
                      </w:pPr>
                      <w:proofErr w:type="spellStart"/>
                      <w:r>
                        <w:t>Central</w:t>
                      </w:r>
                      <w:proofErr w:type="spellEnd"/>
                      <w:r>
                        <w:t xml:space="preserve"> Bohemia</w:t>
                      </w:r>
                      <w:r w:rsidRPr="00EA0987">
                        <w:rPr>
                          <w:b w:val="0"/>
                        </w:rPr>
                        <w:t xml:space="preserve"> </w:t>
                      </w:r>
                      <w:r w:rsidRPr="00992CF3">
                        <w:rPr>
                          <w:b w:val="0"/>
                          <w:color w:val="auto"/>
                        </w:rPr>
                        <w:t xml:space="preserve">| Na padesátém 81, 100 82 Praha 10, </w:t>
                      </w:r>
                      <w:proofErr w:type="spellStart"/>
                      <w:r>
                        <w:rPr>
                          <w:b w:val="0"/>
                          <w:color w:val="auto"/>
                        </w:rPr>
                        <w:t>ph</w:t>
                      </w:r>
                      <w:proofErr w:type="spellEnd"/>
                      <w:r w:rsidRPr="00992CF3">
                        <w:rPr>
                          <w:b w:val="0"/>
                          <w:color w:val="auto"/>
                        </w:rPr>
                        <w:t>.</w:t>
                      </w:r>
                      <w:r>
                        <w:rPr>
                          <w:b w:val="0"/>
                          <w:color w:val="auto"/>
                        </w:rPr>
                        <w:t xml:space="preserve">: </w:t>
                      </w:r>
                      <w:r w:rsidRPr="00992CF3">
                        <w:rPr>
                          <w:b w:val="0"/>
                          <w:color w:val="auto"/>
                        </w:rPr>
                        <w:t>274 054 175</w:t>
                      </w:r>
                    </w:p>
                    <w:p w14:paraId="1C657EF2" w14:textId="77777777" w:rsidR="00165465" w:rsidRPr="00992CF3" w:rsidRDefault="00165465" w:rsidP="00E551F6">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CC3CD45" w14:textId="77777777" w:rsidR="00165465" w:rsidRPr="004A61C5" w:rsidRDefault="00165465" w:rsidP="00E551F6">
                      <w:pPr>
                        <w:pStyle w:val="TLKontakty"/>
                        <w:spacing w:after="80" w:line="240" w:lineRule="auto"/>
                        <w:rPr>
                          <w:color w:val="auto"/>
                        </w:rPr>
                      </w:pPr>
                    </w:p>
                    <w:p w14:paraId="7EA6DB94" w14:textId="77777777" w:rsidR="00165465" w:rsidRPr="00992CF3" w:rsidRDefault="00165465" w:rsidP="00E551F6">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proofErr w:type="spellStart"/>
                      <w:r>
                        <w:rPr>
                          <w:b w:val="0"/>
                          <w:color w:val="auto"/>
                        </w:rPr>
                        <w:t>ph</w:t>
                      </w:r>
                      <w:proofErr w:type="spellEnd"/>
                      <w:r w:rsidRPr="00992CF3">
                        <w:rPr>
                          <w:b w:val="0"/>
                          <w:color w:val="auto"/>
                        </w:rPr>
                        <w:t>.</w:t>
                      </w:r>
                      <w:r>
                        <w:rPr>
                          <w:b w:val="0"/>
                          <w:color w:val="auto"/>
                        </w:rPr>
                        <w:t xml:space="preserve">: </w:t>
                      </w:r>
                      <w:r w:rsidRPr="00992CF3">
                        <w:rPr>
                          <w:b w:val="0"/>
                          <w:color w:val="auto"/>
                        </w:rPr>
                        <w:t>386 718 440</w:t>
                      </w:r>
                    </w:p>
                    <w:p w14:paraId="6242C55C" w14:textId="77777777" w:rsidR="00165465" w:rsidRPr="00992CF3" w:rsidRDefault="00165465" w:rsidP="00E551F6">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69A395B" w14:textId="77777777" w:rsidR="00165465" w:rsidRPr="004A61C5" w:rsidRDefault="00165465" w:rsidP="00E551F6">
                      <w:pPr>
                        <w:pStyle w:val="TLKontakty"/>
                        <w:spacing w:after="80" w:line="240" w:lineRule="auto"/>
                        <w:rPr>
                          <w:color w:val="auto"/>
                        </w:rPr>
                      </w:pPr>
                    </w:p>
                    <w:p w14:paraId="55973737" w14:textId="77777777" w:rsidR="00165465" w:rsidRPr="00BC731E" w:rsidRDefault="00165465" w:rsidP="00E551F6">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377 612 108</w:t>
                      </w:r>
                    </w:p>
                    <w:p w14:paraId="252E2D0C" w14:textId="77777777" w:rsidR="00165465" w:rsidRPr="004A61C5" w:rsidRDefault="00165465" w:rsidP="00E551F6">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782E6B2" w14:textId="77777777" w:rsidR="00165465" w:rsidRPr="004A61C5" w:rsidRDefault="00165465" w:rsidP="00E551F6">
                      <w:pPr>
                        <w:pStyle w:val="TLKontakty"/>
                        <w:spacing w:after="80" w:line="240" w:lineRule="auto"/>
                        <w:rPr>
                          <w:color w:val="auto"/>
                        </w:rPr>
                      </w:pPr>
                    </w:p>
                    <w:p w14:paraId="73D9237C" w14:textId="77777777" w:rsidR="00165465" w:rsidRPr="004A61C5" w:rsidRDefault="00165465" w:rsidP="00E551F6">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353 114 525</w:t>
                      </w:r>
                    </w:p>
                    <w:p w14:paraId="6C3350BE" w14:textId="77777777" w:rsidR="00165465" w:rsidRPr="004A61C5" w:rsidRDefault="00165465" w:rsidP="00E551F6">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7AD7D3E" w14:textId="77777777" w:rsidR="00165465" w:rsidRPr="004A61C5" w:rsidRDefault="00165465" w:rsidP="00E551F6">
                      <w:pPr>
                        <w:pStyle w:val="TLKontakty"/>
                        <w:spacing w:after="80" w:line="240" w:lineRule="auto"/>
                        <w:rPr>
                          <w:color w:val="auto"/>
                        </w:rPr>
                      </w:pPr>
                    </w:p>
                    <w:p w14:paraId="25AA5C83" w14:textId="77777777" w:rsidR="00165465" w:rsidRPr="004A61C5" w:rsidRDefault="00165465" w:rsidP="00E551F6">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proofErr w:type="spellStart"/>
                      <w:r>
                        <w:rPr>
                          <w:b w:val="0"/>
                          <w:color w:val="auto"/>
                        </w:rPr>
                        <w:t>ph</w:t>
                      </w:r>
                      <w:proofErr w:type="spellEnd"/>
                      <w:r w:rsidRPr="004A61C5">
                        <w:rPr>
                          <w:b w:val="0"/>
                          <w:color w:val="auto"/>
                        </w:rPr>
                        <w:t>.</w:t>
                      </w:r>
                      <w:r>
                        <w:rPr>
                          <w:b w:val="0"/>
                          <w:color w:val="auto"/>
                        </w:rPr>
                        <w:t>: 472 706 176</w:t>
                      </w:r>
                    </w:p>
                    <w:p w14:paraId="13ABCEC8" w14:textId="77777777" w:rsidR="00165465" w:rsidRPr="004A61C5" w:rsidRDefault="00165465" w:rsidP="00E551F6">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4128832E" w14:textId="77777777" w:rsidR="00165465" w:rsidRPr="004A61C5" w:rsidRDefault="00165465" w:rsidP="00E551F6">
                      <w:pPr>
                        <w:pStyle w:val="TLKontakty"/>
                        <w:spacing w:after="80" w:line="240" w:lineRule="auto"/>
                        <w:rPr>
                          <w:color w:val="auto"/>
                        </w:rPr>
                      </w:pPr>
                    </w:p>
                    <w:p w14:paraId="4A3D6236" w14:textId="77777777" w:rsidR="00165465" w:rsidRPr="004A61C5" w:rsidRDefault="00165465" w:rsidP="00E551F6">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xml:space="preserve">, </w:t>
                      </w:r>
                      <w:proofErr w:type="spellStart"/>
                      <w:r>
                        <w:rPr>
                          <w:b w:val="0"/>
                          <w:color w:val="auto"/>
                        </w:rPr>
                        <w:t>ph</w:t>
                      </w:r>
                      <w:proofErr w:type="spellEnd"/>
                      <w:r w:rsidRPr="004A61C5">
                        <w:rPr>
                          <w:b w:val="0"/>
                          <w:color w:val="auto"/>
                        </w:rPr>
                        <w:t>.</w:t>
                      </w:r>
                      <w:r>
                        <w:rPr>
                          <w:b w:val="0"/>
                          <w:color w:val="auto"/>
                        </w:rPr>
                        <w:t xml:space="preserve">: </w:t>
                      </w:r>
                      <w:r w:rsidRPr="004A61C5">
                        <w:rPr>
                          <w:b w:val="0"/>
                          <w:color w:val="auto"/>
                        </w:rPr>
                        <w:t>485 238 811</w:t>
                      </w:r>
                    </w:p>
                    <w:p w14:paraId="2FED9E0A" w14:textId="77777777" w:rsidR="00165465" w:rsidRPr="004A61C5" w:rsidRDefault="00165465" w:rsidP="00E551F6">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49D4B91A" w14:textId="77777777" w:rsidR="00165465" w:rsidRPr="004A61C5" w:rsidRDefault="00165465" w:rsidP="00E551F6">
                      <w:pPr>
                        <w:pStyle w:val="TLKontakty"/>
                        <w:spacing w:after="80" w:line="240" w:lineRule="auto"/>
                        <w:rPr>
                          <w:b w:val="0"/>
                          <w:color w:val="auto"/>
                        </w:rPr>
                      </w:pPr>
                    </w:p>
                    <w:p w14:paraId="00CE01A0" w14:textId="77777777" w:rsidR="00165465" w:rsidRPr="004A61C5" w:rsidRDefault="00165465" w:rsidP="00E551F6">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proofErr w:type="spellStart"/>
                      <w:r>
                        <w:rPr>
                          <w:b w:val="0"/>
                          <w:color w:val="auto"/>
                        </w:rPr>
                        <w:t>ph</w:t>
                      </w:r>
                      <w:proofErr w:type="spellEnd"/>
                      <w:r>
                        <w:rPr>
                          <w:b w:val="0"/>
                          <w:color w:val="auto"/>
                        </w:rPr>
                        <w:t>.</w:t>
                      </w:r>
                      <w:r w:rsidRPr="007D40DF">
                        <w:rPr>
                          <w:b w:val="0"/>
                          <w:color w:val="auto"/>
                        </w:rPr>
                        <w:t>:</w:t>
                      </w:r>
                      <w:r>
                        <w:rPr>
                          <w:b w:val="0"/>
                          <w:color w:val="auto"/>
                        </w:rPr>
                        <w:t xml:space="preserve"> 495 762 322</w:t>
                      </w:r>
                    </w:p>
                    <w:p w14:paraId="7A210F2B" w14:textId="77777777" w:rsidR="00165465" w:rsidRPr="004A61C5" w:rsidRDefault="00165465" w:rsidP="00E551F6">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614FDFBA" w14:textId="77777777" w:rsidR="00165465" w:rsidRPr="004A61C5" w:rsidRDefault="00165465" w:rsidP="00E551F6">
                      <w:pPr>
                        <w:pStyle w:val="TLKontakty"/>
                        <w:spacing w:after="80" w:line="240" w:lineRule="auto"/>
                        <w:rPr>
                          <w:color w:val="auto"/>
                        </w:rPr>
                      </w:pPr>
                    </w:p>
                    <w:p w14:paraId="5046D8BB" w14:textId="77777777" w:rsidR="00165465" w:rsidRPr="004A61C5" w:rsidRDefault="00165465" w:rsidP="00E551F6">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proofErr w:type="spellStart"/>
                      <w:r>
                        <w:rPr>
                          <w:b w:val="0"/>
                          <w:color w:val="auto"/>
                        </w:rPr>
                        <w:t>ph</w:t>
                      </w:r>
                      <w:proofErr w:type="spellEnd"/>
                      <w:r w:rsidRPr="004A61C5">
                        <w:rPr>
                          <w:b w:val="0"/>
                          <w:color w:val="auto"/>
                        </w:rPr>
                        <w:t>.</w:t>
                      </w:r>
                      <w:r>
                        <w:rPr>
                          <w:b w:val="0"/>
                          <w:color w:val="auto"/>
                        </w:rPr>
                        <w:t>: 466 743 480</w:t>
                      </w:r>
                    </w:p>
                    <w:p w14:paraId="48F568EE" w14:textId="77777777" w:rsidR="00165465" w:rsidRPr="004A61C5" w:rsidRDefault="00165465" w:rsidP="00E551F6">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09C75AFD" w14:textId="77777777" w:rsidR="00165465" w:rsidRPr="004A61C5" w:rsidRDefault="00165465" w:rsidP="00E551F6">
                      <w:pPr>
                        <w:pStyle w:val="TLKontakty"/>
                        <w:spacing w:after="80" w:line="240" w:lineRule="auto"/>
                        <w:rPr>
                          <w:b w:val="0"/>
                          <w:color w:val="auto"/>
                        </w:rPr>
                      </w:pPr>
                    </w:p>
                    <w:p w14:paraId="3FFA5E4C" w14:textId="77777777" w:rsidR="00165465" w:rsidRPr="004A61C5" w:rsidRDefault="00165465" w:rsidP="00E551F6">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w:t>
                      </w:r>
                      <w:proofErr w:type="spellStart"/>
                      <w:r>
                        <w:rPr>
                          <w:b w:val="0"/>
                          <w:color w:val="auto"/>
                        </w:rPr>
                        <w:t>ph</w:t>
                      </w:r>
                      <w:proofErr w:type="spellEnd"/>
                      <w:r>
                        <w:rPr>
                          <w:b w:val="0"/>
                          <w:color w:val="auto"/>
                        </w:rPr>
                        <w:t xml:space="preserve">.: </w:t>
                      </w:r>
                      <w:r w:rsidRPr="004A61C5">
                        <w:rPr>
                          <w:b w:val="0"/>
                          <w:color w:val="auto"/>
                        </w:rPr>
                        <w:t xml:space="preserve">567 109 </w:t>
                      </w:r>
                      <w:r>
                        <w:rPr>
                          <w:b w:val="0"/>
                          <w:color w:val="auto"/>
                        </w:rPr>
                        <w:t>062</w:t>
                      </w:r>
                    </w:p>
                    <w:p w14:paraId="030060E8" w14:textId="77777777" w:rsidR="00165465" w:rsidRPr="004A61C5" w:rsidRDefault="00165465" w:rsidP="00E551F6">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409248D9" w14:textId="77777777" w:rsidR="00165465" w:rsidRDefault="00165465" w:rsidP="00E551F6">
                      <w:pPr>
                        <w:pStyle w:val="TLKontakty"/>
                        <w:spacing w:after="80" w:line="240" w:lineRule="auto"/>
                      </w:pPr>
                    </w:p>
                    <w:p w14:paraId="470178E3" w14:textId="77777777" w:rsidR="00165465" w:rsidRPr="00BC731E" w:rsidRDefault="00165465" w:rsidP="00E551F6">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proofErr w:type="spellStart"/>
                      <w:r>
                        <w:rPr>
                          <w:b w:val="0"/>
                          <w:color w:val="auto"/>
                        </w:rPr>
                        <w:t>ph</w:t>
                      </w:r>
                      <w:proofErr w:type="spellEnd"/>
                      <w:r>
                        <w:rPr>
                          <w:b w:val="0"/>
                          <w:color w:val="auto"/>
                        </w:rPr>
                        <w:t xml:space="preserve">: </w:t>
                      </w:r>
                      <w:r w:rsidRPr="00BC731E">
                        <w:rPr>
                          <w:b w:val="0"/>
                          <w:color w:val="auto"/>
                        </w:rPr>
                        <w:t>542 528 200</w:t>
                      </w:r>
                    </w:p>
                    <w:p w14:paraId="1E8774F5" w14:textId="77777777" w:rsidR="00165465" w:rsidRPr="004A61C5" w:rsidRDefault="00165465" w:rsidP="00E551F6">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4D9EA256" w14:textId="77777777" w:rsidR="00165465" w:rsidRPr="004A61C5" w:rsidRDefault="00165465" w:rsidP="00E551F6">
                      <w:pPr>
                        <w:pStyle w:val="TLKontakty"/>
                        <w:spacing w:after="80" w:line="240" w:lineRule="auto"/>
                        <w:rPr>
                          <w:b w:val="0"/>
                          <w:color w:val="auto"/>
                        </w:rPr>
                      </w:pPr>
                    </w:p>
                    <w:p w14:paraId="59C69415" w14:textId="77777777" w:rsidR="00165465" w:rsidRPr="005E7C78" w:rsidRDefault="00165465" w:rsidP="00E551F6">
                      <w:pPr>
                        <w:pStyle w:val="TLKontakty"/>
                        <w:spacing w:after="80" w:line="240" w:lineRule="auto"/>
                        <w:rPr>
                          <w:b w:val="0"/>
                          <w:color w:val="auto"/>
                        </w:rPr>
                      </w:pPr>
                      <w:r w:rsidRPr="00EA0987">
                        <w:t>Olomouc</w:t>
                      </w:r>
                      <w:r w:rsidRPr="005E7C78">
                        <w:rPr>
                          <w:b w:val="0"/>
                          <w:color w:val="auto"/>
                        </w:rPr>
                        <w:t xml:space="preserve"> | Jeremenkova 1142/42, 772 11 Olomouc, </w:t>
                      </w:r>
                      <w:proofErr w:type="spellStart"/>
                      <w:r>
                        <w:rPr>
                          <w:b w:val="0"/>
                          <w:color w:val="auto"/>
                        </w:rPr>
                        <w:t>ph</w:t>
                      </w:r>
                      <w:proofErr w:type="spellEnd"/>
                      <w:r>
                        <w:rPr>
                          <w:b w:val="0"/>
                          <w:color w:val="auto"/>
                        </w:rPr>
                        <w:t xml:space="preserve">.: </w:t>
                      </w:r>
                      <w:r w:rsidRPr="00BC731E">
                        <w:rPr>
                          <w:b w:val="0"/>
                          <w:color w:val="auto"/>
                        </w:rPr>
                        <w:t>585 731 511</w:t>
                      </w:r>
                    </w:p>
                    <w:p w14:paraId="322BD77A" w14:textId="77777777" w:rsidR="00165465" w:rsidRPr="005E7C78" w:rsidRDefault="00165465" w:rsidP="00E551F6">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56F621BC" w14:textId="77777777" w:rsidR="00165465" w:rsidRPr="005E7C78" w:rsidRDefault="00165465" w:rsidP="00E551F6">
                      <w:pPr>
                        <w:pStyle w:val="TLKontakty"/>
                        <w:spacing w:after="80" w:line="240" w:lineRule="auto"/>
                        <w:rPr>
                          <w:b w:val="0"/>
                          <w:color w:val="auto"/>
                        </w:rPr>
                      </w:pPr>
                    </w:p>
                    <w:p w14:paraId="3B790EE6" w14:textId="77777777" w:rsidR="00165465" w:rsidRPr="005E7C78" w:rsidRDefault="00165465" w:rsidP="00E551F6">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proofErr w:type="spellStart"/>
                      <w:r>
                        <w:rPr>
                          <w:b w:val="0"/>
                          <w:color w:val="auto"/>
                        </w:rPr>
                        <w:t>ph</w:t>
                      </w:r>
                      <w:proofErr w:type="spellEnd"/>
                      <w:r>
                        <w:rPr>
                          <w:b w:val="0"/>
                          <w:color w:val="auto"/>
                        </w:rPr>
                        <w:t>.: 577 004 936</w:t>
                      </w:r>
                    </w:p>
                    <w:p w14:paraId="2E3D7315" w14:textId="77777777" w:rsidR="00165465" w:rsidRDefault="00165465" w:rsidP="00E551F6">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0674CB31" w14:textId="77777777" w:rsidR="00165465" w:rsidRPr="005E7C78" w:rsidRDefault="00165465" w:rsidP="00E551F6">
                      <w:pPr>
                        <w:pStyle w:val="TLKontakty"/>
                        <w:spacing w:after="80" w:line="240" w:lineRule="auto"/>
                        <w:rPr>
                          <w:b w:val="0"/>
                          <w:color w:val="auto"/>
                        </w:rPr>
                      </w:pPr>
                    </w:p>
                    <w:p w14:paraId="49A3D31E" w14:textId="77777777" w:rsidR="00165465" w:rsidRPr="005E7C78" w:rsidRDefault="00165465" w:rsidP="00E551F6">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w:t>
                      </w:r>
                      <w:proofErr w:type="spellStart"/>
                      <w:r>
                        <w:rPr>
                          <w:b w:val="0"/>
                          <w:color w:val="auto"/>
                        </w:rPr>
                        <w:t>ph</w:t>
                      </w:r>
                      <w:proofErr w:type="spellEnd"/>
                      <w:r>
                        <w:rPr>
                          <w:b w:val="0"/>
                          <w:color w:val="auto"/>
                        </w:rPr>
                        <w:t>: 595 131 230</w:t>
                      </w:r>
                    </w:p>
                    <w:p w14:paraId="2CE70835" w14:textId="77777777" w:rsidR="00165465" w:rsidRPr="00095135" w:rsidRDefault="00165465" w:rsidP="00E551F6">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rsidRPr="001A0A01">
        <w:rPr>
          <w:noProof/>
        </w:rPr>
        <mc:AlternateContent>
          <mc:Choice Requires="wps">
            <w:drawing>
              <wp:anchor distT="0" distB="0" distL="114300" distR="114300" simplePos="0" relativeHeight="251658248" behindDoc="0" locked="1" layoutInCell="1" allowOverlap="1" wp14:anchorId="4D04E00D" wp14:editId="4F1425AB">
                <wp:simplePos x="0" y="0"/>
                <wp:positionH relativeFrom="page">
                  <wp:posOffset>720090</wp:posOffset>
                </wp:positionH>
                <wp:positionV relativeFrom="page">
                  <wp:posOffset>9324975</wp:posOffset>
                </wp:positionV>
                <wp:extent cx="6120000" cy="540000"/>
                <wp:effectExtent l="0" t="0" r="14605"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54000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63298B8" w14:textId="77777777" w:rsidR="00165465" w:rsidRDefault="00165465" w:rsidP="00E551F6"/>
                          <w:p w14:paraId="4E199EEA" w14:textId="77777777" w:rsidR="00165465" w:rsidRPr="00321924" w:rsidRDefault="00165465" w:rsidP="00E551F6">
                            <w:r w:rsidRPr="00321924">
                              <w:t xml:space="preserve">© </w:t>
                            </w:r>
                            <w:r>
                              <w:t xml:space="preserve">Czech </w:t>
                            </w:r>
                            <w:proofErr w:type="spellStart"/>
                            <w:r>
                              <w:t>Statistical</w:t>
                            </w:r>
                            <w:proofErr w:type="spellEnd"/>
                            <w:r>
                              <w:t xml:space="preserve"> Office</w:t>
                            </w:r>
                            <w:r w:rsidRPr="00321924">
                              <w:t xml:space="preserve">, </w:t>
                            </w:r>
                            <w:r>
                              <w:t>Prague</w:t>
                            </w:r>
                            <w:r w:rsidRPr="00321924">
                              <w:t xml:space="preserve">, </w:t>
                            </w:r>
                            <w:r>
                              <w:t>2024</w:t>
                            </w:r>
                          </w:p>
                          <w:p w14:paraId="47F24934" w14:textId="77777777" w:rsidR="00165465" w:rsidRDefault="00165465" w:rsidP="00E551F6"/>
                          <w:p w14:paraId="34EF33B2" w14:textId="77777777" w:rsidR="00165465" w:rsidRPr="00841D9F" w:rsidRDefault="00165465" w:rsidP="00E551F6">
                            <w:r w:rsidRPr="00841D9F">
                              <w:rPr>
                                <w:szCs w:val="26"/>
                              </w:rPr>
                              <w:t xml:space="preserve">ISBN XX-XXXX-XXX-X  </w:t>
                            </w:r>
                            <w:r w:rsidRPr="00841D9F">
                              <w:t>(pouze u nepravidelných a ročních publikací)</w:t>
                            </w:r>
                          </w:p>
                          <w:p w14:paraId="579F0B67" w14:textId="77777777" w:rsidR="00165465" w:rsidRPr="00AF2852" w:rsidRDefault="00165465" w:rsidP="00E551F6">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04E00D" id="_x0000_s1031" type="#_x0000_t202" style="position:absolute;margin-left:56.7pt;margin-top:734.25pt;width:481.9pt;height:42.5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0SQRwIAAEIEAAAOAAAAZHJzL2Uyb0RvYy54bWysU9tu2zAMfR+wfxD07vpSJ42NOkVzGwZ0&#10;F6DdByiyHBuzRU1SYnfFPmjfsR8bJcddt70NexEoUjwkzxGvb4auJSehTQOyoPFFRImQHMpGHgr6&#10;6WEXLCgxlsmStSBFQR+FoTfL16+ue5WLBGpoS6EJgkiT96qgtbUqD0PDa9ExcwFKSAxWoDtm8aoP&#10;YalZj+hdGyZRNA970KXSwIUx6N2MQbr0+FUluP1QVUZY0hYUe7P+1P7cuzNcXrP8oJmqG35ug/1D&#10;Fx1rJBZ9htowy8hRN39BdQ3XYKCyFxy6EKqq4cLPgNPE0R/T3NdMCT8LkmPUM03m/8Hy96ePmjRl&#10;QZNLSiTrUKMHMVg4/fhOFLSCJI6jXpkcn94rfGyHFQyotZ/XqDvgnw2RsK6ZPIhbraGvBSuxx9hl&#10;hi9SRxzjQPb9OyixFjta8EBDpTtHIFJCEB21enzWB/shHJ3zGCWPMMQxNku97UqwfMpW2tg3Ajri&#10;jIJq1N+js9OdsePT6YkrJmHXtC36Wd7K3xyIOXqwNqa6mOvCS/qURdl2sV2kQZrMt0EalWVwu1un&#10;wXwXX802l5v1ehN/G7/Wi6Q4SaNVkgW7+eIqSKt0FmRX0SKI4myVzaM0Szc7n4Slp6KePMfXyJwd&#10;9oPXajZpsofyEdnUMH5sXEQ0atBfKenxUxfUfDkyLShp30pUxG3AZOjJ2E8GkxxTC2opGc21HTfl&#10;qHRzqBF51FzCLapWNZ5QJ+/YxVlr/KhekvNSuU14efevfq3+8icAAAD//wMAUEsDBBQABgAIAAAA&#10;IQAqFDT84gAAAA4BAAAPAAAAZHJzL2Rvd25yZXYueG1sTI/NTsMwEITvSLyDtUjcqN2fpCXEqSoE&#10;JyREGg4cndhNrMbrELtteHu2J7jNaD/NzuTbyfXsbMZgPUqYzwQwg43XFlsJn9XrwwZYiAq16j0a&#10;CT8mwLa4vclVpv0FS3Pex5ZRCIZMSehiHDLOQ9MZp8LMDwbpdvCjU5Hs2HI9qguFu54vhEi5Uxbp&#10;Q6cG89yZ5rg/OQm7Lyxf7Pd7/VEeSltVjwLf0qOU93fT7glYNFP8g+Fan6pDQZ1qf0IdWE9+vlwR&#10;SmKVbhJgV0Ss1wtgNakkWSbAi5z/n1H8AgAA//8DAFBLAQItABQABgAIAAAAIQC2gziS/gAAAOEB&#10;AAATAAAAAAAAAAAAAAAAAAAAAABbQ29udGVudF9UeXBlc10ueG1sUEsBAi0AFAAGAAgAAAAhADj9&#10;If/WAAAAlAEAAAsAAAAAAAAAAAAAAAAALwEAAF9yZWxzLy5yZWxzUEsBAi0AFAAGAAgAAAAhAHHP&#10;RJBHAgAAQgQAAA4AAAAAAAAAAAAAAAAALgIAAGRycy9lMm9Eb2MueG1sUEsBAi0AFAAGAAgAAAAh&#10;ACoUNPziAAAADgEAAA8AAAAAAAAAAAAAAAAAoQQAAGRycy9kb3ducmV2LnhtbFBLBQYAAAAABAAE&#10;APMAAACwBQAAAAA=&#10;" filled="f" stroked="f">
                <v:textbox inset="0,0,0,0">
                  <w:txbxContent>
                    <w:p w14:paraId="363298B8" w14:textId="77777777" w:rsidR="00165465" w:rsidRDefault="00165465" w:rsidP="00E551F6"/>
                    <w:p w14:paraId="4E199EEA" w14:textId="77777777" w:rsidR="00165465" w:rsidRPr="00321924" w:rsidRDefault="00165465" w:rsidP="00E551F6">
                      <w:r w:rsidRPr="00321924">
                        <w:t xml:space="preserve">© </w:t>
                      </w:r>
                      <w:r>
                        <w:t xml:space="preserve">Czech </w:t>
                      </w:r>
                      <w:proofErr w:type="spellStart"/>
                      <w:r>
                        <w:t>Statistical</w:t>
                      </w:r>
                      <w:proofErr w:type="spellEnd"/>
                      <w:r>
                        <w:t xml:space="preserve"> Office</w:t>
                      </w:r>
                      <w:r w:rsidRPr="00321924">
                        <w:t xml:space="preserve">, </w:t>
                      </w:r>
                      <w:r>
                        <w:t>Prague</w:t>
                      </w:r>
                      <w:r w:rsidRPr="00321924">
                        <w:t xml:space="preserve">, </w:t>
                      </w:r>
                      <w:r>
                        <w:t>2024</w:t>
                      </w:r>
                    </w:p>
                    <w:p w14:paraId="47F24934" w14:textId="77777777" w:rsidR="00165465" w:rsidRDefault="00165465" w:rsidP="00E551F6"/>
                    <w:p w14:paraId="34EF33B2" w14:textId="77777777" w:rsidR="00165465" w:rsidRPr="00841D9F" w:rsidRDefault="00165465" w:rsidP="00E551F6">
                      <w:r w:rsidRPr="00841D9F">
                        <w:rPr>
                          <w:szCs w:val="26"/>
                        </w:rPr>
                        <w:t xml:space="preserve">ISBN XX-XXXX-XXX-X  </w:t>
                      </w:r>
                      <w:r w:rsidRPr="00841D9F">
                        <w:t>(pouze u nepravidelných a ročních publikací)</w:t>
                      </w:r>
                    </w:p>
                    <w:p w14:paraId="579F0B67" w14:textId="77777777" w:rsidR="00165465" w:rsidRPr="00AF2852" w:rsidRDefault="00165465" w:rsidP="00E551F6">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sidRPr="001A0A01">
        <w:rPr>
          <w:noProof/>
        </w:rPr>
        <mc:AlternateContent>
          <mc:Choice Requires="wps">
            <w:drawing>
              <wp:anchor distT="0" distB="0" distL="114300" distR="114300" simplePos="0" relativeHeight="251658247" behindDoc="0" locked="1" layoutInCell="1" allowOverlap="1" wp14:anchorId="52F5EDE2" wp14:editId="3FB3CBFF">
                <wp:simplePos x="0" y="0"/>
                <wp:positionH relativeFrom="page">
                  <wp:posOffset>723265</wp:posOffset>
                </wp:positionH>
                <wp:positionV relativeFrom="page">
                  <wp:posOffset>723265</wp:posOffset>
                </wp:positionV>
                <wp:extent cx="6119495" cy="555625"/>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856329" w14:textId="77777777" w:rsidR="00165465" w:rsidRPr="009A1902" w:rsidRDefault="00165465" w:rsidP="00E551F6">
                            <w:pPr>
                              <w:jc w:val="left"/>
                              <w:rPr>
                                <w:b/>
                                <w:bCs/>
                                <w:i/>
                                <w:sz w:val="24"/>
                              </w:rPr>
                            </w:pPr>
                            <w:r w:rsidRPr="004311B1">
                              <w:rPr>
                                <w:b/>
                                <w:color w:val="86BF5E"/>
                                <w:sz w:val="24"/>
                              </w:rPr>
                              <w:t xml:space="preserve">Are </w:t>
                            </w:r>
                            <w:proofErr w:type="spellStart"/>
                            <w:r w:rsidRPr="004311B1">
                              <w:rPr>
                                <w:b/>
                                <w:color w:val="86BF5E"/>
                                <w:sz w:val="24"/>
                              </w:rPr>
                              <w:t>you</w:t>
                            </w:r>
                            <w:proofErr w:type="spellEnd"/>
                            <w:r w:rsidRPr="004311B1">
                              <w:rPr>
                                <w:b/>
                                <w:color w:val="86BF5E"/>
                                <w:sz w:val="24"/>
                              </w:rPr>
                              <w:t xml:space="preserve"> </w:t>
                            </w:r>
                            <w:proofErr w:type="spellStart"/>
                            <w:r w:rsidRPr="004311B1">
                              <w:rPr>
                                <w:b/>
                                <w:color w:val="86BF5E"/>
                                <w:sz w:val="24"/>
                              </w:rPr>
                              <w:t>interested</w:t>
                            </w:r>
                            <w:proofErr w:type="spellEnd"/>
                            <w:r w:rsidRPr="004311B1">
                              <w:rPr>
                                <w:b/>
                                <w:color w:val="86BF5E"/>
                                <w:sz w:val="24"/>
                              </w:rPr>
                              <w:t xml:space="preserve"> in </w:t>
                            </w:r>
                            <w:proofErr w:type="spellStart"/>
                            <w:r w:rsidRPr="004311B1">
                              <w:rPr>
                                <w:b/>
                                <w:color w:val="86BF5E"/>
                                <w:sz w:val="24"/>
                              </w:rPr>
                              <w:t>the</w:t>
                            </w:r>
                            <w:proofErr w:type="spellEnd"/>
                            <w:r w:rsidRPr="004311B1">
                              <w:rPr>
                                <w:b/>
                                <w:color w:val="86BF5E"/>
                                <w:sz w:val="24"/>
                              </w:rPr>
                              <w:t xml:space="preserve"> </w:t>
                            </w:r>
                            <w:proofErr w:type="spellStart"/>
                            <w:r w:rsidRPr="004311B1">
                              <w:rPr>
                                <w:b/>
                                <w:color w:val="86BF5E"/>
                                <w:sz w:val="24"/>
                              </w:rPr>
                              <w:t>latest</w:t>
                            </w:r>
                            <w:proofErr w:type="spellEnd"/>
                            <w:r w:rsidRPr="004311B1">
                              <w:rPr>
                                <w:b/>
                                <w:color w:val="86BF5E"/>
                                <w:sz w:val="24"/>
                              </w:rPr>
                              <w:t xml:space="preserve"> data </w:t>
                            </w:r>
                            <w:proofErr w:type="spellStart"/>
                            <w:r w:rsidRPr="004311B1">
                              <w:rPr>
                                <w:b/>
                                <w:color w:val="86BF5E"/>
                                <w:sz w:val="24"/>
                              </w:rPr>
                              <w:t>connected</w:t>
                            </w:r>
                            <w:proofErr w:type="spellEnd"/>
                            <w:r w:rsidRPr="004311B1">
                              <w:rPr>
                                <w:b/>
                                <w:color w:val="86BF5E"/>
                                <w:sz w:val="24"/>
                              </w:rPr>
                              <w:t xml:space="preserve"> </w:t>
                            </w:r>
                            <w:proofErr w:type="spellStart"/>
                            <w:r w:rsidRPr="004311B1">
                              <w:rPr>
                                <w:b/>
                                <w:color w:val="86BF5E"/>
                                <w:sz w:val="24"/>
                              </w:rPr>
                              <w:t>with</w:t>
                            </w:r>
                            <w:proofErr w:type="spellEnd"/>
                            <w:r w:rsidRPr="004311B1">
                              <w:rPr>
                                <w:b/>
                                <w:color w:val="86BF5E"/>
                                <w:sz w:val="24"/>
                              </w:rPr>
                              <w:t xml:space="preserve"> </w:t>
                            </w:r>
                            <w:proofErr w:type="spellStart"/>
                            <w:r w:rsidRPr="004311B1">
                              <w:rPr>
                                <w:b/>
                                <w:color w:val="86BF5E"/>
                                <w:sz w:val="24"/>
                              </w:rPr>
                              <w:t>inflation</w:t>
                            </w:r>
                            <w:proofErr w:type="spellEnd"/>
                            <w:r w:rsidRPr="004311B1">
                              <w:rPr>
                                <w:b/>
                                <w:color w:val="86BF5E"/>
                                <w:sz w:val="24"/>
                              </w:rPr>
                              <w:t xml:space="preserve">, GDP, </w:t>
                            </w:r>
                            <w:proofErr w:type="spellStart"/>
                            <w:r w:rsidRPr="004311B1">
                              <w:rPr>
                                <w:b/>
                                <w:color w:val="86BF5E"/>
                                <w:sz w:val="24"/>
                              </w:rPr>
                              <w:t>population</w:t>
                            </w:r>
                            <w:proofErr w:type="spellEnd"/>
                            <w:r w:rsidRPr="004311B1">
                              <w:rPr>
                                <w:b/>
                                <w:color w:val="86BF5E"/>
                                <w:sz w:val="24"/>
                              </w:rPr>
                              <w:t xml:space="preserve">, </w:t>
                            </w:r>
                            <w:proofErr w:type="spellStart"/>
                            <w:r w:rsidRPr="004311B1">
                              <w:rPr>
                                <w:b/>
                                <w:color w:val="86BF5E"/>
                                <w:sz w:val="24"/>
                              </w:rPr>
                              <w:t>average</w:t>
                            </w:r>
                            <w:proofErr w:type="spellEnd"/>
                            <w:r w:rsidRPr="004311B1">
                              <w:rPr>
                                <w:b/>
                                <w:color w:val="86BF5E"/>
                                <w:sz w:val="24"/>
                              </w:rPr>
                              <w:t xml:space="preserve"> </w:t>
                            </w:r>
                            <w:proofErr w:type="spellStart"/>
                            <w:r w:rsidRPr="004311B1">
                              <w:rPr>
                                <w:b/>
                                <w:color w:val="86BF5E"/>
                                <w:sz w:val="24"/>
                              </w:rPr>
                              <w:t>wages</w:t>
                            </w:r>
                            <w:proofErr w:type="spellEnd"/>
                            <w:r w:rsidRPr="004311B1">
                              <w:rPr>
                                <w:b/>
                                <w:color w:val="86BF5E"/>
                                <w:sz w:val="24"/>
                              </w:rPr>
                              <w:t xml:space="preserve"> and much more? </w:t>
                            </w:r>
                            <w:proofErr w:type="spellStart"/>
                            <w:r w:rsidRPr="004311B1">
                              <w:rPr>
                                <w:b/>
                                <w:color w:val="86BF5E"/>
                                <w:sz w:val="24"/>
                              </w:rPr>
                              <w:t>You</w:t>
                            </w:r>
                            <w:proofErr w:type="spellEnd"/>
                            <w:r w:rsidRPr="004311B1">
                              <w:rPr>
                                <w:b/>
                                <w:color w:val="86BF5E"/>
                                <w:sz w:val="24"/>
                              </w:rPr>
                              <w:t xml:space="preserve"> </w:t>
                            </w:r>
                            <w:proofErr w:type="spellStart"/>
                            <w:r w:rsidRPr="004311B1">
                              <w:rPr>
                                <w:b/>
                                <w:color w:val="86BF5E"/>
                                <w:sz w:val="24"/>
                              </w:rPr>
                              <w:t>can</w:t>
                            </w:r>
                            <w:proofErr w:type="spellEnd"/>
                            <w:r w:rsidRPr="004311B1">
                              <w:rPr>
                                <w:b/>
                                <w:color w:val="86BF5E"/>
                                <w:sz w:val="24"/>
                              </w:rPr>
                              <w:t xml:space="preserve"> </w:t>
                            </w:r>
                            <w:proofErr w:type="spellStart"/>
                            <w:r w:rsidRPr="004311B1">
                              <w:rPr>
                                <w:b/>
                                <w:color w:val="86BF5E"/>
                                <w:sz w:val="24"/>
                              </w:rPr>
                              <w:t>find</w:t>
                            </w:r>
                            <w:proofErr w:type="spellEnd"/>
                            <w:r w:rsidRPr="004311B1">
                              <w:rPr>
                                <w:b/>
                                <w:color w:val="86BF5E"/>
                                <w:sz w:val="24"/>
                              </w:rPr>
                              <w:t xml:space="preserve"> </w:t>
                            </w:r>
                            <w:proofErr w:type="spellStart"/>
                            <w:r w:rsidRPr="004311B1">
                              <w:rPr>
                                <w:b/>
                                <w:color w:val="86BF5E"/>
                                <w:sz w:val="24"/>
                              </w:rPr>
                              <w:t>them</w:t>
                            </w:r>
                            <w:proofErr w:type="spellEnd"/>
                            <w:r w:rsidRPr="004311B1">
                              <w:rPr>
                                <w:b/>
                                <w:color w:val="86BF5E"/>
                                <w:sz w:val="24"/>
                              </w:rPr>
                              <w:t xml:space="preserve"> on </w:t>
                            </w:r>
                            <w:proofErr w:type="spellStart"/>
                            <w:r w:rsidRPr="004311B1">
                              <w:rPr>
                                <w:b/>
                                <w:color w:val="86BF5E"/>
                                <w:sz w:val="24"/>
                              </w:rPr>
                              <w:t>the</w:t>
                            </w:r>
                            <w:proofErr w:type="spellEnd"/>
                            <w:r w:rsidRPr="004311B1">
                              <w:rPr>
                                <w:b/>
                                <w:color w:val="86BF5E"/>
                                <w:sz w:val="24"/>
                              </w:rPr>
                              <w:t xml:space="preserve"> CZSO web </w:t>
                            </w:r>
                            <w:proofErr w:type="spellStart"/>
                            <w:r w:rsidRPr="004311B1">
                              <w:rPr>
                                <w:b/>
                                <w:color w:val="86BF5E"/>
                                <w:sz w:val="24"/>
                              </w:rPr>
                              <w:t>page</w:t>
                            </w:r>
                            <w:proofErr w:type="spellEnd"/>
                            <w:r w:rsidRPr="004311B1">
                              <w:rPr>
                                <w:b/>
                                <w:color w:val="86BF5E"/>
                                <w:sz w:val="24"/>
                              </w:rPr>
                              <w:t xml:space="preserve">: </w:t>
                            </w:r>
                            <w:r>
                              <w:rPr>
                                <w:b/>
                                <w:bCs/>
                                <w:sz w:val="24"/>
                              </w:rPr>
                              <w:t>www.csu.gov.cz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2F5EDE2" id="_x0000_s1032" type="#_x0000_t202" style="position:absolute;margin-left:56.95pt;margin-top:56.95pt;width:481.85pt;height:43.7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aPRwIAAEEEAAAOAAAAZHJzL2Uyb0RvYy54bWysU9tu1DAQfUfiHyy/p7mQpJuo2WovDUIq&#10;F6nlA7yJs4lIPMb2blIQH8R38GOMnaYUeEO8WGN75szMOTNX19PQkzNXugNR0PAioISLCupOHAv6&#10;8b70VpRow0TNehC8oA9c0+v1yxdXo8x5BC30NVcEQYTOR1nQ1hiZ+76uWj4wfQGSC/xsQA3M4FUd&#10;/VqxEdGH3o+CIPVHULVUUHGt8XU/f9K1w28aXpn3TaO5IX1BsTbjTuXOgz399RXLj4rJtqsey2D/&#10;UMXAOoFJn6D2zDByUt1fUENXKdDQmIsKBh+apqu46wG7CYM/urlrmeSuFyRHyyea9P+Drd6dPyjS&#10;1agdJYINKNE9nwycf3wnEnpOIkvRKHWOnncSfc20hcm623a1vIXqkyYCdi0TR75RCsaWsxpLDG2k&#10;/yx0xtEW5DC+hRpzsZMBBzQ1arCAyAhBdJTq4UkerIdU+JiGYRZnCSUV/iVJkkaJS8HyJVoqbV5z&#10;GIg1CqpQfofOzrfa2GpYvrjYZALKru/dCPTitwd0nF8wN4baP1uFU/RrFmQ3q5tV7MVReuPFQV17&#10;m3IXe2kZXib7V/vdbh9+myfrWVAYxcE2yrwyXV16cRMnXnYZrLwgzLZZGsRZvC9dEKZekjryLF8z&#10;c2Y6TE6qdNHkAPUDsqlgnmvcQzRaUF8oGXGmC6o/n5jilPRvBCpiF2Ax1GIcFoOJCkMLaiiZzZ2Z&#10;F+UkVXdsEXnRfIOqlZ0j1Mo7V/GoNc6p4/lxp+wiPL87r1+bv/4JAAD//wMAUEsDBBQABgAIAAAA&#10;IQCClu7g3QAAAAwBAAAPAAAAZHJzL2Rvd25yZXYueG1sTI+xTsMwEIb3SryDdZVYKmo7oJSGOBVC&#10;sLBRWNjc+Eii2ucodpPQp8cdEGz36z799125m51lIw6h86RArgUwpNqbjhoFH+8vN/fAQtRktPWE&#10;Cr4xwK66WpS6MH6iNxz3sWGphEKhFbQx9gXnoW7R6bD2PVLaffnB6Zji0HAz6CmVO8szIXLudEfp&#10;Qqt7fGqxPu5PTkE+P/er1y1m07m2I32epYwolbpezo8PwCLO8Q+Gi35Shyo5HfyJTGA2ZXm7Tejv&#10;cCHEZpMDOyjIhLwDXpX8/xPVDwAAAP//AwBQSwECLQAUAAYACAAAACEAtoM4kv4AAADhAQAAEwAA&#10;AAAAAAAAAAAAAAAAAAAAW0NvbnRlbnRfVHlwZXNdLnhtbFBLAQItABQABgAIAAAAIQA4/SH/1gAA&#10;AJQBAAALAAAAAAAAAAAAAAAAAC8BAABfcmVscy8ucmVsc1BLAQItABQABgAIAAAAIQBXDTaPRwIA&#10;AEEEAAAOAAAAAAAAAAAAAAAAAC4CAABkcnMvZTJvRG9jLnhtbFBLAQItABQABgAIAAAAIQCClu7g&#10;3QAAAAwBAAAPAAAAAAAAAAAAAAAAAKEEAABkcnMvZG93bnJldi54bWxQSwUGAAAAAAQABADzAAAA&#10;qwUAAAAA&#10;" filled="f" stroked="f">
                <v:textbox style="mso-fit-shape-to-text:t" inset="0,0,0,0">
                  <w:txbxContent>
                    <w:p w14:paraId="0B856329" w14:textId="77777777" w:rsidR="00165465" w:rsidRPr="009A1902" w:rsidRDefault="00165465" w:rsidP="00E551F6">
                      <w:pPr>
                        <w:jc w:val="left"/>
                        <w:rPr>
                          <w:b/>
                          <w:bCs/>
                          <w:i/>
                          <w:sz w:val="24"/>
                        </w:rPr>
                      </w:pPr>
                      <w:r w:rsidRPr="004311B1">
                        <w:rPr>
                          <w:b/>
                          <w:color w:val="86BF5E"/>
                          <w:sz w:val="24"/>
                        </w:rPr>
                        <w:t xml:space="preserve">Are </w:t>
                      </w:r>
                      <w:proofErr w:type="spellStart"/>
                      <w:r w:rsidRPr="004311B1">
                        <w:rPr>
                          <w:b/>
                          <w:color w:val="86BF5E"/>
                          <w:sz w:val="24"/>
                        </w:rPr>
                        <w:t>you</w:t>
                      </w:r>
                      <w:proofErr w:type="spellEnd"/>
                      <w:r w:rsidRPr="004311B1">
                        <w:rPr>
                          <w:b/>
                          <w:color w:val="86BF5E"/>
                          <w:sz w:val="24"/>
                        </w:rPr>
                        <w:t xml:space="preserve"> </w:t>
                      </w:r>
                      <w:proofErr w:type="spellStart"/>
                      <w:r w:rsidRPr="004311B1">
                        <w:rPr>
                          <w:b/>
                          <w:color w:val="86BF5E"/>
                          <w:sz w:val="24"/>
                        </w:rPr>
                        <w:t>interested</w:t>
                      </w:r>
                      <w:proofErr w:type="spellEnd"/>
                      <w:r w:rsidRPr="004311B1">
                        <w:rPr>
                          <w:b/>
                          <w:color w:val="86BF5E"/>
                          <w:sz w:val="24"/>
                        </w:rPr>
                        <w:t xml:space="preserve"> in </w:t>
                      </w:r>
                      <w:proofErr w:type="spellStart"/>
                      <w:r w:rsidRPr="004311B1">
                        <w:rPr>
                          <w:b/>
                          <w:color w:val="86BF5E"/>
                          <w:sz w:val="24"/>
                        </w:rPr>
                        <w:t>the</w:t>
                      </w:r>
                      <w:proofErr w:type="spellEnd"/>
                      <w:r w:rsidRPr="004311B1">
                        <w:rPr>
                          <w:b/>
                          <w:color w:val="86BF5E"/>
                          <w:sz w:val="24"/>
                        </w:rPr>
                        <w:t xml:space="preserve"> </w:t>
                      </w:r>
                      <w:proofErr w:type="spellStart"/>
                      <w:r w:rsidRPr="004311B1">
                        <w:rPr>
                          <w:b/>
                          <w:color w:val="86BF5E"/>
                          <w:sz w:val="24"/>
                        </w:rPr>
                        <w:t>latest</w:t>
                      </w:r>
                      <w:proofErr w:type="spellEnd"/>
                      <w:r w:rsidRPr="004311B1">
                        <w:rPr>
                          <w:b/>
                          <w:color w:val="86BF5E"/>
                          <w:sz w:val="24"/>
                        </w:rPr>
                        <w:t xml:space="preserve"> data </w:t>
                      </w:r>
                      <w:proofErr w:type="spellStart"/>
                      <w:r w:rsidRPr="004311B1">
                        <w:rPr>
                          <w:b/>
                          <w:color w:val="86BF5E"/>
                          <w:sz w:val="24"/>
                        </w:rPr>
                        <w:t>connected</w:t>
                      </w:r>
                      <w:proofErr w:type="spellEnd"/>
                      <w:r w:rsidRPr="004311B1">
                        <w:rPr>
                          <w:b/>
                          <w:color w:val="86BF5E"/>
                          <w:sz w:val="24"/>
                        </w:rPr>
                        <w:t xml:space="preserve"> </w:t>
                      </w:r>
                      <w:proofErr w:type="spellStart"/>
                      <w:r w:rsidRPr="004311B1">
                        <w:rPr>
                          <w:b/>
                          <w:color w:val="86BF5E"/>
                          <w:sz w:val="24"/>
                        </w:rPr>
                        <w:t>with</w:t>
                      </w:r>
                      <w:proofErr w:type="spellEnd"/>
                      <w:r w:rsidRPr="004311B1">
                        <w:rPr>
                          <w:b/>
                          <w:color w:val="86BF5E"/>
                          <w:sz w:val="24"/>
                        </w:rPr>
                        <w:t xml:space="preserve"> </w:t>
                      </w:r>
                      <w:proofErr w:type="spellStart"/>
                      <w:r w:rsidRPr="004311B1">
                        <w:rPr>
                          <w:b/>
                          <w:color w:val="86BF5E"/>
                          <w:sz w:val="24"/>
                        </w:rPr>
                        <w:t>inflation</w:t>
                      </w:r>
                      <w:proofErr w:type="spellEnd"/>
                      <w:r w:rsidRPr="004311B1">
                        <w:rPr>
                          <w:b/>
                          <w:color w:val="86BF5E"/>
                          <w:sz w:val="24"/>
                        </w:rPr>
                        <w:t xml:space="preserve">, GDP, </w:t>
                      </w:r>
                      <w:proofErr w:type="spellStart"/>
                      <w:r w:rsidRPr="004311B1">
                        <w:rPr>
                          <w:b/>
                          <w:color w:val="86BF5E"/>
                          <w:sz w:val="24"/>
                        </w:rPr>
                        <w:t>population</w:t>
                      </w:r>
                      <w:proofErr w:type="spellEnd"/>
                      <w:r w:rsidRPr="004311B1">
                        <w:rPr>
                          <w:b/>
                          <w:color w:val="86BF5E"/>
                          <w:sz w:val="24"/>
                        </w:rPr>
                        <w:t xml:space="preserve">, </w:t>
                      </w:r>
                      <w:proofErr w:type="spellStart"/>
                      <w:r w:rsidRPr="004311B1">
                        <w:rPr>
                          <w:b/>
                          <w:color w:val="86BF5E"/>
                          <w:sz w:val="24"/>
                        </w:rPr>
                        <w:t>average</w:t>
                      </w:r>
                      <w:proofErr w:type="spellEnd"/>
                      <w:r w:rsidRPr="004311B1">
                        <w:rPr>
                          <w:b/>
                          <w:color w:val="86BF5E"/>
                          <w:sz w:val="24"/>
                        </w:rPr>
                        <w:t xml:space="preserve"> </w:t>
                      </w:r>
                      <w:proofErr w:type="spellStart"/>
                      <w:r w:rsidRPr="004311B1">
                        <w:rPr>
                          <w:b/>
                          <w:color w:val="86BF5E"/>
                          <w:sz w:val="24"/>
                        </w:rPr>
                        <w:t>wages</w:t>
                      </w:r>
                      <w:proofErr w:type="spellEnd"/>
                      <w:r w:rsidRPr="004311B1">
                        <w:rPr>
                          <w:b/>
                          <w:color w:val="86BF5E"/>
                          <w:sz w:val="24"/>
                        </w:rPr>
                        <w:t xml:space="preserve"> and much more? </w:t>
                      </w:r>
                      <w:proofErr w:type="spellStart"/>
                      <w:r w:rsidRPr="004311B1">
                        <w:rPr>
                          <w:b/>
                          <w:color w:val="86BF5E"/>
                          <w:sz w:val="24"/>
                        </w:rPr>
                        <w:t>You</w:t>
                      </w:r>
                      <w:proofErr w:type="spellEnd"/>
                      <w:r w:rsidRPr="004311B1">
                        <w:rPr>
                          <w:b/>
                          <w:color w:val="86BF5E"/>
                          <w:sz w:val="24"/>
                        </w:rPr>
                        <w:t xml:space="preserve"> </w:t>
                      </w:r>
                      <w:proofErr w:type="spellStart"/>
                      <w:r w:rsidRPr="004311B1">
                        <w:rPr>
                          <w:b/>
                          <w:color w:val="86BF5E"/>
                          <w:sz w:val="24"/>
                        </w:rPr>
                        <w:t>can</w:t>
                      </w:r>
                      <w:proofErr w:type="spellEnd"/>
                      <w:r w:rsidRPr="004311B1">
                        <w:rPr>
                          <w:b/>
                          <w:color w:val="86BF5E"/>
                          <w:sz w:val="24"/>
                        </w:rPr>
                        <w:t xml:space="preserve"> </w:t>
                      </w:r>
                      <w:proofErr w:type="spellStart"/>
                      <w:r w:rsidRPr="004311B1">
                        <w:rPr>
                          <w:b/>
                          <w:color w:val="86BF5E"/>
                          <w:sz w:val="24"/>
                        </w:rPr>
                        <w:t>find</w:t>
                      </w:r>
                      <w:proofErr w:type="spellEnd"/>
                      <w:r w:rsidRPr="004311B1">
                        <w:rPr>
                          <w:b/>
                          <w:color w:val="86BF5E"/>
                          <w:sz w:val="24"/>
                        </w:rPr>
                        <w:t xml:space="preserve"> </w:t>
                      </w:r>
                      <w:proofErr w:type="spellStart"/>
                      <w:r w:rsidRPr="004311B1">
                        <w:rPr>
                          <w:b/>
                          <w:color w:val="86BF5E"/>
                          <w:sz w:val="24"/>
                        </w:rPr>
                        <w:t>them</w:t>
                      </w:r>
                      <w:proofErr w:type="spellEnd"/>
                      <w:r w:rsidRPr="004311B1">
                        <w:rPr>
                          <w:b/>
                          <w:color w:val="86BF5E"/>
                          <w:sz w:val="24"/>
                        </w:rPr>
                        <w:t xml:space="preserve"> on </w:t>
                      </w:r>
                      <w:proofErr w:type="spellStart"/>
                      <w:r w:rsidRPr="004311B1">
                        <w:rPr>
                          <w:b/>
                          <w:color w:val="86BF5E"/>
                          <w:sz w:val="24"/>
                        </w:rPr>
                        <w:t>the</w:t>
                      </w:r>
                      <w:proofErr w:type="spellEnd"/>
                      <w:r w:rsidRPr="004311B1">
                        <w:rPr>
                          <w:b/>
                          <w:color w:val="86BF5E"/>
                          <w:sz w:val="24"/>
                        </w:rPr>
                        <w:t xml:space="preserve"> CZSO web </w:t>
                      </w:r>
                      <w:proofErr w:type="spellStart"/>
                      <w:r w:rsidRPr="004311B1">
                        <w:rPr>
                          <w:b/>
                          <w:color w:val="86BF5E"/>
                          <w:sz w:val="24"/>
                        </w:rPr>
                        <w:t>page</w:t>
                      </w:r>
                      <w:proofErr w:type="spellEnd"/>
                      <w:r w:rsidRPr="004311B1">
                        <w:rPr>
                          <w:b/>
                          <w:color w:val="86BF5E"/>
                          <w:sz w:val="24"/>
                        </w:rPr>
                        <w:t xml:space="preserve">: </w:t>
                      </w:r>
                      <w:r>
                        <w:rPr>
                          <w:b/>
                          <w:bCs/>
                          <w:sz w:val="24"/>
                        </w:rPr>
                        <w:t>www.csu.gov.cz</w:t>
                      </w:r>
                    </w:p>
                  </w:txbxContent>
                </v:textbox>
                <w10:wrap anchorx="page" anchory="page"/>
                <w10:anchorlock/>
              </v:shape>
            </w:pict>
          </mc:Fallback>
        </mc:AlternateContent>
      </w:r>
    </w:p>
    <w:sdt>
      <w:sdtPr>
        <w:rPr>
          <w:b w:val="0"/>
          <w:color w:val="auto"/>
          <w:sz w:val="20"/>
          <w:szCs w:val="20"/>
          <w:lang w:val="en-GB"/>
        </w:rPr>
        <w:id w:val="129444162"/>
        <w:docPartObj>
          <w:docPartGallery w:val="Table of Contents"/>
          <w:docPartUnique/>
        </w:docPartObj>
      </w:sdtPr>
      <w:sdtContent>
        <w:p w14:paraId="5F4F28EC" w14:textId="77777777" w:rsidR="00E551F6" w:rsidRPr="001A0A01" w:rsidRDefault="00E551F6" w:rsidP="00E551F6">
          <w:pPr>
            <w:pStyle w:val="Obsah"/>
            <w:rPr>
              <w:lang w:val="en-GB"/>
            </w:rPr>
          </w:pPr>
          <w:r w:rsidRPr="001A0A01">
            <w:rPr>
              <w:lang w:val="en-GB"/>
            </w:rPr>
            <w:t>Contents</w:t>
          </w:r>
        </w:p>
        <w:p w14:paraId="7487CCBC" w14:textId="72A69252" w:rsidR="00AE299B" w:rsidRDefault="00E551F6">
          <w:pPr>
            <w:pStyle w:val="Obsah1"/>
            <w:rPr>
              <w:rFonts w:asciiTheme="minorHAnsi" w:eastAsiaTheme="minorEastAsia" w:hAnsiTheme="minorHAnsi" w:cstheme="minorBidi"/>
              <w:noProof/>
              <w:sz w:val="22"/>
              <w:szCs w:val="22"/>
            </w:rPr>
          </w:pPr>
          <w:r w:rsidRPr="001A0A01">
            <w:rPr>
              <w:lang w:val="en-GB"/>
            </w:rPr>
            <w:fldChar w:fldCharType="begin"/>
          </w:r>
          <w:r w:rsidRPr="001A0A01">
            <w:rPr>
              <w:lang w:val="en-GB"/>
            </w:rPr>
            <w:instrText>TOC \o "1-3" \h \z \u</w:instrText>
          </w:r>
          <w:r w:rsidRPr="001A0A01">
            <w:rPr>
              <w:lang w:val="en-GB"/>
            </w:rPr>
            <w:fldChar w:fldCharType="separate"/>
          </w:r>
          <w:hyperlink w:anchor="_Toc179774105" w:history="1">
            <w:r w:rsidR="00AE299B" w:rsidRPr="00C5674C">
              <w:rPr>
                <w:rStyle w:val="Hypertextovodkaz"/>
                <w:noProof/>
                <w:lang w:val="en-GB"/>
              </w:rPr>
              <w:t>1. Summary</w:t>
            </w:r>
            <w:r w:rsidR="00AE299B">
              <w:rPr>
                <w:noProof/>
                <w:webHidden/>
              </w:rPr>
              <w:tab/>
            </w:r>
            <w:r w:rsidR="00AE299B">
              <w:rPr>
                <w:noProof/>
                <w:webHidden/>
              </w:rPr>
              <w:fldChar w:fldCharType="begin"/>
            </w:r>
            <w:r w:rsidR="00AE299B">
              <w:rPr>
                <w:noProof/>
                <w:webHidden/>
              </w:rPr>
              <w:instrText xml:space="preserve"> PAGEREF _Toc179774105 \h </w:instrText>
            </w:r>
            <w:r w:rsidR="00AE299B">
              <w:rPr>
                <w:noProof/>
                <w:webHidden/>
              </w:rPr>
            </w:r>
            <w:r w:rsidR="00AE299B">
              <w:rPr>
                <w:noProof/>
                <w:webHidden/>
              </w:rPr>
              <w:fldChar w:fldCharType="separate"/>
            </w:r>
            <w:r w:rsidR="00586A86">
              <w:rPr>
                <w:noProof/>
                <w:webHidden/>
              </w:rPr>
              <w:t>4</w:t>
            </w:r>
            <w:r w:rsidR="00AE299B">
              <w:rPr>
                <w:noProof/>
                <w:webHidden/>
              </w:rPr>
              <w:fldChar w:fldCharType="end"/>
            </w:r>
          </w:hyperlink>
        </w:p>
        <w:p w14:paraId="18C64A4D" w14:textId="0CCABDB8" w:rsidR="00AE299B" w:rsidRDefault="00165465">
          <w:pPr>
            <w:pStyle w:val="Obsah1"/>
            <w:rPr>
              <w:rFonts w:asciiTheme="minorHAnsi" w:eastAsiaTheme="minorEastAsia" w:hAnsiTheme="minorHAnsi" w:cstheme="minorBidi"/>
              <w:noProof/>
              <w:sz w:val="22"/>
              <w:szCs w:val="22"/>
            </w:rPr>
          </w:pPr>
          <w:hyperlink w:anchor="_Toc179774106" w:history="1">
            <w:r w:rsidR="00AE299B" w:rsidRPr="00C5674C">
              <w:rPr>
                <w:rStyle w:val="Hypertextovodkaz"/>
                <w:noProof/>
                <w:lang w:val="en-GB"/>
              </w:rPr>
              <w:t>2. Overall Economic Performance</w:t>
            </w:r>
            <w:r w:rsidR="00AE299B">
              <w:rPr>
                <w:noProof/>
                <w:webHidden/>
              </w:rPr>
              <w:tab/>
            </w:r>
            <w:r w:rsidR="00AE299B">
              <w:rPr>
                <w:noProof/>
                <w:webHidden/>
              </w:rPr>
              <w:fldChar w:fldCharType="begin"/>
            </w:r>
            <w:r w:rsidR="00AE299B">
              <w:rPr>
                <w:noProof/>
                <w:webHidden/>
              </w:rPr>
              <w:instrText xml:space="preserve"> PAGEREF _Toc179774106 \h </w:instrText>
            </w:r>
            <w:r w:rsidR="00AE299B">
              <w:rPr>
                <w:noProof/>
                <w:webHidden/>
              </w:rPr>
            </w:r>
            <w:r w:rsidR="00AE299B">
              <w:rPr>
                <w:noProof/>
                <w:webHidden/>
              </w:rPr>
              <w:fldChar w:fldCharType="separate"/>
            </w:r>
            <w:r w:rsidR="00586A86">
              <w:rPr>
                <w:noProof/>
                <w:webHidden/>
              </w:rPr>
              <w:t>7</w:t>
            </w:r>
            <w:r w:rsidR="00AE299B">
              <w:rPr>
                <w:noProof/>
                <w:webHidden/>
              </w:rPr>
              <w:fldChar w:fldCharType="end"/>
            </w:r>
          </w:hyperlink>
        </w:p>
        <w:p w14:paraId="0A1D2526" w14:textId="7E079B63" w:rsidR="00AE299B" w:rsidRDefault="00165465">
          <w:pPr>
            <w:pStyle w:val="Obsah1"/>
            <w:rPr>
              <w:rFonts w:asciiTheme="minorHAnsi" w:eastAsiaTheme="minorEastAsia" w:hAnsiTheme="minorHAnsi" w:cstheme="minorBidi"/>
              <w:noProof/>
              <w:sz w:val="22"/>
              <w:szCs w:val="22"/>
            </w:rPr>
          </w:pPr>
          <w:hyperlink w:anchor="_Toc179774107" w:history="1">
            <w:r w:rsidR="00AE299B" w:rsidRPr="00C5674C">
              <w:rPr>
                <w:rStyle w:val="Hypertextovodkaz"/>
                <w:noProof/>
                <w:lang w:val="en-GB"/>
              </w:rPr>
              <w:t>3. Branches Performance</w:t>
            </w:r>
            <w:r w:rsidR="00AE299B">
              <w:rPr>
                <w:noProof/>
                <w:webHidden/>
              </w:rPr>
              <w:tab/>
            </w:r>
            <w:r w:rsidR="00AE299B">
              <w:rPr>
                <w:noProof/>
                <w:webHidden/>
              </w:rPr>
              <w:fldChar w:fldCharType="begin"/>
            </w:r>
            <w:r w:rsidR="00AE299B">
              <w:rPr>
                <w:noProof/>
                <w:webHidden/>
              </w:rPr>
              <w:instrText xml:space="preserve"> PAGEREF _Toc179774107 \h </w:instrText>
            </w:r>
            <w:r w:rsidR="00AE299B">
              <w:rPr>
                <w:noProof/>
                <w:webHidden/>
              </w:rPr>
            </w:r>
            <w:r w:rsidR="00AE299B">
              <w:rPr>
                <w:noProof/>
                <w:webHidden/>
              </w:rPr>
              <w:fldChar w:fldCharType="separate"/>
            </w:r>
            <w:r w:rsidR="00586A86">
              <w:rPr>
                <w:noProof/>
                <w:webHidden/>
              </w:rPr>
              <w:t>11</w:t>
            </w:r>
            <w:r w:rsidR="00AE299B">
              <w:rPr>
                <w:noProof/>
                <w:webHidden/>
              </w:rPr>
              <w:fldChar w:fldCharType="end"/>
            </w:r>
          </w:hyperlink>
        </w:p>
        <w:p w14:paraId="1B26C69F" w14:textId="5F7CDF29" w:rsidR="00AE299B" w:rsidRDefault="00165465">
          <w:pPr>
            <w:pStyle w:val="Obsah1"/>
            <w:rPr>
              <w:rFonts w:asciiTheme="minorHAnsi" w:eastAsiaTheme="minorEastAsia" w:hAnsiTheme="minorHAnsi" w:cstheme="minorBidi"/>
              <w:noProof/>
              <w:sz w:val="22"/>
              <w:szCs w:val="22"/>
            </w:rPr>
          </w:pPr>
          <w:hyperlink w:anchor="_Toc179774108" w:history="1">
            <w:r w:rsidR="00AE299B" w:rsidRPr="00C5674C">
              <w:rPr>
                <w:rStyle w:val="Hypertextovodkaz"/>
                <w:noProof/>
                <w:lang w:val="en-GB"/>
              </w:rPr>
              <w:t>4. External Relations</w:t>
            </w:r>
            <w:r w:rsidR="00AE299B">
              <w:rPr>
                <w:noProof/>
                <w:webHidden/>
              </w:rPr>
              <w:tab/>
            </w:r>
            <w:r w:rsidR="00AE299B">
              <w:rPr>
                <w:noProof/>
                <w:webHidden/>
              </w:rPr>
              <w:fldChar w:fldCharType="begin"/>
            </w:r>
            <w:r w:rsidR="00AE299B">
              <w:rPr>
                <w:noProof/>
                <w:webHidden/>
              </w:rPr>
              <w:instrText xml:space="preserve"> PAGEREF _Toc179774108 \h </w:instrText>
            </w:r>
            <w:r w:rsidR="00AE299B">
              <w:rPr>
                <w:noProof/>
                <w:webHidden/>
              </w:rPr>
            </w:r>
            <w:r w:rsidR="00AE299B">
              <w:rPr>
                <w:noProof/>
                <w:webHidden/>
              </w:rPr>
              <w:fldChar w:fldCharType="separate"/>
            </w:r>
            <w:r w:rsidR="00586A86">
              <w:rPr>
                <w:noProof/>
                <w:webHidden/>
              </w:rPr>
              <w:t>22</w:t>
            </w:r>
            <w:r w:rsidR="00AE299B">
              <w:rPr>
                <w:noProof/>
                <w:webHidden/>
              </w:rPr>
              <w:fldChar w:fldCharType="end"/>
            </w:r>
          </w:hyperlink>
        </w:p>
        <w:p w14:paraId="399E94DC" w14:textId="3B8C37BF" w:rsidR="00AE299B" w:rsidRDefault="00165465">
          <w:pPr>
            <w:pStyle w:val="Obsah1"/>
            <w:rPr>
              <w:rFonts w:asciiTheme="minorHAnsi" w:eastAsiaTheme="minorEastAsia" w:hAnsiTheme="minorHAnsi" w:cstheme="minorBidi"/>
              <w:noProof/>
              <w:sz w:val="22"/>
              <w:szCs w:val="22"/>
            </w:rPr>
          </w:pPr>
          <w:hyperlink w:anchor="_Toc179774109" w:history="1">
            <w:r w:rsidR="00AE299B" w:rsidRPr="00C5674C">
              <w:rPr>
                <w:rStyle w:val="Hypertextovodkaz"/>
                <w:noProof/>
                <w:lang w:val="en-GB"/>
              </w:rPr>
              <w:t>5. Prices</w:t>
            </w:r>
            <w:r w:rsidR="00AE299B">
              <w:rPr>
                <w:noProof/>
                <w:webHidden/>
              </w:rPr>
              <w:tab/>
            </w:r>
            <w:r w:rsidR="00AE299B">
              <w:rPr>
                <w:noProof/>
                <w:webHidden/>
              </w:rPr>
              <w:fldChar w:fldCharType="begin"/>
            </w:r>
            <w:r w:rsidR="00AE299B">
              <w:rPr>
                <w:noProof/>
                <w:webHidden/>
              </w:rPr>
              <w:instrText xml:space="preserve"> PAGEREF _Toc179774109 \h </w:instrText>
            </w:r>
            <w:r w:rsidR="00AE299B">
              <w:rPr>
                <w:noProof/>
                <w:webHidden/>
              </w:rPr>
            </w:r>
            <w:r w:rsidR="00AE299B">
              <w:rPr>
                <w:noProof/>
                <w:webHidden/>
              </w:rPr>
              <w:fldChar w:fldCharType="separate"/>
            </w:r>
            <w:r w:rsidR="00586A86">
              <w:rPr>
                <w:noProof/>
                <w:webHidden/>
              </w:rPr>
              <w:t>26</w:t>
            </w:r>
            <w:r w:rsidR="00AE299B">
              <w:rPr>
                <w:noProof/>
                <w:webHidden/>
              </w:rPr>
              <w:fldChar w:fldCharType="end"/>
            </w:r>
          </w:hyperlink>
        </w:p>
        <w:p w14:paraId="13C18042" w14:textId="50D4B69A" w:rsidR="00AE299B" w:rsidRDefault="00165465">
          <w:pPr>
            <w:pStyle w:val="Obsah1"/>
            <w:rPr>
              <w:rFonts w:asciiTheme="minorHAnsi" w:eastAsiaTheme="minorEastAsia" w:hAnsiTheme="minorHAnsi" w:cstheme="minorBidi"/>
              <w:noProof/>
              <w:sz w:val="22"/>
              <w:szCs w:val="22"/>
            </w:rPr>
          </w:pPr>
          <w:hyperlink w:anchor="_Toc179774110" w:history="1">
            <w:r w:rsidR="00AE299B" w:rsidRPr="00C5674C">
              <w:rPr>
                <w:rStyle w:val="Hypertextovodkaz"/>
                <w:noProof/>
                <w:lang w:val="en-GB"/>
              </w:rPr>
              <w:t>6. Labour Market</w:t>
            </w:r>
            <w:r w:rsidR="00AE299B">
              <w:rPr>
                <w:noProof/>
                <w:webHidden/>
              </w:rPr>
              <w:tab/>
            </w:r>
            <w:r w:rsidR="00AE299B">
              <w:rPr>
                <w:noProof/>
                <w:webHidden/>
              </w:rPr>
              <w:fldChar w:fldCharType="begin"/>
            </w:r>
            <w:r w:rsidR="00AE299B">
              <w:rPr>
                <w:noProof/>
                <w:webHidden/>
              </w:rPr>
              <w:instrText xml:space="preserve"> PAGEREF _Toc179774110 \h </w:instrText>
            </w:r>
            <w:r w:rsidR="00AE299B">
              <w:rPr>
                <w:noProof/>
                <w:webHidden/>
              </w:rPr>
            </w:r>
            <w:r w:rsidR="00AE299B">
              <w:rPr>
                <w:noProof/>
                <w:webHidden/>
              </w:rPr>
              <w:fldChar w:fldCharType="separate"/>
            </w:r>
            <w:r w:rsidR="00586A86">
              <w:rPr>
                <w:noProof/>
                <w:webHidden/>
              </w:rPr>
              <w:t>32</w:t>
            </w:r>
            <w:r w:rsidR="00AE299B">
              <w:rPr>
                <w:noProof/>
                <w:webHidden/>
              </w:rPr>
              <w:fldChar w:fldCharType="end"/>
            </w:r>
          </w:hyperlink>
        </w:p>
        <w:p w14:paraId="016230A2" w14:textId="27E97874" w:rsidR="00AE299B" w:rsidRDefault="00165465">
          <w:pPr>
            <w:pStyle w:val="Obsah1"/>
            <w:rPr>
              <w:rFonts w:asciiTheme="minorHAnsi" w:eastAsiaTheme="minorEastAsia" w:hAnsiTheme="minorHAnsi" w:cstheme="minorBidi"/>
              <w:noProof/>
              <w:sz w:val="22"/>
              <w:szCs w:val="22"/>
            </w:rPr>
          </w:pPr>
          <w:hyperlink w:anchor="_Toc179774111" w:history="1">
            <w:r w:rsidR="00AE299B" w:rsidRPr="00C5674C">
              <w:rPr>
                <w:rStyle w:val="Hypertextovodkaz"/>
                <w:noProof/>
                <w:lang w:val="en-GB"/>
              </w:rPr>
              <w:t>7. Monetary Conditions</w:t>
            </w:r>
            <w:r w:rsidR="00AE299B">
              <w:rPr>
                <w:noProof/>
                <w:webHidden/>
              </w:rPr>
              <w:tab/>
            </w:r>
            <w:r w:rsidR="00AE299B">
              <w:rPr>
                <w:noProof/>
                <w:webHidden/>
              </w:rPr>
              <w:fldChar w:fldCharType="begin"/>
            </w:r>
            <w:r w:rsidR="00AE299B">
              <w:rPr>
                <w:noProof/>
                <w:webHidden/>
              </w:rPr>
              <w:instrText xml:space="preserve"> PAGEREF _Toc179774111 \h </w:instrText>
            </w:r>
            <w:r w:rsidR="00AE299B">
              <w:rPr>
                <w:noProof/>
                <w:webHidden/>
              </w:rPr>
            </w:r>
            <w:r w:rsidR="00AE299B">
              <w:rPr>
                <w:noProof/>
                <w:webHidden/>
              </w:rPr>
              <w:fldChar w:fldCharType="separate"/>
            </w:r>
            <w:r w:rsidR="00586A86">
              <w:rPr>
                <w:noProof/>
                <w:webHidden/>
              </w:rPr>
              <w:t>39</w:t>
            </w:r>
            <w:r w:rsidR="00AE299B">
              <w:rPr>
                <w:noProof/>
                <w:webHidden/>
              </w:rPr>
              <w:fldChar w:fldCharType="end"/>
            </w:r>
          </w:hyperlink>
        </w:p>
        <w:p w14:paraId="2EF0635C" w14:textId="2E6133A2" w:rsidR="00AE299B" w:rsidRDefault="00165465">
          <w:pPr>
            <w:pStyle w:val="Obsah1"/>
            <w:rPr>
              <w:rFonts w:asciiTheme="minorHAnsi" w:eastAsiaTheme="minorEastAsia" w:hAnsiTheme="minorHAnsi" w:cstheme="minorBidi"/>
              <w:noProof/>
              <w:sz w:val="22"/>
              <w:szCs w:val="22"/>
            </w:rPr>
          </w:pPr>
          <w:hyperlink w:anchor="_Toc179774112" w:history="1">
            <w:r w:rsidR="00AE299B" w:rsidRPr="00C5674C">
              <w:rPr>
                <w:rStyle w:val="Hypertextovodkaz"/>
                <w:noProof/>
                <w:lang w:val="en-GB"/>
              </w:rPr>
              <w:t>8. State Budget</w:t>
            </w:r>
            <w:r w:rsidR="00AE299B">
              <w:rPr>
                <w:noProof/>
                <w:webHidden/>
              </w:rPr>
              <w:tab/>
            </w:r>
            <w:r w:rsidR="00AE299B">
              <w:rPr>
                <w:noProof/>
                <w:webHidden/>
              </w:rPr>
              <w:fldChar w:fldCharType="begin"/>
            </w:r>
            <w:r w:rsidR="00AE299B">
              <w:rPr>
                <w:noProof/>
                <w:webHidden/>
              </w:rPr>
              <w:instrText xml:space="preserve"> PAGEREF _Toc179774112 \h </w:instrText>
            </w:r>
            <w:r w:rsidR="00AE299B">
              <w:rPr>
                <w:noProof/>
                <w:webHidden/>
              </w:rPr>
            </w:r>
            <w:r w:rsidR="00AE299B">
              <w:rPr>
                <w:noProof/>
                <w:webHidden/>
              </w:rPr>
              <w:fldChar w:fldCharType="separate"/>
            </w:r>
            <w:r w:rsidR="00586A86">
              <w:rPr>
                <w:noProof/>
                <w:webHidden/>
              </w:rPr>
              <w:t>41</w:t>
            </w:r>
            <w:r w:rsidR="00AE299B">
              <w:rPr>
                <w:noProof/>
                <w:webHidden/>
              </w:rPr>
              <w:fldChar w:fldCharType="end"/>
            </w:r>
          </w:hyperlink>
        </w:p>
        <w:p w14:paraId="6A86734A" w14:textId="76213F56" w:rsidR="00E551F6" w:rsidRPr="001A0A01" w:rsidRDefault="00E551F6" w:rsidP="00E551F6">
          <w:pPr>
            <w:pStyle w:val="Obsah1"/>
            <w:tabs>
              <w:tab w:val="clear" w:pos="9639"/>
              <w:tab w:val="right" w:leader="dot" w:pos="9630"/>
            </w:tabs>
            <w:rPr>
              <w:szCs w:val="20"/>
              <w:lang w:val="en-GB"/>
            </w:rPr>
          </w:pPr>
          <w:r w:rsidRPr="001A0A01">
            <w:rPr>
              <w:lang w:val="en-GB"/>
            </w:rPr>
            <w:fldChar w:fldCharType="end"/>
          </w:r>
        </w:p>
      </w:sdtContent>
    </w:sdt>
    <w:p w14:paraId="4301CF40" w14:textId="77777777" w:rsidR="00E551F6" w:rsidRPr="001A0A01" w:rsidRDefault="00E551F6" w:rsidP="00E551F6">
      <w:pPr>
        <w:pStyle w:val="Obsahpoloky"/>
        <w:rPr>
          <w:lang w:val="en-GB"/>
        </w:rPr>
      </w:pPr>
    </w:p>
    <w:p w14:paraId="37789D45" w14:textId="77777777" w:rsidR="00E551F6" w:rsidRPr="001A0A01" w:rsidRDefault="00E551F6" w:rsidP="00E551F6">
      <w:pPr>
        <w:pStyle w:val="Obsahpoloky"/>
        <w:rPr>
          <w:lang w:val="en-GB"/>
        </w:rPr>
      </w:pPr>
    </w:p>
    <w:p w14:paraId="293643CC" w14:textId="77777777" w:rsidR="00E551F6" w:rsidRPr="001A0A01" w:rsidRDefault="00E551F6" w:rsidP="00E551F6">
      <w:pPr>
        <w:pStyle w:val="Obsahpoloky"/>
        <w:rPr>
          <w:lang w:val="en-GB"/>
        </w:rPr>
      </w:pPr>
    </w:p>
    <w:p w14:paraId="21D3B9E2" w14:textId="77777777" w:rsidR="00E551F6" w:rsidRPr="001A0A01" w:rsidRDefault="00E551F6" w:rsidP="00E551F6">
      <w:pPr>
        <w:pStyle w:val="Textpoznpodarou"/>
        <w:jc w:val="both"/>
        <w:rPr>
          <w:rFonts w:cs="Arial"/>
          <w:color w:val="000000"/>
          <w:lang w:val="en-GB"/>
        </w:rPr>
      </w:pPr>
    </w:p>
    <w:p w14:paraId="528EE599" w14:textId="77777777" w:rsidR="00E551F6" w:rsidRPr="001A0A01" w:rsidRDefault="00E551F6" w:rsidP="00E551F6">
      <w:pPr>
        <w:pStyle w:val="Textpoznpodarou"/>
        <w:jc w:val="both"/>
        <w:rPr>
          <w:rFonts w:cs="Arial"/>
          <w:color w:val="000000"/>
          <w:lang w:val="en-GB"/>
        </w:rPr>
      </w:pPr>
    </w:p>
    <w:p w14:paraId="4F0AF7E5" w14:textId="77777777" w:rsidR="00E551F6" w:rsidRPr="001A0A01" w:rsidRDefault="00E551F6" w:rsidP="00E551F6">
      <w:pPr>
        <w:pStyle w:val="Textpoznpodarou"/>
        <w:jc w:val="both"/>
        <w:rPr>
          <w:rFonts w:cs="Arial"/>
          <w:color w:val="000000"/>
          <w:lang w:val="en-GB"/>
        </w:rPr>
      </w:pPr>
    </w:p>
    <w:p w14:paraId="72D4F9CF" w14:textId="77777777" w:rsidR="00E551F6" w:rsidRPr="001A0A01" w:rsidRDefault="00E551F6" w:rsidP="00E551F6">
      <w:pPr>
        <w:pStyle w:val="Textpoznpodarou"/>
        <w:jc w:val="both"/>
        <w:rPr>
          <w:rFonts w:cs="Arial"/>
          <w:color w:val="000000"/>
          <w:lang w:val="en-GB"/>
        </w:rPr>
      </w:pPr>
      <w:r w:rsidRPr="001A0A01">
        <w:rPr>
          <w:rFonts w:cs="Arial"/>
          <w:color w:val="000000"/>
          <w:lang w:val="en-GB"/>
        </w:rPr>
        <w:t>Main sources of data in the whole analysis: CZSO, MF CR, CNB, MLSA, CSSA, Eurostat, CZSO calculations. Latest information provided in this report has been dated the 6</w:t>
      </w:r>
      <w:r w:rsidRPr="001A0A01">
        <w:rPr>
          <w:rFonts w:cs="Arial"/>
          <w:color w:val="000000"/>
          <w:vertAlign w:val="superscript"/>
          <w:lang w:val="en-GB"/>
        </w:rPr>
        <w:t>th</w:t>
      </w:r>
      <w:r w:rsidRPr="001A0A01">
        <w:rPr>
          <w:rFonts w:cs="Arial"/>
          <w:color w:val="000000"/>
          <w:lang w:val="en-GB"/>
        </w:rPr>
        <w:t xml:space="preserve"> September 2024.</w:t>
      </w:r>
    </w:p>
    <w:p w14:paraId="6F80706F" w14:textId="77777777" w:rsidR="00E551F6" w:rsidRPr="001A0A01" w:rsidRDefault="00E551F6" w:rsidP="00E551F6">
      <w:pPr>
        <w:rPr>
          <w:lang w:val="en-GB"/>
        </w:rPr>
      </w:pPr>
    </w:p>
    <w:p w14:paraId="5558893A" w14:textId="77777777" w:rsidR="00E551F6" w:rsidRPr="001A0A01" w:rsidRDefault="00852217" w:rsidP="00E551F6">
      <w:pPr>
        <w:pStyle w:val="Nadpis1"/>
        <w:rPr>
          <w:lang w:val="en-GB"/>
        </w:rPr>
      </w:pPr>
      <w:r>
        <w:br w:type="page"/>
      </w:r>
      <w:bookmarkStart w:id="1" w:name="_Toc444112494"/>
      <w:bookmarkStart w:id="2" w:name="_Toc511215208"/>
      <w:bookmarkStart w:id="3" w:name="_Toc179774105"/>
      <w:bookmarkStart w:id="4" w:name="_Toc511215218"/>
      <w:r w:rsidR="00E551F6" w:rsidRPr="001A0A01">
        <w:rPr>
          <w:lang w:val="en-GB"/>
        </w:rPr>
        <w:lastRenderedPageBreak/>
        <w:t>1. Summary</w:t>
      </w:r>
      <w:bookmarkEnd w:id="1"/>
      <w:bookmarkEnd w:id="2"/>
      <w:bookmarkEnd w:id="3"/>
    </w:p>
    <w:p w14:paraId="40955C1F" w14:textId="77777777" w:rsidR="00E551F6" w:rsidRPr="001A0A01" w:rsidRDefault="00E551F6" w:rsidP="00E551F6">
      <w:pPr>
        <w:pStyle w:val="Normalodrka"/>
        <w:rPr>
          <w:lang w:val="en-GB"/>
        </w:rPr>
      </w:pPr>
      <w:r w:rsidRPr="001A0A01">
        <w:rPr>
          <w:lang w:val="en-GB"/>
        </w:rPr>
        <w:t>The Gross domestic product (GDP) increased by 0.3%, quarter-on-quarter, in Q2 2024</w:t>
      </w:r>
      <w:r w:rsidRPr="001A0A01">
        <w:rPr>
          <w:rStyle w:val="Znakapoznpodarou"/>
          <w:spacing w:val="-4"/>
          <w:lang w:val="en-GB"/>
        </w:rPr>
        <w:footnoteReference w:id="2"/>
      </w:r>
      <w:r w:rsidRPr="001A0A01">
        <w:rPr>
          <w:lang w:val="en-GB"/>
        </w:rPr>
        <w:t xml:space="preserve">. The quarter-on-quarter recovery of the domestic consumption continued, investment activity grew, and external demand had a slightly positive effect on the GDP growth. On the contrary, quarter-on-quarter GDP growth was hampered by a change in the inventories. The GDP was by 0.6% higher in the year-on-year comparison. Both the household and government consumption were higher, and the external demand and investment activity exerted a mild positive effect. The GDP growth was significantly negatively affected by changes in inventories. Gross domestic product grew by 0.8%, year-on-year, and by 0.2%, quarter-on-quarter, in the EU in Q2. The German economy stagnated and the GDP of Austria and Hungary slumped within the Central European region. Slovakia grew slightly. Poland represents the exception in the stagnating Central Europe, growing the most in the EU in Q2. </w:t>
      </w:r>
    </w:p>
    <w:p w14:paraId="3CFBFA3D" w14:textId="77777777" w:rsidR="00E551F6" w:rsidRPr="001A0A01" w:rsidRDefault="00E551F6" w:rsidP="00E551F6">
      <w:pPr>
        <w:pStyle w:val="Normalodrka"/>
        <w:rPr>
          <w:lang w:val="en-GB"/>
        </w:rPr>
      </w:pPr>
      <w:r w:rsidRPr="001A0A01">
        <w:rPr>
          <w:lang w:val="en-GB"/>
        </w:rPr>
        <w:t xml:space="preserve">The Gross value added (GVA) increased by 0.5%, quarter-on-quarter, in Q2 and stagnated, year-on-year, (0.1%). The positive effect of services, which drew on the recovery of domestic consumption, was evident in both year-on-year and quarter-on-quarter comparison. In contrast, the GVA dropped by 0.6% in the industry, quarter-on-quarter, and by 2.5%, year-on-year. The decline was even deeper compared to total industry in manufacturing itself (−1.7%, quarter-on-quarter, and −3.0%, year-on-year). Even the Q2 did not bring a turnaround in the long-term stagnating construction industry, where the GVA fell by 0.3%, quarter-on-quarter, and year-on-year declines have been ongoing continuously for six years. Among the services, the financial and insurance activities and the group trade, transport, accommodation and food service were particularly successful.    </w:t>
      </w:r>
    </w:p>
    <w:p w14:paraId="29BBBBFF" w14:textId="77777777" w:rsidR="00E551F6" w:rsidRPr="001A0A01" w:rsidRDefault="00E551F6" w:rsidP="00E551F6">
      <w:pPr>
        <w:pStyle w:val="Normalodrka"/>
        <w:rPr>
          <w:lang w:val="en-GB"/>
        </w:rPr>
      </w:pPr>
      <w:r w:rsidRPr="001A0A01">
        <w:rPr>
          <w:lang w:val="en-GB"/>
        </w:rPr>
        <w:t>Exports of goods and services increased by 0.4%</w:t>
      </w:r>
      <w:r w:rsidRPr="001A0A01">
        <w:rPr>
          <w:rStyle w:val="Znakapoznpodarou"/>
          <w:spacing w:val="-4"/>
          <w:lang w:val="en-GB"/>
        </w:rPr>
        <w:footnoteReference w:id="3"/>
      </w:r>
      <w:r w:rsidRPr="001A0A01">
        <w:rPr>
          <w:lang w:val="en-GB"/>
        </w:rPr>
        <w:t xml:space="preserve">, year-on-year, in real terms in Q2 2024, and imports decreased by 0.8%, year-on-year. Total balance of international trade with goods and services reached a surplus of 143.0 </w:t>
      </w:r>
      <w:proofErr w:type="spellStart"/>
      <w:r w:rsidRPr="001A0A01">
        <w:rPr>
          <w:lang w:val="en-GB"/>
        </w:rPr>
        <w:t>bn</w:t>
      </w:r>
      <w:proofErr w:type="spellEnd"/>
      <w:r w:rsidRPr="001A0A01">
        <w:rPr>
          <w:lang w:val="en-GB"/>
        </w:rPr>
        <w:t xml:space="preserve"> CZK in current prices in Q2, which thus increased by 45.4 </w:t>
      </w:r>
      <w:proofErr w:type="spellStart"/>
      <w:r w:rsidRPr="001A0A01">
        <w:rPr>
          <w:lang w:val="en-GB"/>
        </w:rPr>
        <w:t>bn</w:t>
      </w:r>
      <w:proofErr w:type="spellEnd"/>
      <w:r w:rsidRPr="001A0A01">
        <w:rPr>
          <w:lang w:val="en-GB"/>
        </w:rPr>
        <w:t xml:space="preserve"> CZK, year-on-year, mainly due to an increase in the surplus of trade with goods. Sale of motor vehicles, electrical equipment and oil and natural gas contributed most to this improvement. In Q2, the balance of trade in coke and refined petroleum products, computers, electronic and optical appliances and equipment, and basic metals deteriorated the most, year-on-year. </w:t>
      </w:r>
    </w:p>
    <w:p w14:paraId="2227E434" w14:textId="77777777" w:rsidR="00E551F6" w:rsidRPr="001A0A01" w:rsidRDefault="00E551F6" w:rsidP="00E551F6">
      <w:pPr>
        <w:pStyle w:val="Normalodrka"/>
        <w:rPr>
          <w:lang w:val="en-GB"/>
        </w:rPr>
      </w:pPr>
      <w:r w:rsidRPr="001A0A01">
        <w:rPr>
          <w:lang w:val="en-GB"/>
        </w:rPr>
        <w:t xml:space="preserve">The total price level (according to the GDP deflator) increased by 4.2%, year on year, in Q2 and by 1.4%, quarter on quarter. Consumer prices were by 2.5% higher, year-on-year, in Q2 and increased by 0.8%, quarter-on-quarter. The acceleration of year-on-year consumer price growth was due to stronger growth of transport prices and further a moderation of the decline of prices of food and non-alcoholic beverages.  </w:t>
      </w:r>
      <w:r w:rsidRPr="001A0A01">
        <w:rPr>
          <w:lang w:val="en-GB" w:eastAsia="en-US"/>
        </w:rPr>
        <w:t>The year-on-year growth of consumer prices was mostly due to the increase of housing and energy prices. Only prices of food and non-alcoholic beverages and home furnishings and household equipment decreased, year-on-year. Industrial producer prices rose by 1.1%, year-on-year, in Q2. The deep decline of agricultural producer prices moderated.</w:t>
      </w:r>
      <w:r w:rsidRPr="001A0A01">
        <w:rPr>
          <w:lang w:val="en-GB"/>
        </w:rPr>
        <w:t xml:space="preserve"> </w:t>
      </w:r>
    </w:p>
    <w:p w14:paraId="6F6A6C10" w14:textId="77777777" w:rsidR="00E551F6" w:rsidRPr="001A0A01" w:rsidRDefault="00E551F6" w:rsidP="00E551F6">
      <w:pPr>
        <w:pStyle w:val="Normalodrka"/>
        <w:rPr>
          <w:lang w:val="en-GB"/>
        </w:rPr>
      </w:pPr>
      <w:r w:rsidRPr="001A0A01">
        <w:rPr>
          <w:lang w:val="en-GB"/>
        </w:rPr>
        <w:t>Key monetary policy-relevant interest rates continued to fall, and interest rates on most types of client deposits fell along with them. A recovery of demand for mortgage loans was evident as well as a greater volume of negotiations regarding the new terms and conditions of existing contracts.</w:t>
      </w:r>
    </w:p>
    <w:p w14:paraId="60C0A576" w14:textId="77777777" w:rsidR="00E551F6" w:rsidRPr="001A0A01" w:rsidRDefault="00E551F6" w:rsidP="00E551F6">
      <w:pPr>
        <w:pStyle w:val="Normalodrka"/>
        <w:rPr>
          <w:lang w:val="en-GB"/>
        </w:rPr>
      </w:pPr>
      <w:r w:rsidRPr="001A0A01">
        <w:rPr>
          <w:lang w:val="en-GB"/>
        </w:rPr>
        <w:t>Total employment</w:t>
      </w:r>
      <w:r w:rsidRPr="001A0A01">
        <w:rPr>
          <w:rStyle w:val="Znakapoznpodarou"/>
          <w:lang w:val="en-GB"/>
        </w:rPr>
        <w:footnoteReference w:id="4"/>
      </w:r>
      <w:r w:rsidRPr="001A0A01">
        <w:rPr>
          <w:lang w:val="en-GB"/>
        </w:rPr>
        <w:t xml:space="preserve"> was 0.2% higher, year-on-year, in Q2 and 0.5%, quarter-on-quarter. The total unemployment rate still fluctuates below 3%. The average gross monthly nominal wage increased by 6.5%, year-on-year, in Q2 and reached 45,854 CZK. In real terms, the average wage increased by 3.9%. The quarter-on-quarter nominal increase of the average wage was 1.4%. </w:t>
      </w:r>
    </w:p>
    <w:p w14:paraId="59987F40" w14:textId="77777777" w:rsidR="00E551F6" w:rsidRPr="001A0A01" w:rsidRDefault="00E551F6" w:rsidP="00E551F6">
      <w:pPr>
        <w:pStyle w:val="Normalodrka"/>
        <w:spacing w:after="0"/>
        <w:rPr>
          <w:lang w:val="en-GB"/>
        </w:rPr>
      </w:pPr>
      <w:r w:rsidRPr="001A0A01">
        <w:rPr>
          <w:lang w:val="en-GB"/>
        </w:rPr>
        <w:lastRenderedPageBreak/>
        <w:t xml:space="preserve">The state budget deficit reached 178.6 </w:t>
      </w:r>
      <w:proofErr w:type="spellStart"/>
      <w:r w:rsidRPr="001A0A01">
        <w:rPr>
          <w:lang w:val="en-GB"/>
        </w:rPr>
        <w:t>bn</w:t>
      </w:r>
      <w:proofErr w:type="spellEnd"/>
      <w:r w:rsidRPr="001A0A01">
        <w:rPr>
          <w:lang w:val="en-GB"/>
        </w:rPr>
        <w:t xml:space="preserve"> CZK at the end of the first half of the year. The deficit decreased by 37 </w:t>
      </w:r>
      <w:proofErr w:type="spellStart"/>
      <w:r w:rsidRPr="001A0A01">
        <w:rPr>
          <w:lang w:val="en-GB"/>
        </w:rPr>
        <w:t>bn</w:t>
      </w:r>
      <w:proofErr w:type="spellEnd"/>
      <w:r w:rsidRPr="001A0A01">
        <w:rPr>
          <w:lang w:val="en-GB"/>
        </w:rPr>
        <w:t xml:space="preserve"> CZK, year-on-year. This is mainly related to fading of the need for extraordinary expenditure for households and companies impacted by high inflation. The revenue side was still favourably affected by the collection of extraordinary taxes temporarily imposed on selected sectors of the economy. A revival of household consumption and the first effects of the approved consolidation package also began to manifest. There is also a noticeable change in the budgetary allocation of taxes, which increases the share of the revenue of some taxes of significant weight in favour of the state budget. </w:t>
      </w:r>
    </w:p>
    <w:p w14:paraId="181E4D16" w14:textId="29D98B60" w:rsidR="00603FF5" w:rsidRDefault="00E551F6" w:rsidP="0060171C">
      <w:r w:rsidRPr="00E551F6">
        <w:rPr>
          <w:noProof/>
        </w:rPr>
        <w:lastRenderedPageBreak/>
        <w:drawing>
          <wp:inline distT="0" distB="0" distL="0" distR="0" wp14:anchorId="71ACEEA1" wp14:editId="54FF52DC">
            <wp:extent cx="5838825" cy="8943975"/>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8825" cy="8943975"/>
                    </a:xfrm>
                    <a:prstGeom prst="rect">
                      <a:avLst/>
                    </a:prstGeom>
                    <a:noFill/>
                    <a:ln>
                      <a:noFill/>
                    </a:ln>
                  </pic:spPr>
                </pic:pic>
              </a:graphicData>
            </a:graphic>
          </wp:inline>
        </w:drawing>
      </w:r>
      <w:bookmarkStart w:id="5" w:name="_Toc145318531"/>
      <w:bookmarkStart w:id="6" w:name="_Toc153531174"/>
      <w:bookmarkStart w:id="7" w:name="_Toc169258114"/>
      <w:bookmarkStart w:id="8" w:name="_Toc137233026"/>
      <w:bookmarkStart w:id="9" w:name="_Toc130286019"/>
      <w:bookmarkStart w:id="10" w:name="_Toc114134050"/>
      <w:bookmarkStart w:id="11" w:name="_Toc145318534"/>
      <w:bookmarkStart w:id="12" w:name="_Toc153531177"/>
      <w:bookmarkStart w:id="13" w:name="_Toc121993822"/>
      <w:bookmarkStart w:id="14" w:name="_Toc137233031"/>
      <w:bookmarkEnd w:id="4"/>
    </w:p>
    <w:p w14:paraId="2D7DD88C" w14:textId="77777777" w:rsidR="00E551F6" w:rsidRPr="001A0A01" w:rsidRDefault="00E551F6" w:rsidP="00E551F6">
      <w:pPr>
        <w:pStyle w:val="Nadpis1"/>
        <w:rPr>
          <w:lang w:val="en-GB"/>
        </w:rPr>
      </w:pPr>
      <w:bookmarkStart w:id="15" w:name="_Toc179774106"/>
      <w:bookmarkEnd w:id="5"/>
      <w:bookmarkEnd w:id="6"/>
      <w:bookmarkEnd w:id="7"/>
      <w:bookmarkEnd w:id="8"/>
      <w:bookmarkEnd w:id="9"/>
      <w:bookmarkEnd w:id="10"/>
      <w:bookmarkEnd w:id="11"/>
      <w:bookmarkEnd w:id="12"/>
      <w:bookmarkEnd w:id="13"/>
      <w:bookmarkEnd w:id="14"/>
      <w:r w:rsidRPr="001A0A01">
        <w:rPr>
          <w:lang w:val="en-GB"/>
        </w:rPr>
        <w:lastRenderedPageBreak/>
        <w:t>2. Overall Economic Performance</w:t>
      </w:r>
      <w:bookmarkEnd w:id="15"/>
    </w:p>
    <w:tbl>
      <w:tblPr>
        <w:tblW w:w="9639" w:type="dxa"/>
        <w:tblInd w:w="-20" w:type="dxa"/>
        <w:tblCellMar>
          <w:left w:w="0" w:type="dxa"/>
          <w:right w:w="0" w:type="dxa"/>
        </w:tblCellMar>
        <w:tblLook w:val="00A0" w:firstRow="1" w:lastRow="0" w:firstColumn="1" w:lastColumn="0" w:noHBand="0" w:noVBand="0"/>
      </w:tblPr>
      <w:tblGrid>
        <w:gridCol w:w="1804"/>
        <w:gridCol w:w="225"/>
        <w:gridCol w:w="7610"/>
      </w:tblGrid>
      <w:tr w:rsidR="00E551F6" w:rsidRPr="001A0A01" w14:paraId="53020BD0" w14:textId="77777777" w:rsidTr="007155B7">
        <w:trPr>
          <w:trHeight w:val="145"/>
        </w:trPr>
        <w:tc>
          <w:tcPr>
            <w:tcW w:w="1814" w:type="dxa"/>
            <w:shd w:val="clear" w:color="auto" w:fill="auto"/>
            <w:tcMar>
              <w:left w:w="0" w:type="dxa"/>
            </w:tcMar>
          </w:tcPr>
          <w:p w14:paraId="4FE94FEB" w14:textId="77777777" w:rsidR="00E551F6" w:rsidRPr="001A0A01" w:rsidRDefault="00E551F6" w:rsidP="00E551F6">
            <w:pPr>
              <w:pStyle w:val="Marginlie"/>
              <w:rPr>
                <w:lang w:val="en-GB"/>
              </w:rPr>
            </w:pPr>
            <w:r w:rsidRPr="001A0A01">
              <w:rPr>
                <w:lang w:val="en-GB"/>
              </w:rPr>
              <w:t>The Czech economy continued to grow weakly.</w:t>
            </w:r>
          </w:p>
        </w:tc>
        <w:tc>
          <w:tcPr>
            <w:tcW w:w="227" w:type="dxa"/>
            <w:shd w:val="clear" w:color="auto" w:fill="auto"/>
            <w:tcMar>
              <w:left w:w="0" w:type="dxa"/>
            </w:tcMar>
          </w:tcPr>
          <w:p w14:paraId="44ABDB23"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1002B5B8" w14:textId="77777777" w:rsidR="00E551F6" w:rsidRPr="001A0A01" w:rsidRDefault="00E551F6" w:rsidP="00E551F6">
            <w:pPr>
              <w:rPr>
                <w:spacing w:val="-2"/>
                <w:lang w:val="en-GB"/>
              </w:rPr>
            </w:pPr>
            <w:r w:rsidRPr="001A0A01">
              <w:rPr>
                <w:spacing w:val="-2"/>
                <w:lang w:val="en-GB"/>
              </w:rPr>
              <w:t>The lacklustre growth of the Czech economy also continued in Q2 2024. Gross domestic product (GDP) increased in real terms by 0.3%, quarter-on-quarter, and by 0.6%, year-on-year</w:t>
            </w:r>
            <w:r w:rsidRPr="001A0A01">
              <w:rPr>
                <w:rStyle w:val="Znakapoznpodarou"/>
                <w:rFonts w:cs="Arial"/>
                <w:spacing w:val="-2"/>
                <w:lang w:val="en-GB"/>
              </w:rPr>
              <w:footnoteReference w:id="5"/>
            </w:r>
            <w:r w:rsidRPr="001A0A01">
              <w:rPr>
                <w:spacing w:val="-2"/>
                <w:lang w:val="en-GB"/>
              </w:rPr>
              <w:t xml:space="preserve">. The quarter-on-quarter GDP growth was slightly supported by investment activity, consumption expenditure as well as external demand. Consumption was dominated mainly by the general government sector, while in case of households, the increase of consumption moderated. By contrast, the inventories significantly slowed the quarter-on-quarter GDP growth. The domestic consumption had a large share in the year-on-year growth of the Czech economy. The effect of growth of expenditure on gross fixed capital formation and external demand was weaker, but also positive. On the contrary, the year-on-year decrease of inventory creation continued.      </w:t>
            </w:r>
          </w:p>
        </w:tc>
      </w:tr>
      <w:tr w:rsidR="00E551F6" w:rsidRPr="001A0A01" w14:paraId="06E0C0C9" w14:textId="77777777" w:rsidTr="007155B7">
        <w:trPr>
          <w:trHeight w:val="170"/>
        </w:trPr>
        <w:tc>
          <w:tcPr>
            <w:tcW w:w="1814" w:type="dxa"/>
            <w:vMerge w:val="restart"/>
            <w:shd w:val="clear" w:color="auto" w:fill="auto"/>
            <w:tcMar>
              <w:left w:w="0" w:type="dxa"/>
            </w:tcMar>
          </w:tcPr>
          <w:p w14:paraId="108C1EB4"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6A82A7B2"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31683C5E" w14:textId="77777777" w:rsidR="00E551F6" w:rsidRPr="001A0A01" w:rsidRDefault="00E551F6" w:rsidP="00E551F6">
            <w:pPr>
              <w:spacing w:after="0"/>
              <w:rPr>
                <w:b/>
                <w:szCs w:val="20"/>
                <w:lang w:val="en-GB"/>
              </w:rPr>
            </w:pPr>
            <w:r w:rsidRPr="001A0A01">
              <w:rPr>
                <w:rFonts w:cs="Arial"/>
                <w:b/>
                <w:bCs/>
                <w:color w:val="000000"/>
                <w:szCs w:val="20"/>
                <w:lang w:val="en-GB"/>
              </w:rPr>
              <w:t xml:space="preserve">Chart 1 GDP </w:t>
            </w:r>
            <w:r w:rsidRPr="001A0A01">
              <w:rPr>
                <w:rFonts w:cs="Arial"/>
                <w:bCs/>
                <w:szCs w:val="20"/>
                <w:lang w:val="en-GB" w:eastAsia="en-US"/>
              </w:rPr>
              <w:t>(volume indices, adjusted for seasonal and calendar effects, in %)</w:t>
            </w:r>
          </w:p>
        </w:tc>
      </w:tr>
      <w:tr w:rsidR="00E551F6" w:rsidRPr="001A0A01" w14:paraId="07C94AD0" w14:textId="77777777" w:rsidTr="007155B7">
        <w:tblPrEx>
          <w:tblCellMar>
            <w:left w:w="70" w:type="dxa"/>
            <w:right w:w="70" w:type="dxa"/>
          </w:tblCellMar>
        </w:tblPrEx>
        <w:trPr>
          <w:trHeight w:val="170"/>
        </w:trPr>
        <w:tc>
          <w:tcPr>
            <w:tcW w:w="1814" w:type="dxa"/>
            <w:vMerge/>
          </w:tcPr>
          <w:p w14:paraId="7750A24D" w14:textId="77777777" w:rsidR="00E551F6" w:rsidRPr="001A0A01" w:rsidRDefault="00E551F6" w:rsidP="00E551F6">
            <w:pPr>
              <w:pStyle w:val="Marginlie"/>
              <w:rPr>
                <w:lang w:val="en-GB"/>
              </w:rPr>
            </w:pPr>
          </w:p>
        </w:tc>
        <w:tc>
          <w:tcPr>
            <w:tcW w:w="227" w:type="dxa"/>
            <w:vMerge/>
          </w:tcPr>
          <w:p w14:paraId="6B6F6885" w14:textId="77777777" w:rsidR="00E551F6" w:rsidRPr="001A0A01" w:rsidRDefault="00E551F6" w:rsidP="00E551F6">
            <w:pPr>
              <w:pStyle w:val="Textpoznpodarou"/>
              <w:jc w:val="both"/>
              <w:rPr>
                <w:spacing w:val="-4"/>
                <w:lang w:val="en-GB"/>
              </w:rPr>
            </w:pPr>
          </w:p>
        </w:tc>
        <w:tc>
          <w:tcPr>
            <w:tcW w:w="7610" w:type="dxa"/>
            <w:shd w:val="clear" w:color="auto" w:fill="auto"/>
          </w:tcPr>
          <w:p w14:paraId="2C099C98" w14:textId="1CCBC9C0" w:rsidR="00E551F6" w:rsidRPr="001A0A01" w:rsidRDefault="00AE6221" w:rsidP="00E551F6">
            <w:pPr>
              <w:spacing w:after="0"/>
              <w:rPr>
                <w:lang w:val="en-GB"/>
              </w:rPr>
            </w:pPr>
            <w:r>
              <w:rPr>
                <w:noProof/>
              </w:rPr>
              <w:drawing>
                <wp:inline distT="0" distB="0" distL="0" distR="0" wp14:anchorId="510782DF" wp14:editId="2E98ABD0">
                  <wp:extent cx="4737600" cy="3420000"/>
                  <wp:effectExtent l="0" t="0" r="6350" b="0"/>
                  <wp:docPr id="6" name="Graf 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E551F6" w:rsidRPr="001A0A01" w14:paraId="7A663543" w14:textId="77777777" w:rsidTr="007155B7">
        <w:trPr>
          <w:trHeight w:val="170"/>
        </w:trPr>
        <w:tc>
          <w:tcPr>
            <w:tcW w:w="1814" w:type="dxa"/>
            <w:vMerge/>
            <w:tcMar>
              <w:left w:w="0" w:type="dxa"/>
            </w:tcMar>
          </w:tcPr>
          <w:p w14:paraId="5047CE00" w14:textId="77777777" w:rsidR="00E551F6" w:rsidRPr="001A0A01" w:rsidRDefault="00E551F6" w:rsidP="00E551F6">
            <w:pPr>
              <w:pStyle w:val="Marginlie"/>
              <w:rPr>
                <w:lang w:val="en-GB"/>
              </w:rPr>
            </w:pPr>
          </w:p>
        </w:tc>
        <w:tc>
          <w:tcPr>
            <w:tcW w:w="227" w:type="dxa"/>
            <w:vMerge/>
            <w:tcMar>
              <w:left w:w="0" w:type="dxa"/>
            </w:tcMar>
          </w:tcPr>
          <w:p w14:paraId="6DB6B7E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50196C8D" w14:textId="6838B166" w:rsidR="00E551F6" w:rsidRPr="001A0A01" w:rsidRDefault="00E551F6" w:rsidP="00E551F6">
            <w:pPr>
              <w:spacing w:after="220"/>
              <w:rPr>
                <w:sz w:val="14"/>
                <w:szCs w:val="14"/>
                <w:lang w:val="en-GB"/>
              </w:rPr>
            </w:pPr>
            <w:r w:rsidRPr="001A0A01">
              <w:rPr>
                <w:sz w:val="14"/>
                <w:szCs w:val="14"/>
                <w:lang w:val="en-GB"/>
              </w:rPr>
              <w:t>Source: CZSO, Eurostat</w:t>
            </w:r>
          </w:p>
        </w:tc>
      </w:tr>
      <w:tr w:rsidR="00E551F6" w:rsidRPr="001A0A01" w14:paraId="556755D6" w14:textId="77777777" w:rsidTr="007155B7">
        <w:trPr>
          <w:trHeight w:val="145"/>
        </w:trPr>
        <w:tc>
          <w:tcPr>
            <w:tcW w:w="1814" w:type="dxa"/>
            <w:shd w:val="clear" w:color="auto" w:fill="auto"/>
            <w:tcMar>
              <w:left w:w="0" w:type="dxa"/>
            </w:tcMar>
          </w:tcPr>
          <w:p w14:paraId="3E163597" w14:textId="77777777" w:rsidR="00E551F6" w:rsidRPr="001A0A01" w:rsidRDefault="00E551F6" w:rsidP="00E551F6">
            <w:pPr>
              <w:shd w:val="clear" w:color="auto" w:fill="FDFDFD"/>
              <w:jc w:val="left"/>
              <w:rPr>
                <w:lang w:val="en-GB"/>
              </w:rPr>
            </w:pPr>
            <w:r w:rsidRPr="001A0A01">
              <w:rPr>
                <w:spacing w:val="-2"/>
                <w:sz w:val="16"/>
                <w:szCs w:val="16"/>
                <w:lang w:val="en-GB"/>
              </w:rPr>
              <w:t>Central European economies generally remained in a zone of weak growth and stagnation.</w:t>
            </w:r>
          </w:p>
        </w:tc>
        <w:tc>
          <w:tcPr>
            <w:tcW w:w="227" w:type="dxa"/>
            <w:shd w:val="clear" w:color="auto" w:fill="auto"/>
            <w:tcMar>
              <w:left w:w="0" w:type="dxa"/>
            </w:tcMar>
          </w:tcPr>
          <w:p w14:paraId="7512AB35"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83F09C9" w14:textId="77777777" w:rsidR="00E551F6" w:rsidRPr="001A0A01" w:rsidRDefault="00E551F6" w:rsidP="00E551F6">
            <w:pPr>
              <w:rPr>
                <w:lang w:val="en-GB"/>
              </w:rPr>
            </w:pPr>
            <w:r w:rsidRPr="001A0A01">
              <w:rPr>
                <w:lang w:val="en-GB"/>
              </w:rPr>
              <w:t xml:space="preserve">The Gross domestic product increased by 0.2%, quarter-on-quarter, in the EU in Q2 and was 0.8% higher, year-on-year. In Q2, the GDP grew in most EU countries, quarter-on-quarter. Ireland (−1.0%), Latvia (−0.9%), Austria (−0.4%), Sweden (−0.3%), Hungary (−0.2%) and Germany (−0.1%) represented the exceptions. On the contrary, a significant recovery of growth was recorded in Poland (1.5%), the Netherlands (1.0%) and similarly by 0.8% in Spain and Croatia. The economic performance was rather weak within the Central Europe. Declines were recorded in Hungary and Germany, and Austria, which, together with Germany, is experiencing a period of decrease and stagnation, also plunged. Moderate growth continued in the Czech Republic and Slovakia, which was the only Central European economy not to experience a contraction in the period since the beginning of 2022, fared a little better. The strongly growing Poland was the exception in the region. The quarter-on-quarter growth was also mild in other large economies – France and Italy (both by 0.2%). In the year-on-year comparison, the GDP lagged behind in Ireland (−4.1%), Estonia (−1.3%), Finland </w:t>
            </w:r>
            <w:r w:rsidRPr="001A0A01">
              <w:rPr>
                <w:lang w:val="en-GB"/>
              </w:rPr>
              <w:lastRenderedPageBreak/>
              <w:t xml:space="preserve">(−1.3%), Austria (−0.6%) and Latvia (−0.1%). The most significant year-on-year GDP growth was recorded in Poland (4.0%), Cyprus (3.7%) and Croatia (3.0%) in Q2. </w:t>
            </w:r>
          </w:p>
        </w:tc>
      </w:tr>
      <w:tr w:rsidR="00E551F6" w:rsidRPr="001A0A01" w14:paraId="76116941" w14:textId="77777777" w:rsidTr="007155B7">
        <w:trPr>
          <w:trHeight w:val="145"/>
        </w:trPr>
        <w:tc>
          <w:tcPr>
            <w:tcW w:w="1814" w:type="dxa"/>
            <w:shd w:val="clear" w:color="auto" w:fill="auto"/>
            <w:tcMar>
              <w:left w:w="0" w:type="dxa"/>
            </w:tcMar>
          </w:tcPr>
          <w:p w14:paraId="7854C935" w14:textId="77777777" w:rsidR="00E551F6" w:rsidRPr="001A0A01" w:rsidRDefault="00E551F6" w:rsidP="00E551F6">
            <w:pPr>
              <w:pStyle w:val="Marginlie"/>
              <w:rPr>
                <w:lang w:val="en-GB"/>
              </w:rPr>
            </w:pPr>
            <w:r w:rsidRPr="001A0A01">
              <w:rPr>
                <w:lang w:val="en-GB"/>
              </w:rPr>
              <w:lastRenderedPageBreak/>
              <w:t xml:space="preserve">Wages grew, quarter-on-quarter, in real terms. </w:t>
            </w:r>
          </w:p>
        </w:tc>
        <w:tc>
          <w:tcPr>
            <w:tcW w:w="227" w:type="dxa"/>
            <w:shd w:val="clear" w:color="auto" w:fill="auto"/>
            <w:tcMar>
              <w:left w:w="0" w:type="dxa"/>
            </w:tcMar>
          </w:tcPr>
          <w:p w14:paraId="67B7E79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153D91DC" w14:textId="6C2F7D03" w:rsidR="00E551F6" w:rsidRPr="001A0A01" w:rsidRDefault="00E551F6" w:rsidP="004C59A5">
            <w:pPr>
              <w:rPr>
                <w:lang w:val="en-GB"/>
              </w:rPr>
            </w:pPr>
            <w:r w:rsidRPr="001A0A01">
              <w:rPr>
                <w:lang w:val="en-GB"/>
              </w:rPr>
              <w:t>The volume of wages and salaries paid out in the Czech Republic in Q2 increased by 0.9%, quarter-on-quarter, while employment increased by 0.5%</w:t>
            </w:r>
            <w:r w:rsidRPr="001A0A01">
              <w:rPr>
                <w:rStyle w:val="Znakapoznpodarou"/>
                <w:spacing w:val="-2"/>
                <w:lang w:val="en-GB"/>
              </w:rPr>
              <w:footnoteReference w:id="6"/>
            </w:r>
            <w:r w:rsidRPr="001A0A01">
              <w:rPr>
                <w:lang w:val="en-GB"/>
              </w:rPr>
              <w:t>. Price growth weakened, thus the wages and salaries went up by 0.5%</w:t>
            </w:r>
            <w:r w:rsidRPr="001A0A01">
              <w:rPr>
                <w:rStyle w:val="Znakapoznpodarou"/>
                <w:spacing w:val="-2"/>
                <w:lang w:val="en-GB"/>
              </w:rPr>
              <w:footnoteReference w:id="7"/>
            </w:r>
            <w:r w:rsidRPr="001A0A01">
              <w:rPr>
                <w:lang w:val="en-GB"/>
              </w:rPr>
              <w:t>, quarter on quarter, in real terms. The volume of wages and salaries increased the most in real estate activities (7.0% with an increase of employment by 2.5%), in financial and insurance activities (2.8% with a decrease of employment by 1.2%) and in other activities</w:t>
            </w:r>
            <w:r w:rsidRPr="001A0A01">
              <w:rPr>
                <w:rStyle w:val="Znakapoznpodarou"/>
                <w:spacing w:val="-2"/>
                <w:lang w:val="en-GB"/>
              </w:rPr>
              <w:footnoteReference w:id="8"/>
            </w:r>
            <w:r w:rsidRPr="001A0A01">
              <w:rPr>
                <w:lang w:val="en-GB"/>
              </w:rPr>
              <w:t xml:space="preserve"> (2.5%, however employment increased by 3.0%) in Q2. A quarter-on-quarter increase was also recorded in professional, scientific, technical and administrative activities (1.9%, employment −0.6%), information and communication (1.3%, employment −3.3%), in manufacturing (1.0%, employment −0.1%), and public administration, education, health and social work activities (0.5%, employment</w:t>
            </w:r>
            <w:r w:rsidR="004C59A5">
              <w:rPr>
                <w:lang w:val="en-GB"/>
              </w:rPr>
              <w:t xml:space="preserve"> +</w:t>
            </w:r>
            <w:r w:rsidRPr="001A0A01">
              <w:rPr>
                <w:lang w:val="en-GB"/>
              </w:rPr>
              <w:t xml:space="preserve">0.3%). In the quarter-on-quarter comparison, wages and salaries decreased similarly by 0.2% in construction (employment +0.8%) and in group trade, transport, accommodation and food service (employment +1.4%). </w:t>
            </w:r>
          </w:p>
        </w:tc>
      </w:tr>
      <w:tr w:rsidR="00E551F6" w:rsidRPr="001A0A01" w14:paraId="107237E4" w14:textId="77777777" w:rsidTr="007155B7">
        <w:trPr>
          <w:trHeight w:val="145"/>
        </w:trPr>
        <w:tc>
          <w:tcPr>
            <w:tcW w:w="1814" w:type="dxa"/>
            <w:shd w:val="clear" w:color="auto" w:fill="auto"/>
            <w:tcMar>
              <w:left w:w="0" w:type="dxa"/>
            </w:tcMar>
          </w:tcPr>
          <w:p w14:paraId="14FFD5A2" w14:textId="77777777" w:rsidR="00E551F6" w:rsidRPr="001A0A01" w:rsidRDefault="00E551F6" w:rsidP="00E551F6">
            <w:pPr>
              <w:pStyle w:val="Marginlie"/>
              <w:rPr>
                <w:lang w:val="en-GB"/>
              </w:rPr>
            </w:pPr>
            <w:r w:rsidRPr="001A0A01">
              <w:rPr>
                <w:lang w:val="en-GB"/>
              </w:rPr>
              <w:t xml:space="preserve">Wages and salaries grew in all sections of the Classification of economic activities, year-on-year. </w:t>
            </w:r>
          </w:p>
        </w:tc>
        <w:tc>
          <w:tcPr>
            <w:tcW w:w="227" w:type="dxa"/>
            <w:shd w:val="clear" w:color="auto" w:fill="auto"/>
            <w:tcMar>
              <w:left w:w="0" w:type="dxa"/>
            </w:tcMar>
          </w:tcPr>
          <w:p w14:paraId="35B3546F"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3BBB0316" w14:textId="53F955BA" w:rsidR="00E551F6" w:rsidRPr="001A0A01" w:rsidRDefault="00E551F6" w:rsidP="00E551F6">
            <w:pPr>
              <w:rPr>
                <w:lang w:val="en-GB"/>
              </w:rPr>
            </w:pPr>
            <w:r w:rsidRPr="001A0A01">
              <w:rPr>
                <w:lang w:val="en-GB"/>
              </w:rPr>
              <w:t>The volume of wages and salaries paid out increased by 5.7%, year-on-year, in Q2, which is a slight slowdown and represents the slowest growth in more than three years. Employment was higher by 0.2%, year-on-year. In real terms, the volume of wages and salaries increased by 2.3%, year-on-year. Wages and salaries were nominally higher in all sections in Q2, year-on-year. However, the highest increase in earnings was recorded in real estate activities (17.8% with an increase of employment by 2.7%), professional, scientific, technical and administrative activities (7.8%, employment +0.8%) and other activities (7.2%, employment increased by 2.9%). An increase above the average of the total economy was also recorded in financial and insurance activities (6.9% with a decrease of employment by 0.9%), in information and communication (6.6%, employment +0.4%) and in the group trade, transport, accommodation and food service (6.0%, employment +1.7%). The volume of wages and salaries paid out in manufacturing (5.1%, employment −2.6%), construction (4.8%, employment −0.8%), public administration, education, health and</w:t>
            </w:r>
            <w:r w:rsidR="004C59A5">
              <w:rPr>
                <w:lang w:val="en-GB"/>
              </w:rPr>
              <w:t xml:space="preserve"> social work (4.3%, employment +</w:t>
            </w:r>
            <w:r w:rsidRPr="001A0A01">
              <w:rPr>
                <w:lang w:val="en-GB"/>
              </w:rPr>
              <w:t xml:space="preserve">1.4%) and agriculture, forestry and fishing (2.1% with an increase of employment by 1.6%) increased at below average pace, year-on-year. </w:t>
            </w:r>
          </w:p>
        </w:tc>
      </w:tr>
      <w:tr w:rsidR="00E551F6" w:rsidRPr="001A0A01" w14:paraId="4BBA253D" w14:textId="77777777" w:rsidTr="007155B7">
        <w:trPr>
          <w:trHeight w:val="145"/>
        </w:trPr>
        <w:tc>
          <w:tcPr>
            <w:tcW w:w="1814" w:type="dxa"/>
            <w:shd w:val="clear" w:color="auto" w:fill="auto"/>
            <w:tcMar>
              <w:left w:w="0" w:type="dxa"/>
            </w:tcMar>
          </w:tcPr>
          <w:p w14:paraId="08D6D197" w14:textId="77777777" w:rsidR="00E551F6" w:rsidRPr="001A0A01" w:rsidRDefault="00E551F6" w:rsidP="00E551F6">
            <w:pPr>
              <w:pStyle w:val="Marginlie"/>
              <w:rPr>
                <w:lang w:val="en-GB"/>
              </w:rPr>
            </w:pPr>
            <w:r w:rsidRPr="001A0A01">
              <w:rPr>
                <w:lang w:val="en-GB"/>
              </w:rPr>
              <w:t xml:space="preserve">Consumption growth continued. </w:t>
            </w:r>
          </w:p>
        </w:tc>
        <w:tc>
          <w:tcPr>
            <w:tcW w:w="227" w:type="dxa"/>
            <w:shd w:val="clear" w:color="auto" w:fill="auto"/>
            <w:tcMar>
              <w:left w:w="0" w:type="dxa"/>
            </w:tcMar>
          </w:tcPr>
          <w:p w14:paraId="34334454"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DD12661" w14:textId="77777777" w:rsidR="00E551F6" w:rsidRPr="001A0A01" w:rsidRDefault="00E551F6" w:rsidP="00E551F6">
            <w:pPr>
              <w:rPr>
                <w:lang w:val="en-GB"/>
              </w:rPr>
            </w:pPr>
            <w:r w:rsidRPr="001A0A01">
              <w:rPr>
                <w:lang w:val="en-GB"/>
              </w:rPr>
              <w:t>The quarter-on-quarter increase of consumption weakened only slightly to 0.6% in Q2. This is mainly due to a strengthening of government expenditure (1.5%), as the growth of the household consumption following two solid increases slowed down again (0.2%). In total, the consumption contributed 0.4 p. p. to the quarter-on-quarter GDP growth</w:t>
            </w:r>
            <w:r w:rsidRPr="001A0A01">
              <w:rPr>
                <w:rStyle w:val="Znakapoznpodarou"/>
                <w:spacing w:val="-2"/>
                <w:lang w:val="en-GB"/>
              </w:rPr>
              <w:footnoteReference w:id="9"/>
            </w:r>
            <w:r w:rsidRPr="001A0A01">
              <w:rPr>
                <w:lang w:val="en-GB"/>
              </w:rPr>
              <w:t xml:space="preserve"> and general government consumption accounted for 0.3 p. p. A view of the consumption classified by durability</w:t>
            </w:r>
            <w:r w:rsidRPr="001A0A01">
              <w:rPr>
                <w:rStyle w:val="Znakapoznpodarou"/>
                <w:lang w:val="en-GB"/>
              </w:rPr>
              <w:footnoteReference w:id="10"/>
            </w:r>
            <w:r w:rsidRPr="001A0A01">
              <w:rPr>
                <w:lang w:val="en-GB"/>
              </w:rPr>
              <w:t xml:space="preserve"> shows that medium-term (2.9%) as well as long-term (3.6%) consumption grew in real terms, quarter-on-quarter, but the growth of the short-term</w:t>
            </w:r>
            <w:r w:rsidRPr="001A0A01">
              <w:rPr>
                <w:spacing w:val="-2"/>
                <w:lang w:val="en-GB"/>
              </w:rPr>
              <w:t xml:space="preserve"> consumption recorded in the previous quarter did not persist (-3.0%). On the contrary, there was a significant recovery in services (2.2%). The year-on-year consumption growth reached 2.0% in Q2. And similarly to the quarter-on-quarter dynamics, for households the growth slowed to 1.0%, while the government consumption grew by 4.3%, year on year, the highest since the end of 2020. Still the contribution of household consumption to GDP growth (1.2 p.p.) was stronger than the contribution of general government consumption (0.8 p.p.). The consumption of services increased, </w:t>
            </w:r>
            <w:r w:rsidRPr="001A0A01">
              <w:rPr>
                <w:spacing w:val="-2"/>
                <w:lang w:val="en-GB"/>
              </w:rPr>
              <w:lastRenderedPageBreak/>
              <w:t xml:space="preserve">year-on-year (2.2%), and a year-on-year increase in short-term consumption (1.5%) was also recorded mainly due to the low comparative basis. Nevertheless, the medium-term (-0.5%) and long-term (-1.8%) consumption lagged behind the last year's level. </w:t>
            </w:r>
          </w:p>
        </w:tc>
      </w:tr>
      <w:tr w:rsidR="00E551F6" w:rsidRPr="001A0A01" w14:paraId="52507FB9" w14:textId="77777777" w:rsidTr="007155B7">
        <w:trPr>
          <w:trHeight w:val="145"/>
        </w:trPr>
        <w:tc>
          <w:tcPr>
            <w:tcW w:w="1814" w:type="dxa"/>
            <w:shd w:val="clear" w:color="auto" w:fill="auto"/>
            <w:tcMar>
              <w:left w:w="0" w:type="dxa"/>
            </w:tcMar>
          </w:tcPr>
          <w:p w14:paraId="3F33725F" w14:textId="77777777" w:rsidR="00E551F6" w:rsidRPr="001A0A01" w:rsidRDefault="00E551F6" w:rsidP="00E551F6">
            <w:pPr>
              <w:pStyle w:val="Marginlie"/>
              <w:rPr>
                <w:lang w:val="en-GB"/>
              </w:rPr>
            </w:pPr>
            <w:r w:rsidRPr="001A0A01">
              <w:rPr>
                <w:lang w:val="en-GB"/>
              </w:rPr>
              <w:lastRenderedPageBreak/>
              <w:t xml:space="preserve">Investment activity heightened. However, inventories had a significant effect on both quarter-on-quarter and year-on-year decline of the GDP. </w:t>
            </w:r>
          </w:p>
        </w:tc>
        <w:tc>
          <w:tcPr>
            <w:tcW w:w="227" w:type="dxa"/>
            <w:shd w:val="clear" w:color="auto" w:fill="auto"/>
            <w:tcMar>
              <w:left w:w="0" w:type="dxa"/>
            </w:tcMar>
          </w:tcPr>
          <w:p w14:paraId="33B77EDA"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18A50F5" w14:textId="77777777" w:rsidR="00E551F6" w:rsidRPr="001A0A01" w:rsidRDefault="00E551F6" w:rsidP="00E551F6">
            <w:pPr>
              <w:rPr>
                <w:spacing w:val="-2"/>
                <w:lang w:val="en-GB"/>
              </w:rPr>
            </w:pPr>
            <w:r w:rsidRPr="001A0A01">
              <w:rPr>
                <w:lang w:val="en-GB"/>
              </w:rPr>
              <w:t>Expenditure on gross capital formation decreased by 0.3%, quarter on quarter, in real terms. It mainly resulted from the development of inventory creation. On the contrary, expenditure on gross fixed capital formation (investment activity) expanded by 1.9%, quarter on quarter. Investments into intellectual property products (4.4%), dwellings (4.3%), ICT and other machinery and equipment (0.9%) and transport equipment (0.3%) increased, quarter-on-quarter. A decrease was recorded for investment in other buildings and structures (−0.7%). The change in inventories also had a key effect on the year-on-year decline of the capital expenditure (−7.2%)</w:t>
            </w:r>
            <w:r w:rsidRPr="001A0A01">
              <w:rPr>
                <w:rStyle w:val="Znakapoznpodarou"/>
                <w:lang w:val="en-GB"/>
              </w:rPr>
              <w:footnoteReference w:id="11"/>
            </w:r>
            <w:r w:rsidRPr="001A0A01">
              <w:rPr>
                <w:lang w:val="en-GB"/>
              </w:rPr>
              <w:t xml:space="preserve">. The investment activity featured only a modest year-on-year increase (0.7%). Investment into transport equipment increased significantly, year-on-year (8.7%). Growth was more moderate for investment in other buildings and structures (2.0%), dwellings (1.1%) and intellectual property products (0.8%). A drop was on the contrary recorded for investment in ICT and other machinery and equipment (−3.8%). </w:t>
            </w:r>
          </w:p>
        </w:tc>
      </w:tr>
      <w:tr w:rsidR="00E551F6" w:rsidRPr="001A0A01" w14:paraId="1A2D8DD2" w14:textId="77777777" w:rsidTr="007155B7">
        <w:trPr>
          <w:trHeight w:val="154"/>
        </w:trPr>
        <w:tc>
          <w:tcPr>
            <w:tcW w:w="1814" w:type="dxa"/>
            <w:vMerge w:val="restart"/>
            <w:shd w:val="clear" w:color="auto" w:fill="auto"/>
            <w:tcMar>
              <w:left w:w="0" w:type="dxa"/>
            </w:tcMar>
          </w:tcPr>
          <w:p w14:paraId="7540C94D"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51777ACB"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FAEA645" w14:textId="77777777" w:rsidR="00E551F6" w:rsidRPr="001A0A01" w:rsidRDefault="00E551F6" w:rsidP="00E551F6">
            <w:pPr>
              <w:spacing w:after="0"/>
              <w:rPr>
                <w:lang w:val="en-GB"/>
              </w:rPr>
            </w:pPr>
            <w:r w:rsidRPr="001A0A01">
              <w:rPr>
                <w:b/>
                <w:szCs w:val="20"/>
                <w:lang w:val="en-GB"/>
              </w:rPr>
              <w:t xml:space="preserve">Chart 2 Contribution of expenditure items to real GDP change* </w:t>
            </w:r>
            <w:r w:rsidRPr="001A0A01">
              <w:rPr>
                <w:bCs/>
                <w:szCs w:val="20"/>
                <w:lang w:val="en-GB"/>
              </w:rPr>
              <w:t>(volume indices, year-on-year growth, contributions in p.p., GDP in %)</w:t>
            </w:r>
          </w:p>
        </w:tc>
      </w:tr>
      <w:tr w:rsidR="00E551F6" w:rsidRPr="001A0A01" w14:paraId="0C284CF1" w14:textId="77777777" w:rsidTr="007155B7">
        <w:tblPrEx>
          <w:tblCellMar>
            <w:left w:w="70" w:type="dxa"/>
            <w:right w:w="70" w:type="dxa"/>
          </w:tblCellMar>
        </w:tblPrEx>
        <w:trPr>
          <w:trHeight w:val="154"/>
        </w:trPr>
        <w:tc>
          <w:tcPr>
            <w:tcW w:w="1814" w:type="dxa"/>
            <w:vMerge/>
          </w:tcPr>
          <w:p w14:paraId="60A6625E" w14:textId="77777777" w:rsidR="00E551F6" w:rsidRPr="001A0A01" w:rsidRDefault="00E551F6" w:rsidP="00E551F6">
            <w:pPr>
              <w:pStyle w:val="Marginlie"/>
              <w:rPr>
                <w:lang w:val="en-GB"/>
              </w:rPr>
            </w:pPr>
          </w:p>
        </w:tc>
        <w:tc>
          <w:tcPr>
            <w:tcW w:w="227" w:type="dxa"/>
            <w:vMerge/>
          </w:tcPr>
          <w:p w14:paraId="6A188903" w14:textId="77777777" w:rsidR="00E551F6" w:rsidRPr="001A0A01" w:rsidRDefault="00E551F6" w:rsidP="00E551F6">
            <w:pPr>
              <w:pStyle w:val="Textpoznpodarou"/>
              <w:jc w:val="both"/>
              <w:rPr>
                <w:spacing w:val="-4"/>
                <w:lang w:val="en-GB"/>
              </w:rPr>
            </w:pPr>
          </w:p>
        </w:tc>
        <w:tc>
          <w:tcPr>
            <w:tcW w:w="7610" w:type="dxa"/>
            <w:shd w:val="clear" w:color="auto" w:fill="auto"/>
          </w:tcPr>
          <w:p w14:paraId="4A4D2243" w14:textId="7C313041" w:rsidR="00E551F6" w:rsidRPr="001A0A01" w:rsidRDefault="00AE6221" w:rsidP="00E551F6">
            <w:pPr>
              <w:spacing w:after="0"/>
              <w:rPr>
                <w:lang w:val="en-GB"/>
              </w:rPr>
            </w:pPr>
            <w:r>
              <w:rPr>
                <w:noProof/>
              </w:rPr>
              <w:drawing>
                <wp:inline distT="0" distB="0" distL="0" distR="0" wp14:anchorId="06153AB5" wp14:editId="62AB4498">
                  <wp:extent cx="4743950" cy="3420000"/>
                  <wp:effectExtent l="0" t="0" r="0" b="0"/>
                  <wp:docPr id="7" name="Graf 7">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E551F6" w:rsidRPr="001A0A01" w14:paraId="4C53B8C2" w14:textId="77777777" w:rsidTr="007155B7">
        <w:trPr>
          <w:trHeight w:val="154"/>
        </w:trPr>
        <w:tc>
          <w:tcPr>
            <w:tcW w:w="1814" w:type="dxa"/>
            <w:vMerge/>
            <w:tcMar>
              <w:left w:w="0" w:type="dxa"/>
            </w:tcMar>
          </w:tcPr>
          <w:p w14:paraId="011C82E9" w14:textId="77777777" w:rsidR="00E551F6" w:rsidRPr="001A0A01" w:rsidRDefault="00E551F6" w:rsidP="00E551F6">
            <w:pPr>
              <w:pStyle w:val="Marginlie"/>
              <w:rPr>
                <w:lang w:val="en-GB"/>
              </w:rPr>
            </w:pPr>
          </w:p>
        </w:tc>
        <w:tc>
          <w:tcPr>
            <w:tcW w:w="227" w:type="dxa"/>
            <w:vMerge/>
            <w:tcMar>
              <w:left w:w="0" w:type="dxa"/>
            </w:tcMar>
          </w:tcPr>
          <w:p w14:paraId="3DD6D174"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752E1A71" w14:textId="77777777" w:rsidR="00E551F6" w:rsidRPr="001A0A01" w:rsidRDefault="00E551F6" w:rsidP="00E551F6">
            <w:pPr>
              <w:spacing w:after="0"/>
              <w:rPr>
                <w:sz w:val="14"/>
                <w:szCs w:val="14"/>
                <w:lang w:val="en-GB"/>
              </w:rPr>
            </w:pPr>
            <w:r w:rsidRPr="001A0A01">
              <w:rPr>
                <w:sz w:val="14"/>
                <w:szCs w:val="14"/>
                <w:lang w:val="en-GB"/>
              </w:rPr>
              <w:t>Source: CZSO</w:t>
            </w:r>
          </w:p>
          <w:p w14:paraId="17F926D7" w14:textId="795BBDFD" w:rsidR="00E551F6" w:rsidRPr="001A0A01" w:rsidRDefault="00E551F6" w:rsidP="00AE6221">
            <w:pPr>
              <w:rPr>
                <w:b/>
                <w:bCs/>
                <w:sz w:val="16"/>
                <w:szCs w:val="16"/>
                <w:lang w:val="en-GB"/>
              </w:rPr>
            </w:pPr>
            <w:r w:rsidRPr="001A0A01">
              <w:rPr>
                <w:sz w:val="14"/>
                <w:szCs w:val="14"/>
                <w:lang w:val="en-GB"/>
              </w:rPr>
              <w:t>* after exclusion of exports for final use</w:t>
            </w:r>
          </w:p>
        </w:tc>
      </w:tr>
      <w:tr w:rsidR="00E551F6" w:rsidRPr="001A0A01" w14:paraId="4C908348" w14:textId="77777777" w:rsidTr="007155B7">
        <w:trPr>
          <w:trHeight w:val="145"/>
        </w:trPr>
        <w:tc>
          <w:tcPr>
            <w:tcW w:w="1814" w:type="dxa"/>
            <w:shd w:val="clear" w:color="auto" w:fill="auto"/>
            <w:tcMar>
              <w:left w:w="0" w:type="dxa"/>
            </w:tcMar>
          </w:tcPr>
          <w:p w14:paraId="42E3BC39" w14:textId="77777777" w:rsidR="00E551F6" w:rsidRPr="001A0A01" w:rsidRDefault="00E551F6" w:rsidP="00E551F6">
            <w:pPr>
              <w:pStyle w:val="Marginlie"/>
              <w:rPr>
                <w:lang w:val="en-GB"/>
              </w:rPr>
            </w:pPr>
            <w:r w:rsidRPr="001A0A01">
              <w:rPr>
                <w:lang w:val="en-GB"/>
              </w:rPr>
              <w:t xml:space="preserve">Balance of international trade with goods and services achieved a significant surplus. </w:t>
            </w:r>
          </w:p>
        </w:tc>
        <w:tc>
          <w:tcPr>
            <w:tcW w:w="227" w:type="dxa"/>
            <w:shd w:val="clear" w:color="auto" w:fill="auto"/>
            <w:tcMar>
              <w:left w:w="0" w:type="dxa"/>
            </w:tcMar>
          </w:tcPr>
          <w:p w14:paraId="35B8B711"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0A53D149" w14:textId="77777777" w:rsidR="00E551F6" w:rsidRPr="001A0A01" w:rsidRDefault="00E551F6" w:rsidP="00E551F6">
            <w:pPr>
              <w:rPr>
                <w:lang w:val="en-GB"/>
              </w:rPr>
            </w:pPr>
            <w:r w:rsidRPr="001A0A01">
              <w:rPr>
                <w:lang w:val="en-GB"/>
              </w:rPr>
              <w:t>Exports of goods and services increased by 0.6%, quarter-on-quarter, in real terms in Q2</w:t>
            </w:r>
            <w:r w:rsidRPr="001A0A01">
              <w:rPr>
                <w:rStyle w:val="Znakapoznpodarou"/>
                <w:lang w:val="en-GB"/>
              </w:rPr>
              <w:footnoteReference w:id="12"/>
            </w:r>
            <w:r w:rsidRPr="001A0A01">
              <w:rPr>
                <w:lang w:val="en-GB"/>
              </w:rPr>
              <w:t xml:space="preserve">. Exports of services increased more significantly (2.1%), while the dynamics remained low (0.3%) in case of goods. The quarter-on-quarter growth of imports of goods and services was only slightly higher than the increase of exports (0.7%). Exports of goods and services increased by 0.4%, year-on-year. Again, this was mainly due to services (6.8%), while exports of goods lagged by 0.8%, year-on-year. Imports recorded a year-on-year decrease (−1.5%) for the fourth time in a row. In imports as </w:t>
            </w:r>
            <w:r w:rsidRPr="001A0A01">
              <w:rPr>
                <w:lang w:val="en-GB"/>
              </w:rPr>
              <w:lastRenderedPageBreak/>
              <w:t xml:space="preserve">well as exports, there has been a disproportion between strong real growth of international trade in services and, conversely, a decline or only a low real increase in trade with goods. The balance of international trade with goods and services at current prices reached a surplus of 143.0 </w:t>
            </w:r>
            <w:proofErr w:type="spellStart"/>
            <w:r w:rsidRPr="001A0A01">
              <w:rPr>
                <w:lang w:val="en-GB"/>
              </w:rPr>
              <w:t>bn</w:t>
            </w:r>
            <w:proofErr w:type="spellEnd"/>
            <w:r w:rsidRPr="001A0A01">
              <w:rPr>
                <w:lang w:val="en-GB"/>
              </w:rPr>
              <w:t xml:space="preserve"> CZK in Q2, which was a year-on-year improvement of 45.4 </w:t>
            </w:r>
            <w:proofErr w:type="spellStart"/>
            <w:r w:rsidRPr="001A0A01">
              <w:rPr>
                <w:lang w:val="en-GB"/>
              </w:rPr>
              <w:t>bn</w:t>
            </w:r>
            <w:proofErr w:type="spellEnd"/>
            <w:r w:rsidRPr="001A0A01">
              <w:rPr>
                <w:lang w:val="en-GB"/>
              </w:rPr>
              <w:t xml:space="preserve"> CZK. The surplus in trade with goods constituted 114.9 </w:t>
            </w:r>
            <w:proofErr w:type="spellStart"/>
            <w:r w:rsidRPr="001A0A01">
              <w:rPr>
                <w:lang w:val="en-GB"/>
              </w:rPr>
              <w:t>bn</w:t>
            </w:r>
            <w:proofErr w:type="spellEnd"/>
            <w:r w:rsidRPr="001A0A01">
              <w:rPr>
                <w:lang w:val="en-GB"/>
              </w:rPr>
              <w:t xml:space="preserve"> CZK (year-on-year increase of 35.3 </w:t>
            </w:r>
            <w:proofErr w:type="spellStart"/>
            <w:r w:rsidRPr="001A0A01">
              <w:rPr>
                <w:lang w:val="en-GB"/>
              </w:rPr>
              <w:t>bn</w:t>
            </w:r>
            <w:proofErr w:type="spellEnd"/>
            <w:r w:rsidRPr="001A0A01">
              <w:rPr>
                <w:lang w:val="en-GB"/>
              </w:rPr>
              <w:t xml:space="preserve"> CZK) and 28.0 </w:t>
            </w:r>
            <w:proofErr w:type="spellStart"/>
            <w:r w:rsidRPr="001A0A01">
              <w:rPr>
                <w:lang w:val="en-GB"/>
              </w:rPr>
              <w:t>bn</w:t>
            </w:r>
            <w:proofErr w:type="spellEnd"/>
            <w:r w:rsidRPr="001A0A01">
              <w:rPr>
                <w:lang w:val="en-GB"/>
              </w:rPr>
              <w:t xml:space="preserve"> CZK in services (+10.0 </w:t>
            </w:r>
            <w:proofErr w:type="spellStart"/>
            <w:r w:rsidRPr="001A0A01">
              <w:rPr>
                <w:lang w:val="en-GB"/>
              </w:rPr>
              <w:t>bn</w:t>
            </w:r>
            <w:proofErr w:type="spellEnd"/>
            <w:r w:rsidRPr="001A0A01">
              <w:rPr>
                <w:lang w:val="en-GB"/>
              </w:rPr>
              <w:t xml:space="preserve">).      </w:t>
            </w:r>
          </w:p>
        </w:tc>
      </w:tr>
      <w:tr w:rsidR="00E551F6" w:rsidRPr="001A0A01" w14:paraId="1717535C" w14:textId="77777777" w:rsidTr="007155B7">
        <w:trPr>
          <w:trHeight w:val="145"/>
        </w:trPr>
        <w:tc>
          <w:tcPr>
            <w:tcW w:w="1814" w:type="dxa"/>
            <w:shd w:val="clear" w:color="auto" w:fill="auto"/>
            <w:tcMar>
              <w:left w:w="0" w:type="dxa"/>
            </w:tcMar>
          </w:tcPr>
          <w:p w14:paraId="5F094FF9" w14:textId="77777777" w:rsidR="00E551F6" w:rsidRPr="001A0A01" w:rsidRDefault="00E551F6" w:rsidP="00E551F6">
            <w:pPr>
              <w:pStyle w:val="Marginlie"/>
              <w:rPr>
                <w:lang w:val="en-GB"/>
              </w:rPr>
            </w:pPr>
            <w:r w:rsidRPr="001A0A01">
              <w:rPr>
                <w:lang w:val="en-GB"/>
              </w:rPr>
              <w:lastRenderedPageBreak/>
              <w:t xml:space="preserve">Gross value added grew slightly, quarter-on-quarter. </w:t>
            </w:r>
          </w:p>
        </w:tc>
        <w:tc>
          <w:tcPr>
            <w:tcW w:w="227" w:type="dxa"/>
            <w:shd w:val="clear" w:color="auto" w:fill="auto"/>
            <w:tcMar>
              <w:left w:w="0" w:type="dxa"/>
            </w:tcMar>
          </w:tcPr>
          <w:p w14:paraId="034DF61A"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0E6F379" w14:textId="77777777" w:rsidR="00E551F6" w:rsidRPr="001A0A01" w:rsidRDefault="00E551F6" w:rsidP="00E551F6">
            <w:pPr>
              <w:rPr>
                <w:lang w:val="en-GB"/>
              </w:rPr>
            </w:pPr>
            <w:r w:rsidRPr="001A0A01">
              <w:rPr>
                <w:lang w:val="en-GB"/>
              </w:rPr>
              <w:t xml:space="preserve">The Gross value added (GVA) increased by 0.5%, quarter-on-quarter, in Q2. The quarter-on-quarter GVA growth was mainly due to services branches, which were supported by recovered domestic consumer demand. GVA increased mainly in financial and insurance activities (3.4%), in professional, scientific, technical and administrative activities (2.4%) and in trade, transport, accommodation and food service activities (2.3%). A slight quarter-on-quarter increase was registered for other activities (0.3%), real estate activities (0.3%) and information and communication (0.1%). In industry, the GVA fell by 0.6%, quarter-on-quarter, and only Q4 2023 interrupted the series of quarter-on-quarter declines lasting since the end of 2022. In manufacturing, the GVA declined even more sharply than total industry in Q2. Q2 did not bring a turnaround in the long-term subdued construction industry (−0.3%) either.  </w:t>
            </w:r>
          </w:p>
        </w:tc>
      </w:tr>
      <w:tr w:rsidR="00E551F6" w:rsidRPr="001A0A01" w14:paraId="6312E5E9" w14:textId="77777777" w:rsidTr="007155B7">
        <w:trPr>
          <w:trHeight w:val="170"/>
        </w:trPr>
        <w:tc>
          <w:tcPr>
            <w:tcW w:w="1814" w:type="dxa"/>
            <w:vMerge w:val="restart"/>
            <w:shd w:val="clear" w:color="auto" w:fill="auto"/>
            <w:tcMar>
              <w:left w:w="0" w:type="dxa"/>
            </w:tcMar>
          </w:tcPr>
          <w:p w14:paraId="74E5B833" w14:textId="77777777" w:rsidR="00E551F6" w:rsidRPr="001A0A01" w:rsidRDefault="00E551F6" w:rsidP="00E551F6">
            <w:pPr>
              <w:pStyle w:val="Marginlie"/>
              <w:rPr>
                <w:lang w:val="en-GB"/>
              </w:rPr>
            </w:pPr>
          </w:p>
        </w:tc>
        <w:tc>
          <w:tcPr>
            <w:tcW w:w="227" w:type="dxa"/>
            <w:vMerge w:val="restart"/>
            <w:shd w:val="clear" w:color="auto" w:fill="auto"/>
            <w:tcMar>
              <w:left w:w="0" w:type="dxa"/>
            </w:tcMar>
          </w:tcPr>
          <w:p w14:paraId="2BD87D2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2B4722E8" w14:textId="77777777" w:rsidR="00E551F6" w:rsidRPr="001A0A01" w:rsidRDefault="00E551F6" w:rsidP="00E551F6">
            <w:pPr>
              <w:spacing w:after="0"/>
              <w:rPr>
                <w:lang w:val="en-GB"/>
              </w:rPr>
            </w:pPr>
            <w:r w:rsidRPr="001A0A01">
              <w:rPr>
                <w:b/>
                <w:szCs w:val="20"/>
                <w:lang w:val="en-GB"/>
              </w:rPr>
              <w:t xml:space="preserve">Chart 3 Contributions of branches to real change in GVA </w:t>
            </w:r>
            <w:r w:rsidRPr="001A0A01">
              <w:rPr>
                <w:bCs/>
                <w:szCs w:val="20"/>
                <w:lang w:val="en-GB"/>
              </w:rPr>
              <w:t xml:space="preserve">(volume indices, year-on-year contributions in p.p., GVA in %) </w:t>
            </w:r>
          </w:p>
        </w:tc>
      </w:tr>
      <w:tr w:rsidR="00E551F6" w:rsidRPr="001A0A01" w14:paraId="5558EA57" w14:textId="77777777" w:rsidTr="007155B7">
        <w:tblPrEx>
          <w:tblCellMar>
            <w:left w:w="70" w:type="dxa"/>
            <w:right w:w="70" w:type="dxa"/>
          </w:tblCellMar>
        </w:tblPrEx>
        <w:trPr>
          <w:trHeight w:val="170"/>
        </w:trPr>
        <w:tc>
          <w:tcPr>
            <w:tcW w:w="1814" w:type="dxa"/>
            <w:vMerge/>
          </w:tcPr>
          <w:p w14:paraId="670B0E5C" w14:textId="77777777" w:rsidR="00E551F6" w:rsidRPr="001A0A01" w:rsidRDefault="00E551F6" w:rsidP="00E551F6">
            <w:pPr>
              <w:pStyle w:val="Marginlie"/>
              <w:rPr>
                <w:lang w:val="en-GB"/>
              </w:rPr>
            </w:pPr>
          </w:p>
        </w:tc>
        <w:tc>
          <w:tcPr>
            <w:tcW w:w="227" w:type="dxa"/>
            <w:vMerge/>
          </w:tcPr>
          <w:p w14:paraId="2E32BCC9" w14:textId="77777777" w:rsidR="00E551F6" w:rsidRPr="001A0A01" w:rsidRDefault="00E551F6" w:rsidP="00E551F6">
            <w:pPr>
              <w:pStyle w:val="Textpoznpodarou"/>
              <w:jc w:val="both"/>
              <w:rPr>
                <w:spacing w:val="-4"/>
                <w:lang w:val="en-GB"/>
              </w:rPr>
            </w:pPr>
          </w:p>
        </w:tc>
        <w:tc>
          <w:tcPr>
            <w:tcW w:w="7610" w:type="dxa"/>
            <w:shd w:val="clear" w:color="auto" w:fill="auto"/>
          </w:tcPr>
          <w:p w14:paraId="6B812AEE" w14:textId="04775C9E" w:rsidR="00E551F6" w:rsidRPr="001A0A01" w:rsidRDefault="00AE6221" w:rsidP="00E551F6">
            <w:pPr>
              <w:spacing w:after="0"/>
              <w:rPr>
                <w:lang w:val="en-GB"/>
              </w:rPr>
            </w:pPr>
            <w:r>
              <w:rPr>
                <w:noProof/>
              </w:rPr>
              <w:drawing>
                <wp:inline distT="0" distB="0" distL="0" distR="0" wp14:anchorId="7228C1A2" wp14:editId="02A09FAF">
                  <wp:extent cx="4734425" cy="3420000"/>
                  <wp:effectExtent l="0" t="0" r="0" b="0"/>
                  <wp:docPr id="8" name="Graf 8">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E551F6" w:rsidRPr="001A0A01" w14:paraId="63844205" w14:textId="77777777" w:rsidTr="007155B7">
        <w:trPr>
          <w:trHeight w:val="170"/>
        </w:trPr>
        <w:tc>
          <w:tcPr>
            <w:tcW w:w="1814" w:type="dxa"/>
            <w:vMerge/>
            <w:tcMar>
              <w:left w:w="0" w:type="dxa"/>
            </w:tcMar>
          </w:tcPr>
          <w:p w14:paraId="4F22EB70" w14:textId="77777777" w:rsidR="00E551F6" w:rsidRPr="001A0A01" w:rsidRDefault="00E551F6" w:rsidP="00E551F6">
            <w:pPr>
              <w:pStyle w:val="Marginlie"/>
              <w:rPr>
                <w:lang w:val="en-GB"/>
              </w:rPr>
            </w:pPr>
          </w:p>
        </w:tc>
        <w:tc>
          <w:tcPr>
            <w:tcW w:w="227" w:type="dxa"/>
            <w:vMerge/>
            <w:tcMar>
              <w:left w:w="0" w:type="dxa"/>
            </w:tcMar>
          </w:tcPr>
          <w:p w14:paraId="09AF0DBE"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78BC1BD2" w14:textId="56AD2B6A" w:rsidR="00E551F6" w:rsidRPr="001A0A01" w:rsidRDefault="00E551F6" w:rsidP="00AE6221">
            <w:pPr>
              <w:rPr>
                <w:b/>
                <w:bCs/>
                <w:sz w:val="16"/>
                <w:szCs w:val="16"/>
                <w:lang w:val="en-GB"/>
              </w:rPr>
            </w:pPr>
            <w:r w:rsidRPr="001A0A01">
              <w:rPr>
                <w:sz w:val="14"/>
                <w:szCs w:val="14"/>
                <w:lang w:val="en-GB"/>
              </w:rPr>
              <w:t>Source: CZSO</w:t>
            </w:r>
          </w:p>
        </w:tc>
      </w:tr>
      <w:tr w:rsidR="00E551F6" w:rsidRPr="001A0A01" w14:paraId="3991951C" w14:textId="77777777" w:rsidTr="007155B7">
        <w:trPr>
          <w:trHeight w:val="145"/>
        </w:trPr>
        <w:tc>
          <w:tcPr>
            <w:tcW w:w="1814" w:type="dxa"/>
            <w:shd w:val="clear" w:color="auto" w:fill="auto"/>
            <w:tcMar>
              <w:left w:w="0" w:type="dxa"/>
            </w:tcMar>
          </w:tcPr>
          <w:p w14:paraId="63E5A809" w14:textId="77777777" w:rsidR="00E551F6" w:rsidRPr="001A0A01" w:rsidRDefault="00E551F6" w:rsidP="00E551F6">
            <w:pPr>
              <w:pStyle w:val="Marginlie"/>
              <w:rPr>
                <w:lang w:val="en-GB"/>
              </w:rPr>
            </w:pPr>
            <w:r w:rsidRPr="001A0A01">
              <w:rPr>
                <w:lang w:val="en-GB"/>
              </w:rPr>
              <w:t>While the GVA mostly grew for services, industry did not fare well.</w:t>
            </w:r>
          </w:p>
        </w:tc>
        <w:tc>
          <w:tcPr>
            <w:tcW w:w="227" w:type="dxa"/>
            <w:shd w:val="clear" w:color="auto" w:fill="auto"/>
            <w:tcMar>
              <w:left w:w="0" w:type="dxa"/>
            </w:tcMar>
          </w:tcPr>
          <w:p w14:paraId="7C6C4286" w14:textId="77777777" w:rsidR="00E551F6" w:rsidRPr="001A0A01" w:rsidRDefault="00E551F6" w:rsidP="00E551F6">
            <w:pPr>
              <w:pStyle w:val="Textpoznpodarou"/>
              <w:jc w:val="both"/>
              <w:rPr>
                <w:spacing w:val="-4"/>
                <w:lang w:val="en-GB"/>
              </w:rPr>
            </w:pPr>
          </w:p>
        </w:tc>
        <w:tc>
          <w:tcPr>
            <w:tcW w:w="7610" w:type="dxa"/>
            <w:shd w:val="clear" w:color="auto" w:fill="auto"/>
            <w:tcMar>
              <w:left w:w="0" w:type="dxa"/>
            </w:tcMar>
          </w:tcPr>
          <w:p w14:paraId="6041060A" w14:textId="77777777" w:rsidR="00E551F6" w:rsidRPr="001A0A01" w:rsidRDefault="00E551F6" w:rsidP="0060171C">
            <w:pPr>
              <w:spacing w:after="0"/>
              <w:rPr>
                <w:lang w:val="en-GB"/>
              </w:rPr>
            </w:pPr>
            <w:r w:rsidRPr="001A0A01">
              <w:rPr>
                <w:lang w:val="en-GB"/>
              </w:rPr>
              <w:t xml:space="preserve">Similarly to quarter-on-quarter dynamics, especially services also contributed to the year-on-year GVA growth. GVA grew strongly in financial and insurance activities (7.3%), year-on-year, and more moderate increases were also recorded in trade, transport, accommodation and food service activities (2.3%), information and communication (1.1%), real estate activities (0.9%), and public administration, education, health and social work activities (0.7%). Other activities and professional, scientific, technical and administrative activities stagnated (−0.1%), year-on-year. The GVA declined in industry as a whole (−2.5%), year-on-year, of which the decrease reached 3.0% in manufacturing. The decrease of GVA in construction by 2.4% extended the continuous time series of year-on-year declines to six years in construction.   </w:t>
            </w:r>
          </w:p>
        </w:tc>
      </w:tr>
    </w:tbl>
    <w:p w14:paraId="679EB4A3" w14:textId="77777777" w:rsidR="00E551F6" w:rsidRPr="001A0A01" w:rsidRDefault="00E551F6" w:rsidP="00E551F6">
      <w:pPr>
        <w:pStyle w:val="Nadpis1"/>
        <w:rPr>
          <w:lang w:val="en-GB"/>
        </w:rPr>
      </w:pPr>
      <w:bookmarkStart w:id="16" w:name="_Toc179774107"/>
      <w:bookmarkStart w:id="17" w:name="_Toc153531176"/>
      <w:bookmarkStart w:id="18" w:name="_Toc169258116"/>
      <w:r w:rsidRPr="001A0A01">
        <w:rPr>
          <w:szCs w:val="32"/>
          <w:lang w:val="en-GB"/>
        </w:rPr>
        <w:lastRenderedPageBreak/>
        <w:t>3</w:t>
      </w:r>
      <w:r w:rsidRPr="001A0A01">
        <w:rPr>
          <w:lang w:val="en-GB"/>
        </w:rPr>
        <w:t>. Branches Performance</w:t>
      </w:r>
      <w:bookmarkEnd w:id="16"/>
    </w:p>
    <w:tbl>
      <w:tblPr>
        <w:tblW w:w="9639" w:type="dxa"/>
        <w:tblInd w:w="-20" w:type="dxa"/>
        <w:tblLayout w:type="fixed"/>
        <w:tblCellMar>
          <w:left w:w="0" w:type="dxa"/>
          <w:right w:w="0" w:type="dxa"/>
        </w:tblCellMar>
        <w:tblLook w:val="00A0" w:firstRow="1" w:lastRow="0" w:firstColumn="1" w:lastColumn="0" w:noHBand="0" w:noVBand="0"/>
      </w:tblPr>
      <w:tblGrid>
        <w:gridCol w:w="1814"/>
        <w:gridCol w:w="229"/>
        <w:gridCol w:w="7596"/>
      </w:tblGrid>
      <w:tr w:rsidR="00E551F6" w:rsidRPr="001A0A01" w14:paraId="7EFB6EB9" w14:textId="77777777" w:rsidTr="00E551F6">
        <w:trPr>
          <w:trHeight w:val="145"/>
        </w:trPr>
        <w:tc>
          <w:tcPr>
            <w:tcW w:w="1814" w:type="dxa"/>
            <w:shd w:val="clear" w:color="auto" w:fill="auto"/>
            <w:tcMar>
              <w:left w:w="0" w:type="dxa"/>
            </w:tcMar>
          </w:tcPr>
          <w:p w14:paraId="4E84CCFF" w14:textId="77777777" w:rsidR="00E551F6" w:rsidRPr="001A0A01" w:rsidRDefault="00E551F6" w:rsidP="00E551F6">
            <w:pPr>
              <w:pStyle w:val="Marginlie"/>
              <w:rPr>
                <w:lang w:val="en-GB"/>
              </w:rPr>
            </w:pPr>
            <w:r w:rsidRPr="001A0A01">
              <w:rPr>
                <w:lang w:val="en-GB"/>
              </w:rPr>
              <w:t>The quarter-on-quarter decrease of GVA ceased in Q2. Services thrived, benefiting from stronger domestic demand. On the contrary, weak external demand continued to keep industry in recession.</w:t>
            </w:r>
          </w:p>
        </w:tc>
        <w:tc>
          <w:tcPr>
            <w:tcW w:w="229" w:type="dxa"/>
            <w:shd w:val="clear" w:color="auto" w:fill="auto"/>
            <w:tcMar>
              <w:left w:w="0" w:type="dxa"/>
            </w:tcMar>
          </w:tcPr>
          <w:p w14:paraId="57B92F2C"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76539155" w14:textId="7EA8051A"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total performance of the branches of the national economy captured by the created Gross value added (GVA)</w:t>
            </w:r>
            <w:r w:rsidRPr="001A0A01">
              <w:rPr>
                <w:rStyle w:val="Znakapoznpodarou"/>
                <w:color w:val="0D0D0D" w:themeColor="text1" w:themeTint="F2"/>
                <w:spacing w:val="-5"/>
                <w:lang w:val="en-GB"/>
              </w:rPr>
              <w:footnoteReference w:id="13"/>
            </w:r>
            <w:r w:rsidRPr="001A0A01">
              <w:rPr>
                <w:color w:val="0D0D0D" w:themeColor="text1" w:themeTint="F2"/>
                <w:spacing w:val="-4"/>
                <w:lang w:val="en-GB"/>
              </w:rPr>
              <w:t xml:space="preserve"> continued to decline slightly, quarter-on-quarter, at the beginning of this year and thus followed in the last year's unfavourable development. It was only in Q2 2024 that there was a slight recovery (+0.5%</w:t>
            </w:r>
            <w:r w:rsidRPr="001A0A01">
              <w:rPr>
                <w:rStyle w:val="Znakapoznpodarou"/>
                <w:color w:val="0D0D0D" w:themeColor="text1" w:themeTint="F2"/>
                <w:spacing w:val="-4"/>
                <w:lang w:val="en-GB"/>
              </w:rPr>
              <w:footnoteReference w:id="14"/>
            </w:r>
            <w:r w:rsidRPr="001A0A01">
              <w:rPr>
                <w:color w:val="0D0D0D" w:themeColor="text1" w:themeTint="F2"/>
                <w:spacing w:val="-4"/>
                <w:lang w:val="en-GB"/>
              </w:rPr>
              <w:t>), to which, however, only the services sector contributed</w:t>
            </w:r>
            <w:r w:rsidRPr="001A0A01">
              <w:rPr>
                <w:rStyle w:val="Znakapoznpodarou"/>
                <w:color w:val="0D0D0D" w:themeColor="text1" w:themeTint="F2"/>
                <w:spacing w:val="-4"/>
                <w:lang w:val="en-GB"/>
              </w:rPr>
              <w:footnoteReference w:id="15"/>
            </w:r>
            <w:r w:rsidRPr="001A0A01">
              <w:rPr>
                <w:color w:val="0D0D0D" w:themeColor="text1" w:themeTint="F2"/>
                <w:spacing w:val="-4"/>
                <w:lang w:val="en-GB"/>
              </w:rPr>
              <w:t>. It benefited from higher consumption expenditures of both households and government institutions or from the ongoing development of inbound tourism. For the entire H1</w:t>
            </w:r>
            <w:r w:rsidR="00793CA9">
              <w:rPr>
                <w:color w:val="0D0D0D" w:themeColor="text1" w:themeTint="F2"/>
                <w:spacing w:val="-4"/>
                <w:lang w:val="en-GB"/>
              </w:rPr>
              <w:t xml:space="preserve"> 2024</w:t>
            </w:r>
            <w:r w:rsidRPr="001A0A01">
              <w:rPr>
                <w:color w:val="0D0D0D" w:themeColor="text1" w:themeTint="F2"/>
                <w:spacing w:val="-4"/>
                <w:lang w:val="en-GB"/>
              </w:rPr>
              <w:t>, the GVA decreased by 0.3%, year-on-year (at the same time the last half-yearly decline occurred in 2020). The sectoral profile of development is again similar – industry contributed the most to the lower output (−0.7 p.p.), where the recession con</w:t>
            </w:r>
            <w:r w:rsidR="00793CA9">
              <w:rPr>
                <w:color w:val="0D0D0D" w:themeColor="text1" w:themeTint="F2"/>
                <w:spacing w:val="-4"/>
                <w:lang w:val="en-GB"/>
              </w:rPr>
              <w:t>tinued in manufacturing</w:t>
            </w:r>
            <w:r w:rsidRPr="001A0A01">
              <w:rPr>
                <w:color w:val="0D0D0D" w:themeColor="text1" w:themeTint="F2"/>
                <w:spacing w:val="-4"/>
                <w:lang w:val="en-GB"/>
              </w:rPr>
              <w:t xml:space="preserve"> and in total also in mining and energy industries. The weight-dominant group of services – trade, transport, accommodation, and food service activities (+0.4 p.p.) had an opposite effect (as for most of the previous year).  </w:t>
            </w:r>
          </w:p>
        </w:tc>
      </w:tr>
      <w:tr w:rsidR="00E551F6" w:rsidRPr="001A0A01" w14:paraId="44EB3FD0" w14:textId="77777777" w:rsidTr="00E551F6">
        <w:trPr>
          <w:trHeight w:val="145"/>
        </w:trPr>
        <w:tc>
          <w:tcPr>
            <w:tcW w:w="1814" w:type="dxa"/>
            <w:shd w:val="clear" w:color="auto" w:fill="auto"/>
            <w:tcMar>
              <w:left w:w="0" w:type="dxa"/>
            </w:tcMar>
          </w:tcPr>
          <w:p w14:paraId="0ED3B15C" w14:textId="5C87EEB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This year's anticipated harvest of</w:t>
            </w:r>
            <w:r w:rsidR="00E62166">
              <w:rPr>
                <w:color w:val="0D0D0D" w:themeColor="text1" w:themeTint="F2"/>
                <w:spacing w:val="-4"/>
                <w:lang w:val="en-GB"/>
              </w:rPr>
              <w:t xml:space="preserve"> both basic cereals and rapeseed</w:t>
            </w:r>
            <w:r w:rsidRPr="001A0A01">
              <w:rPr>
                <w:color w:val="0D0D0D" w:themeColor="text1" w:themeTint="F2"/>
                <w:spacing w:val="-4"/>
                <w:lang w:val="en-GB"/>
              </w:rPr>
              <w:t xml:space="preserve"> is lower in a year-on-year but also in the long term comparison. The decrease in sowing areas and sharp weather fluctuations at the beginning of Spring had a significant impact.</w:t>
            </w:r>
          </w:p>
        </w:tc>
        <w:tc>
          <w:tcPr>
            <w:tcW w:w="229" w:type="dxa"/>
            <w:shd w:val="clear" w:color="auto" w:fill="auto"/>
            <w:tcMar>
              <w:left w:w="0" w:type="dxa"/>
            </w:tcMar>
          </w:tcPr>
          <w:p w14:paraId="6A47DD87" w14:textId="77777777" w:rsidR="00E551F6" w:rsidRPr="001A0A01" w:rsidRDefault="00E551F6" w:rsidP="00E551F6">
            <w:pPr>
              <w:pStyle w:val="Textpoznpodarou"/>
              <w:spacing w:after="240"/>
              <w:jc w:val="both"/>
              <w:rPr>
                <w:color w:val="0D0D0D" w:themeColor="text1" w:themeTint="F2"/>
                <w:spacing w:val="-4"/>
                <w:lang w:val="en-GB"/>
              </w:rPr>
            </w:pPr>
          </w:p>
        </w:tc>
        <w:tc>
          <w:tcPr>
            <w:tcW w:w="7596" w:type="dxa"/>
            <w:shd w:val="clear" w:color="auto" w:fill="auto"/>
            <w:tcMar>
              <w:left w:w="0" w:type="dxa"/>
            </w:tcMar>
          </w:tcPr>
          <w:p w14:paraId="620A6C57" w14:textId="6EED0A14" w:rsidR="00E551F6" w:rsidRPr="001A0A01" w:rsidRDefault="00E551F6" w:rsidP="00E551F6">
            <w:pPr>
              <w:rPr>
                <w:color w:val="0D0D0D" w:themeColor="text1" w:themeTint="F2"/>
                <w:spacing w:val="-5"/>
                <w:lang w:val="en-GB"/>
              </w:rPr>
            </w:pPr>
            <w:r w:rsidRPr="001A0A01">
              <w:rPr>
                <w:color w:val="0D0D0D" w:themeColor="text1" w:themeTint="F2"/>
                <w:spacing w:val="-5"/>
                <w:lang w:val="en-GB"/>
              </w:rPr>
              <w:t xml:space="preserve">The above summary view is further developed by much more detailed business statistics. According to this year's 3rd harvest estimate (as of 15. 8.), the harvest of basic cereals is expected to be 6,835 thousand tonnes and oilseed rape 940 thousand tonnes. The estimate of the cereal harvest is by 8.6% lower, year-on-year, and lags behind the average of the last five-year period by 6.6% (it presents the second lowest harvest in the last decade). The rapeseed harvest is down by 28.3%, year-on-year, and is one fifth </w:t>
            </w:r>
            <w:r w:rsidR="00E62166">
              <w:rPr>
                <w:color w:val="0D0D0D" w:themeColor="text1" w:themeTint="F2"/>
                <w:spacing w:val="-5"/>
                <w:lang w:val="en-GB"/>
              </w:rPr>
              <w:t>behind the last five-year average</w:t>
            </w:r>
            <w:r w:rsidRPr="001A0A01">
              <w:rPr>
                <w:color w:val="0D0D0D" w:themeColor="text1" w:themeTint="F2"/>
                <w:spacing w:val="-5"/>
                <w:lang w:val="en-GB"/>
              </w:rPr>
              <w:t xml:space="preserve"> (the harvest is the lowest since 2006). Weaker yields per hectare play a key role in both cases this year, nevertheless the decrease in the sowing area also had a significant impact. The harvest of wheat, rye and winter barley is weaker, year-on-year. On the contrary, due to sufficient rainfall throughout the growing season, a larger harvest is expected for spring cereals (spring barley, oats, and triticale). With respect to the other crops, grain maize (+15.3%), potatoes (+11.1%, mainly thanks to the enlargement of the sowing area), soybean (+10.9%), sugar beet (+13.5%) and green maize (+16.4%) should also be harvested more, year-on-year. In contrast, a decrease is expected for instance for the sunflower for seed (−10.7%) or </w:t>
            </w:r>
            <w:proofErr w:type="spellStart"/>
            <w:r w:rsidRPr="001A0A01">
              <w:rPr>
                <w:color w:val="0D0D0D" w:themeColor="text1" w:themeTint="F2"/>
                <w:spacing w:val="-5"/>
                <w:lang w:val="en-GB"/>
              </w:rPr>
              <w:t>lucerne</w:t>
            </w:r>
            <w:proofErr w:type="spellEnd"/>
            <w:r w:rsidRPr="001A0A01">
              <w:rPr>
                <w:color w:val="0D0D0D" w:themeColor="text1" w:themeTint="F2"/>
                <w:spacing w:val="-5"/>
                <w:lang w:val="en-GB"/>
              </w:rPr>
              <w:t xml:space="preserve"> (−7.7%). In general, the April frosts had a considerable effect on this year's harvest. In addition to rapeseed, they also substantially afflicted the harvest of fruit and some types of vegetables. </w:t>
            </w:r>
          </w:p>
        </w:tc>
      </w:tr>
      <w:tr w:rsidR="00E551F6" w:rsidRPr="001A0A01" w14:paraId="35FE04E4" w14:textId="77777777" w:rsidTr="00E551F6">
        <w:trPr>
          <w:trHeight w:val="145"/>
        </w:trPr>
        <w:tc>
          <w:tcPr>
            <w:tcW w:w="1814" w:type="dxa"/>
            <w:shd w:val="clear" w:color="auto" w:fill="auto"/>
            <w:tcMar>
              <w:left w:w="0" w:type="dxa"/>
            </w:tcMar>
          </w:tcPr>
          <w:p w14:paraId="0FFBF238" w14:textId="77777777" w:rsidR="00E551F6" w:rsidRPr="001A0A01" w:rsidRDefault="00E551F6" w:rsidP="00E551F6">
            <w:pPr>
              <w:pStyle w:val="Marginlie"/>
              <w:rPr>
                <w:color w:val="0D0D0D" w:themeColor="text1" w:themeTint="F2"/>
                <w:spacing w:val="-4"/>
                <w:lang w:val="en-GB"/>
              </w:rPr>
            </w:pPr>
            <w:r w:rsidRPr="001A0A01">
              <w:rPr>
                <w:color w:val="0D0D0D" w:themeColor="text1" w:themeTint="F2"/>
                <w:spacing w:val="-4"/>
                <w:lang w:val="en-GB"/>
              </w:rPr>
              <w:t>Gross domestic meat production increased, year-on-year, mainly due to a recovery in pork production.</w:t>
            </w:r>
          </w:p>
          <w:p w14:paraId="4F881826" w14:textId="77777777" w:rsidR="00E551F6" w:rsidRPr="001A0A01" w:rsidRDefault="00E551F6" w:rsidP="00E551F6">
            <w:pPr>
              <w:pStyle w:val="Marginlie"/>
              <w:rPr>
                <w:color w:val="0D0D0D" w:themeColor="text1" w:themeTint="F2"/>
                <w:spacing w:val="-4"/>
                <w:lang w:val="en-GB"/>
              </w:rPr>
            </w:pPr>
          </w:p>
          <w:p w14:paraId="3313406C" w14:textId="77777777" w:rsidR="00E551F6" w:rsidRPr="001A0A01" w:rsidRDefault="00E551F6" w:rsidP="00E551F6">
            <w:pPr>
              <w:pStyle w:val="Marginlie"/>
              <w:rPr>
                <w:color w:val="0D0D0D" w:themeColor="text1" w:themeTint="F2"/>
                <w:spacing w:val="-4"/>
                <w:lang w:val="en-GB"/>
              </w:rPr>
            </w:pPr>
          </w:p>
          <w:p w14:paraId="049B482E" w14:textId="77777777" w:rsidR="00E551F6" w:rsidRPr="001A0A01" w:rsidRDefault="00E551F6" w:rsidP="00E551F6">
            <w:pPr>
              <w:pStyle w:val="Marginlie"/>
              <w:rPr>
                <w:color w:val="0D0D0D" w:themeColor="text1" w:themeTint="F2"/>
                <w:spacing w:val="-4"/>
                <w:lang w:val="en-GB"/>
              </w:rPr>
            </w:pPr>
          </w:p>
          <w:p w14:paraId="542CB120" w14:textId="58775E27" w:rsidR="00E551F6" w:rsidRDefault="00E551F6" w:rsidP="00E551F6">
            <w:pPr>
              <w:pStyle w:val="Marginlie"/>
              <w:rPr>
                <w:color w:val="0D0D0D" w:themeColor="text1" w:themeTint="F2"/>
                <w:spacing w:val="-4"/>
                <w:lang w:val="en-GB"/>
              </w:rPr>
            </w:pPr>
          </w:p>
          <w:p w14:paraId="7663DE86" w14:textId="77777777" w:rsidR="00C050C9" w:rsidRPr="001A0A01" w:rsidRDefault="00C050C9" w:rsidP="00E551F6">
            <w:pPr>
              <w:pStyle w:val="Marginlie"/>
              <w:rPr>
                <w:color w:val="0D0D0D" w:themeColor="text1" w:themeTint="F2"/>
                <w:spacing w:val="-4"/>
                <w:lang w:val="en-GB"/>
              </w:rPr>
            </w:pPr>
          </w:p>
          <w:p w14:paraId="5193FD1A" w14:textId="77777777" w:rsidR="00E551F6" w:rsidRPr="001A0A01" w:rsidRDefault="00E551F6" w:rsidP="00E551F6">
            <w:pPr>
              <w:pStyle w:val="Marginlie"/>
              <w:rPr>
                <w:color w:val="0D0D0D" w:themeColor="text1" w:themeTint="F2"/>
                <w:spacing w:val="-4"/>
                <w:lang w:val="en-GB"/>
              </w:rPr>
            </w:pPr>
          </w:p>
          <w:p w14:paraId="3561BE8A" w14:textId="19EC36C0" w:rsidR="00E551F6" w:rsidRPr="001A0A01" w:rsidRDefault="00E551F6" w:rsidP="00E551F6">
            <w:pPr>
              <w:pStyle w:val="Marginlie"/>
              <w:rPr>
                <w:color w:val="0D0D0D" w:themeColor="text1" w:themeTint="F2"/>
                <w:spacing w:val="-4"/>
                <w:lang w:val="en-GB"/>
              </w:rPr>
            </w:pPr>
            <w:r w:rsidRPr="001A0A01">
              <w:rPr>
                <w:color w:val="0D0D0D" w:themeColor="text1" w:themeTint="F2"/>
                <w:spacing w:val="-4"/>
                <w:lang w:val="en-GB"/>
              </w:rPr>
              <w:lastRenderedPageBreak/>
              <w:t>Consumption of al</w:t>
            </w:r>
            <w:r w:rsidR="00322607">
              <w:rPr>
                <w:color w:val="0D0D0D" w:themeColor="text1" w:themeTint="F2"/>
                <w:spacing w:val="-4"/>
                <w:lang w:val="en-GB"/>
              </w:rPr>
              <w:t>l major types of meat grew, mainly</w:t>
            </w:r>
            <w:r w:rsidRPr="001A0A01">
              <w:rPr>
                <w:color w:val="0D0D0D" w:themeColor="text1" w:themeTint="F2"/>
                <w:spacing w:val="-4"/>
                <w:lang w:val="en-GB"/>
              </w:rPr>
              <w:t xml:space="preserve"> </w:t>
            </w:r>
            <w:r w:rsidR="00322607">
              <w:rPr>
                <w:color w:val="0D0D0D" w:themeColor="text1" w:themeTint="F2"/>
                <w:spacing w:val="-4"/>
                <w:lang w:val="en-GB"/>
              </w:rPr>
              <w:t>due</w:t>
            </w:r>
            <w:r w:rsidRPr="001A0A01">
              <w:rPr>
                <w:color w:val="0D0D0D" w:themeColor="text1" w:themeTint="F2"/>
                <w:spacing w:val="-4"/>
                <w:lang w:val="en-GB"/>
              </w:rPr>
              <w:t xml:space="preserve"> to a strengthened import.</w:t>
            </w:r>
          </w:p>
          <w:p w14:paraId="01D783C9" w14:textId="77777777" w:rsidR="00E551F6" w:rsidRPr="001A0A01" w:rsidRDefault="00E551F6" w:rsidP="00E551F6">
            <w:pPr>
              <w:pStyle w:val="Marginlie"/>
              <w:spacing w:after="240"/>
              <w:rPr>
                <w:color w:val="0D0D0D" w:themeColor="text1" w:themeTint="F2"/>
                <w:spacing w:val="-4"/>
                <w:lang w:val="en-GB"/>
              </w:rPr>
            </w:pPr>
          </w:p>
        </w:tc>
        <w:tc>
          <w:tcPr>
            <w:tcW w:w="229" w:type="dxa"/>
            <w:shd w:val="clear" w:color="auto" w:fill="auto"/>
            <w:tcMar>
              <w:left w:w="0" w:type="dxa"/>
            </w:tcMar>
          </w:tcPr>
          <w:p w14:paraId="43E76CB8" w14:textId="77777777" w:rsidR="00E551F6" w:rsidRPr="001A0A01" w:rsidRDefault="00E551F6" w:rsidP="00E551F6">
            <w:pPr>
              <w:pStyle w:val="Textpoznpodarou"/>
              <w:spacing w:after="240"/>
              <w:jc w:val="both"/>
              <w:rPr>
                <w:color w:val="0D0D0D" w:themeColor="text1" w:themeTint="F2"/>
                <w:spacing w:val="-4"/>
                <w:lang w:val="en-GB"/>
              </w:rPr>
            </w:pPr>
          </w:p>
        </w:tc>
        <w:tc>
          <w:tcPr>
            <w:tcW w:w="7596" w:type="dxa"/>
            <w:shd w:val="clear" w:color="auto" w:fill="auto"/>
            <w:tcMar>
              <w:left w:w="0" w:type="dxa"/>
            </w:tcMar>
          </w:tcPr>
          <w:p w14:paraId="20429941" w14:textId="5D3647E4" w:rsidR="00E551F6" w:rsidRPr="001A0A01" w:rsidRDefault="00E551F6" w:rsidP="00E551F6">
            <w:pPr>
              <w:rPr>
                <w:color w:val="0D0D0D" w:themeColor="text1" w:themeTint="F2"/>
                <w:spacing w:val="-4"/>
                <w:lang w:val="en-GB"/>
              </w:rPr>
            </w:pPr>
            <w:r w:rsidRPr="001A0A01">
              <w:rPr>
                <w:color w:val="0D0D0D" w:themeColor="text1" w:themeTint="F2"/>
                <w:spacing w:val="-4"/>
                <w:lang w:val="en-GB"/>
              </w:rPr>
              <w:t xml:space="preserve">The two-year-long year-on-year decrease of the physical volume of meat production in slaughterhouses in the Czech Republic halted in Q4 last year and this year‘s development confirmed this turn so far. The mild growth of production thus continued in Q2 </w:t>
            </w:r>
            <w:r w:rsidR="00322607">
              <w:rPr>
                <w:color w:val="0D0D0D" w:themeColor="text1" w:themeTint="F2"/>
                <w:spacing w:val="-4"/>
                <w:lang w:val="en-GB"/>
              </w:rPr>
              <w:t xml:space="preserve">2024 </w:t>
            </w:r>
            <w:r w:rsidRPr="001A0A01">
              <w:rPr>
                <w:color w:val="0D0D0D" w:themeColor="text1" w:themeTint="F2"/>
                <w:spacing w:val="-4"/>
                <w:lang w:val="en-GB"/>
              </w:rPr>
              <w:t>(+1.9%). It was driven (s</w:t>
            </w:r>
            <w:r w:rsidR="00322607">
              <w:rPr>
                <w:color w:val="0D0D0D" w:themeColor="text1" w:themeTint="F2"/>
                <w:spacing w:val="-4"/>
                <w:lang w:val="en-GB"/>
              </w:rPr>
              <w:t>imilarly to the beginning of this</w:t>
            </w:r>
            <w:r w:rsidRPr="001A0A01">
              <w:rPr>
                <w:color w:val="0D0D0D" w:themeColor="text1" w:themeTint="F2"/>
                <w:spacing w:val="-4"/>
                <w:lang w:val="en-GB"/>
              </w:rPr>
              <w:t xml:space="preserve"> year) by the recovery of the weight-dominant pork meat segment (+5.6%, nevertheless the production was almost 4% lower compared to 2021). However, there was a decrease in beef (−4.6%</w:t>
            </w:r>
            <w:r w:rsidRPr="001A0A01">
              <w:rPr>
                <w:rStyle w:val="Znakapoznpodarou"/>
                <w:color w:val="0D0D0D" w:themeColor="text1" w:themeTint="F2"/>
                <w:spacing w:val="-4"/>
                <w:lang w:val="en-GB"/>
              </w:rPr>
              <w:footnoteReference w:id="16"/>
            </w:r>
            <w:r w:rsidR="00322607">
              <w:rPr>
                <w:color w:val="0D0D0D" w:themeColor="text1" w:themeTint="F2"/>
                <w:spacing w:val="-4"/>
                <w:lang w:val="en-GB"/>
              </w:rPr>
              <w:t>) and its production t</w:t>
            </w:r>
            <w:r w:rsidRPr="001A0A01">
              <w:rPr>
                <w:color w:val="0D0D0D" w:themeColor="text1" w:themeTint="F2"/>
                <w:spacing w:val="-4"/>
                <w:lang w:val="en-GB"/>
              </w:rPr>
              <w:t>his year is at a seven-year low</w:t>
            </w:r>
            <w:r w:rsidR="00322607">
              <w:rPr>
                <w:color w:val="0D0D0D" w:themeColor="text1" w:themeTint="F2"/>
                <w:spacing w:val="-4"/>
                <w:lang w:val="en-GB"/>
              </w:rPr>
              <w:t xml:space="preserve"> so far</w:t>
            </w:r>
            <w:r w:rsidRPr="001A0A01">
              <w:rPr>
                <w:color w:val="0D0D0D" w:themeColor="text1" w:themeTint="F2"/>
                <w:spacing w:val="-4"/>
                <w:lang w:val="en-GB"/>
              </w:rPr>
              <w:t xml:space="preserve">. Poultry production stagnated but grows in the longer-term view. An even more pronounced growth trend is evident in the dairy sector. The direct milk purchases from domestic producers increased by 3.7%, year-on-year, and grew twice as </w:t>
            </w:r>
            <w:r w:rsidRPr="001A0A01">
              <w:rPr>
                <w:color w:val="0D0D0D" w:themeColor="text1" w:themeTint="F2"/>
                <w:spacing w:val="-4"/>
                <w:lang w:val="en-GB"/>
              </w:rPr>
              <w:lastRenderedPageBreak/>
              <w:t>fast as in the same period of the last year. Including the balance of meat imports and exports, the preliminarily calculated meat consumption expanded, year-on-year, for all three types in the CR in Q2</w:t>
            </w:r>
            <w:r w:rsidR="006C4AC1">
              <w:rPr>
                <w:color w:val="0D0D0D" w:themeColor="text1" w:themeTint="F2"/>
                <w:spacing w:val="-4"/>
                <w:lang w:val="en-GB"/>
              </w:rPr>
              <w:t xml:space="preserve"> 2024</w:t>
            </w:r>
            <w:r w:rsidRPr="001A0A01">
              <w:rPr>
                <w:color w:val="0D0D0D" w:themeColor="text1" w:themeTint="F2"/>
                <w:spacing w:val="-4"/>
                <w:lang w:val="en-GB"/>
              </w:rPr>
              <w:t xml:space="preserve">: beef (+2.5%), pork (+2.0%) and poultry (+5.2%). It was also affected by more than one tenth higher imports – both of beef and poultry. Meat consumption is also influenced by the long-term preferences of domestic consumers as well as shorter-term fluctuations due to, for instance, reaction of households on the development of consumer prices of these goods. </w:t>
            </w:r>
          </w:p>
        </w:tc>
      </w:tr>
      <w:tr w:rsidR="00E551F6" w:rsidRPr="001A0A01" w14:paraId="757FF270" w14:textId="77777777" w:rsidTr="00E551F6">
        <w:trPr>
          <w:trHeight w:val="145"/>
        </w:trPr>
        <w:tc>
          <w:tcPr>
            <w:tcW w:w="1814" w:type="dxa"/>
            <w:shd w:val="clear" w:color="auto" w:fill="auto"/>
            <w:tcMar>
              <w:left w:w="0" w:type="dxa"/>
            </w:tcMar>
          </w:tcPr>
          <w:p w14:paraId="6D0E7418"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lastRenderedPageBreak/>
              <w:t>Industrial production has been falling, quarter-on-quarter, this year. Weak demand and the subsiding effect of heightened production costs from the energy crisis are evident.</w:t>
            </w:r>
          </w:p>
        </w:tc>
        <w:tc>
          <w:tcPr>
            <w:tcW w:w="229" w:type="dxa"/>
            <w:shd w:val="clear" w:color="auto" w:fill="auto"/>
            <w:tcMar>
              <w:left w:w="0" w:type="dxa"/>
            </w:tcMar>
          </w:tcPr>
          <w:p w14:paraId="5E88B1AE" w14:textId="77777777" w:rsidR="00E551F6" w:rsidRPr="001A0A01" w:rsidRDefault="00E551F6" w:rsidP="00E551F6">
            <w:pPr>
              <w:pStyle w:val="Textpoznpodarou"/>
              <w:spacing w:after="240"/>
              <w:jc w:val="both"/>
              <w:rPr>
                <w:spacing w:val="-4"/>
                <w:lang w:val="en-GB"/>
              </w:rPr>
            </w:pPr>
          </w:p>
        </w:tc>
        <w:tc>
          <w:tcPr>
            <w:tcW w:w="7596" w:type="dxa"/>
            <w:shd w:val="clear" w:color="auto" w:fill="auto"/>
            <w:tcMar>
              <w:left w:w="0" w:type="dxa"/>
            </w:tcMar>
          </w:tcPr>
          <w:p w14:paraId="3D154EE1" w14:textId="6B34C159"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domestic industry was in recession in H1 2024, weighed down mainly by the persisting weak external demand. The economies of the Czech Republic's key trading partners in the euro area (especially Germany, France, Italy, the Netherlands, or Austria) faced cyclical as well as structural difficulties. These are also reflected in the Czech Republic. Most energy-intens</w:t>
            </w:r>
            <w:r w:rsidR="000E5D6A">
              <w:rPr>
                <w:color w:val="0D0D0D" w:themeColor="text1" w:themeTint="F2"/>
                <w:spacing w:val="-4"/>
                <w:lang w:val="en-GB"/>
              </w:rPr>
              <w:t>ive industries are still facing</w:t>
            </w:r>
            <w:r w:rsidRPr="001A0A01">
              <w:rPr>
                <w:color w:val="0D0D0D" w:themeColor="text1" w:themeTint="F2"/>
                <w:spacing w:val="-4"/>
                <w:lang w:val="en-GB"/>
              </w:rPr>
              <w:t xml:space="preserve"> the effects of raised input prices. A reduction in the total investment activity related to the continued weakened business as well as consumer confidence in the economy or the worsened possibilities of credit financing of investments is also having a negative effect. After a short-term revival at the end of 2023, which was primarily driven by the production of transport equipment, the industrial production</w:t>
            </w:r>
            <w:r w:rsidRPr="001A0A01">
              <w:rPr>
                <w:rStyle w:val="Znakapoznpodarou"/>
                <w:color w:val="0D0D0D" w:themeColor="text1" w:themeTint="F2"/>
                <w:spacing w:val="-4"/>
                <w:lang w:val="en-GB"/>
              </w:rPr>
              <w:footnoteReference w:id="17"/>
            </w:r>
            <w:r w:rsidRPr="001A0A01">
              <w:rPr>
                <w:color w:val="0D0D0D" w:themeColor="text1" w:themeTint="F2"/>
                <w:spacing w:val="-4"/>
                <w:lang w:val="en-GB"/>
              </w:rPr>
              <w:t xml:space="preserve"> decreased by 0.7%, quarter-on-quarter, in </w:t>
            </w:r>
            <w:proofErr w:type="spellStart"/>
            <w:r w:rsidRPr="001A0A01">
              <w:rPr>
                <w:color w:val="0D0D0D" w:themeColor="text1" w:themeTint="F2"/>
                <w:spacing w:val="-4"/>
                <w:lang w:val="en-GB"/>
              </w:rPr>
              <w:t>Czechia</w:t>
            </w:r>
            <w:proofErr w:type="spellEnd"/>
            <w:r w:rsidRPr="001A0A01">
              <w:rPr>
                <w:color w:val="0D0D0D" w:themeColor="text1" w:themeTint="F2"/>
                <w:spacing w:val="-4"/>
                <w:lang w:val="en-GB"/>
              </w:rPr>
              <w:t xml:space="preserve"> in Q1 2024. Its decrease deepened (to −1.0%) in the subsequent period, since the downturn affected the key investment-oriented branches (engineering, manufacture of motor vehicles) and also a part of areas specialised in the manufacturing of intermediate products (electrical engineering, metallurgy and foundry). The above-mentioned factors led to the production of total industry lagging slightly behind its peak from the pre-pandemic boom (Q2 2019) in Q2 this year (by 2.7%)</w:t>
            </w:r>
            <w:r w:rsidRPr="001A0A01">
              <w:rPr>
                <w:rStyle w:val="Znakapoznpodarou"/>
                <w:color w:val="0D0D0D" w:themeColor="text1" w:themeTint="F2"/>
                <w:spacing w:val="-6"/>
                <w:lang w:val="en-GB"/>
              </w:rPr>
              <w:footnoteReference w:id="18"/>
            </w:r>
            <w:r w:rsidRPr="001A0A01">
              <w:rPr>
                <w:color w:val="0D0D0D" w:themeColor="text1" w:themeTint="F2"/>
                <w:spacing w:val="-6"/>
                <w:lang w:val="en-GB"/>
              </w:rPr>
              <w:t>.</w:t>
            </w:r>
          </w:p>
        </w:tc>
      </w:tr>
      <w:tr w:rsidR="00E551F6" w:rsidRPr="001A0A01" w14:paraId="0EBE9378" w14:textId="77777777" w:rsidTr="00E551F6">
        <w:trPr>
          <w:trHeight w:val="145"/>
        </w:trPr>
        <w:tc>
          <w:tcPr>
            <w:tcW w:w="1814" w:type="dxa"/>
            <w:shd w:val="clear" w:color="auto" w:fill="auto"/>
            <w:tcMar>
              <w:left w:w="0" w:type="dxa"/>
            </w:tcMar>
          </w:tcPr>
          <w:p w14:paraId="4884B7AF"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The year-on-year decline in industry was mainly due to engineering, where the problem of weak demand deepened.  </w:t>
            </w:r>
          </w:p>
          <w:p w14:paraId="26879E4D"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  </w:t>
            </w:r>
          </w:p>
          <w:p w14:paraId="3BD0AEC3" w14:textId="77777777" w:rsidR="00E551F6" w:rsidRPr="001A0A01" w:rsidRDefault="00E551F6" w:rsidP="00E551F6">
            <w:pPr>
              <w:pStyle w:val="Marginlie"/>
              <w:spacing w:after="240"/>
              <w:rPr>
                <w:color w:val="0D0D0D" w:themeColor="text1" w:themeTint="F2"/>
                <w:spacing w:val="-4"/>
                <w:lang w:val="en-GB"/>
              </w:rPr>
            </w:pPr>
            <w:r w:rsidRPr="001A0A01">
              <w:rPr>
                <w:color w:val="0D0D0D" w:themeColor="text1" w:themeTint="F2"/>
                <w:spacing w:val="-4"/>
                <w:lang w:val="en-GB"/>
              </w:rPr>
              <w:t xml:space="preserve">The manufacturing of motor vehicles did not maintain the high pace of production from previous years, which also had an impact on the nearest subcontractors. </w:t>
            </w:r>
          </w:p>
        </w:tc>
        <w:tc>
          <w:tcPr>
            <w:tcW w:w="229" w:type="dxa"/>
            <w:shd w:val="clear" w:color="auto" w:fill="auto"/>
            <w:tcMar>
              <w:left w:w="0" w:type="dxa"/>
            </w:tcMar>
          </w:tcPr>
          <w:p w14:paraId="4FCD50EC" w14:textId="77777777" w:rsidR="00E551F6" w:rsidRPr="001A0A01" w:rsidRDefault="00E551F6" w:rsidP="00E551F6">
            <w:pPr>
              <w:pStyle w:val="Textpoznpodarou"/>
              <w:spacing w:after="240"/>
              <w:jc w:val="both"/>
              <w:rPr>
                <w:spacing w:val="-4"/>
                <w:lang w:val="en-GB"/>
              </w:rPr>
            </w:pPr>
          </w:p>
        </w:tc>
        <w:tc>
          <w:tcPr>
            <w:tcW w:w="7596" w:type="dxa"/>
            <w:shd w:val="clear" w:color="auto" w:fill="auto"/>
            <w:tcMar>
              <w:left w:w="0" w:type="dxa"/>
            </w:tcMar>
          </w:tcPr>
          <w:p w14:paraId="12A63EA9" w14:textId="3E879DB2" w:rsidR="00E551F6" w:rsidRPr="001A0A01" w:rsidRDefault="00E551F6" w:rsidP="00E551F6">
            <w:pPr>
              <w:rPr>
                <w:color w:val="0D0D0D" w:themeColor="text1" w:themeTint="F2"/>
                <w:spacing w:val="-4"/>
                <w:lang w:val="en-GB"/>
              </w:rPr>
            </w:pPr>
            <w:r w:rsidRPr="001A0A01">
              <w:rPr>
                <w:color w:val="0D0D0D" w:themeColor="text1" w:themeTint="F2"/>
                <w:spacing w:val="-4"/>
                <w:lang w:val="en-GB"/>
              </w:rPr>
              <w:t>The industrial production has been slightly decreasing, year-on-year, already since the middle of the last year. It thus fell by 1.6% in H1 2024</w:t>
            </w:r>
            <w:r w:rsidRPr="001A0A01">
              <w:rPr>
                <w:rStyle w:val="Znakapoznpodarou"/>
                <w:color w:val="0D0D0D" w:themeColor="text1" w:themeTint="F2"/>
                <w:spacing w:val="-4"/>
                <w:lang w:val="en-GB"/>
              </w:rPr>
              <w:footnoteReference w:id="19"/>
            </w:r>
            <w:r w:rsidRPr="001A0A01">
              <w:rPr>
                <w:color w:val="0D0D0D" w:themeColor="text1" w:themeTint="F2"/>
                <w:spacing w:val="-4"/>
                <w:lang w:val="en-GB"/>
              </w:rPr>
              <w:t>. This was mainly due to a deepening output decrease of the important engineering sector (a decrease of production by 12.9%, a contribution to the development of the entire industry of −1.1 p.p.) caused by weak demand, especially from abroad. The downturn concerns, for instance, the production of pumps, agricultural or metalworking machinery here, nevertheless lower production can be traced across the entire branch. The manufacturing of motor vehicles also had a considerable effect on the recession of the total industry this year (contribution −0.3 p. p., a decrease by 1.6%). It no longer m</w:t>
            </w:r>
            <w:r w:rsidR="00771C27">
              <w:rPr>
                <w:color w:val="0D0D0D" w:themeColor="text1" w:themeTint="F2"/>
                <w:spacing w:val="-4"/>
                <w:lang w:val="en-GB"/>
              </w:rPr>
              <w:t xml:space="preserve">aintained the very high production pace of </w:t>
            </w:r>
            <w:r w:rsidRPr="001A0A01">
              <w:rPr>
                <w:color w:val="0D0D0D" w:themeColor="text1" w:themeTint="F2"/>
                <w:spacing w:val="-4"/>
                <w:lang w:val="en-GB"/>
              </w:rPr>
              <w:t>the previous two years, which stemmed in part from the finalization of a larger volum</w:t>
            </w:r>
            <w:r w:rsidR="00771C27">
              <w:rPr>
                <w:color w:val="0D0D0D" w:themeColor="text1" w:themeTint="F2"/>
                <w:spacing w:val="-4"/>
                <w:lang w:val="en-GB"/>
              </w:rPr>
              <w:t>e of orders accumulated from a</w:t>
            </w:r>
            <w:r w:rsidRPr="001A0A01">
              <w:rPr>
                <w:color w:val="0D0D0D" w:themeColor="text1" w:themeTint="F2"/>
                <w:spacing w:val="-4"/>
                <w:lang w:val="en-GB"/>
              </w:rPr>
              <w:t xml:space="preserve"> period affected by the supply chain disruptions. This was also reflected in the subdued results of the closest related industries this year – especially manufacturing of electrical equipment (−0.9%). The production capacity utilisation fell below 90% in the motor vehicle manufacturing alone at the beginning of Q3 2024 (the lowest </w:t>
            </w:r>
            <w:r w:rsidR="00771C27" w:rsidRPr="00771C27">
              <w:rPr>
                <w:color w:val="0D0D0D" w:themeColor="text1" w:themeTint="F2"/>
                <w:spacing w:val="-4"/>
                <w:lang w:val="en-GB"/>
              </w:rPr>
              <w:t>for the last year and a half</w:t>
            </w:r>
            <w:r w:rsidRPr="001A0A01">
              <w:rPr>
                <w:color w:val="0D0D0D" w:themeColor="text1" w:themeTint="F2"/>
                <w:spacing w:val="-4"/>
                <w:lang w:val="en-GB"/>
              </w:rPr>
              <w:t>). However, it was still relatively high compared to the majority of industrial branches</w:t>
            </w:r>
            <w:r w:rsidRPr="001A0A01">
              <w:rPr>
                <w:rStyle w:val="Znakapoznpodarou"/>
                <w:color w:val="0D0D0D" w:themeColor="text1" w:themeTint="F2"/>
                <w:spacing w:val="-4"/>
                <w:lang w:val="en-GB"/>
              </w:rPr>
              <w:footnoteReference w:id="20"/>
            </w:r>
            <w:r w:rsidRPr="001A0A01">
              <w:rPr>
                <w:color w:val="0D0D0D" w:themeColor="text1" w:themeTint="F2"/>
                <w:spacing w:val="-4"/>
                <w:lang w:val="en-GB"/>
              </w:rPr>
              <w:t xml:space="preserve">. Manufacturers of motor vehicles still benefited from the robust growth of </w:t>
            </w:r>
            <w:r w:rsidRPr="001A0A01">
              <w:rPr>
                <w:color w:val="0D0D0D" w:themeColor="text1" w:themeTint="F2"/>
                <w:spacing w:val="-4"/>
                <w:lang w:val="en-GB"/>
              </w:rPr>
              <w:lastRenderedPageBreak/>
              <w:t>domestic as well as external demand</w:t>
            </w:r>
            <w:r w:rsidRPr="001A0A01">
              <w:rPr>
                <w:rStyle w:val="Znakapoznpodarou"/>
                <w:color w:val="0D0D0D" w:themeColor="text1" w:themeTint="F2"/>
                <w:spacing w:val="-4"/>
                <w:lang w:val="en-GB"/>
              </w:rPr>
              <w:footnoteReference w:id="21"/>
            </w:r>
            <w:r w:rsidRPr="001A0A01">
              <w:rPr>
                <w:color w:val="0D0D0D" w:themeColor="text1" w:themeTint="F2"/>
                <w:spacing w:val="-4"/>
                <w:lang w:val="en-GB"/>
              </w:rPr>
              <w:t xml:space="preserve">. The production of other (especially rail) transport equipment was also in good condition despite the current lowered performance. </w:t>
            </w:r>
            <w:bookmarkStart w:id="23" w:name="_Hlk178294138"/>
            <w:r w:rsidRPr="001A0A01">
              <w:rPr>
                <w:color w:val="0D0D0D" w:themeColor="text1" w:themeTint="F2"/>
                <w:spacing w:val="-4"/>
                <w:lang w:val="en-GB"/>
              </w:rPr>
              <w:t>The output dropped due to the high comparative basis here, year-on-year, this year (−4.6%), nevertheless it has traditionally featured quite a volatile character. The positive</w:t>
            </w:r>
            <w:r w:rsidR="009D73B5">
              <w:rPr>
                <w:color w:val="0D0D0D" w:themeColor="text1" w:themeTint="F2"/>
                <w:spacing w:val="-4"/>
                <w:lang w:val="en-GB"/>
              </w:rPr>
              <w:t xml:space="preserve"> outlooks of this branch </w:t>
            </w:r>
            <w:proofErr w:type="spellStart"/>
            <w:r w:rsidR="009D73B5">
              <w:rPr>
                <w:color w:val="0D0D0D" w:themeColor="text1" w:themeTint="F2"/>
                <w:spacing w:val="-4"/>
                <w:lang w:val="en-GB"/>
              </w:rPr>
              <w:t>stemms</w:t>
            </w:r>
            <w:proofErr w:type="spellEnd"/>
            <w:r w:rsidR="009D73B5">
              <w:rPr>
                <w:color w:val="0D0D0D" w:themeColor="text1" w:themeTint="F2"/>
                <w:spacing w:val="-4"/>
                <w:lang w:val="en-GB"/>
              </w:rPr>
              <w:t xml:space="preserve"> from</w:t>
            </w:r>
            <w:r w:rsidRPr="001A0A01">
              <w:rPr>
                <w:color w:val="0D0D0D" w:themeColor="text1" w:themeTint="F2"/>
                <w:spacing w:val="-4"/>
                <w:lang w:val="en-GB"/>
              </w:rPr>
              <w:t xml:space="preserve"> the strong domestic demand associated with the development of transport infrastructure as well as the upgrade of the army. </w:t>
            </w:r>
            <w:bookmarkEnd w:id="23"/>
          </w:p>
        </w:tc>
      </w:tr>
      <w:tr w:rsidR="00E551F6" w:rsidRPr="001A0A01" w14:paraId="5D5CCFD5" w14:textId="77777777" w:rsidTr="00E551F6">
        <w:trPr>
          <w:trHeight w:val="170"/>
        </w:trPr>
        <w:tc>
          <w:tcPr>
            <w:tcW w:w="1814" w:type="dxa"/>
            <w:vMerge w:val="restart"/>
            <w:shd w:val="clear" w:color="auto" w:fill="auto"/>
            <w:tcMar>
              <w:left w:w="0" w:type="dxa"/>
            </w:tcMar>
          </w:tcPr>
          <w:p w14:paraId="3430CF66" w14:textId="77777777" w:rsidR="00E551F6" w:rsidRPr="001A0A01" w:rsidRDefault="00E551F6" w:rsidP="00E551F6">
            <w:pPr>
              <w:pStyle w:val="Marginlie"/>
              <w:rPr>
                <w:lang w:val="en-GB"/>
              </w:rPr>
            </w:pPr>
          </w:p>
        </w:tc>
        <w:tc>
          <w:tcPr>
            <w:tcW w:w="229" w:type="dxa"/>
            <w:vMerge w:val="restart"/>
            <w:shd w:val="clear" w:color="auto" w:fill="auto"/>
            <w:tcMar>
              <w:left w:w="0" w:type="dxa"/>
            </w:tcMar>
          </w:tcPr>
          <w:p w14:paraId="4F9157D7"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15E3C081" w14:textId="71EE1A94" w:rsidR="00E551F6" w:rsidRPr="001A0A01" w:rsidRDefault="00E551F6" w:rsidP="00E551F6">
            <w:pPr>
              <w:spacing w:after="0"/>
              <w:rPr>
                <w:spacing w:val="-2"/>
                <w:lang w:val="en-GB"/>
              </w:rPr>
            </w:pPr>
            <w:r w:rsidRPr="001A0A01">
              <w:rPr>
                <w:rFonts w:cs="Arial"/>
                <w:b/>
                <w:bCs/>
                <w:color w:val="000000"/>
                <w:spacing w:val="-2"/>
                <w:szCs w:val="20"/>
                <w:lang w:val="en-GB"/>
              </w:rPr>
              <w:t xml:space="preserve">Chart 4 </w:t>
            </w:r>
            <w:r w:rsidR="003D4488">
              <w:rPr>
                <w:b/>
                <w:spacing w:val="-2"/>
                <w:lang w:val="en-GB"/>
              </w:rPr>
              <w:t xml:space="preserve">Contributions of </w:t>
            </w:r>
            <w:r w:rsidR="003D1AE0">
              <w:rPr>
                <w:b/>
                <w:spacing w:val="-2"/>
                <w:lang w:val="en-GB"/>
              </w:rPr>
              <w:t>sub-</w:t>
            </w:r>
            <w:r w:rsidRPr="001A0A01">
              <w:rPr>
                <w:b/>
                <w:spacing w:val="-2"/>
                <w:lang w:val="en-GB"/>
              </w:rPr>
              <w:t>br</w:t>
            </w:r>
            <w:r w:rsidR="00316A85">
              <w:rPr>
                <w:b/>
                <w:spacing w:val="-2"/>
                <w:lang w:val="en-GB"/>
              </w:rPr>
              <w:t>anches to the year-on-year growth</w:t>
            </w:r>
            <w:r w:rsidRPr="001A0A01">
              <w:rPr>
                <w:b/>
                <w:spacing w:val="-2"/>
                <w:lang w:val="en-GB"/>
              </w:rPr>
              <w:t xml:space="preserve"> of the industrial production in the CR </w:t>
            </w:r>
            <w:r w:rsidRPr="001A0A01">
              <w:rPr>
                <w:spacing w:val="-2"/>
                <w:lang w:val="en-GB"/>
              </w:rPr>
              <w:t>(adjusted for c</w:t>
            </w:r>
            <w:r w:rsidR="00B67298">
              <w:rPr>
                <w:spacing w:val="-2"/>
                <w:lang w:val="en-GB"/>
              </w:rPr>
              <w:t>alendar effects, real, in p.p.),</w:t>
            </w:r>
            <w:r w:rsidRPr="004C697D">
              <w:rPr>
                <w:b/>
                <w:bCs/>
                <w:spacing w:val="-2"/>
                <w:lang w:val="en-GB"/>
              </w:rPr>
              <w:t xml:space="preserve"> </w:t>
            </w:r>
            <w:r w:rsidRPr="001A0A01">
              <w:rPr>
                <w:b/>
                <w:bCs/>
                <w:spacing w:val="-2"/>
                <w:lang w:val="en-GB"/>
              </w:rPr>
              <w:t xml:space="preserve">production </w:t>
            </w:r>
            <w:r w:rsidR="00B67298">
              <w:rPr>
                <w:b/>
                <w:bCs/>
                <w:spacing w:val="-2"/>
                <w:lang w:val="en-GB"/>
              </w:rPr>
              <w:t xml:space="preserve">(output) </w:t>
            </w:r>
            <w:r w:rsidRPr="00B67298">
              <w:rPr>
                <w:b/>
                <w:bCs/>
                <w:spacing w:val="-6"/>
                <w:lang w:val="en-GB"/>
              </w:rPr>
              <w:t>in the whole industry of CR, Germany and E</w:t>
            </w:r>
            <w:r w:rsidRPr="00B67298">
              <w:rPr>
                <w:b/>
                <w:spacing w:val="-6"/>
                <w:lang w:val="en-GB"/>
              </w:rPr>
              <w:t xml:space="preserve">U27 </w:t>
            </w:r>
            <w:r w:rsidR="001443DB" w:rsidRPr="00B67298">
              <w:rPr>
                <w:spacing w:val="-6"/>
                <w:lang w:val="en-GB"/>
              </w:rPr>
              <w:t xml:space="preserve">(seasonally adj., </w:t>
            </w:r>
            <w:r w:rsidR="004C697D" w:rsidRPr="00B67298">
              <w:rPr>
                <w:spacing w:val="-6"/>
                <w:lang w:val="en-GB"/>
              </w:rPr>
              <w:t xml:space="preserve">real, </w:t>
            </w:r>
            <w:r w:rsidR="001443DB" w:rsidRPr="00B67298">
              <w:rPr>
                <w:spacing w:val="-6"/>
                <w:lang w:val="en-GB"/>
              </w:rPr>
              <w:t>base of 2021=100</w:t>
            </w:r>
            <w:r w:rsidRPr="00B67298">
              <w:rPr>
                <w:spacing w:val="-6"/>
                <w:lang w:val="en-GB"/>
              </w:rPr>
              <w:t>)</w:t>
            </w:r>
          </w:p>
        </w:tc>
      </w:tr>
      <w:tr w:rsidR="00E551F6" w:rsidRPr="001A0A01" w14:paraId="22E2FFA0" w14:textId="77777777" w:rsidTr="00B67298">
        <w:tblPrEx>
          <w:tblCellMar>
            <w:left w:w="70" w:type="dxa"/>
            <w:right w:w="70" w:type="dxa"/>
          </w:tblCellMar>
        </w:tblPrEx>
        <w:trPr>
          <w:trHeight w:val="170"/>
        </w:trPr>
        <w:tc>
          <w:tcPr>
            <w:tcW w:w="1814" w:type="dxa"/>
            <w:vMerge/>
            <w:shd w:val="clear" w:color="auto" w:fill="auto"/>
          </w:tcPr>
          <w:p w14:paraId="4C9DF658" w14:textId="77777777" w:rsidR="00E551F6" w:rsidRPr="001A0A01" w:rsidRDefault="00E551F6" w:rsidP="00E551F6">
            <w:pPr>
              <w:pStyle w:val="Marginlie"/>
              <w:rPr>
                <w:lang w:val="en-GB"/>
              </w:rPr>
            </w:pPr>
          </w:p>
        </w:tc>
        <w:tc>
          <w:tcPr>
            <w:tcW w:w="229" w:type="dxa"/>
            <w:vMerge/>
            <w:shd w:val="clear" w:color="auto" w:fill="auto"/>
          </w:tcPr>
          <w:p w14:paraId="6300713F" w14:textId="77777777" w:rsidR="00E551F6" w:rsidRPr="001A0A01" w:rsidRDefault="00E551F6" w:rsidP="00E551F6">
            <w:pPr>
              <w:pStyle w:val="Textpoznpodarou"/>
              <w:jc w:val="both"/>
              <w:rPr>
                <w:spacing w:val="-4"/>
                <w:lang w:val="en-GB"/>
              </w:rPr>
            </w:pPr>
          </w:p>
        </w:tc>
        <w:tc>
          <w:tcPr>
            <w:tcW w:w="7596" w:type="dxa"/>
            <w:shd w:val="clear" w:color="auto" w:fill="auto"/>
          </w:tcPr>
          <w:p w14:paraId="23057194" w14:textId="4CDFF0EB" w:rsidR="00E551F6" w:rsidRPr="001A0A01" w:rsidRDefault="00B67298" w:rsidP="008A7D9B">
            <w:pPr>
              <w:spacing w:before="40" w:after="0"/>
              <w:rPr>
                <w:spacing w:val="-6"/>
                <w:lang w:val="en-GB"/>
              </w:rPr>
            </w:pPr>
            <w:r>
              <w:rPr>
                <w:noProof/>
              </w:rPr>
              <w:drawing>
                <wp:inline distT="0" distB="0" distL="0" distR="0" wp14:anchorId="462A458E" wp14:editId="26121320">
                  <wp:extent cx="4707172" cy="3686810"/>
                  <wp:effectExtent l="0" t="0" r="0" b="889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E551F6" w:rsidRPr="001A0A01" w14:paraId="470B01AD" w14:textId="77777777" w:rsidTr="00E551F6">
        <w:trPr>
          <w:trHeight w:val="170"/>
        </w:trPr>
        <w:tc>
          <w:tcPr>
            <w:tcW w:w="1814" w:type="dxa"/>
            <w:vMerge/>
            <w:shd w:val="clear" w:color="auto" w:fill="auto"/>
            <w:tcMar>
              <w:left w:w="0" w:type="dxa"/>
            </w:tcMar>
          </w:tcPr>
          <w:p w14:paraId="79757430" w14:textId="77777777" w:rsidR="00E551F6" w:rsidRPr="001A0A01" w:rsidRDefault="00E551F6" w:rsidP="00E551F6">
            <w:pPr>
              <w:pStyle w:val="Marginlie"/>
              <w:rPr>
                <w:lang w:val="en-GB"/>
              </w:rPr>
            </w:pPr>
            <w:bookmarkStart w:id="24" w:name="_Hlk178374074"/>
          </w:p>
        </w:tc>
        <w:tc>
          <w:tcPr>
            <w:tcW w:w="229" w:type="dxa"/>
            <w:vMerge/>
            <w:shd w:val="clear" w:color="auto" w:fill="auto"/>
            <w:tcMar>
              <w:left w:w="0" w:type="dxa"/>
            </w:tcMar>
          </w:tcPr>
          <w:p w14:paraId="29F75830" w14:textId="77777777" w:rsidR="00E551F6" w:rsidRPr="001A0A01" w:rsidRDefault="00E551F6" w:rsidP="00E551F6">
            <w:pPr>
              <w:pStyle w:val="Textpoznpodarou"/>
              <w:jc w:val="both"/>
              <w:rPr>
                <w:spacing w:val="-4"/>
                <w:lang w:val="en-GB"/>
              </w:rPr>
            </w:pPr>
          </w:p>
        </w:tc>
        <w:tc>
          <w:tcPr>
            <w:tcW w:w="7596" w:type="dxa"/>
            <w:shd w:val="clear" w:color="auto" w:fill="auto"/>
            <w:tcMar>
              <w:left w:w="0" w:type="dxa"/>
            </w:tcMar>
          </w:tcPr>
          <w:p w14:paraId="21F9CECB" w14:textId="5E993B92" w:rsidR="00E551F6" w:rsidRPr="00B67298" w:rsidRDefault="00E551F6" w:rsidP="00E551F6">
            <w:pPr>
              <w:tabs>
                <w:tab w:val="right" w:pos="7683"/>
              </w:tabs>
              <w:spacing w:after="0" w:line="240" w:lineRule="auto"/>
              <w:jc w:val="left"/>
              <w:rPr>
                <w:rFonts w:cs="Arial"/>
                <w:sz w:val="14"/>
                <w:szCs w:val="14"/>
                <w:lang w:val="en-GB"/>
              </w:rPr>
            </w:pPr>
            <w:r w:rsidRPr="001A0A01">
              <w:rPr>
                <w:rFonts w:cs="Arial"/>
                <w:spacing w:val="-2"/>
                <w:sz w:val="14"/>
                <w:szCs w:val="14"/>
                <w:lang w:val="en-GB"/>
              </w:rPr>
              <w:t xml:space="preserve">*Contribution of the remaining manufacturing industry also includes the effect of the total methodical discrepancy stemming </w:t>
            </w:r>
            <w:r w:rsidR="008A7D9B">
              <w:rPr>
                <w:rFonts w:cs="Arial"/>
                <w:spacing w:val="-2"/>
                <w:sz w:val="14"/>
                <w:szCs w:val="14"/>
                <w:lang w:val="en-GB"/>
              </w:rPr>
              <w:t>from the change of the weights in 2023.</w:t>
            </w:r>
          </w:p>
          <w:p w14:paraId="120438FD" w14:textId="113B66D2" w:rsidR="00E551F6" w:rsidRPr="00D54978" w:rsidRDefault="00E551F6" w:rsidP="00D54978">
            <w:pPr>
              <w:tabs>
                <w:tab w:val="right" w:pos="7683"/>
              </w:tabs>
              <w:spacing w:line="240" w:lineRule="auto"/>
              <w:jc w:val="left"/>
              <w:rPr>
                <w:rFonts w:cs="Arial"/>
                <w:sz w:val="14"/>
                <w:szCs w:val="14"/>
                <w:lang w:val="en-GB"/>
              </w:rPr>
            </w:pPr>
            <w:r w:rsidRPr="001A0A01">
              <w:rPr>
                <w:rFonts w:cs="Arial"/>
                <w:sz w:val="14"/>
                <w:szCs w:val="14"/>
                <w:lang w:val="en-GB"/>
              </w:rPr>
              <w:t>Source: CZSO, Eurostat</w:t>
            </w:r>
          </w:p>
        </w:tc>
      </w:tr>
      <w:tr w:rsidR="004018AC" w:rsidRPr="001A0A01" w14:paraId="3079AADE" w14:textId="77777777" w:rsidTr="00E551F6">
        <w:trPr>
          <w:trHeight w:val="134"/>
        </w:trPr>
        <w:tc>
          <w:tcPr>
            <w:tcW w:w="1814" w:type="dxa"/>
            <w:shd w:val="clear" w:color="auto" w:fill="auto"/>
            <w:tcMar>
              <w:left w:w="0" w:type="dxa"/>
            </w:tcMar>
          </w:tcPr>
          <w:p w14:paraId="05513BCB" w14:textId="0F06E7C5" w:rsidR="004018AC" w:rsidRPr="001A0A01" w:rsidRDefault="000674C7" w:rsidP="008602EC">
            <w:pPr>
              <w:jc w:val="left"/>
              <w:rPr>
                <w:color w:val="0D0D0D" w:themeColor="text1" w:themeTint="F2"/>
                <w:spacing w:val="-4"/>
                <w:sz w:val="16"/>
                <w:szCs w:val="16"/>
                <w:lang w:val="en-GB"/>
              </w:rPr>
            </w:pPr>
            <w:r w:rsidRPr="000674C7">
              <w:rPr>
                <w:color w:val="0D0D0D" w:themeColor="text1" w:themeTint="F2"/>
                <w:spacing w:val="-4"/>
                <w:sz w:val="16"/>
                <w:szCs w:val="16"/>
                <w:lang w:val="en-GB"/>
              </w:rPr>
              <w:t>Deep slump of production continued in metallurgy. Difficulties persisted in most other energy-intensive industries as well. However, the chemical industry recorded a positive turnaround, caused by a recovery in domestic demand.</w:t>
            </w:r>
          </w:p>
        </w:tc>
        <w:tc>
          <w:tcPr>
            <w:tcW w:w="229" w:type="dxa"/>
            <w:shd w:val="clear" w:color="auto" w:fill="auto"/>
            <w:tcMar>
              <w:left w:w="0" w:type="dxa"/>
            </w:tcMar>
          </w:tcPr>
          <w:p w14:paraId="186F938B" w14:textId="77777777" w:rsidR="004018AC" w:rsidRPr="001A0A01" w:rsidRDefault="004018AC" w:rsidP="008602EC">
            <w:pPr>
              <w:pStyle w:val="Textpoznpodarou"/>
              <w:jc w:val="both"/>
              <w:rPr>
                <w:spacing w:val="-4"/>
                <w:lang w:val="en-GB"/>
              </w:rPr>
            </w:pPr>
          </w:p>
        </w:tc>
        <w:tc>
          <w:tcPr>
            <w:tcW w:w="7596" w:type="dxa"/>
            <w:shd w:val="clear" w:color="auto" w:fill="auto"/>
            <w:tcMar>
              <w:left w:w="0" w:type="dxa"/>
            </w:tcMar>
          </w:tcPr>
          <w:p w14:paraId="0B7C0933" w14:textId="4EB625F7" w:rsidR="004018AC" w:rsidRPr="001A0A01" w:rsidRDefault="000674C7" w:rsidP="008602EC">
            <w:pPr>
              <w:rPr>
                <w:color w:val="0D0D0D" w:themeColor="text1" w:themeTint="F2"/>
                <w:spacing w:val="-4"/>
                <w:lang w:val="en-GB"/>
              </w:rPr>
            </w:pPr>
            <w:r w:rsidRPr="001A0A01">
              <w:rPr>
                <w:color w:val="0D0D0D" w:themeColor="text1" w:themeTint="F2"/>
                <w:spacing w:val="-4"/>
                <w:lang w:val="en-GB"/>
              </w:rPr>
              <w:t>Most energy-intensive industries faced weak demand and still raised production costs (in relation to both 2020 and 2021) also at the beginning of this year. In basic metal production, metallurgy and foundry, the output decreased for the third year in a row, year-on-year, falling by 8.5% in H1 2024</w:t>
            </w:r>
            <w:r w:rsidRPr="001A0A01">
              <w:rPr>
                <w:rStyle w:val="Znakapoznpodarou"/>
                <w:color w:val="0D0D0D" w:themeColor="text1" w:themeTint="F2"/>
                <w:spacing w:val="-4"/>
                <w:lang w:val="en-GB"/>
              </w:rPr>
              <w:footnoteReference w:id="22"/>
            </w:r>
            <w:r w:rsidRPr="001A0A01">
              <w:rPr>
                <w:color w:val="0D0D0D" w:themeColor="text1" w:themeTint="F2"/>
                <w:spacing w:val="-4"/>
                <w:lang w:val="en-GB"/>
              </w:rPr>
              <w:t xml:space="preserve">. Even the development of </w:t>
            </w:r>
            <w:r>
              <w:rPr>
                <w:color w:val="0D0D0D" w:themeColor="text1" w:themeTint="F2"/>
                <w:spacing w:val="-4"/>
                <w:lang w:val="en-GB"/>
              </w:rPr>
              <w:t xml:space="preserve">new </w:t>
            </w:r>
            <w:r w:rsidRPr="001A0A01">
              <w:rPr>
                <w:color w:val="0D0D0D" w:themeColor="text1" w:themeTint="F2"/>
                <w:spacing w:val="-4"/>
                <w:lang w:val="en-GB"/>
              </w:rPr>
              <w:t>orders in this field does not yet indicate any sign of a positive turnaround. Companies lack the external demand the most, which is related to the unfavourable development of metallurgy throughout the EU</w:t>
            </w:r>
            <w:r w:rsidRPr="001A0A01">
              <w:rPr>
                <w:rStyle w:val="Znakapoznpodarou"/>
                <w:color w:val="0D0D0D" w:themeColor="text1" w:themeTint="F2"/>
                <w:spacing w:val="-4"/>
                <w:lang w:val="en-GB"/>
              </w:rPr>
              <w:footnoteReference w:id="23"/>
            </w:r>
            <w:r w:rsidRPr="001A0A01">
              <w:rPr>
                <w:color w:val="0D0D0D" w:themeColor="text1" w:themeTint="F2"/>
                <w:spacing w:val="-4"/>
                <w:lang w:val="en-GB"/>
              </w:rPr>
              <w:t xml:space="preserve">. There has been a decline in demand for steel in the long term, especially from construction, manufacturing of motor vehicles or engineering. The persistent, but orders of magnitude smaller decline in production also afflicted the metalworking industry and the production of building materials. In both cases, it is currently mainly due to weaker domestic demand. On </w:t>
            </w:r>
            <w:r w:rsidRPr="001A0A01">
              <w:rPr>
                <w:color w:val="0D0D0D" w:themeColor="text1" w:themeTint="F2"/>
                <w:spacing w:val="-4"/>
                <w:lang w:val="en-GB"/>
              </w:rPr>
              <w:lastRenderedPageBreak/>
              <w:t>the contrary, in the energy-intensive chemical industry, the production strengthened by 3.7%, year-on-ye</w:t>
            </w:r>
            <w:r>
              <w:rPr>
                <w:color w:val="0D0D0D" w:themeColor="text1" w:themeTint="F2"/>
                <w:spacing w:val="-4"/>
                <w:lang w:val="en-GB"/>
              </w:rPr>
              <w:t>ar (</w:t>
            </w:r>
            <w:r w:rsidRPr="001A0A01">
              <w:rPr>
                <w:color w:val="0D0D0D" w:themeColor="text1" w:themeTint="F2"/>
                <w:spacing w:val="-4"/>
                <w:lang w:val="en-GB"/>
              </w:rPr>
              <w:t>after last year's slump</w:t>
            </w:r>
            <w:r>
              <w:rPr>
                <w:color w:val="0D0D0D" w:themeColor="text1" w:themeTint="F2"/>
                <w:spacing w:val="-4"/>
                <w:lang w:val="en-GB"/>
              </w:rPr>
              <w:t>)</w:t>
            </w:r>
            <w:r w:rsidRPr="001A0A01">
              <w:rPr>
                <w:color w:val="0D0D0D" w:themeColor="text1" w:themeTint="F2"/>
                <w:spacing w:val="-4"/>
                <w:lang w:val="en-GB"/>
              </w:rPr>
              <w:t xml:space="preserve"> thanks to the recovery on the</w:t>
            </w:r>
            <w:r>
              <w:rPr>
                <w:color w:val="0D0D0D" w:themeColor="text1" w:themeTint="F2"/>
                <w:spacing w:val="-4"/>
                <w:lang w:val="en-GB"/>
              </w:rPr>
              <w:t xml:space="preserve"> domestic market in H1 2024. Chemistry</w:t>
            </w:r>
            <w:r w:rsidRPr="001A0A01">
              <w:rPr>
                <w:color w:val="0D0D0D" w:themeColor="text1" w:themeTint="F2"/>
                <w:spacing w:val="-4"/>
                <w:lang w:val="en-GB"/>
              </w:rPr>
              <w:t xml:space="preserve"> together with the food industry, dampened the decline in the </w:t>
            </w:r>
            <w:r w:rsidRPr="00E61613">
              <w:rPr>
                <w:color w:val="0D0D0D" w:themeColor="text1" w:themeTint="F2"/>
                <w:spacing w:val="-6"/>
                <w:lang w:val="en-GB"/>
              </w:rPr>
              <w:t>performance of the total industry the most of all its branches (both branches in total +0.4 p.p.).</w:t>
            </w:r>
          </w:p>
        </w:tc>
      </w:tr>
      <w:bookmarkEnd w:id="24"/>
      <w:tr w:rsidR="008602EC" w:rsidRPr="001A0A01" w14:paraId="22B9259B" w14:textId="77777777" w:rsidTr="00E551F6">
        <w:trPr>
          <w:trHeight w:val="134"/>
        </w:trPr>
        <w:tc>
          <w:tcPr>
            <w:tcW w:w="1814" w:type="dxa"/>
            <w:shd w:val="clear" w:color="auto" w:fill="auto"/>
            <w:tcMar>
              <w:left w:w="0" w:type="dxa"/>
            </w:tcMar>
          </w:tcPr>
          <w:p w14:paraId="61A0F924" w14:textId="6EF79467" w:rsidR="008602EC" w:rsidRPr="001A0A01" w:rsidRDefault="008602EC" w:rsidP="008602EC">
            <w:pPr>
              <w:jc w:val="left"/>
              <w:rPr>
                <w:color w:val="0D0D0D" w:themeColor="text1" w:themeTint="F2"/>
                <w:spacing w:val="-4"/>
                <w:sz w:val="16"/>
                <w:szCs w:val="16"/>
                <w:lang w:val="en-GB"/>
              </w:rPr>
            </w:pPr>
            <w:r w:rsidRPr="001A0A01">
              <w:rPr>
                <w:color w:val="0D0D0D" w:themeColor="text1" w:themeTint="F2"/>
                <w:spacing w:val="-4"/>
                <w:sz w:val="16"/>
                <w:szCs w:val="16"/>
                <w:lang w:val="en-GB"/>
              </w:rPr>
              <w:lastRenderedPageBreak/>
              <w:t xml:space="preserve">The food and beverage industries benefited from the revived household consumption. However, for some items, people still tended to postpone consumption, which was reflected in the performance of the furniture industry. </w:t>
            </w:r>
          </w:p>
        </w:tc>
        <w:tc>
          <w:tcPr>
            <w:tcW w:w="229" w:type="dxa"/>
            <w:shd w:val="clear" w:color="auto" w:fill="auto"/>
            <w:tcMar>
              <w:left w:w="0" w:type="dxa"/>
            </w:tcMar>
          </w:tcPr>
          <w:p w14:paraId="7782C034"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E147AD5" w14:textId="1B9C0C47" w:rsidR="008602EC" w:rsidRPr="001A0A01" w:rsidRDefault="008602EC" w:rsidP="008602EC">
            <w:pPr>
              <w:rPr>
                <w:color w:val="0D0D0D" w:themeColor="text1" w:themeTint="F2"/>
                <w:spacing w:val="-5"/>
                <w:lang w:val="en-GB"/>
              </w:rPr>
            </w:pPr>
            <w:r w:rsidRPr="001A0A01">
              <w:rPr>
                <w:color w:val="0D0D0D" w:themeColor="text1" w:themeTint="F2"/>
                <w:spacing w:val="-4"/>
                <w:lang w:val="en-GB"/>
              </w:rPr>
              <w:t>Majority of the smaller manufacturing branches revived this year following the last year's downturn. The output of paper industry strengthened by almost 8%</w:t>
            </w:r>
            <w:r w:rsidR="00C8030A">
              <w:rPr>
                <w:color w:val="0D0D0D" w:themeColor="text1" w:themeTint="F2"/>
                <w:spacing w:val="-4"/>
                <w:lang w:val="en-GB"/>
              </w:rPr>
              <w:t xml:space="preserve"> in H1 2024</w:t>
            </w:r>
            <w:r w:rsidRPr="001A0A01">
              <w:rPr>
                <w:color w:val="0D0D0D" w:themeColor="text1" w:themeTint="F2"/>
                <w:spacing w:val="-4"/>
                <w:lang w:val="en-GB"/>
              </w:rPr>
              <w:t>, and the diverse field of other manufacturing</w:t>
            </w:r>
            <w:r w:rsidRPr="001A0A01">
              <w:rPr>
                <w:rStyle w:val="Znakapoznpodarou"/>
                <w:color w:val="0D0D0D" w:themeColor="text1" w:themeTint="F2"/>
                <w:spacing w:val="-8"/>
                <w:lang w:val="en-GB"/>
              </w:rPr>
              <w:footnoteReference w:id="24"/>
            </w:r>
            <w:r w:rsidRPr="001A0A01">
              <w:rPr>
                <w:color w:val="0D0D0D" w:themeColor="text1" w:themeTint="F2"/>
                <w:spacing w:val="-4"/>
                <w:lang w:val="en-GB"/>
              </w:rPr>
              <w:t xml:space="preserve"> also achieved a similar growth. The recovery of consumption of the domestic households as well as the development of inbound tourism resulted in higher production of both the food industry (+4.6%) and manufacturing of beverages (+6.0%). The strengthening external demand contributed to the growth of the clothing industry (+5.3%). In contrast, thanks to the development of the domestic market, the long-term growth of the footwear and pharmaceutical industries continued this year. However, the textile industry (−2.0%) and manufacturing of furniture (−3.9%) still did not </w:t>
            </w:r>
            <w:r w:rsidRPr="00C8030A">
              <w:rPr>
                <w:color w:val="0D0D0D" w:themeColor="text1" w:themeTint="F2"/>
                <w:spacing w:val="-6"/>
                <w:lang w:val="en-GB"/>
              </w:rPr>
              <w:t>prosper, the year-on-year decline of production persisted for the eighth quarter in a row here.</w:t>
            </w:r>
            <w:r w:rsidRPr="001A0A01">
              <w:rPr>
                <w:color w:val="0D0D0D" w:themeColor="text1" w:themeTint="F2"/>
                <w:spacing w:val="-4"/>
                <w:lang w:val="en-GB"/>
              </w:rPr>
              <w:t xml:space="preserve"> These branches are plagued by weak domestic demand – in the case of textile production, especially from the related construction industry (technical textiles), and in the furniture industry then a persisting lower willingness of households to buy </w:t>
            </w:r>
            <w:r w:rsidR="00C8030A">
              <w:rPr>
                <w:color w:val="0D0D0D" w:themeColor="text1" w:themeTint="F2"/>
                <w:spacing w:val="-4"/>
                <w:lang w:val="en-GB"/>
              </w:rPr>
              <w:t>“</w:t>
            </w:r>
            <w:r w:rsidRPr="001A0A01">
              <w:rPr>
                <w:color w:val="0D0D0D" w:themeColor="text1" w:themeTint="F2"/>
                <w:spacing w:val="-4"/>
                <w:lang w:val="en-GB"/>
              </w:rPr>
              <w:t>non-essential</w:t>
            </w:r>
            <w:r w:rsidR="00C8030A">
              <w:rPr>
                <w:color w:val="0D0D0D" w:themeColor="text1" w:themeTint="F2"/>
                <w:spacing w:val="-4"/>
                <w:lang w:val="en-GB"/>
              </w:rPr>
              <w:t>”</w:t>
            </w:r>
            <w:r w:rsidRPr="001A0A01">
              <w:rPr>
                <w:color w:val="0D0D0D" w:themeColor="text1" w:themeTint="F2"/>
                <w:spacing w:val="-4"/>
                <w:lang w:val="en-GB"/>
              </w:rPr>
              <w:t xml:space="preserve"> goods.  </w:t>
            </w:r>
          </w:p>
        </w:tc>
      </w:tr>
      <w:tr w:rsidR="008602EC" w:rsidRPr="001A0A01" w14:paraId="7C82B24F" w14:textId="77777777" w:rsidTr="00E551F6">
        <w:trPr>
          <w:trHeight w:val="134"/>
        </w:trPr>
        <w:tc>
          <w:tcPr>
            <w:tcW w:w="1814" w:type="dxa"/>
            <w:shd w:val="clear" w:color="auto" w:fill="auto"/>
            <w:tcMar>
              <w:left w:w="0" w:type="dxa"/>
            </w:tcMar>
          </w:tcPr>
          <w:p w14:paraId="0C4C136E" w14:textId="0D7123FC" w:rsidR="008602EC" w:rsidRPr="000D0754" w:rsidRDefault="008602EC" w:rsidP="008602EC">
            <w:pPr>
              <w:jc w:val="left"/>
              <w:rPr>
                <w:color w:val="0D0D0D" w:themeColor="text1" w:themeTint="F2"/>
                <w:spacing w:val="-4"/>
                <w:sz w:val="16"/>
                <w:szCs w:val="16"/>
                <w:lang w:val="en-GB"/>
              </w:rPr>
            </w:pPr>
            <w:bookmarkStart w:id="25" w:name="_Hlk178373926"/>
            <w:r w:rsidRPr="001A0A01">
              <w:rPr>
                <w:color w:val="0D0D0D" w:themeColor="text1" w:themeTint="F2"/>
                <w:spacing w:val="-4"/>
                <w:sz w:val="16"/>
                <w:szCs w:val="16"/>
                <w:lang w:val="en-GB"/>
              </w:rPr>
              <w:t xml:space="preserve">The continuing downturn of demand in the energy sector was mainly related to the very warm winter, and to a lesser extent also to austerity measures by households and firms, as well as to weaker economic activity in both industry and construction. </w:t>
            </w:r>
          </w:p>
          <w:bookmarkEnd w:id="25"/>
          <w:p w14:paraId="5D9224AC" w14:textId="77777777" w:rsidR="008602EC" w:rsidRPr="001A0A01" w:rsidRDefault="008602EC" w:rsidP="008602EC">
            <w:pPr>
              <w:pStyle w:val="Marginlie"/>
              <w:rPr>
                <w:lang w:val="en-GB"/>
              </w:rPr>
            </w:pPr>
            <w:r w:rsidRPr="001A0A01">
              <w:rPr>
                <w:color w:val="0D0D0D" w:themeColor="text1" w:themeTint="F2"/>
                <w:spacing w:val="-4"/>
                <w:lang w:val="en-GB"/>
              </w:rPr>
              <w:t xml:space="preserve">The decrease of coal and building materials mining continued. </w:t>
            </w:r>
          </w:p>
        </w:tc>
        <w:tc>
          <w:tcPr>
            <w:tcW w:w="229" w:type="dxa"/>
            <w:shd w:val="clear" w:color="auto" w:fill="auto"/>
            <w:tcMar>
              <w:left w:w="0" w:type="dxa"/>
            </w:tcMar>
          </w:tcPr>
          <w:p w14:paraId="4A95BFC9"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DEB7209" w14:textId="11829FA8" w:rsidR="008602EC" w:rsidRPr="001A0A01" w:rsidRDefault="008602EC" w:rsidP="008602EC">
            <w:pPr>
              <w:rPr>
                <w:color w:val="0D0D0D" w:themeColor="text1" w:themeTint="F2"/>
                <w:spacing w:val="-4"/>
                <w:lang w:val="en-GB"/>
              </w:rPr>
            </w:pPr>
            <w:bookmarkStart w:id="26" w:name="_Hlk178374097"/>
            <w:r w:rsidRPr="001A0A01">
              <w:rPr>
                <w:color w:val="0D0D0D" w:themeColor="text1" w:themeTint="F2"/>
                <w:spacing w:val="-5"/>
                <w:lang w:val="en-GB"/>
              </w:rPr>
              <w:t>Similarly to the whole last year, the performance of industry was significantly hampered by its non-manufacturing branches (−0.4 p.p.) also in H1 2024. Output fell by 3.1%, year-on-year, in the energy sector this year (it plunged by a record 11.1% for the whole last year). All key sources were responsible for lower electricity production this year</w:t>
            </w:r>
            <w:r w:rsidRPr="001A0A01">
              <w:rPr>
                <w:rStyle w:val="Znakapoznpodarou"/>
                <w:color w:val="0D0D0D" w:themeColor="text1" w:themeTint="F2"/>
                <w:spacing w:val="-5"/>
                <w:lang w:val="en-GB"/>
              </w:rPr>
              <w:footnoteReference w:id="25"/>
            </w:r>
            <w:r w:rsidRPr="001A0A01">
              <w:rPr>
                <w:color w:val="0D0D0D" w:themeColor="text1" w:themeTint="F2"/>
                <w:spacing w:val="-5"/>
                <w:lang w:val="en-GB"/>
              </w:rPr>
              <w:t>. Electricity</w:t>
            </w:r>
            <w:r w:rsidRPr="001A0A01">
              <w:rPr>
                <w:rStyle w:val="Znakapoznpodarou"/>
                <w:color w:val="0D0D0D" w:themeColor="text1" w:themeTint="F2"/>
                <w:spacing w:val="-5"/>
                <w:lang w:val="en-GB"/>
              </w:rPr>
              <w:footnoteReference w:id="26"/>
            </w:r>
            <w:r w:rsidRPr="001A0A01">
              <w:rPr>
                <w:color w:val="0D0D0D" w:themeColor="text1" w:themeTint="F2"/>
                <w:spacing w:val="-5"/>
                <w:lang w:val="en-GB"/>
              </w:rPr>
              <w:t xml:space="preserve"> and natural gas</w:t>
            </w:r>
            <w:r w:rsidRPr="001A0A01">
              <w:rPr>
                <w:rStyle w:val="Znakapoznpodarou"/>
                <w:color w:val="0D0D0D" w:themeColor="text1" w:themeTint="F2"/>
                <w:spacing w:val="-5"/>
                <w:lang w:val="en-GB"/>
              </w:rPr>
              <w:footnoteReference w:id="27"/>
            </w:r>
            <w:r w:rsidRPr="001A0A01">
              <w:rPr>
                <w:color w:val="0D0D0D" w:themeColor="text1" w:themeTint="F2"/>
                <w:spacing w:val="-5"/>
                <w:lang w:val="en-GB"/>
              </w:rPr>
              <w:t xml:space="preserve"> consumption also continued to decline, but unlike in the past, this was primarily caused by warmer weather during the heating season</w:t>
            </w:r>
            <w:r w:rsidRPr="001A0A01">
              <w:rPr>
                <w:rStyle w:val="Znakapoznpodarou"/>
                <w:color w:val="0D0D0D" w:themeColor="text1" w:themeTint="F2"/>
                <w:spacing w:val="-5"/>
                <w:lang w:val="en-GB"/>
              </w:rPr>
              <w:footnoteReference w:id="28"/>
            </w:r>
            <w:r w:rsidRPr="001A0A01">
              <w:rPr>
                <w:color w:val="0D0D0D" w:themeColor="text1" w:themeTint="F2"/>
                <w:spacing w:val="-5"/>
                <w:lang w:val="en-GB"/>
              </w:rPr>
              <w:t xml:space="preserve">. The fact that households and companies continued with their austerity measures was also evident. </w:t>
            </w:r>
            <w:bookmarkEnd w:id="26"/>
            <w:r w:rsidRPr="001A0A01">
              <w:rPr>
                <w:color w:val="0D0D0D" w:themeColor="text1" w:themeTint="F2"/>
                <w:spacing w:val="-5"/>
                <w:lang w:val="en-GB"/>
              </w:rPr>
              <w:t>Slowed economic activity in industry and construction also contributed to the lower consumption. The development</w:t>
            </w:r>
            <w:r w:rsidR="00C4293F">
              <w:rPr>
                <w:color w:val="0D0D0D" w:themeColor="text1" w:themeTint="F2"/>
                <w:spacing w:val="-5"/>
                <w:lang w:val="en-GB"/>
              </w:rPr>
              <w:t xml:space="preserve"> in the energy sector is</w:t>
            </w:r>
            <w:r w:rsidRPr="001A0A01">
              <w:rPr>
                <w:color w:val="0D0D0D" w:themeColor="text1" w:themeTint="F2"/>
                <w:spacing w:val="-5"/>
                <w:lang w:val="en-GB"/>
              </w:rPr>
              <w:t xml:space="preserve"> connected to the ongoing controlled downturn in the mining industry. The deep decline of production continued for the second year in a row here, amounting to 9.6%, year-on-year, in H1 2024. Mainly the slump in the increasingly unprofitable coal mining (−14.7%) has had a negative effect, but weak domestic demand </w:t>
            </w:r>
            <w:r w:rsidRPr="00C4293F">
              <w:rPr>
                <w:color w:val="0D0D0D" w:themeColor="text1" w:themeTint="F2"/>
                <w:spacing w:val="-8"/>
                <w:lang w:val="en-GB"/>
              </w:rPr>
              <w:t>has also limited the output in the mining of building materials (−4.0%) for more than two years.</w:t>
            </w:r>
            <w:r w:rsidRPr="001A0A01">
              <w:rPr>
                <w:color w:val="0D0D0D" w:themeColor="text1" w:themeTint="F2"/>
                <w:spacing w:val="-5"/>
                <w:lang w:val="en-GB"/>
              </w:rPr>
              <w:t xml:space="preserve"> </w:t>
            </w:r>
          </w:p>
        </w:tc>
      </w:tr>
      <w:tr w:rsidR="008602EC" w:rsidRPr="001A0A01" w14:paraId="6F6A9D27" w14:textId="77777777" w:rsidTr="00E551F6">
        <w:trPr>
          <w:trHeight w:val="134"/>
        </w:trPr>
        <w:tc>
          <w:tcPr>
            <w:tcW w:w="1814" w:type="dxa"/>
            <w:shd w:val="clear" w:color="auto" w:fill="auto"/>
            <w:tcMar>
              <w:left w:w="0" w:type="dxa"/>
            </w:tcMar>
          </w:tcPr>
          <w:p w14:paraId="3CFF8865" w14:textId="59F59EB0" w:rsidR="008602EC" w:rsidRPr="001A0A01" w:rsidRDefault="008602EC" w:rsidP="008602EC">
            <w:pPr>
              <w:pStyle w:val="Marginlie"/>
              <w:rPr>
                <w:lang w:val="en-GB"/>
              </w:rPr>
            </w:pPr>
            <w:r w:rsidRPr="001A0A01">
              <w:rPr>
                <w:lang w:val="en-GB"/>
              </w:rPr>
              <w:t xml:space="preserve">Value of </w:t>
            </w:r>
            <w:r w:rsidR="006E7124">
              <w:rPr>
                <w:lang w:val="en-GB"/>
              </w:rPr>
              <w:t xml:space="preserve">new </w:t>
            </w:r>
            <w:r w:rsidRPr="001A0A01">
              <w:rPr>
                <w:lang w:val="en-GB"/>
              </w:rPr>
              <w:t xml:space="preserve">orders in the manufacturing of transport equipment grew rapidly. </w:t>
            </w:r>
          </w:p>
          <w:p w14:paraId="322062BC" w14:textId="77777777" w:rsidR="008602EC" w:rsidRPr="001A0A01" w:rsidRDefault="008602EC" w:rsidP="008602EC">
            <w:pPr>
              <w:pStyle w:val="Marginlie"/>
              <w:rPr>
                <w:lang w:val="en-GB"/>
              </w:rPr>
            </w:pPr>
          </w:p>
          <w:p w14:paraId="1F788A2F" w14:textId="77777777" w:rsidR="008602EC" w:rsidRPr="001A0A01" w:rsidRDefault="008602EC" w:rsidP="008602EC">
            <w:pPr>
              <w:pStyle w:val="Marginlie"/>
              <w:rPr>
                <w:lang w:val="en-GB"/>
              </w:rPr>
            </w:pPr>
          </w:p>
          <w:p w14:paraId="6E59F647" w14:textId="77777777" w:rsidR="008602EC" w:rsidRPr="001A0A01" w:rsidRDefault="008602EC" w:rsidP="008602EC">
            <w:pPr>
              <w:pStyle w:val="Marginlie"/>
              <w:rPr>
                <w:lang w:val="en-GB"/>
              </w:rPr>
            </w:pPr>
          </w:p>
          <w:p w14:paraId="6BCF32CE" w14:textId="656C996F" w:rsidR="008602EC" w:rsidRPr="001A0A01" w:rsidRDefault="008602EC" w:rsidP="008602EC">
            <w:pPr>
              <w:pStyle w:val="Marginlie"/>
              <w:rPr>
                <w:lang w:val="en-GB"/>
              </w:rPr>
            </w:pPr>
            <w:bookmarkStart w:id="30" w:name="_Hlk178432787"/>
            <w:r w:rsidRPr="001A0A01">
              <w:rPr>
                <w:lang w:val="en-GB"/>
              </w:rPr>
              <w:lastRenderedPageBreak/>
              <w:t xml:space="preserve">Weak demand however persisted in metallurgy, engineering and metalworking industry. </w:t>
            </w:r>
            <w:bookmarkEnd w:id="30"/>
          </w:p>
        </w:tc>
        <w:tc>
          <w:tcPr>
            <w:tcW w:w="229" w:type="dxa"/>
            <w:shd w:val="clear" w:color="auto" w:fill="auto"/>
            <w:tcMar>
              <w:left w:w="0" w:type="dxa"/>
            </w:tcMar>
          </w:tcPr>
          <w:p w14:paraId="06DCFFC0"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674C266A" w14:textId="77777777" w:rsidR="008602EC" w:rsidRPr="001A0A01" w:rsidRDefault="008602EC" w:rsidP="008602EC">
            <w:pPr>
              <w:rPr>
                <w:color w:val="0D0D0D" w:themeColor="text1" w:themeTint="F2"/>
                <w:spacing w:val="-4"/>
                <w:lang w:val="en-GB"/>
              </w:rPr>
            </w:pPr>
            <w:bookmarkStart w:id="31" w:name="_Hlk178437441"/>
            <w:r w:rsidRPr="001A0A01">
              <w:rPr>
                <w:color w:val="0D0D0D" w:themeColor="text1" w:themeTint="F2"/>
                <w:spacing w:val="-4"/>
                <w:lang w:val="en-GB"/>
              </w:rPr>
              <w:t>The dynamics of new industrial orders have confirmed this year's slight recovery so far.  While the nominal value of orders in the monitored industrial branches</w:t>
            </w:r>
            <w:r w:rsidRPr="001A0A01">
              <w:rPr>
                <w:rStyle w:val="Znakapoznpodarou"/>
                <w:color w:val="0D0D0D" w:themeColor="text1" w:themeTint="F2"/>
                <w:spacing w:val="-4"/>
                <w:lang w:val="en-GB"/>
              </w:rPr>
              <w:footnoteReference w:id="29"/>
            </w:r>
            <w:r w:rsidRPr="001A0A01">
              <w:rPr>
                <w:color w:val="0D0D0D" w:themeColor="text1" w:themeTint="F2"/>
                <w:spacing w:val="-4"/>
                <w:lang w:val="en-GB"/>
              </w:rPr>
              <w:t xml:space="preserve"> was decreasing, year-on-year, for most of the last year, it increased by 3.4% in H1 2024 (it increased similarly in both quarters of this year). It can be seen with respect to the stagnation of industrial producer prices as an indication of a future moderate economic recovery in the entire sector. Both domestic orders (+2.6%) and foreign orders (+3.8%) signalled growth. </w:t>
            </w:r>
            <w:r w:rsidRPr="001A0A01">
              <w:rPr>
                <w:color w:val="0D0D0D" w:themeColor="text1" w:themeTint="F2"/>
                <w:spacing w:val="-4"/>
                <w:lang w:val="en-GB"/>
              </w:rPr>
              <w:lastRenderedPageBreak/>
              <w:t xml:space="preserve">The growth of total orders was mainly caused (similarly to the whole last year) by higher demand for motor vehicles (+10%), followed by near sub-branch of the manufacturing of electrical equipment (+5%). Thanks to the domestic demand, positive prospects were also evident in manufacturing of other transport vehicles or electronics. A further revival of some </w:t>
            </w:r>
            <w:r w:rsidRPr="006E7124">
              <w:rPr>
                <w:color w:val="0D0D0D" w:themeColor="text1" w:themeTint="F2"/>
                <w:spacing w:val="-6"/>
                <w:lang w:val="en-GB"/>
              </w:rPr>
              <w:t>smaller branches is heralded by higher contracted orders in the clothing and paper industries.</w:t>
            </w:r>
            <w:r w:rsidRPr="001A0A01">
              <w:rPr>
                <w:color w:val="0D0D0D" w:themeColor="text1" w:themeTint="F2"/>
                <w:spacing w:val="-4"/>
                <w:lang w:val="en-GB"/>
              </w:rPr>
              <w:t xml:space="preserve"> However, a number of key manufacturing branches were still limited by weak demand. It fell by 15%, year-on-year, in metallurgy, by 6% in engineering, and the number of total orders only stagnated due to the still weak domestic demand in the metalworking industry. </w:t>
            </w:r>
            <w:bookmarkEnd w:id="31"/>
          </w:p>
        </w:tc>
      </w:tr>
      <w:tr w:rsidR="008602EC" w:rsidRPr="001A0A01" w14:paraId="7C35AEAD" w14:textId="77777777" w:rsidTr="00E551F6">
        <w:trPr>
          <w:trHeight w:val="134"/>
        </w:trPr>
        <w:tc>
          <w:tcPr>
            <w:tcW w:w="1814" w:type="dxa"/>
            <w:vMerge w:val="restart"/>
            <w:shd w:val="clear" w:color="auto" w:fill="auto"/>
            <w:tcMar>
              <w:left w:w="0" w:type="dxa"/>
            </w:tcMar>
          </w:tcPr>
          <w:p w14:paraId="2CA3CC50" w14:textId="77777777" w:rsidR="008602EC" w:rsidRPr="001A0A01" w:rsidRDefault="008602EC" w:rsidP="008602EC">
            <w:pPr>
              <w:pStyle w:val="Marginlie"/>
              <w:rPr>
                <w:lang w:val="en-GB"/>
              </w:rPr>
            </w:pPr>
          </w:p>
        </w:tc>
        <w:tc>
          <w:tcPr>
            <w:tcW w:w="229" w:type="dxa"/>
            <w:vMerge w:val="restart"/>
            <w:shd w:val="clear" w:color="auto" w:fill="auto"/>
            <w:tcMar>
              <w:left w:w="0" w:type="dxa"/>
            </w:tcMar>
          </w:tcPr>
          <w:p w14:paraId="22E1EDCF"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506CE262" w14:textId="5CF56B42" w:rsidR="008602EC" w:rsidRPr="001A0A01" w:rsidRDefault="008602EC" w:rsidP="008602EC">
            <w:pPr>
              <w:spacing w:after="0"/>
              <w:rPr>
                <w:color w:val="0D0D0D" w:themeColor="text1" w:themeTint="F2"/>
                <w:spacing w:val="-5"/>
                <w:lang w:val="en-GB"/>
              </w:rPr>
            </w:pPr>
            <w:r w:rsidRPr="001A0A01">
              <w:rPr>
                <w:b/>
                <w:spacing w:val="-2"/>
                <w:lang w:val="en-GB"/>
              </w:rPr>
              <w:t>Chart </w:t>
            </w:r>
            <w:proofErr w:type="gramStart"/>
            <w:r w:rsidRPr="001A0A01">
              <w:rPr>
                <w:b/>
                <w:spacing w:val="-2"/>
                <w:lang w:val="en-GB"/>
              </w:rPr>
              <w:t xml:space="preserve">5  </w:t>
            </w:r>
            <w:r w:rsidRPr="001A0A01">
              <w:rPr>
                <w:b/>
                <w:lang w:val="en-GB"/>
              </w:rPr>
              <w:t>New</w:t>
            </w:r>
            <w:proofErr w:type="gramEnd"/>
            <w:r w:rsidRPr="001A0A01">
              <w:rPr>
                <w:b/>
                <w:lang w:val="en-GB"/>
              </w:rPr>
              <w:t xml:space="preserve"> orders in industry </w:t>
            </w:r>
            <w:r w:rsidRPr="001A0A01">
              <w:rPr>
                <w:bCs/>
                <w:lang w:val="en-GB"/>
              </w:rPr>
              <w:t xml:space="preserve">(nominal, year-on-year change in %), </w:t>
            </w:r>
            <w:r w:rsidRPr="001A0A01">
              <w:rPr>
                <w:b/>
                <w:lang w:val="en-GB"/>
              </w:rPr>
              <w:t>utilisation of production capacities in industry, selected growth barriers*</w:t>
            </w:r>
            <w:r w:rsidR="001443DB">
              <w:rPr>
                <w:lang w:val="en-GB"/>
              </w:rPr>
              <w:t xml:space="preserve"> (in %</w:t>
            </w:r>
            <w:r w:rsidRPr="001A0A01">
              <w:rPr>
                <w:lang w:val="en-GB"/>
              </w:rPr>
              <w:t xml:space="preserve">) </w:t>
            </w:r>
            <w:r w:rsidRPr="001A0A01">
              <w:rPr>
                <w:b/>
                <w:bCs/>
                <w:lang w:val="en-GB"/>
              </w:rPr>
              <w:t>and balance of business confidence indicator in industry*</w:t>
            </w:r>
            <w:r w:rsidR="001443DB">
              <w:rPr>
                <w:lang w:val="en-GB"/>
              </w:rPr>
              <w:t xml:space="preserve"> (in p.p.</w:t>
            </w:r>
            <w:r w:rsidRPr="001A0A01">
              <w:rPr>
                <w:lang w:val="en-GB"/>
              </w:rPr>
              <w:t xml:space="preserve">) </w:t>
            </w:r>
          </w:p>
        </w:tc>
      </w:tr>
      <w:tr w:rsidR="008602EC" w:rsidRPr="001A0A01" w14:paraId="3DBF664D" w14:textId="77777777" w:rsidTr="00316A85">
        <w:tblPrEx>
          <w:tblCellMar>
            <w:left w:w="70" w:type="dxa"/>
            <w:right w:w="70" w:type="dxa"/>
          </w:tblCellMar>
        </w:tblPrEx>
        <w:trPr>
          <w:trHeight w:val="133"/>
        </w:trPr>
        <w:tc>
          <w:tcPr>
            <w:tcW w:w="1814" w:type="dxa"/>
            <w:vMerge/>
            <w:shd w:val="clear" w:color="auto" w:fill="auto"/>
          </w:tcPr>
          <w:p w14:paraId="327B2453" w14:textId="77777777" w:rsidR="008602EC" w:rsidRPr="001A0A01" w:rsidRDefault="008602EC" w:rsidP="008602EC">
            <w:pPr>
              <w:pStyle w:val="Marginlie"/>
              <w:rPr>
                <w:lang w:val="en-GB"/>
              </w:rPr>
            </w:pPr>
          </w:p>
        </w:tc>
        <w:tc>
          <w:tcPr>
            <w:tcW w:w="229" w:type="dxa"/>
            <w:vMerge/>
            <w:shd w:val="clear" w:color="auto" w:fill="auto"/>
          </w:tcPr>
          <w:p w14:paraId="392D5932" w14:textId="77777777" w:rsidR="008602EC" w:rsidRPr="001A0A01" w:rsidRDefault="008602EC" w:rsidP="008602EC">
            <w:pPr>
              <w:pStyle w:val="Textpoznpodarou"/>
              <w:jc w:val="both"/>
              <w:rPr>
                <w:spacing w:val="-4"/>
                <w:lang w:val="en-GB"/>
              </w:rPr>
            </w:pPr>
          </w:p>
        </w:tc>
        <w:tc>
          <w:tcPr>
            <w:tcW w:w="7596" w:type="dxa"/>
            <w:shd w:val="clear" w:color="auto" w:fill="auto"/>
          </w:tcPr>
          <w:p w14:paraId="1BC3B33A" w14:textId="63763FBA" w:rsidR="008602EC" w:rsidRPr="001A0A01" w:rsidRDefault="00316A85" w:rsidP="008602EC">
            <w:pPr>
              <w:spacing w:before="40" w:after="0"/>
              <w:rPr>
                <w:color w:val="0D0D0D" w:themeColor="text1" w:themeTint="F2"/>
                <w:spacing w:val="-5"/>
                <w:lang w:val="en-GB"/>
              </w:rPr>
            </w:pPr>
            <w:r>
              <w:rPr>
                <w:noProof/>
              </w:rPr>
              <w:drawing>
                <wp:inline distT="0" distB="0" distL="0" distR="0" wp14:anchorId="4A779FDB" wp14:editId="7FA7710E">
                  <wp:extent cx="4658995" cy="3636645"/>
                  <wp:effectExtent l="0" t="0" r="8255" b="1905"/>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8602EC" w:rsidRPr="001A0A01" w14:paraId="5482711B" w14:textId="77777777" w:rsidTr="00E551F6">
        <w:trPr>
          <w:trHeight w:val="133"/>
        </w:trPr>
        <w:tc>
          <w:tcPr>
            <w:tcW w:w="1814" w:type="dxa"/>
            <w:vMerge/>
            <w:shd w:val="clear" w:color="auto" w:fill="auto"/>
            <w:tcMar>
              <w:left w:w="0" w:type="dxa"/>
            </w:tcMar>
          </w:tcPr>
          <w:p w14:paraId="72C47495" w14:textId="77777777" w:rsidR="008602EC" w:rsidRPr="001A0A01" w:rsidRDefault="008602EC" w:rsidP="008602EC">
            <w:pPr>
              <w:pStyle w:val="Marginlie"/>
              <w:rPr>
                <w:lang w:val="en-GB"/>
              </w:rPr>
            </w:pPr>
          </w:p>
        </w:tc>
        <w:tc>
          <w:tcPr>
            <w:tcW w:w="229" w:type="dxa"/>
            <w:vMerge/>
            <w:shd w:val="clear" w:color="auto" w:fill="auto"/>
            <w:tcMar>
              <w:left w:w="0" w:type="dxa"/>
            </w:tcMar>
          </w:tcPr>
          <w:p w14:paraId="75B96572" w14:textId="77777777" w:rsidR="008602EC" w:rsidRPr="001A0A01" w:rsidRDefault="008602EC" w:rsidP="008602EC">
            <w:pPr>
              <w:pStyle w:val="Textpoznpodarou"/>
              <w:jc w:val="both"/>
              <w:rPr>
                <w:spacing w:val="-4"/>
                <w:lang w:val="en-GB"/>
              </w:rPr>
            </w:pPr>
          </w:p>
        </w:tc>
        <w:tc>
          <w:tcPr>
            <w:tcW w:w="7596" w:type="dxa"/>
            <w:shd w:val="clear" w:color="auto" w:fill="auto"/>
            <w:tcMar>
              <w:left w:w="0" w:type="dxa"/>
            </w:tcMar>
          </w:tcPr>
          <w:p w14:paraId="3538863C" w14:textId="6F3F7E04" w:rsidR="008602EC" w:rsidRPr="008A7D9B" w:rsidRDefault="008602EC" w:rsidP="008602EC">
            <w:pPr>
              <w:spacing w:line="240" w:lineRule="auto"/>
              <w:jc w:val="left"/>
              <w:rPr>
                <w:rFonts w:cs="Arial"/>
                <w:sz w:val="14"/>
                <w:szCs w:val="14"/>
                <w:lang w:val="en-GB"/>
              </w:rPr>
            </w:pPr>
            <w:r w:rsidRPr="001A0A01">
              <w:rPr>
                <w:color w:val="0D0D0D" w:themeColor="text1" w:themeTint="F2"/>
                <w:spacing w:val="-5"/>
                <w:sz w:val="14"/>
                <w:szCs w:val="14"/>
                <w:lang w:val="en-GB"/>
              </w:rPr>
              <w:t>*</w:t>
            </w:r>
            <w:r w:rsidRPr="001A0A01">
              <w:rPr>
                <w:lang w:val="en-GB"/>
              </w:rPr>
              <w:t xml:space="preserve"> </w:t>
            </w:r>
            <w:r w:rsidRPr="001A0A01">
              <w:rPr>
                <w:color w:val="0D0D0D" w:themeColor="text1" w:themeTint="F2"/>
                <w:spacing w:val="-5"/>
                <w:sz w:val="14"/>
                <w:szCs w:val="14"/>
                <w:lang w:val="en-GB"/>
              </w:rPr>
              <w:t xml:space="preserve">Both utilisation of production capacities and growth barriers express the level in the first month of the given quarter, business confidence balance relates to the second month in the quarter. Orders are adjusted for calendar effects; other indicators are seasonally adjusted. Businesses could have indicated more key growth barriers simultaneously.                          </w:t>
            </w:r>
            <w:r w:rsidRPr="001A0A01">
              <w:rPr>
                <w:rFonts w:cs="Arial"/>
                <w:sz w:val="14"/>
                <w:szCs w:val="14"/>
                <w:lang w:val="en-GB"/>
              </w:rPr>
              <w:t xml:space="preserve">                                                    </w:t>
            </w:r>
            <w:r>
              <w:rPr>
                <w:rFonts w:cs="Arial"/>
                <w:sz w:val="14"/>
                <w:szCs w:val="14"/>
                <w:lang w:val="en-GB"/>
              </w:rPr>
              <w:t xml:space="preserve">         Source: CZSO, Eurostat</w:t>
            </w:r>
          </w:p>
        </w:tc>
      </w:tr>
      <w:tr w:rsidR="00E97D7E" w:rsidRPr="001A0A01" w14:paraId="15EC8021" w14:textId="77777777" w:rsidTr="00E551F6">
        <w:trPr>
          <w:trHeight w:val="170"/>
        </w:trPr>
        <w:tc>
          <w:tcPr>
            <w:tcW w:w="1814" w:type="dxa"/>
            <w:shd w:val="clear" w:color="auto" w:fill="auto"/>
            <w:tcMar>
              <w:left w:w="0" w:type="dxa"/>
            </w:tcMar>
          </w:tcPr>
          <w:p w14:paraId="15F4DF2A" w14:textId="77777777" w:rsidR="00E97D7E" w:rsidRPr="001A0A01" w:rsidRDefault="00E97D7E" w:rsidP="00E97D7E">
            <w:pPr>
              <w:jc w:val="left"/>
              <w:rPr>
                <w:color w:val="0D0D0D" w:themeColor="text1" w:themeTint="F2"/>
                <w:lang w:val="en-GB"/>
              </w:rPr>
            </w:pPr>
            <w:r w:rsidRPr="001A0A01">
              <w:rPr>
                <w:color w:val="0D0D0D" w:themeColor="text1" w:themeTint="F2"/>
                <w:spacing w:val="-2"/>
                <w:sz w:val="16"/>
                <w:szCs w:val="16"/>
                <w:lang w:val="en-GB"/>
              </w:rPr>
              <w:t xml:space="preserve">Business confidence in industry stayed low. Growing number of companies suffer from insufficient demand. Current as well as expected employment development remains unfavourable. </w:t>
            </w:r>
          </w:p>
          <w:p w14:paraId="6E221E94" w14:textId="3EA7D034" w:rsidR="00E97D7E" w:rsidRDefault="00E97D7E" w:rsidP="00E97D7E">
            <w:pPr>
              <w:pStyle w:val="Marginlie"/>
              <w:rPr>
                <w:color w:val="0D0D0D" w:themeColor="text1" w:themeTint="F2"/>
                <w:lang w:val="en-GB"/>
              </w:rPr>
            </w:pPr>
          </w:p>
          <w:p w14:paraId="46EB2465" w14:textId="231C56D0" w:rsidR="00B67298" w:rsidRDefault="00B67298" w:rsidP="00E97D7E">
            <w:pPr>
              <w:pStyle w:val="Marginlie"/>
              <w:rPr>
                <w:color w:val="0D0D0D" w:themeColor="text1" w:themeTint="F2"/>
                <w:lang w:val="en-GB"/>
              </w:rPr>
            </w:pPr>
          </w:p>
          <w:p w14:paraId="113B3AF0" w14:textId="77777777" w:rsidR="00B67298" w:rsidRPr="001A0A01" w:rsidRDefault="00B67298" w:rsidP="00E97D7E">
            <w:pPr>
              <w:pStyle w:val="Marginlie"/>
              <w:rPr>
                <w:color w:val="0D0D0D" w:themeColor="text1" w:themeTint="F2"/>
                <w:lang w:val="en-GB"/>
              </w:rPr>
            </w:pPr>
          </w:p>
          <w:p w14:paraId="4C53F0C5" w14:textId="10AE1CAC" w:rsidR="00E97D7E" w:rsidRPr="001A0A01" w:rsidRDefault="00E97D7E" w:rsidP="00E97D7E">
            <w:pPr>
              <w:jc w:val="left"/>
              <w:rPr>
                <w:color w:val="0D0D0D" w:themeColor="text1" w:themeTint="F2"/>
                <w:spacing w:val="-4"/>
                <w:sz w:val="16"/>
                <w:szCs w:val="16"/>
                <w:lang w:val="en-GB"/>
              </w:rPr>
            </w:pPr>
            <w:r w:rsidRPr="001A0A01">
              <w:rPr>
                <w:color w:val="0D0D0D" w:themeColor="text1" w:themeTint="F2"/>
                <w:spacing w:val="-2"/>
                <w:sz w:val="16"/>
                <w:szCs w:val="16"/>
                <w:lang w:val="en-GB"/>
              </w:rPr>
              <w:t xml:space="preserve">Cautious optimism prevailed in terms of expectations in the area </w:t>
            </w:r>
            <w:r w:rsidRPr="001A0A01">
              <w:rPr>
                <w:color w:val="0D0D0D" w:themeColor="text1" w:themeTint="F2"/>
                <w:spacing w:val="-2"/>
                <w:sz w:val="16"/>
                <w:szCs w:val="16"/>
                <w:lang w:val="en-GB"/>
              </w:rPr>
              <w:lastRenderedPageBreak/>
              <w:t xml:space="preserve">of production and own economic situation </w:t>
            </w:r>
            <w:r>
              <w:rPr>
                <w:color w:val="0D0D0D" w:themeColor="text1" w:themeTint="F2"/>
                <w:spacing w:val="-2"/>
                <w:sz w:val="16"/>
                <w:szCs w:val="16"/>
                <w:lang w:val="en-GB"/>
              </w:rPr>
              <w:t xml:space="preserve">of </w:t>
            </w:r>
            <w:r w:rsidR="007E3731">
              <w:rPr>
                <w:color w:val="0D0D0D" w:themeColor="text1" w:themeTint="F2"/>
                <w:spacing w:val="-2"/>
                <w:sz w:val="16"/>
                <w:szCs w:val="16"/>
                <w:lang w:val="en-GB"/>
              </w:rPr>
              <w:t>companies</w:t>
            </w:r>
            <w:r>
              <w:rPr>
                <w:color w:val="0D0D0D" w:themeColor="text1" w:themeTint="F2"/>
                <w:spacing w:val="-2"/>
                <w:sz w:val="16"/>
                <w:szCs w:val="16"/>
                <w:lang w:val="en-GB"/>
              </w:rPr>
              <w:t xml:space="preserve"> in </w:t>
            </w:r>
            <w:r w:rsidRPr="001A0A01">
              <w:rPr>
                <w:color w:val="0D0D0D" w:themeColor="text1" w:themeTint="F2"/>
                <w:spacing w:val="-2"/>
                <w:sz w:val="16"/>
                <w:szCs w:val="16"/>
                <w:lang w:val="en-GB"/>
              </w:rPr>
              <w:t>August</w:t>
            </w:r>
            <w:r>
              <w:rPr>
                <w:color w:val="0D0D0D" w:themeColor="text1" w:themeTint="F2"/>
                <w:spacing w:val="-2"/>
                <w:sz w:val="16"/>
                <w:szCs w:val="16"/>
                <w:lang w:val="en-GB"/>
              </w:rPr>
              <w:t xml:space="preserve"> 2024</w:t>
            </w:r>
            <w:r w:rsidRPr="001A0A01">
              <w:rPr>
                <w:color w:val="0D0D0D" w:themeColor="text1" w:themeTint="F2"/>
                <w:spacing w:val="-2"/>
                <w:sz w:val="16"/>
                <w:szCs w:val="16"/>
                <w:lang w:val="en-GB"/>
              </w:rPr>
              <w:t>.</w:t>
            </w:r>
          </w:p>
        </w:tc>
        <w:tc>
          <w:tcPr>
            <w:tcW w:w="229" w:type="dxa"/>
            <w:shd w:val="clear" w:color="auto" w:fill="auto"/>
            <w:tcMar>
              <w:left w:w="0" w:type="dxa"/>
            </w:tcMar>
          </w:tcPr>
          <w:p w14:paraId="4B4895D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3AA98F55" w14:textId="38F8F577" w:rsidR="00E97D7E" w:rsidRPr="001A0A01" w:rsidRDefault="00E97D7E" w:rsidP="00E97D7E">
            <w:pPr>
              <w:rPr>
                <w:color w:val="0D0D0D" w:themeColor="text1" w:themeTint="F2"/>
                <w:spacing w:val="-6"/>
                <w:lang w:val="en-GB"/>
              </w:rPr>
            </w:pPr>
            <w:r w:rsidRPr="001A0A01">
              <w:rPr>
                <w:color w:val="0D0D0D" w:themeColor="text1" w:themeTint="F2"/>
                <w:spacing w:val="-3"/>
                <w:lang w:val="en-GB"/>
              </w:rPr>
              <w:t>Business confidence in industry has remained in the negative band for nearly two years already. In February this year, it dropped almost to the lowest level since the anti-pandemic shutdowns of production (in the Spring of 2020). There was a slight recovery subsequently, nevertheless the confidence remained notably below its long-term average (by 8.5 percentage points) still in August and remained virtually unchanged in the year-on-year view. Even though the cost pressures have stabilised (already only a sixth of companies plan to raise the prices of their production in the short-term horizon) and the volume of inventories has also returned to normal, companies across most branches are still limited by insufficient demand. Its role as a key growth barrier has been rising since the middle of last year (it currently limits already 52% of companies</w:t>
            </w:r>
            <w:r w:rsidRPr="001A0A01">
              <w:rPr>
                <w:rStyle w:val="Znakapoznpodarou"/>
                <w:color w:val="0D0D0D" w:themeColor="text1" w:themeTint="F2"/>
                <w:spacing w:val="-3"/>
                <w:lang w:val="en-GB"/>
              </w:rPr>
              <w:footnoteReference w:id="30"/>
            </w:r>
            <w:r w:rsidRPr="001A0A01">
              <w:rPr>
                <w:color w:val="0D0D0D" w:themeColor="text1" w:themeTint="F2"/>
                <w:spacing w:val="-3"/>
                <w:lang w:val="en-GB"/>
              </w:rPr>
              <w:t>).  On the contrary, a lack of employees troubled one eighth of companies (the least in the last four years</w:t>
            </w:r>
            <w:r w:rsidRPr="001A0A01">
              <w:rPr>
                <w:rStyle w:val="Znakapoznpodarou"/>
                <w:color w:val="0D0D0D" w:themeColor="text1" w:themeTint="F2"/>
                <w:spacing w:val="-3"/>
                <w:lang w:val="en-GB"/>
              </w:rPr>
              <w:footnoteReference w:id="31"/>
            </w:r>
            <w:r w:rsidRPr="001A0A01">
              <w:rPr>
                <w:color w:val="0D0D0D" w:themeColor="text1" w:themeTint="F2"/>
                <w:spacing w:val="-3"/>
                <w:lang w:val="en-GB"/>
              </w:rPr>
              <w:t xml:space="preserve">). In addition, companies plan to lay off people (16%) rather than hire (6%) in the nearest quarter, which also corresponds to the real development in recent months (the registered </w:t>
            </w:r>
            <w:r w:rsidRPr="001A0A01">
              <w:rPr>
                <w:color w:val="0D0D0D" w:themeColor="text1" w:themeTint="F2"/>
                <w:spacing w:val="-3"/>
                <w:lang w:val="en-GB"/>
              </w:rPr>
              <w:lastRenderedPageBreak/>
              <w:t xml:space="preserve">number of employees in industry decreased by 2%, year-on-year, in H1 2024). Nevertheless, a very slight optimism in the short-term expectations of production as well as own overall economic situation set in among companies in August (unlike at the beginning of the year). </w:t>
            </w:r>
          </w:p>
        </w:tc>
      </w:tr>
      <w:tr w:rsidR="00E97D7E" w:rsidRPr="001A0A01" w14:paraId="2EABC48B" w14:textId="77777777" w:rsidTr="00E551F6">
        <w:trPr>
          <w:trHeight w:val="170"/>
        </w:trPr>
        <w:tc>
          <w:tcPr>
            <w:tcW w:w="1814" w:type="dxa"/>
            <w:shd w:val="clear" w:color="auto" w:fill="auto"/>
            <w:tcMar>
              <w:left w:w="0" w:type="dxa"/>
            </w:tcMar>
          </w:tcPr>
          <w:p w14:paraId="69387ACF" w14:textId="45E24FAE" w:rsidR="00E97D7E" w:rsidRPr="00DB2A7E" w:rsidRDefault="00E97D7E" w:rsidP="00DB2A7E">
            <w:pPr>
              <w:pStyle w:val="Marginlie"/>
              <w:rPr>
                <w:color w:val="0D0D0D" w:themeColor="text1" w:themeTint="F2"/>
                <w:spacing w:val="-4"/>
                <w:lang w:val="en-GB"/>
              </w:rPr>
            </w:pPr>
            <w:bookmarkStart w:id="32" w:name="_Hlk178445781"/>
            <w:r w:rsidRPr="001A0A01">
              <w:rPr>
                <w:color w:val="0D0D0D" w:themeColor="text1" w:themeTint="F2"/>
                <w:spacing w:val="-4"/>
                <w:lang w:val="en-GB"/>
              </w:rPr>
              <w:lastRenderedPageBreak/>
              <w:t xml:space="preserve">Considerable cost pressures as well as weaker private investment activity still affected the construction output. </w:t>
            </w:r>
            <w:bookmarkEnd w:id="32"/>
          </w:p>
        </w:tc>
        <w:tc>
          <w:tcPr>
            <w:tcW w:w="229" w:type="dxa"/>
            <w:shd w:val="clear" w:color="auto" w:fill="auto"/>
            <w:tcMar>
              <w:left w:w="0" w:type="dxa"/>
            </w:tcMar>
          </w:tcPr>
          <w:p w14:paraId="36CC583A"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8617AAB" w14:textId="77777777" w:rsidR="00E97D7E" w:rsidRPr="001A0A01" w:rsidRDefault="00E97D7E" w:rsidP="00E97D7E">
            <w:pPr>
              <w:rPr>
                <w:color w:val="0D0D0D" w:themeColor="text1" w:themeTint="F2"/>
                <w:spacing w:val="-6"/>
                <w:lang w:val="en-GB"/>
              </w:rPr>
            </w:pPr>
            <w:r w:rsidRPr="001A0A01">
              <w:rPr>
                <w:color w:val="0D0D0D" w:themeColor="text1" w:themeTint="F2"/>
                <w:spacing w:val="-6"/>
                <w:lang w:val="en-GB"/>
              </w:rPr>
              <w:t>The construction industry was affected by weak demand as well as persistent price pressures at the beginning of this year. Although the prices of building materials have started to fall slightly, year-on-year, after a three-year increase since last autumn, the reduction of both realised and expected prices of construction production</w:t>
            </w:r>
            <w:r w:rsidRPr="001A0A01">
              <w:rPr>
                <w:rStyle w:val="Znakapoznpodarou"/>
                <w:color w:val="0D0D0D" w:themeColor="text1" w:themeTint="F2"/>
                <w:spacing w:val="-6"/>
                <w:lang w:val="en-GB"/>
              </w:rPr>
              <w:footnoteReference w:id="32"/>
            </w:r>
            <w:r w:rsidRPr="001A0A01">
              <w:rPr>
                <w:color w:val="0D0D0D" w:themeColor="text1" w:themeTint="F2"/>
                <w:spacing w:val="-6"/>
                <w:lang w:val="en-GB"/>
              </w:rPr>
              <w:t xml:space="preserve"> was hindered by rapid growth in labour costs influenced by a chronic shortage mainly of skilled labour force. Subdued investment activity in the private sector was also still reflected owing to weaker confidence of firms and households in the economy and worsened access to credit financing of investments. This was compounded by an expected decrease of public investment related to the transition to the new EU programming period</w:t>
            </w:r>
            <w:r w:rsidRPr="001A0A01">
              <w:rPr>
                <w:rStyle w:val="Znakapoznpodarou"/>
                <w:color w:val="0D0D0D" w:themeColor="text1" w:themeTint="F2"/>
                <w:spacing w:val="-6"/>
                <w:lang w:val="en-GB"/>
              </w:rPr>
              <w:footnoteReference w:id="33"/>
            </w:r>
            <w:r w:rsidRPr="001A0A01">
              <w:rPr>
                <w:color w:val="0D0D0D" w:themeColor="text1" w:themeTint="F2"/>
                <w:spacing w:val="-6"/>
                <w:lang w:val="en-GB"/>
              </w:rPr>
              <w:t>.</w:t>
            </w:r>
          </w:p>
        </w:tc>
      </w:tr>
      <w:tr w:rsidR="00E97D7E" w:rsidRPr="001A0A01" w14:paraId="53328301" w14:textId="77777777" w:rsidTr="00E551F6">
        <w:trPr>
          <w:trHeight w:val="170"/>
        </w:trPr>
        <w:tc>
          <w:tcPr>
            <w:tcW w:w="1814" w:type="dxa"/>
            <w:shd w:val="clear" w:color="auto" w:fill="auto"/>
            <w:tcMar>
              <w:left w:w="0" w:type="dxa"/>
            </w:tcMar>
          </w:tcPr>
          <w:p w14:paraId="0E9FDAD8" w14:textId="77777777" w:rsidR="00E97D7E" w:rsidRPr="001A0A01" w:rsidRDefault="00E97D7E" w:rsidP="00E97D7E">
            <w:pPr>
              <w:pStyle w:val="Marginlie"/>
              <w:rPr>
                <w:color w:val="0D0D0D" w:themeColor="text1" w:themeTint="F2"/>
                <w:spacing w:val="-4"/>
                <w:lang w:val="en-GB"/>
              </w:rPr>
            </w:pPr>
            <w:bookmarkStart w:id="35" w:name="_Hlk178448628"/>
            <w:r w:rsidRPr="001A0A01">
              <w:rPr>
                <w:color w:val="0D0D0D" w:themeColor="text1" w:themeTint="F2"/>
                <w:spacing w:val="-4"/>
                <w:lang w:val="en-GB"/>
              </w:rPr>
              <w:t xml:space="preserve">The year-on-year decline in construction output deepened this year. The biggest decrease affected the specialized construction activities. </w:t>
            </w:r>
            <w:bookmarkEnd w:id="35"/>
          </w:p>
        </w:tc>
        <w:tc>
          <w:tcPr>
            <w:tcW w:w="229" w:type="dxa"/>
            <w:shd w:val="clear" w:color="auto" w:fill="auto"/>
            <w:tcMar>
              <w:left w:w="0" w:type="dxa"/>
            </w:tcMar>
          </w:tcPr>
          <w:p w14:paraId="259B5BD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41F6354" w14:textId="3F115351" w:rsidR="00E97D7E" w:rsidRPr="001A0A01" w:rsidRDefault="00E97D7E" w:rsidP="00DB2A7E">
            <w:pPr>
              <w:rPr>
                <w:rStyle w:val="normaltextrun"/>
                <w:color w:val="0D0D0D" w:themeColor="text1" w:themeTint="F2"/>
                <w:spacing w:val="-5"/>
                <w:lang w:val="en-GB"/>
              </w:rPr>
            </w:pPr>
            <w:bookmarkStart w:id="36" w:name="_Hlk178448654"/>
            <w:r w:rsidRPr="001A0A01">
              <w:rPr>
                <w:color w:val="0D0D0D" w:themeColor="text1" w:themeTint="F2"/>
                <w:spacing w:val="-5"/>
                <w:lang w:val="en-GB"/>
              </w:rPr>
              <w:t>Construction output</w:t>
            </w:r>
            <w:r w:rsidRPr="001A0A01">
              <w:rPr>
                <w:rStyle w:val="Znakapoznpodarou"/>
                <w:color w:val="0D0D0D" w:themeColor="text1" w:themeTint="F2"/>
                <w:spacing w:val="-5"/>
                <w:lang w:val="en-GB"/>
              </w:rPr>
              <w:footnoteReference w:id="34"/>
            </w:r>
            <w:r w:rsidRPr="001A0A01">
              <w:rPr>
                <w:color w:val="0D0D0D" w:themeColor="text1" w:themeTint="F2"/>
                <w:spacing w:val="-5"/>
                <w:lang w:val="en-GB"/>
              </w:rPr>
              <w:t xml:space="preserve"> increased by 0.8%, quarter-on-quarter, at the beginning of 2024 and thus halted the decline that filled most of the </w:t>
            </w:r>
            <w:r w:rsidR="00DB2A7E">
              <w:rPr>
                <w:color w:val="0D0D0D" w:themeColor="text1" w:themeTint="F2"/>
                <w:spacing w:val="-5"/>
                <w:lang w:val="en-GB"/>
              </w:rPr>
              <w:t>last year. This recovery was largely a consequence of</w:t>
            </w:r>
            <w:r w:rsidRPr="001A0A01">
              <w:rPr>
                <w:color w:val="0D0D0D" w:themeColor="text1" w:themeTint="F2"/>
                <w:spacing w:val="-5"/>
                <w:lang w:val="en-GB"/>
              </w:rPr>
              <w:t xml:space="preserve"> the unusually warm winter period, which led to a sharp increase in civil engineering construction (and to a lesser extent in other </w:t>
            </w:r>
            <w:r w:rsidR="003D4488">
              <w:rPr>
                <w:color w:val="0D0D0D" w:themeColor="text1" w:themeTint="F2"/>
                <w:spacing w:val="-5"/>
                <w:lang w:val="en-GB"/>
              </w:rPr>
              <w:t>segments of the total industry</w:t>
            </w:r>
            <w:r w:rsidRPr="001A0A01">
              <w:rPr>
                <w:color w:val="0D0D0D" w:themeColor="text1" w:themeTint="F2"/>
                <w:spacing w:val="-5"/>
                <w:lang w:val="en-GB"/>
              </w:rPr>
              <w:t>), especially in February. However, the performa</w:t>
            </w:r>
            <w:r w:rsidR="00DB2A7E">
              <w:rPr>
                <w:color w:val="0D0D0D" w:themeColor="text1" w:themeTint="F2"/>
                <w:spacing w:val="-5"/>
                <w:lang w:val="en-GB"/>
              </w:rPr>
              <w:t>nce of the construction</w:t>
            </w:r>
            <w:r w:rsidRPr="001A0A01">
              <w:rPr>
                <w:color w:val="0D0D0D" w:themeColor="text1" w:themeTint="F2"/>
                <w:spacing w:val="-5"/>
                <w:lang w:val="en-GB"/>
              </w:rPr>
              <w:t xml:space="preserve"> decreased by 3.3% during Q2, when a notable slump occurred with comparable intensity in all its main segments. In Q2 2024, the p</w:t>
            </w:r>
            <w:r w:rsidR="00DB2A7E">
              <w:rPr>
                <w:color w:val="0D0D0D" w:themeColor="text1" w:themeTint="F2"/>
                <w:spacing w:val="-5"/>
                <w:lang w:val="en-GB"/>
              </w:rPr>
              <w:t>erformance of the total construction</w:t>
            </w:r>
            <w:r w:rsidRPr="001A0A01">
              <w:rPr>
                <w:color w:val="0D0D0D" w:themeColor="text1" w:themeTint="F2"/>
                <w:spacing w:val="-5"/>
                <w:lang w:val="en-GB"/>
              </w:rPr>
              <w:t xml:space="preserve"> thus lagged behind the peak of the last boom (Q3 2019) by 8.4%. The year-on-year fall of production deepened this year and reach</w:t>
            </w:r>
            <w:r w:rsidR="000165E9">
              <w:rPr>
                <w:color w:val="0D0D0D" w:themeColor="text1" w:themeTint="F2"/>
                <w:spacing w:val="-5"/>
                <w:lang w:val="en-GB"/>
              </w:rPr>
              <w:t>ed 5.3% for the whole H1</w:t>
            </w:r>
            <w:r w:rsidRPr="001A0A01">
              <w:rPr>
                <w:color w:val="0D0D0D" w:themeColor="text1" w:themeTint="F2"/>
                <w:spacing w:val="-5"/>
                <w:lang w:val="en-GB"/>
              </w:rPr>
              <w:t xml:space="preserve">. Construction of buildings and also specialised construction activities (in which the output fell the most – by 8.1%) contributed the most. These activities include, for example, assembling, finishing electrical installation or plumbing work and are more the domain of smaller construction companies. A more moderate decrease was recorded in civil engineering construction (−1.1%). </w:t>
            </w:r>
            <w:r w:rsidRPr="001A0A01">
              <w:rPr>
                <w:rStyle w:val="normaltextrun"/>
                <w:rFonts w:cs="Arial"/>
                <w:color w:val="000000"/>
                <w:spacing w:val="-5"/>
                <w:szCs w:val="20"/>
                <w:lang w:val="en-GB"/>
              </w:rPr>
              <w:t xml:space="preserve"> </w:t>
            </w:r>
            <w:bookmarkEnd w:id="36"/>
          </w:p>
        </w:tc>
      </w:tr>
      <w:tr w:rsidR="00E97D7E" w:rsidRPr="001A0A01" w14:paraId="02C6BC27" w14:textId="77777777" w:rsidTr="00E551F6">
        <w:trPr>
          <w:trHeight w:val="170"/>
        </w:trPr>
        <w:tc>
          <w:tcPr>
            <w:tcW w:w="1814" w:type="dxa"/>
            <w:shd w:val="clear" w:color="auto" w:fill="auto"/>
            <w:tcMar>
              <w:left w:w="0" w:type="dxa"/>
            </w:tcMar>
          </w:tcPr>
          <w:p w14:paraId="53D89002" w14:textId="1A3DA7EB" w:rsidR="00E97D7E" w:rsidRPr="001A0A01" w:rsidRDefault="00E97D7E" w:rsidP="00BE7090">
            <w:pPr>
              <w:jc w:val="left"/>
              <w:rPr>
                <w:color w:val="0D0D0D" w:themeColor="text1" w:themeTint="F2"/>
                <w:spacing w:val="-4"/>
                <w:sz w:val="16"/>
                <w:szCs w:val="16"/>
                <w:lang w:val="en-GB"/>
              </w:rPr>
            </w:pPr>
            <w:bookmarkStart w:id="37" w:name="_Hlk178450921"/>
            <w:bookmarkStart w:id="38" w:name="_Hlk178451368"/>
            <w:r w:rsidRPr="001A0A01">
              <w:rPr>
                <w:color w:val="0D0D0D" w:themeColor="text1" w:themeTint="F2"/>
                <w:spacing w:val="-4"/>
                <w:sz w:val="16"/>
                <w:szCs w:val="16"/>
                <w:lang w:val="en-GB"/>
              </w:rPr>
              <w:t xml:space="preserve">The number of </w:t>
            </w:r>
            <w:r w:rsidR="00BE7090">
              <w:rPr>
                <w:color w:val="0D0D0D" w:themeColor="text1" w:themeTint="F2"/>
                <w:spacing w:val="-4"/>
                <w:sz w:val="16"/>
                <w:szCs w:val="16"/>
                <w:lang w:val="en-GB"/>
              </w:rPr>
              <w:t>start</w:t>
            </w:r>
            <w:r w:rsidR="00BE7090" w:rsidRPr="001A0A01">
              <w:rPr>
                <w:color w:val="0D0D0D" w:themeColor="text1" w:themeTint="F2"/>
                <w:spacing w:val="-4"/>
                <w:sz w:val="16"/>
                <w:szCs w:val="16"/>
                <w:lang w:val="en-GB"/>
              </w:rPr>
              <w:t xml:space="preserve">ed </w:t>
            </w:r>
            <w:r w:rsidRPr="001A0A01">
              <w:rPr>
                <w:color w:val="0D0D0D" w:themeColor="text1" w:themeTint="F2"/>
                <w:spacing w:val="-4"/>
                <w:sz w:val="16"/>
                <w:szCs w:val="16"/>
                <w:lang w:val="en-GB"/>
              </w:rPr>
              <w:t xml:space="preserve">dwellings continued to decrease, the volume of construction was the lowest in the last six years. A partial recovery occurred in the category of residential buildings. </w:t>
            </w:r>
            <w:bookmarkEnd w:id="37"/>
          </w:p>
        </w:tc>
        <w:tc>
          <w:tcPr>
            <w:tcW w:w="229" w:type="dxa"/>
            <w:shd w:val="clear" w:color="auto" w:fill="auto"/>
            <w:tcMar>
              <w:left w:w="0" w:type="dxa"/>
            </w:tcMar>
          </w:tcPr>
          <w:p w14:paraId="361983FB"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DE68A3B" w14:textId="4BAF45C3" w:rsidR="00E97D7E" w:rsidRDefault="00E97D7E" w:rsidP="00E97D7E">
            <w:pPr>
              <w:rPr>
                <w:color w:val="0D0D0D" w:themeColor="text1" w:themeTint="F2"/>
                <w:spacing w:val="-4"/>
                <w:lang w:val="en-GB"/>
              </w:rPr>
            </w:pPr>
            <w:bookmarkStart w:id="39" w:name="_Hlk178450466"/>
            <w:r w:rsidRPr="001A0A01">
              <w:rPr>
                <w:color w:val="0D0D0D" w:themeColor="text1" w:themeTint="F2"/>
                <w:spacing w:val="-4"/>
                <w:lang w:val="en-GB"/>
              </w:rPr>
              <w:t xml:space="preserve">The subdued housing construction was adversely reflected in the performance of building construction in H1 2024 as well as throughout the whole last year. The number of dwellings started decreased by 4.9%, year-on-year, when it only amounted to 17.2 thousand dwellings (the lowest for the first half-year in the last six years). This year's decrease was mainly caused by the dwellings created by modifications of existing residential buildings and </w:t>
            </w:r>
            <w:r w:rsidR="00BE7090">
              <w:rPr>
                <w:color w:val="0D0D0D" w:themeColor="text1" w:themeTint="F2"/>
                <w:spacing w:val="-4"/>
                <w:lang w:val="en-GB"/>
              </w:rPr>
              <w:t xml:space="preserve">also by category of </w:t>
            </w:r>
            <w:r w:rsidRPr="001A0A01">
              <w:rPr>
                <w:color w:val="0D0D0D" w:themeColor="text1" w:themeTint="F2"/>
                <w:spacing w:val="-4"/>
                <w:lang w:val="en-GB"/>
              </w:rPr>
              <w:t xml:space="preserve">apartments in family houses. However, the construction of </w:t>
            </w:r>
            <w:r w:rsidR="00BE7090">
              <w:rPr>
                <w:color w:val="0D0D0D" w:themeColor="text1" w:themeTint="F2"/>
                <w:spacing w:val="-4"/>
                <w:lang w:val="en-GB"/>
              </w:rPr>
              <w:t xml:space="preserve">new </w:t>
            </w:r>
            <w:r w:rsidRPr="001A0A01">
              <w:rPr>
                <w:color w:val="0D0D0D" w:themeColor="text1" w:themeTint="F2"/>
                <w:spacing w:val="-4"/>
                <w:lang w:val="en-GB"/>
              </w:rPr>
              <w:t>residential buildings revived significantly, e</w:t>
            </w:r>
            <w:r w:rsidR="009A75AE">
              <w:rPr>
                <w:color w:val="0D0D0D" w:themeColor="text1" w:themeTint="F2"/>
                <w:spacing w:val="-4"/>
                <w:lang w:val="en-GB"/>
              </w:rPr>
              <w:t>specially in the Spring (</w:t>
            </w:r>
            <w:r w:rsidRPr="001A0A01">
              <w:rPr>
                <w:color w:val="0D0D0D" w:themeColor="text1" w:themeTint="F2"/>
                <w:spacing w:val="-4"/>
                <w:lang w:val="en-GB"/>
              </w:rPr>
              <w:t xml:space="preserve">with almost one quarter more commenced, year-on-year, in </w:t>
            </w:r>
            <w:r w:rsidR="009A75AE">
              <w:rPr>
                <w:color w:val="0D0D0D" w:themeColor="text1" w:themeTint="F2"/>
                <w:spacing w:val="-4"/>
                <w:lang w:val="en-GB"/>
              </w:rPr>
              <w:t>H1 2024)</w:t>
            </w:r>
            <w:r w:rsidRPr="001A0A01">
              <w:rPr>
                <w:color w:val="0D0D0D" w:themeColor="text1" w:themeTint="F2"/>
                <w:spacing w:val="-4"/>
                <w:lang w:val="en-GB"/>
              </w:rPr>
              <w:t>. The volume of tota</w:t>
            </w:r>
            <w:r w:rsidR="009A75AE">
              <w:rPr>
                <w:color w:val="0D0D0D" w:themeColor="text1" w:themeTint="F2"/>
                <w:spacing w:val="-4"/>
                <w:lang w:val="en-GB"/>
              </w:rPr>
              <w:t>l construction decreased in the majority of</w:t>
            </w:r>
            <w:r w:rsidRPr="001A0A01">
              <w:rPr>
                <w:color w:val="0D0D0D" w:themeColor="text1" w:themeTint="F2"/>
                <w:spacing w:val="-4"/>
                <w:lang w:val="en-GB"/>
              </w:rPr>
              <w:t xml:space="preserve"> regions, absolutely the most in the </w:t>
            </w:r>
            <w:proofErr w:type="spellStart"/>
            <w:r w:rsidRPr="001A0A01">
              <w:rPr>
                <w:i/>
                <w:iCs/>
                <w:color w:val="0D0D0D" w:themeColor="text1" w:themeTint="F2"/>
                <w:spacing w:val="-4"/>
                <w:lang w:val="en-GB"/>
              </w:rPr>
              <w:t>Jihomoravský</w:t>
            </w:r>
            <w:proofErr w:type="spellEnd"/>
            <w:r w:rsidRPr="001A0A01">
              <w:rPr>
                <w:color w:val="0D0D0D" w:themeColor="text1" w:themeTint="F2"/>
                <w:spacing w:val="-4"/>
                <w:lang w:val="en-GB"/>
              </w:rPr>
              <w:t xml:space="preserve"> Region, while it grew especially in </w:t>
            </w:r>
            <w:r w:rsidRPr="009A75AE">
              <w:rPr>
                <w:i/>
                <w:color w:val="0D0D0D" w:themeColor="text1" w:themeTint="F2"/>
                <w:spacing w:val="-4"/>
                <w:lang w:val="en-GB"/>
              </w:rPr>
              <w:t>Prague</w:t>
            </w:r>
            <w:r w:rsidRPr="001A0A01">
              <w:rPr>
                <w:color w:val="0D0D0D" w:themeColor="text1" w:themeTint="F2"/>
                <w:spacing w:val="-4"/>
                <w:lang w:val="en-GB"/>
              </w:rPr>
              <w:t xml:space="preserve"> and the </w:t>
            </w:r>
            <w:proofErr w:type="spellStart"/>
            <w:r w:rsidRPr="001A0A01">
              <w:rPr>
                <w:i/>
                <w:iCs/>
                <w:color w:val="0D0D0D" w:themeColor="text1" w:themeTint="F2"/>
                <w:spacing w:val="-4"/>
                <w:lang w:val="en-GB"/>
              </w:rPr>
              <w:t>Plzeňský</w:t>
            </w:r>
            <w:proofErr w:type="spellEnd"/>
            <w:r w:rsidRPr="001A0A01">
              <w:rPr>
                <w:color w:val="0D0D0D" w:themeColor="text1" w:themeTint="F2"/>
                <w:spacing w:val="-4"/>
                <w:lang w:val="en-GB"/>
              </w:rPr>
              <w:t xml:space="preserve"> Region. The number of all completed dwellings in the Czech Republic also decreased. However, due to the higher number of ongoing construction activities from previous years, the decrease was relatively insignificant so far compared to the construction started (−1.9%). </w:t>
            </w:r>
            <w:bookmarkEnd w:id="39"/>
          </w:p>
          <w:p w14:paraId="0BE8F334" w14:textId="7FD79E72" w:rsidR="000165E9" w:rsidRPr="001A0A01" w:rsidRDefault="000165E9" w:rsidP="00E97D7E">
            <w:pPr>
              <w:rPr>
                <w:color w:val="0D0D0D" w:themeColor="text1" w:themeTint="F2"/>
                <w:spacing w:val="-4"/>
                <w:lang w:val="en-GB"/>
              </w:rPr>
            </w:pPr>
          </w:p>
        </w:tc>
      </w:tr>
      <w:bookmarkEnd w:id="38"/>
      <w:tr w:rsidR="00E97D7E" w:rsidRPr="001A0A01" w14:paraId="014207B1" w14:textId="77777777" w:rsidTr="00E551F6">
        <w:trPr>
          <w:trHeight w:val="170"/>
        </w:trPr>
        <w:tc>
          <w:tcPr>
            <w:tcW w:w="1814" w:type="dxa"/>
            <w:vMerge w:val="restart"/>
            <w:shd w:val="clear" w:color="auto" w:fill="auto"/>
            <w:tcMar>
              <w:left w:w="0" w:type="dxa"/>
            </w:tcMar>
          </w:tcPr>
          <w:p w14:paraId="61848BF8" w14:textId="77777777" w:rsidR="00E97D7E" w:rsidRPr="001A0A01" w:rsidRDefault="00E97D7E" w:rsidP="00E97D7E">
            <w:pPr>
              <w:pStyle w:val="Marginlie"/>
              <w:rPr>
                <w:lang w:val="en-GB"/>
              </w:rPr>
            </w:pPr>
          </w:p>
        </w:tc>
        <w:tc>
          <w:tcPr>
            <w:tcW w:w="229" w:type="dxa"/>
            <w:vMerge w:val="restart"/>
            <w:shd w:val="clear" w:color="auto" w:fill="auto"/>
            <w:tcMar>
              <w:left w:w="0" w:type="dxa"/>
            </w:tcMar>
          </w:tcPr>
          <w:p w14:paraId="34FA89A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A8090DC" w14:textId="2BB93FE6" w:rsidR="00E97D7E" w:rsidRPr="001A0A01" w:rsidRDefault="00E97D7E" w:rsidP="00E97D7E">
            <w:pPr>
              <w:spacing w:after="0"/>
              <w:rPr>
                <w:rFonts w:cs="Arial"/>
                <w:bCs/>
                <w:lang w:val="en-GB"/>
              </w:rPr>
            </w:pPr>
            <w:r w:rsidRPr="001A0A01">
              <w:rPr>
                <w:b/>
                <w:spacing w:val="-5"/>
                <w:lang w:val="en-GB"/>
              </w:rPr>
              <w:t xml:space="preserve">Chart 6 </w:t>
            </w:r>
            <w:r w:rsidRPr="001A0A01">
              <w:rPr>
                <w:b/>
                <w:spacing w:val="-2"/>
                <w:lang w:val="en-GB"/>
              </w:rPr>
              <w:t>Contributions of</w:t>
            </w:r>
            <w:r>
              <w:rPr>
                <w:b/>
                <w:spacing w:val="-2"/>
                <w:lang w:val="en-GB"/>
              </w:rPr>
              <w:t xml:space="preserve"> </w:t>
            </w:r>
            <w:r w:rsidR="003D1AE0">
              <w:rPr>
                <w:b/>
                <w:spacing w:val="-2"/>
                <w:lang w:val="en-GB"/>
              </w:rPr>
              <w:t>sub-</w:t>
            </w:r>
            <w:r>
              <w:rPr>
                <w:b/>
                <w:spacing w:val="-2"/>
                <w:lang w:val="en-GB"/>
              </w:rPr>
              <w:t>branches to year-on-year growth</w:t>
            </w:r>
            <w:r w:rsidRPr="001A0A01">
              <w:rPr>
                <w:b/>
                <w:spacing w:val="-2"/>
                <w:lang w:val="en-GB"/>
              </w:rPr>
              <w:t xml:space="preserve"> of construction output </w:t>
            </w:r>
            <w:r w:rsidRPr="001A0A01">
              <w:rPr>
                <w:spacing w:val="-2"/>
                <w:lang w:val="en-GB"/>
              </w:rPr>
              <w:t>(real, in p. p.)</w:t>
            </w:r>
            <w:r w:rsidRPr="001A0A01">
              <w:rPr>
                <w:b/>
                <w:bCs/>
                <w:spacing w:val="-2"/>
                <w:lang w:val="en-GB"/>
              </w:rPr>
              <w:t xml:space="preserve">, </w:t>
            </w:r>
            <w:r w:rsidRPr="001A0A01">
              <w:rPr>
                <w:b/>
                <w:spacing w:val="-2"/>
                <w:lang w:val="en-GB"/>
              </w:rPr>
              <w:t xml:space="preserve">new construction orders </w:t>
            </w:r>
            <w:r w:rsidRPr="001A0A01">
              <w:rPr>
                <w:spacing w:val="-2"/>
                <w:lang w:val="en-GB"/>
              </w:rPr>
              <w:t>(</w:t>
            </w:r>
            <w:r w:rsidRPr="001A0A01">
              <w:rPr>
                <w:bCs/>
                <w:spacing w:val="-2"/>
                <w:lang w:val="en-GB"/>
              </w:rPr>
              <w:t>nominal, year-on-year, in %)</w:t>
            </w:r>
            <w:r w:rsidRPr="001A0A01">
              <w:rPr>
                <w:b/>
                <w:spacing w:val="-2"/>
                <w:lang w:val="en-GB"/>
              </w:rPr>
              <w:t>, balance of business confidence indicator in construction*</w:t>
            </w:r>
            <w:r>
              <w:rPr>
                <w:spacing w:val="-2"/>
                <w:lang w:val="en-GB"/>
              </w:rPr>
              <w:t xml:space="preserve"> (in p. p.)</w:t>
            </w:r>
            <w:r w:rsidRPr="001A0A01">
              <w:rPr>
                <w:spacing w:val="-2"/>
                <w:lang w:val="en-GB"/>
              </w:rPr>
              <w:t xml:space="preserve"> </w:t>
            </w:r>
            <w:r w:rsidRPr="001A0A01">
              <w:rPr>
                <w:b/>
                <w:bCs/>
                <w:spacing w:val="-2"/>
                <w:lang w:val="en-GB"/>
              </w:rPr>
              <w:t>and s</w:t>
            </w:r>
            <w:r w:rsidRPr="001A0A01">
              <w:rPr>
                <w:b/>
                <w:spacing w:val="-2"/>
                <w:lang w:val="en-GB"/>
              </w:rPr>
              <w:t>elected barriers to growth in construction</w:t>
            </w:r>
            <w:r>
              <w:rPr>
                <w:spacing w:val="-2"/>
                <w:lang w:val="en-GB"/>
              </w:rPr>
              <w:t>* (in %</w:t>
            </w:r>
            <w:r w:rsidRPr="001A0A01">
              <w:rPr>
                <w:spacing w:val="-2"/>
                <w:lang w:val="en-GB"/>
              </w:rPr>
              <w:t>)</w:t>
            </w:r>
          </w:p>
        </w:tc>
      </w:tr>
      <w:tr w:rsidR="00E97D7E" w:rsidRPr="001A0A01" w14:paraId="23DA5BB4" w14:textId="77777777" w:rsidTr="001443DB">
        <w:tblPrEx>
          <w:tblCellMar>
            <w:left w:w="70" w:type="dxa"/>
            <w:right w:w="70" w:type="dxa"/>
          </w:tblCellMar>
        </w:tblPrEx>
        <w:trPr>
          <w:trHeight w:val="170"/>
        </w:trPr>
        <w:tc>
          <w:tcPr>
            <w:tcW w:w="1814" w:type="dxa"/>
            <w:vMerge/>
            <w:shd w:val="clear" w:color="auto" w:fill="auto"/>
          </w:tcPr>
          <w:p w14:paraId="5D2DB484" w14:textId="77777777" w:rsidR="00E97D7E" w:rsidRPr="001A0A01" w:rsidRDefault="00E97D7E" w:rsidP="00E97D7E">
            <w:pPr>
              <w:pStyle w:val="Marginlie"/>
              <w:rPr>
                <w:lang w:val="en-GB"/>
              </w:rPr>
            </w:pPr>
          </w:p>
        </w:tc>
        <w:tc>
          <w:tcPr>
            <w:tcW w:w="229" w:type="dxa"/>
            <w:vMerge/>
            <w:shd w:val="clear" w:color="auto" w:fill="auto"/>
          </w:tcPr>
          <w:p w14:paraId="3D731408" w14:textId="77777777" w:rsidR="00E97D7E" w:rsidRPr="001A0A01" w:rsidRDefault="00E97D7E" w:rsidP="00E97D7E">
            <w:pPr>
              <w:pStyle w:val="Textpoznpodarou"/>
              <w:jc w:val="both"/>
              <w:rPr>
                <w:spacing w:val="-4"/>
                <w:lang w:val="en-GB"/>
              </w:rPr>
            </w:pPr>
          </w:p>
        </w:tc>
        <w:tc>
          <w:tcPr>
            <w:tcW w:w="7596" w:type="dxa"/>
            <w:shd w:val="clear" w:color="auto" w:fill="auto"/>
          </w:tcPr>
          <w:p w14:paraId="02D44150" w14:textId="73FD9547" w:rsidR="00E97D7E" w:rsidRPr="001A0A01" w:rsidRDefault="00E97D7E" w:rsidP="00E97D7E">
            <w:pPr>
              <w:spacing w:before="40" w:after="0"/>
              <w:rPr>
                <w:spacing w:val="-6"/>
                <w:lang w:val="en-GB"/>
              </w:rPr>
            </w:pPr>
            <w:r>
              <w:rPr>
                <w:noProof/>
              </w:rPr>
              <w:drawing>
                <wp:inline distT="0" distB="0" distL="0" distR="0" wp14:anchorId="6254ACF1" wp14:editId="6A0A2A0E">
                  <wp:extent cx="4683318" cy="3596640"/>
                  <wp:effectExtent l="0" t="0" r="3175" b="381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E97D7E" w:rsidRPr="001A0A01" w14:paraId="0B0618D0" w14:textId="77777777" w:rsidTr="00E551F6">
        <w:trPr>
          <w:trHeight w:val="170"/>
        </w:trPr>
        <w:tc>
          <w:tcPr>
            <w:tcW w:w="1814" w:type="dxa"/>
            <w:vMerge/>
            <w:shd w:val="clear" w:color="auto" w:fill="auto"/>
            <w:tcMar>
              <w:left w:w="0" w:type="dxa"/>
            </w:tcMar>
          </w:tcPr>
          <w:p w14:paraId="0AFCC05E" w14:textId="77777777" w:rsidR="00E97D7E" w:rsidRPr="001A0A01" w:rsidRDefault="00E97D7E" w:rsidP="00E97D7E">
            <w:pPr>
              <w:pStyle w:val="Marginlie"/>
              <w:rPr>
                <w:lang w:val="en-GB"/>
              </w:rPr>
            </w:pPr>
          </w:p>
        </w:tc>
        <w:tc>
          <w:tcPr>
            <w:tcW w:w="229" w:type="dxa"/>
            <w:vMerge/>
            <w:shd w:val="clear" w:color="auto" w:fill="auto"/>
            <w:tcMar>
              <w:left w:w="0" w:type="dxa"/>
            </w:tcMar>
          </w:tcPr>
          <w:p w14:paraId="1D6C9491"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698C3DEA" w14:textId="77777777" w:rsidR="00E97D7E" w:rsidRPr="001A0A01" w:rsidRDefault="00E97D7E" w:rsidP="00E97D7E">
            <w:pPr>
              <w:spacing w:after="0"/>
              <w:rPr>
                <w:rFonts w:cs="Arial"/>
                <w:sz w:val="14"/>
                <w:szCs w:val="14"/>
                <w:lang w:val="en-GB"/>
              </w:rPr>
            </w:pPr>
            <w:r w:rsidRPr="001A0A01">
              <w:rPr>
                <w:rFonts w:cs="Arial"/>
                <w:sz w:val="14"/>
                <w:szCs w:val="14"/>
                <w:lang w:val="en-GB"/>
              </w:rPr>
              <w:t>Note: Data related to construction output are adjusted for calendar effects.</w:t>
            </w:r>
          </w:p>
          <w:p w14:paraId="68CD5179" w14:textId="77777777" w:rsidR="00E97D7E" w:rsidRDefault="00E97D7E" w:rsidP="00E97D7E">
            <w:pPr>
              <w:pStyle w:val="Textpoznpodarou"/>
              <w:jc w:val="both"/>
              <w:rPr>
                <w:rFonts w:cs="Arial"/>
                <w:sz w:val="14"/>
                <w:szCs w:val="14"/>
                <w:lang w:val="en-GB"/>
              </w:rPr>
            </w:pPr>
            <w:r w:rsidRPr="001A0A01">
              <w:rPr>
                <w:rFonts w:cs="Arial"/>
                <w:sz w:val="14"/>
                <w:szCs w:val="14"/>
                <w:lang w:val="en-GB"/>
              </w:rPr>
              <w:t>* Balance of business confidence as well as barriers to growth are seasonally adjusted and express the level in the second month of the given quarter. Businesses could have indicated more main barriers simultaneously.</w:t>
            </w:r>
          </w:p>
          <w:p w14:paraId="13C4A378" w14:textId="43D2BE26" w:rsidR="00E97D7E" w:rsidRPr="008602EC" w:rsidRDefault="00E97D7E" w:rsidP="00E97D7E">
            <w:pPr>
              <w:pStyle w:val="Textpoznpodarou"/>
              <w:jc w:val="both"/>
              <w:rPr>
                <w:rFonts w:cs="Arial"/>
                <w:sz w:val="14"/>
                <w:szCs w:val="14"/>
                <w:lang w:val="en-GB"/>
              </w:rPr>
            </w:pPr>
            <w:r>
              <w:rPr>
                <w:rFonts w:cs="Arial"/>
                <w:sz w:val="14"/>
                <w:szCs w:val="14"/>
                <w:lang w:val="en-GB"/>
              </w:rPr>
              <w:t>Source: CZSO, Eurostat</w:t>
            </w:r>
          </w:p>
          <w:p w14:paraId="746969A0" w14:textId="77777777" w:rsidR="00E97D7E" w:rsidRPr="001A0A01" w:rsidRDefault="00E97D7E" w:rsidP="00E97D7E">
            <w:pPr>
              <w:spacing w:after="0" w:line="240" w:lineRule="auto"/>
              <w:rPr>
                <w:rFonts w:cs="Arial"/>
                <w:sz w:val="14"/>
                <w:szCs w:val="14"/>
                <w:lang w:val="en-GB"/>
              </w:rPr>
            </w:pPr>
          </w:p>
        </w:tc>
      </w:tr>
      <w:tr w:rsidR="00E97D7E" w:rsidRPr="001A0A01" w14:paraId="0E5B953C" w14:textId="77777777" w:rsidTr="00E551F6">
        <w:trPr>
          <w:trHeight w:val="170"/>
        </w:trPr>
        <w:tc>
          <w:tcPr>
            <w:tcW w:w="1814" w:type="dxa"/>
            <w:shd w:val="clear" w:color="auto" w:fill="auto"/>
            <w:tcMar>
              <w:left w:w="0" w:type="dxa"/>
            </w:tcMar>
          </w:tcPr>
          <w:p w14:paraId="57C4E9EF" w14:textId="7915AEBA" w:rsidR="009930C0" w:rsidRDefault="00E97D7E" w:rsidP="00E97D7E">
            <w:pPr>
              <w:pStyle w:val="Marginlie"/>
              <w:rPr>
                <w:rFonts w:cs="Arial"/>
                <w:color w:val="0D0D0D" w:themeColor="text1" w:themeTint="F2"/>
                <w:spacing w:val="-4"/>
                <w:lang w:val="en-GB"/>
              </w:rPr>
            </w:pPr>
            <w:r w:rsidRPr="001A0A01">
              <w:rPr>
                <w:rFonts w:cs="Arial"/>
                <w:color w:val="0D0D0D" w:themeColor="text1" w:themeTint="F2"/>
                <w:spacing w:val="-4"/>
                <w:lang w:val="en-GB"/>
              </w:rPr>
              <w:t>Growth of the value of permitted buildin</w:t>
            </w:r>
            <w:r w:rsidR="007E3731">
              <w:rPr>
                <w:rFonts w:cs="Arial"/>
                <w:color w:val="0D0D0D" w:themeColor="text1" w:themeTint="F2"/>
                <w:spacing w:val="-4"/>
                <w:lang w:val="en-GB"/>
              </w:rPr>
              <w:t xml:space="preserve">gs ceased in Q2. A decrease was </w:t>
            </w:r>
            <w:r w:rsidRPr="001A0A01">
              <w:rPr>
                <w:rFonts w:cs="Arial"/>
                <w:color w:val="0D0D0D" w:themeColor="text1" w:themeTint="F2"/>
                <w:spacing w:val="-4"/>
                <w:lang w:val="en-GB"/>
              </w:rPr>
              <w:t xml:space="preserve">recorded for transport constructions. </w:t>
            </w:r>
          </w:p>
          <w:p w14:paraId="644B1DB3" w14:textId="7581E7FE" w:rsidR="009930C0" w:rsidRDefault="009930C0" w:rsidP="00E97D7E">
            <w:pPr>
              <w:pStyle w:val="Marginlie"/>
              <w:rPr>
                <w:rFonts w:cs="Arial"/>
                <w:color w:val="0D0D0D" w:themeColor="text1" w:themeTint="F2"/>
                <w:spacing w:val="-4"/>
                <w:lang w:val="en-GB"/>
              </w:rPr>
            </w:pPr>
          </w:p>
          <w:p w14:paraId="13ADF9E8" w14:textId="77777777" w:rsidR="007E3731" w:rsidRDefault="007E3731" w:rsidP="00E97D7E">
            <w:pPr>
              <w:pStyle w:val="Marginlie"/>
              <w:rPr>
                <w:rFonts w:cs="Arial"/>
                <w:color w:val="0D0D0D" w:themeColor="text1" w:themeTint="F2"/>
                <w:spacing w:val="-4"/>
                <w:lang w:val="en-GB"/>
              </w:rPr>
            </w:pPr>
          </w:p>
          <w:p w14:paraId="27F2A1C9" w14:textId="59C13640" w:rsidR="00E97D7E" w:rsidRPr="001A0A01" w:rsidRDefault="00E97D7E" w:rsidP="00E97D7E">
            <w:pPr>
              <w:pStyle w:val="Marginlie"/>
              <w:rPr>
                <w:spacing w:val="-4"/>
                <w:lang w:val="en-GB"/>
              </w:rPr>
            </w:pPr>
            <w:r w:rsidRPr="001A0A01">
              <w:rPr>
                <w:rFonts w:cs="Arial"/>
                <w:color w:val="0D0D0D" w:themeColor="text1" w:themeTint="F2"/>
                <w:spacing w:val="-4"/>
                <w:lang w:val="en-GB"/>
              </w:rPr>
              <w:t xml:space="preserve">The growth of new construction orders on the contrary continued, specifically across the main segments of the total industry. </w:t>
            </w:r>
          </w:p>
        </w:tc>
        <w:tc>
          <w:tcPr>
            <w:tcW w:w="229" w:type="dxa"/>
            <w:shd w:val="clear" w:color="auto" w:fill="auto"/>
            <w:tcMar>
              <w:left w:w="0" w:type="dxa"/>
            </w:tcMar>
          </w:tcPr>
          <w:p w14:paraId="22357410"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77B24DB2" w14:textId="79D78FEB" w:rsidR="00E97D7E" w:rsidRPr="001A0A01" w:rsidRDefault="00E97D7E" w:rsidP="00E97D7E">
            <w:pPr>
              <w:rPr>
                <w:color w:val="0D0D0D" w:themeColor="text1" w:themeTint="F2"/>
                <w:spacing w:val="-6"/>
                <w:lang w:val="en-GB"/>
              </w:rPr>
            </w:pPr>
            <w:r w:rsidRPr="001A0A01">
              <w:rPr>
                <w:color w:val="0D0D0D" w:themeColor="text1" w:themeTint="F2"/>
                <w:spacing w:val="-6"/>
                <w:lang w:val="en-GB"/>
              </w:rPr>
              <w:t xml:space="preserve">The year-on-year growth of the nominal value of permitted buildings, lasting five quarters in a row, ceased in Q2 this year, when mainly the number of large constructions (over 1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shrank. This total value decreased by 2.5% for the whole H1 2024, primarily due to traffic-engineering constructions (new construction as well as reconstructions). In contrast, slight revival occurred for permitted buildings of new residential construction. The development of </w:t>
            </w:r>
            <w:r w:rsidR="007E3731">
              <w:rPr>
                <w:color w:val="0D0D0D" w:themeColor="text1" w:themeTint="F2"/>
                <w:spacing w:val="-6"/>
                <w:lang w:val="en-GB"/>
              </w:rPr>
              <w:t xml:space="preserve">new </w:t>
            </w:r>
            <w:r w:rsidRPr="001A0A01">
              <w:rPr>
                <w:color w:val="0D0D0D" w:themeColor="text1" w:themeTint="F2"/>
                <w:spacing w:val="-6"/>
                <w:lang w:val="en-GB"/>
              </w:rPr>
              <w:t>domestic construction orders (for companies with more than 50 employees) was still favourable. They grew briskly, year-on-year, for the fou</w:t>
            </w:r>
            <w:r w:rsidR="007E3731">
              <w:rPr>
                <w:color w:val="0D0D0D" w:themeColor="text1" w:themeTint="F2"/>
                <w:spacing w:val="-6"/>
                <w:lang w:val="en-GB"/>
              </w:rPr>
              <w:t>rth quarter in a row – being</w:t>
            </w:r>
            <w:r w:rsidRPr="001A0A01">
              <w:rPr>
                <w:color w:val="0D0D0D" w:themeColor="text1" w:themeTint="F2"/>
                <w:spacing w:val="-6"/>
                <w:lang w:val="en-GB"/>
              </w:rPr>
              <w:t xml:space="preserve"> nominally higher by 25% in Q2 2024, both building construction (+27%) and civil engineering construction (+22%) signalled larger demand. Also the</w:t>
            </w:r>
            <w:r w:rsidR="007E3731">
              <w:rPr>
                <w:color w:val="0D0D0D" w:themeColor="text1" w:themeTint="F2"/>
                <w:spacing w:val="-6"/>
                <w:lang w:val="en-GB"/>
              </w:rPr>
              <w:t xml:space="preserve"> total stock of work (</w:t>
            </w:r>
            <w:r w:rsidRPr="001A0A01">
              <w:rPr>
                <w:color w:val="0D0D0D" w:themeColor="text1" w:themeTint="F2"/>
                <w:spacing w:val="-6"/>
                <w:lang w:val="en-GB"/>
              </w:rPr>
              <w:t xml:space="preserve">orders to be realised) was significantly higher (by 21%), year-on-year, at the end of Q2. The domestic private orders also contributed notably to the growth after two years (they currently accounted for one third of the total stock of work of medium and larger construction companies). On the contrary, the continuous decline of foreign orders has lasted for nearly three years already. </w:t>
            </w:r>
          </w:p>
        </w:tc>
      </w:tr>
      <w:tr w:rsidR="00E97D7E" w:rsidRPr="001A0A01" w14:paraId="4AC57D2C" w14:textId="77777777" w:rsidTr="00E551F6">
        <w:trPr>
          <w:trHeight w:val="170"/>
        </w:trPr>
        <w:tc>
          <w:tcPr>
            <w:tcW w:w="1814" w:type="dxa"/>
            <w:shd w:val="clear" w:color="auto" w:fill="auto"/>
            <w:tcMar>
              <w:left w:w="0" w:type="dxa"/>
            </w:tcMar>
          </w:tcPr>
          <w:p w14:paraId="03F29671" w14:textId="77777777" w:rsidR="00E97D7E" w:rsidRPr="001A0A01" w:rsidRDefault="00E97D7E" w:rsidP="00E97D7E">
            <w:pPr>
              <w:pStyle w:val="Marginlie"/>
              <w:rPr>
                <w:rFonts w:cs="Arial"/>
                <w:color w:val="0D0D0D" w:themeColor="text1" w:themeTint="F2"/>
                <w:spacing w:val="-4"/>
                <w:lang w:val="en-GB"/>
              </w:rPr>
            </w:pPr>
            <w:bookmarkStart w:id="40" w:name="_Hlk178453940"/>
            <w:r w:rsidRPr="001A0A01">
              <w:rPr>
                <w:spacing w:val="-4"/>
                <w:lang w:val="en-GB"/>
              </w:rPr>
              <w:t xml:space="preserve">The pessimism of entrepreneurs in the construction industry persists. It is also reflected in the area of employment. </w:t>
            </w:r>
            <w:bookmarkEnd w:id="40"/>
          </w:p>
        </w:tc>
        <w:tc>
          <w:tcPr>
            <w:tcW w:w="229" w:type="dxa"/>
            <w:shd w:val="clear" w:color="auto" w:fill="auto"/>
            <w:tcMar>
              <w:left w:w="0" w:type="dxa"/>
            </w:tcMar>
          </w:tcPr>
          <w:p w14:paraId="0C822D58"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79123699" w14:textId="45F97FEC" w:rsidR="00E97D7E" w:rsidRPr="001A0A01" w:rsidRDefault="00E97D7E" w:rsidP="00E97D7E">
            <w:pPr>
              <w:rPr>
                <w:color w:val="0D0D0D" w:themeColor="text1" w:themeTint="F2"/>
                <w:spacing w:val="-6"/>
                <w:lang w:val="en-GB"/>
              </w:rPr>
            </w:pPr>
            <w:r w:rsidRPr="001A0A01">
              <w:rPr>
                <w:color w:val="0D0D0D" w:themeColor="text1" w:themeTint="F2"/>
                <w:spacing w:val="-6"/>
                <w:lang w:val="en-GB"/>
              </w:rPr>
              <w:t xml:space="preserve">The business confidence in the construction sector had remained </w:t>
            </w:r>
            <w:r w:rsidR="007E3731">
              <w:rPr>
                <w:color w:val="0D0D0D" w:themeColor="text1" w:themeTint="F2"/>
                <w:spacing w:val="-6"/>
                <w:lang w:val="en-GB"/>
              </w:rPr>
              <w:t>(</w:t>
            </w:r>
            <w:r w:rsidRPr="001A0A01">
              <w:rPr>
                <w:color w:val="0D0D0D" w:themeColor="text1" w:themeTint="F2"/>
                <w:spacing w:val="-6"/>
                <w:lang w:val="en-GB"/>
              </w:rPr>
              <w:t>with the exception of a brief recovery at the beginning of this year</w:t>
            </w:r>
            <w:r w:rsidR="007E3731">
              <w:rPr>
                <w:color w:val="0D0D0D" w:themeColor="text1" w:themeTint="F2"/>
                <w:spacing w:val="-6"/>
                <w:lang w:val="en-GB"/>
              </w:rPr>
              <w:t>)</w:t>
            </w:r>
            <w:r w:rsidRPr="001A0A01">
              <w:rPr>
                <w:color w:val="0D0D0D" w:themeColor="text1" w:themeTint="F2"/>
                <w:spacing w:val="-6"/>
                <w:lang w:val="en-GB"/>
              </w:rPr>
              <w:t xml:space="preserve"> unchanged in the negative band </w:t>
            </w:r>
            <w:r w:rsidR="007E3731">
              <w:rPr>
                <w:color w:val="0D0D0D" w:themeColor="text1" w:themeTint="F2"/>
                <w:spacing w:val="-6"/>
                <w:lang w:val="en-GB"/>
              </w:rPr>
              <w:t>for already one and a half year</w:t>
            </w:r>
            <w:r w:rsidRPr="001A0A01">
              <w:rPr>
                <w:color w:val="0D0D0D" w:themeColor="text1" w:themeTint="F2"/>
                <w:spacing w:val="-6"/>
                <w:lang w:val="en-GB"/>
              </w:rPr>
              <w:t xml:space="preserve"> (but at the same time slightly above its long-term average). Approximately one quarter of companies steadily assess the current demand as insufficient, short-term outlooks in the area of construction activities, employment and own economic situation of companies remained slightly negative also in August this year. The registered number of employees (in construction companies with 50 and more employees) decreased by 1.5%, year-on-year, in H1. </w:t>
            </w:r>
            <w:bookmarkStart w:id="41" w:name="_Hlk178454399"/>
            <w:r w:rsidRPr="001A0A01">
              <w:rPr>
                <w:color w:val="0D0D0D" w:themeColor="text1" w:themeTint="F2"/>
                <w:spacing w:val="-6"/>
                <w:lang w:val="en-GB"/>
              </w:rPr>
              <w:t xml:space="preserve">Despite a slight decrease in weight since the beginning of this year, the lack of (qualified) employees remains a key growth barrier, which has lasted with minor interruptions for already about six years.  </w:t>
            </w:r>
            <w:bookmarkEnd w:id="41"/>
          </w:p>
        </w:tc>
      </w:tr>
      <w:tr w:rsidR="00E97D7E" w:rsidRPr="001A0A01" w14:paraId="4FF53FD7" w14:textId="77777777" w:rsidTr="00E551F6">
        <w:trPr>
          <w:trHeight w:val="170"/>
        </w:trPr>
        <w:tc>
          <w:tcPr>
            <w:tcW w:w="1814" w:type="dxa"/>
            <w:shd w:val="clear" w:color="auto" w:fill="auto"/>
            <w:tcMar>
              <w:left w:w="0" w:type="dxa"/>
            </w:tcMar>
          </w:tcPr>
          <w:p w14:paraId="155FE8EA" w14:textId="66BB105D" w:rsidR="00E97D7E" w:rsidRPr="00EB75B3" w:rsidRDefault="00E97D7E" w:rsidP="00E97D7E">
            <w:pPr>
              <w:pStyle w:val="Marginlie"/>
              <w:rPr>
                <w:rFonts w:cs="Arial"/>
                <w:color w:val="0D0D0D" w:themeColor="text1" w:themeTint="F2"/>
                <w:spacing w:val="-5"/>
                <w:lang w:val="en-GB"/>
              </w:rPr>
            </w:pPr>
            <w:bookmarkStart w:id="42" w:name="_Hlk178454526"/>
            <w:r w:rsidRPr="00EB75B3">
              <w:rPr>
                <w:rFonts w:cs="Arial"/>
                <w:color w:val="0D0D0D" w:themeColor="text1" w:themeTint="F2"/>
                <w:spacing w:val="-5"/>
                <w:lang w:val="en-GB"/>
              </w:rPr>
              <w:lastRenderedPageBreak/>
              <w:t>The quarter-on-quarter decline of sales</w:t>
            </w:r>
            <w:r w:rsidR="00EB75B3" w:rsidRPr="00EB75B3">
              <w:rPr>
                <w:rFonts w:cs="Arial"/>
                <w:color w:val="0D0D0D" w:themeColor="text1" w:themeTint="F2"/>
                <w:spacing w:val="-5"/>
                <w:lang w:val="en-GB"/>
              </w:rPr>
              <w:t xml:space="preserve"> in services stopped at the end of 2023.</w:t>
            </w:r>
            <w:r w:rsidRPr="00EB75B3">
              <w:rPr>
                <w:rFonts w:cs="Arial"/>
                <w:color w:val="0D0D0D" w:themeColor="text1" w:themeTint="F2"/>
                <w:spacing w:val="-5"/>
                <w:lang w:val="en-GB"/>
              </w:rPr>
              <w:t xml:space="preserve"> Demand has recovered in almost all major services branches this year. </w:t>
            </w:r>
            <w:bookmarkEnd w:id="42"/>
          </w:p>
        </w:tc>
        <w:tc>
          <w:tcPr>
            <w:tcW w:w="229" w:type="dxa"/>
            <w:shd w:val="clear" w:color="auto" w:fill="auto"/>
            <w:tcMar>
              <w:left w:w="0" w:type="dxa"/>
            </w:tcMar>
          </w:tcPr>
          <w:p w14:paraId="1B770A03" w14:textId="77777777" w:rsidR="00E97D7E" w:rsidRPr="001A0A01" w:rsidRDefault="00E97D7E" w:rsidP="00E97D7E">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40C7E6FD" w14:textId="4E052029" w:rsidR="00E97D7E" w:rsidRPr="001A0A01" w:rsidRDefault="00E97D7E" w:rsidP="00EB75B3">
            <w:pPr>
              <w:rPr>
                <w:rFonts w:cs="Arial"/>
                <w:color w:val="0D0D0D" w:themeColor="text1" w:themeTint="F2"/>
                <w:spacing w:val="-4"/>
                <w:lang w:val="en-GB"/>
              </w:rPr>
            </w:pPr>
            <w:bookmarkStart w:id="43" w:name="_Hlk178454561"/>
            <w:r w:rsidRPr="001A0A01">
              <w:rPr>
                <w:color w:val="0D0D0D" w:themeColor="text1" w:themeTint="F2"/>
                <w:spacing w:val="-4"/>
                <w:lang w:val="en-GB"/>
              </w:rPr>
              <w:t>Demand for services has also thanks to the improved condition of the domestic economy gradually recovered this year. The stabilisation of the consumer price level assisted in launching the growth of the real wages of employees after longer time period, which was mirrored in a more favourable financial situation of households. Services were also positively affected by slightly growing business demand this year, which was still rather subdued for most of the last year. Sales in services</w:t>
            </w:r>
            <w:r w:rsidRPr="001A0A01">
              <w:rPr>
                <w:color w:val="0D0D0D" w:themeColor="text1" w:themeTint="F2"/>
                <w:spacing w:val="-4"/>
                <w:vertAlign w:val="superscript"/>
                <w:lang w:val="en-GB"/>
              </w:rPr>
              <w:footnoteReference w:id="35"/>
            </w:r>
            <w:r w:rsidRPr="001A0A01">
              <w:rPr>
                <w:color w:val="0D0D0D" w:themeColor="text1" w:themeTint="F2"/>
                <w:spacing w:val="-4"/>
                <w:lang w:val="en-GB"/>
              </w:rPr>
              <w:t xml:space="preserve"> increased by 0</w:t>
            </w:r>
            <w:r w:rsidR="00EB75B3">
              <w:rPr>
                <w:color w:val="0D0D0D" w:themeColor="text1" w:themeTint="F2"/>
                <w:spacing w:val="-4"/>
                <w:lang w:val="en-GB"/>
              </w:rPr>
              <w:t>.6%, quarter-on-quarter, in Q4 2023</w:t>
            </w:r>
            <w:r w:rsidRPr="001A0A01">
              <w:rPr>
                <w:color w:val="0D0D0D" w:themeColor="text1" w:themeTint="F2"/>
                <w:spacing w:val="-4"/>
                <w:lang w:val="en-GB"/>
              </w:rPr>
              <w:t xml:space="preserve"> and thus recorded the first strengthening since Q3 2022. Sales growth markedly accelerated (to 2.4%) in Q1 2024 and the revival also continued with less intensity in the subsequent quarter (+0.3%). This year's recovery in services manifested broadly across all major branches, nevertheless the recovery in transportation and warehousing has played a key role. Total sales in services were slightly above the level from the peak of the last boom in the pre-pandemic period in Q2 this year (they were by 3.3% higher compared to Q2 2019</w:t>
            </w:r>
            <w:r w:rsidRPr="001A0A01">
              <w:rPr>
                <w:rStyle w:val="Znakapoznpodarou"/>
                <w:color w:val="0D0D0D" w:themeColor="text1" w:themeTint="F2"/>
                <w:spacing w:val="-4"/>
                <w:lang w:val="en-GB"/>
              </w:rPr>
              <w:footnoteReference w:id="36"/>
            </w:r>
            <w:r w:rsidRPr="001A0A01">
              <w:rPr>
                <w:color w:val="0D0D0D" w:themeColor="text1" w:themeTint="F2"/>
                <w:spacing w:val="-4"/>
                <w:lang w:val="en-GB"/>
              </w:rPr>
              <w:t xml:space="preserve">). </w:t>
            </w:r>
            <w:bookmarkEnd w:id="43"/>
          </w:p>
        </w:tc>
      </w:tr>
      <w:tr w:rsidR="00E97D7E" w:rsidRPr="001A0A01" w14:paraId="35EAFA1F" w14:textId="77777777" w:rsidTr="00E551F6">
        <w:trPr>
          <w:trHeight w:val="170"/>
        </w:trPr>
        <w:tc>
          <w:tcPr>
            <w:tcW w:w="1814" w:type="dxa"/>
            <w:shd w:val="clear" w:color="auto" w:fill="auto"/>
            <w:tcMar>
              <w:left w:w="0" w:type="dxa"/>
            </w:tcMar>
          </w:tcPr>
          <w:p w14:paraId="0E9F0356"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The growth of sales in accommodation, food service and restaurants was supported by the recovering consumption of domestic households as well as the developing inbound tourism. There a significant revival of demand of guests from Asian countries manifested. </w:t>
            </w:r>
          </w:p>
          <w:p w14:paraId="054FA0C2" w14:textId="77777777" w:rsidR="00E97D7E" w:rsidRPr="001A0A01" w:rsidRDefault="00E97D7E" w:rsidP="00E97D7E">
            <w:pPr>
              <w:pStyle w:val="Marginlie"/>
              <w:rPr>
                <w:color w:val="0D0D0D" w:themeColor="text1" w:themeTint="F2"/>
                <w:spacing w:val="-4"/>
                <w:lang w:val="en-GB"/>
              </w:rPr>
            </w:pPr>
          </w:p>
          <w:p w14:paraId="5AD6F3E3" w14:textId="77777777" w:rsidR="00E97D7E" w:rsidRPr="001A0A01" w:rsidRDefault="00E97D7E" w:rsidP="00E97D7E">
            <w:pPr>
              <w:pStyle w:val="Marginlie"/>
              <w:rPr>
                <w:color w:val="0D0D0D" w:themeColor="text1" w:themeTint="F2"/>
                <w:spacing w:val="-4"/>
                <w:lang w:val="en-GB"/>
              </w:rPr>
            </w:pPr>
          </w:p>
          <w:p w14:paraId="03573B43" w14:textId="77777777" w:rsidR="00E97D7E" w:rsidRPr="001A0A01" w:rsidRDefault="00E97D7E" w:rsidP="00E97D7E">
            <w:pPr>
              <w:pStyle w:val="Marginlie"/>
              <w:rPr>
                <w:color w:val="0D0D0D" w:themeColor="text1" w:themeTint="F2"/>
                <w:spacing w:val="-4"/>
                <w:lang w:val="en-GB"/>
              </w:rPr>
            </w:pPr>
          </w:p>
          <w:p w14:paraId="44892D1E" w14:textId="77777777" w:rsidR="00E97D7E" w:rsidRPr="001A0A01" w:rsidRDefault="00E97D7E" w:rsidP="00E97D7E">
            <w:pPr>
              <w:pStyle w:val="Marginlie"/>
              <w:rPr>
                <w:color w:val="0D0D0D" w:themeColor="text1" w:themeTint="F2"/>
                <w:spacing w:val="-4"/>
                <w:lang w:val="en-GB"/>
              </w:rPr>
            </w:pPr>
          </w:p>
          <w:p w14:paraId="5D949F14" w14:textId="77777777" w:rsidR="00E97D7E" w:rsidRPr="001A0A01" w:rsidRDefault="00E97D7E" w:rsidP="00E97D7E">
            <w:pPr>
              <w:pStyle w:val="Marginlie"/>
              <w:rPr>
                <w:color w:val="0D0D0D" w:themeColor="text1" w:themeTint="F2"/>
                <w:spacing w:val="-4"/>
                <w:lang w:val="en-GB"/>
              </w:rPr>
            </w:pPr>
          </w:p>
          <w:p w14:paraId="29A7B189"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Growth of the number of overnight stays of guests from Germany halted after nearly three years.  </w:t>
            </w:r>
          </w:p>
        </w:tc>
        <w:tc>
          <w:tcPr>
            <w:tcW w:w="229" w:type="dxa"/>
            <w:shd w:val="clear" w:color="auto" w:fill="auto"/>
            <w:tcMar>
              <w:left w:w="0" w:type="dxa"/>
            </w:tcMar>
          </w:tcPr>
          <w:p w14:paraId="2152A47F"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7A7D59CD" w14:textId="25668294" w:rsidR="00E97D7E" w:rsidRPr="001A0A01" w:rsidRDefault="00E97D7E" w:rsidP="00E97D7E">
            <w:pPr>
              <w:rPr>
                <w:rFonts w:eastAsia="MS Gothic" w:cs="Arial"/>
                <w:color w:val="000000"/>
                <w:szCs w:val="20"/>
                <w:lang w:val="en-GB"/>
              </w:rPr>
            </w:pPr>
            <w:bookmarkStart w:id="44" w:name="_Hlk178457395"/>
            <w:r w:rsidRPr="001A0A01">
              <w:rPr>
                <w:color w:val="0D0D0D" w:themeColor="text1" w:themeTint="F2"/>
                <w:spacing w:val="-4"/>
                <w:lang w:val="en-GB"/>
              </w:rPr>
              <w:t>The positive turnaround in demand for services is also evident in the year-on-year perspective. Sales again slightly increased here after the last year's recession (by 1.8% in H1</w:t>
            </w:r>
            <w:r w:rsidR="00061186">
              <w:rPr>
                <w:color w:val="0D0D0D" w:themeColor="text1" w:themeTint="F2"/>
                <w:spacing w:val="-4"/>
                <w:lang w:val="en-GB"/>
              </w:rPr>
              <w:t xml:space="preserve"> 2024</w:t>
            </w:r>
            <w:r w:rsidRPr="001A0A01">
              <w:rPr>
                <w:color w:val="0D0D0D" w:themeColor="text1" w:themeTint="F2"/>
                <w:spacing w:val="-4"/>
                <w:lang w:val="en-GB"/>
              </w:rPr>
              <w:t xml:space="preserve">), the recovery manifested across all major branches. The highest increase was in accommodation, food </w:t>
            </w:r>
            <w:r w:rsidR="00061186">
              <w:rPr>
                <w:color w:val="0D0D0D" w:themeColor="text1" w:themeTint="F2"/>
                <w:spacing w:val="-4"/>
                <w:lang w:val="en-GB"/>
              </w:rPr>
              <w:t>service and restaurants (+2.9%), where t</w:t>
            </w:r>
            <w:r w:rsidRPr="001A0A01">
              <w:rPr>
                <w:color w:val="0D0D0D" w:themeColor="text1" w:themeTint="F2"/>
                <w:spacing w:val="-4"/>
                <w:lang w:val="en-GB"/>
              </w:rPr>
              <w:t>he growth of demand was driven almost exclusively by f</w:t>
            </w:r>
            <w:r w:rsidR="00061186">
              <w:rPr>
                <w:color w:val="0D0D0D" w:themeColor="text1" w:themeTint="F2"/>
                <w:spacing w:val="-4"/>
                <w:lang w:val="en-GB"/>
              </w:rPr>
              <w:t>ood service and restaurants</w:t>
            </w:r>
            <w:r w:rsidRPr="001A0A01">
              <w:rPr>
                <w:color w:val="0D0D0D" w:themeColor="text1" w:themeTint="F2"/>
                <w:spacing w:val="-4"/>
                <w:lang w:val="en-GB"/>
              </w:rPr>
              <w:t>. In addition to the gradually recovering consumption of domestic households, it also benefited from the rapidly developing i</w:t>
            </w:r>
            <w:r w:rsidR="00061186">
              <w:rPr>
                <w:color w:val="0D0D0D" w:themeColor="text1" w:themeTint="F2"/>
                <w:spacing w:val="-4"/>
                <w:lang w:val="en-GB"/>
              </w:rPr>
              <w:t>nbound tourism. In Q2 2024</w:t>
            </w:r>
            <w:r w:rsidRPr="001A0A01">
              <w:rPr>
                <w:color w:val="0D0D0D" w:themeColor="text1" w:themeTint="F2"/>
                <w:spacing w:val="-4"/>
                <w:lang w:val="en-GB"/>
              </w:rPr>
              <w:t xml:space="preserve">, the total </w:t>
            </w:r>
            <w:r w:rsidR="00061186">
              <w:rPr>
                <w:color w:val="0D0D0D" w:themeColor="text1" w:themeTint="F2"/>
                <w:spacing w:val="-4"/>
                <w:lang w:val="en-GB"/>
              </w:rPr>
              <w:t>number of guest arrivals to collective</w:t>
            </w:r>
            <w:r w:rsidRPr="001A0A01">
              <w:rPr>
                <w:color w:val="0D0D0D" w:themeColor="text1" w:themeTint="F2"/>
                <w:spacing w:val="-4"/>
                <w:lang w:val="en-GB"/>
              </w:rPr>
              <w:t xml:space="preserve"> accommodation facilities in </w:t>
            </w:r>
            <w:proofErr w:type="spellStart"/>
            <w:r w:rsidRPr="001A0A01">
              <w:rPr>
                <w:color w:val="0D0D0D" w:themeColor="text1" w:themeTint="F2"/>
                <w:spacing w:val="-4"/>
                <w:lang w:val="en-GB"/>
              </w:rPr>
              <w:t>Czechia</w:t>
            </w:r>
            <w:proofErr w:type="spellEnd"/>
            <w:r w:rsidRPr="001A0A01">
              <w:rPr>
                <w:color w:val="0D0D0D" w:themeColor="text1" w:themeTint="F2"/>
                <w:spacing w:val="-4"/>
                <w:lang w:val="en-GB"/>
              </w:rPr>
              <w:t xml:space="preserve"> increased by 3.3%, year-on-year, and</w:t>
            </w:r>
            <w:r w:rsidR="00061186">
              <w:rPr>
                <w:color w:val="0D0D0D" w:themeColor="text1" w:themeTint="F2"/>
                <w:spacing w:val="-4"/>
                <w:lang w:val="en-GB"/>
              </w:rPr>
              <w:t xml:space="preserve"> their overnight stays </w:t>
            </w:r>
            <w:r w:rsidR="00061186" w:rsidRPr="00061186">
              <w:rPr>
                <w:color w:val="0D0D0D" w:themeColor="text1" w:themeTint="F2"/>
                <w:spacing w:val="-4"/>
                <w:lang w:val="en-GB"/>
              </w:rPr>
              <w:t>grew up</w:t>
            </w:r>
            <w:r w:rsidRPr="001A0A01">
              <w:rPr>
                <w:color w:val="0D0D0D" w:themeColor="text1" w:themeTint="F2"/>
                <w:spacing w:val="-4"/>
                <w:lang w:val="en-GB"/>
              </w:rPr>
              <w:t xml:space="preserve"> by 0.9%</w:t>
            </w:r>
            <w:r w:rsidRPr="001A0A01">
              <w:rPr>
                <w:rStyle w:val="Znakapoznpodarou"/>
                <w:color w:val="0D0D0D" w:themeColor="text1" w:themeTint="F2"/>
                <w:spacing w:val="-4"/>
                <w:lang w:val="en-GB"/>
              </w:rPr>
              <w:footnoteReference w:id="37"/>
            </w:r>
            <w:r w:rsidRPr="001A0A01">
              <w:rPr>
                <w:color w:val="0D0D0D" w:themeColor="text1" w:themeTint="F2"/>
                <w:spacing w:val="-4"/>
                <w:lang w:val="en-GB"/>
              </w:rPr>
              <w:t xml:space="preserve">. </w:t>
            </w:r>
            <w:bookmarkStart w:id="45" w:name="_Hlk178457527"/>
            <w:r w:rsidRPr="001A0A01">
              <w:rPr>
                <w:color w:val="0D0D0D" w:themeColor="text1" w:themeTint="F2"/>
                <w:spacing w:val="-4"/>
                <w:lang w:val="en-GB"/>
              </w:rPr>
              <w:t xml:space="preserve">The growth of inbound tourism continued for the fourth year in a row, however the dynamics (for both arrivals and overnight stays) were </w:t>
            </w:r>
            <w:r w:rsidR="00061186">
              <w:rPr>
                <w:color w:val="0D0D0D" w:themeColor="text1" w:themeTint="F2"/>
                <w:spacing w:val="-4"/>
                <w:lang w:val="en-GB"/>
              </w:rPr>
              <w:t xml:space="preserve">the weakest since the </w:t>
            </w:r>
            <w:r w:rsidR="00061186" w:rsidRPr="00061186">
              <w:rPr>
                <w:color w:val="0D0D0D" w:themeColor="text1" w:themeTint="F2"/>
                <w:spacing w:val="-4"/>
                <w:lang w:val="en-GB"/>
              </w:rPr>
              <w:t>removal</w:t>
            </w:r>
            <w:r w:rsidRPr="001A0A01">
              <w:rPr>
                <w:color w:val="0D0D0D" w:themeColor="text1" w:themeTint="F2"/>
                <w:spacing w:val="-4"/>
                <w:lang w:val="en-GB"/>
              </w:rPr>
              <w:t xml:space="preserve"> of anti-pandemic restrictions (Spring 2021). Only non-residents</w:t>
            </w:r>
            <w:r w:rsidRPr="001A0A01">
              <w:rPr>
                <w:rStyle w:val="Znakapoznpodarou"/>
                <w:rFonts w:eastAsia="MS Gothic"/>
                <w:color w:val="000000"/>
                <w:szCs w:val="20"/>
                <w:lang w:val="en-GB"/>
              </w:rPr>
              <w:footnoteReference w:id="38"/>
            </w:r>
            <w:r w:rsidRPr="001A0A01">
              <w:rPr>
                <w:color w:val="0D0D0D" w:themeColor="text1" w:themeTint="F2"/>
                <w:spacing w:val="-4"/>
                <w:lang w:val="en-GB"/>
              </w:rPr>
              <w:t xml:space="preserve"> supported the growth, as the number of domestic guests decreased, year-on-year, by 1.4% (the number of</w:t>
            </w:r>
            <w:r w:rsidR="00061186">
              <w:rPr>
                <w:color w:val="0D0D0D" w:themeColor="text1" w:themeTint="F2"/>
                <w:spacing w:val="-4"/>
                <w:lang w:val="en-GB"/>
              </w:rPr>
              <w:t xml:space="preserve"> their overnight stays </w:t>
            </w:r>
            <w:r w:rsidR="00061186" w:rsidRPr="00061186">
              <w:rPr>
                <w:color w:val="0D0D0D" w:themeColor="text1" w:themeTint="F2"/>
                <w:spacing w:val="-4"/>
                <w:lang w:val="en-GB"/>
              </w:rPr>
              <w:t>dropped</w:t>
            </w:r>
            <w:r w:rsidRPr="001A0A01">
              <w:rPr>
                <w:color w:val="0D0D0D" w:themeColor="text1" w:themeTint="F2"/>
                <w:spacing w:val="-4"/>
                <w:lang w:val="en-GB"/>
              </w:rPr>
              <w:t xml:space="preserve"> by 3.5%). Foreign guests’ data showed a significant recovery in the number of visitors from China</w:t>
            </w:r>
            <w:r w:rsidRPr="001A0A01">
              <w:rPr>
                <w:rStyle w:val="Znakapoznpodarou"/>
                <w:rFonts w:eastAsia="MS Gothic"/>
                <w:color w:val="000000"/>
                <w:spacing w:val="-4"/>
                <w:szCs w:val="20"/>
                <w:lang w:val="en-GB"/>
              </w:rPr>
              <w:footnoteReference w:id="39"/>
            </w:r>
            <w:r w:rsidRPr="001A0A01">
              <w:rPr>
                <w:color w:val="0D0D0D" w:themeColor="text1" w:themeTint="F2"/>
                <w:spacing w:val="-4"/>
                <w:lang w:val="en-GB"/>
              </w:rPr>
              <w:t xml:space="preserve"> (to a lesser extent also from other Asian countries), further the organization of major sporting events in the Czech Republic (especially the Ice Hockey World Championship in Prague and Ostrava) had a positive impact</w:t>
            </w:r>
            <w:r w:rsidRPr="001A0A01">
              <w:rPr>
                <w:rStyle w:val="Znakapoznpodarou"/>
                <w:rFonts w:eastAsia="MS Gothic"/>
                <w:color w:val="000000"/>
                <w:szCs w:val="20"/>
                <w:lang w:val="en-GB"/>
              </w:rPr>
              <w:footnoteReference w:id="40"/>
            </w:r>
            <w:r w:rsidRPr="001A0A01">
              <w:rPr>
                <w:color w:val="0D0D0D" w:themeColor="text1" w:themeTint="F2"/>
                <w:spacing w:val="-4"/>
                <w:lang w:val="en-GB"/>
              </w:rPr>
              <w:t xml:space="preserve">. On the contrary, the number of overnight stays of guests from Germany decreased by 2.7% (it presented the first decline in the last 11 quarters). In spite of this, they still comprised more than one quarter of the accommodation demand from all non-residents in the Czech Republic in Q2.  </w:t>
            </w:r>
            <w:bookmarkEnd w:id="44"/>
            <w:bookmarkEnd w:id="45"/>
          </w:p>
        </w:tc>
      </w:tr>
      <w:tr w:rsidR="00E97D7E" w:rsidRPr="001A0A01" w14:paraId="5B982252" w14:textId="77777777" w:rsidTr="00E551F6">
        <w:trPr>
          <w:trHeight w:val="170"/>
        </w:trPr>
        <w:tc>
          <w:tcPr>
            <w:tcW w:w="1814" w:type="dxa"/>
            <w:shd w:val="clear" w:color="auto" w:fill="auto"/>
            <w:tcMar>
              <w:left w:w="0" w:type="dxa"/>
            </w:tcMar>
          </w:tcPr>
          <w:p w14:paraId="128A396D" w14:textId="77777777" w:rsidR="00E97D7E" w:rsidRPr="001A0A01" w:rsidRDefault="00E97D7E" w:rsidP="00E97D7E">
            <w:pPr>
              <w:pStyle w:val="Marginlie"/>
              <w:rPr>
                <w:color w:val="0D0D0D" w:themeColor="text1" w:themeTint="F2"/>
                <w:spacing w:val="-4"/>
                <w:lang w:val="en-GB"/>
              </w:rPr>
            </w:pPr>
            <w:r w:rsidRPr="001A0A01">
              <w:rPr>
                <w:color w:val="0D0D0D" w:themeColor="text1" w:themeTint="F2"/>
                <w:spacing w:val="-4"/>
                <w:lang w:val="en-GB"/>
              </w:rPr>
              <w:t xml:space="preserve">All sub-branches of transport and warehousing recorded at least a mild increase in sales this year. </w:t>
            </w:r>
          </w:p>
          <w:p w14:paraId="5BC9CCFC" w14:textId="77777777" w:rsidR="00E97D7E" w:rsidRPr="001A0A01" w:rsidRDefault="00E97D7E" w:rsidP="00E97D7E">
            <w:pPr>
              <w:pStyle w:val="Marginlie"/>
              <w:rPr>
                <w:color w:val="0D0D0D" w:themeColor="text1" w:themeTint="F2"/>
                <w:spacing w:val="-4"/>
                <w:lang w:val="en-GB"/>
              </w:rPr>
            </w:pPr>
          </w:p>
        </w:tc>
        <w:tc>
          <w:tcPr>
            <w:tcW w:w="229" w:type="dxa"/>
            <w:shd w:val="clear" w:color="auto" w:fill="auto"/>
            <w:tcMar>
              <w:left w:w="0" w:type="dxa"/>
            </w:tcMar>
          </w:tcPr>
          <w:p w14:paraId="67C9B6D6"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40782109" w14:textId="39C5C2E4" w:rsidR="00E97D7E" w:rsidRPr="001A0A01" w:rsidRDefault="00E97D7E" w:rsidP="00530702">
            <w:pPr>
              <w:rPr>
                <w:color w:val="0D0D0D" w:themeColor="text1" w:themeTint="F2"/>
                <w:spacing w:val="-4"/>
                <w:lang w:val="en-GB"/>
              </w:rPr>
            </w:pPr>
            <w:bookmarkStart w:id="47" w:name="_Hlk178459208"/>
            <w:r w:rsidRPr="001A0A01">
              <w:rPr>
                <w:color w:val="0D0D0D" w:themeColor="text1" w:themeTint="F2"/>
                <w:spacing w:val="-4"/>
                <w:lang w:val="en-GB"/>
              </w:rPr>
              <w:t>In transport and warehousing, the most important branch by weight, the sales increased by 2.8% in H1 2024 and contributed the most of all major branches to the year-on-year growth of the entire services sector (+0.7 p.p.). Thanks to the development of tourism, particularly the sales of air transport grew briskly (+20.6%), nevertheless they still lagged behind the maximum level of the boom period between 2015 and 2019. This also applies to water transport, which has also experienced a rapid demand growth (+8.8%) this year. The sales increased more modestly in the land</w:t>
            </w:r>
            <w:r w:rsidR="00530702">
              <w:rPr>
                <w:color w:val="0D0D0D" w:themeColor="text1" w:themeTint="F2"/>
                <w:spacing w:val="-4"/>
                <w:lang w:val="en-GB"/>
              </w:rPr>
              <w:t xml:space="preserve"> transport (+2.2%), as a </w:t>
            </w:r>
            <w:r w:rsidRPr="001A0A01">
              <w:rPr>
                <w:color w:val="0D0D0D" w:themeColor="text1" w:themeTint="F2"/>
                <w:spacing w:val="-4"/>
                <w:lang w:val="en-GB"/>
              </w:rPr>
              <w:t xml:space="preserve">decline in rail transport was </w:t>
            </w:r>
            <w:r w:rsidRPr="001A0A01">
              <w:rPr>
                <w:color w:val="0D0D0D" w:themeColor="text1" w:themeTint="F2"/>
                <w:spacing w:val="-4"/>
                <w:lang w:val="en-GB"/>
              </w:rPr>
              <w:lastRenderedPageBreak/>
              <w:t>offse</w:t>
            </w:r>
            <w:r w:rsidR="00530702">
              <w:rPr>
                <w:color w:val="0D0D0D" w:themeColor="text1" w:themeTint="F2"/>
                <w:spacing w:val="-4"/>
                <w:lang w:val="en-GB"/>
              </w:rPr>
              <w:t>t by higher performance in road</w:t>
            </w:r>
            <w:r w:rsidRPr="001A0A01">
              <w:rPr>
                <w:color w:val="0D0D0D" w:themeColor="text1" w:themeTint="F2"/>
                <w:spacing w:val="-4"/>
                <w:lang w:val="en-GB"/>
              </w:rPr>
              <w:t xml:space="preserve"> freight as well as passenger transport. Sales increased at a similar rate </w:t>
            </w:r>
            <w:r w:rsidR="00530702">
              <w:rPr>
                <w:color w:val="0D0D0D" w:themeColor="text1" w:themeTint="F2"/>
                <w:spacing w:val="-4"/>
                <w:lang w:val="en-GB"/>
              </w:rPr>
              <w:t xml:space="preserve">also in warehousing </w:t>
            </w:r>
            <w:r w:rsidRPr="001A0A01">
              <w:rPr>
                <w:color w:val="0D0D0D" w:themeColor="text1" w:themeTint="F2"/>
                <w:spacing w:val="-4"/>
                <w:lang w:val="en-GB"/>
              </w:rPr>
              <w:t xml:space="preserve">and in postal and courier activities, which was likely related mainly to the development of trade. At the same time, they were more than one tenth higher in both cases compared to H1 2019. </w:t>
            </w:r>
            <w:bookmarkEnd w:id="47"/>
          </w:p>
        </w:tc>
      </w:tr>
      <w:tr w:rsidR="00E97D7E" w:rsidRPr="001A0A01" w14:paraId="16814E1E" w14:textId="77777777" w:rsidTr="00E551F6">
        <w:trPr>
          <w:trHeight w:val="170"/>
        </w:trPr>
        <w:tc>
          <w:tcPr>
            <w:tcW w:w="1814" w:type="dxa"/>
            <w:shd w:val="clear" w:color="auto" w:fill="auto"/>
            <w:tcMar>
              <w:left w:w="0" w:type="dxa"/>
            </w:tcMar>
          </w:tcPr>
          <w:p w14:paraId="1FB4AEC4" w14:textId="5FBB0E9D" w:rsidR="00E97D7E" w:rsidRPr="001A0A01" w:rsidRDefault="00E97D7E" w:rsidP="00E97D7E">
            <w:pPr>
              <w:pStyle w:val="Marginlie"/>
              <w:rPr>
                <w:color w:val="0D0D0D" w:themeColor="text1" w:themeTint="F2"/>
                <w:spacing w:val="-4"/>
                <w:lang w:val="en-GB"/>
              </w:rPr>
            </w:pPr>
            <w:bookmarkStart w:id="48" w:name="_Hlk178521230"/>
            <w:r w:rsidRPr="001A0A01">
              <w:rPr>
                <w:color w:val="0D0D0D" w:themeColor="text1" w:themeTint="F2"/>
                <w:spacing w:val="-4"/>
                <w:lang w:val="en-GB"/>
              </w:rPr>
              <w:lastRenderedPageBreak/>
              <w:t xml:space="preserve">Mostly the architectural and engineering activities drove the demand for more sophisticated business services. </w:t>
            </w:r>
            <w:bookmarkEnd w:id="48"/>
          </w:p>
          <w:p w14:paraId="71A15138" w14:textId="77777777" w:rsidR="00E97D7E" w:rsidRPr="001A0A01" w:rsidRDefault="00E97D7E" w:rsidP="00E97D7E">
            <w:pPr>
              <w:pStyle w:val="Marginlie"/>
              <w:rPr>
                <w:color w:val="0D0D0D" w:themeColor="text1" w:themeTint="F2"/>
                <w:spacing w:val="-4"/>
                <w:lang w:val="en-GB"/>
              </w:rPr>
            </w:pPr>
          </w:p>
        </w:tc>
        <w:tc>
          <w:tcPr>
            <w:tcW w:w="229" w:type="dxa"/>
            <w:shd w:val="clear" w:color="auto" w:fill="auto"/>
            <w:tcMar>
              <w:left w:w="0" w:type="dxa"/>
            </w:tcMar>
          </w:tcPr>
          <w:p w14:paraId="54B5BE24"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5B4C3B06" w14:textId="1574E292" w:rsidR="00E97D7E" w:rsidRPr="001A0A01" w:rsidRDefault="00E97D7E" w:rsidP="00165465">
            <w:pPr>
              <w:rPr>
                <w:color w:val="0D0D0D" w:themeColor="text1" w:themeTint="F2"/>
                <w:spacing w:val="-4"/>
                <w:lang w:val="en-GB"/>
              </w:rPr>
            </w:pPr>
            <w:bookmarkStart w:id="49" w:name="_Hlk178518080"/>
            <w:r w:rsidRPr="001A0A01">
              <w:rPr>
                <w:rFonts w:cs="Arial"/>
                <w:color w:val="0D0D0D" w:themeColor="text1" w:themeTint="F2"/>
                <w:spacing w:val="-4"/>
                <w:lang w:val="en-GB"/>
              </w:rPr>
              <w:t xml:space="preserve">The year-on-year sales growth slowed to one half in H1 this year (+2.0%) compared to the preceding year, but at the same time it persisted for more than three years in professional, scientific and technical activities, which typically concentrate more sophisticated services for businesses. Despite the difficulties in construction, the architectural and engineering activities contributed the most to the growth of the total branch this year (sales increased by 4.9%). Demand for management as well as legal and accounting activities continued to expand. </w:t>
            </w:r>
            <w:bookmarkEnd w:id="49"/>
          </w:p>
        </w:tc>
      </w:tr>
      <w:tr w:rsidR="00E97D7E" w:rsidRPr="001A0A01" w14:paraId="1393D6EB" w14:textId="77777777" w:rsidTr="00E551F6">
        <w:trPr>
          <w:trHeight w:val="170"/>
        </w:trPr>
        <w:tc>
          <w:tcPr>
            <w:tcW w:w="1814" w:type="dxa"/>
            <w:shd w:val="clear" w:color="auto" w:fill="auto"/>
            <w:tcMar>
              <w:left w:w="0" w:type="dxa"/>
            </w:tcMar>
          </w:tcPr>
          <w:p w14:paraId="799E8ED1" w14:textId="77777777" w:rsidR="00E97D7E" w:rsidRPr="001A0A01" w:rsidRDefault="00E97D7E" w:rsidP="00E97D7E">
            <w:pPr>
              <w:pStyle w:val="Marginlie"/>
              <w:rPr>
                <w:lang w:val="en-GB"/>
              </w:rPr>
            </w:pPr>
          </w:p>
        </w:tc>
        <w:tc>
          <w:tcPr>
            <w:tcW w:w="229" w:type="dxa"/>
            <w:shd w:val="clear" w:color="auto" w:fill="auto"/>
            <w:tcMar>
              <w:left w:w="0" w:type="dxa"/>
            </w:tcMar>
          </w:tcPr>
          <w:p w14:paraId="52D9D16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94412D9" w14:textId="16789B04" w:rsidR="00E97D7E" w:rsidRPr="001A0A01" w:rsidRDefault="00E97D7E" w:rsidP="00E97D7E">
            <w:pPr>
              <w:spacing w:after="0"/>
              <w:rPr>
                <w:b/>
                <w:spacing w:val="-4"/>
                <w:lang w:val="en-GB"/>
              </w:rPr>
            </w:pPr>
            <w:r w:rsidRPr="001A0A01">
              <w:rPr>
                <w:b/>
                <w:spacing w:val="-4"/>
                <w:lang w:val="en-GB"/>
              </w:rPr>
              <w:t xml:space="preserve">Chart 7 </w:t>
            </w:r>
            <w:r w:rsidRPr="001A0A01">
              <w:rPr>
                <w:b/>
                <w:spacing w:val="-2"/>
                <w:lang w:val="en-GB"/>
              </w:rPr>
              <w:t>Contributions of</w:t>
            </w:r>
            <w:r>
              <w:rPr>
                <w:b/>
                <w:spacing w:val="-2"/>
                <w:lang w:val="en-GB"/>
              </w:rPr>
              <w:t xml:space="preserve"> branches to year-on-year growth</w:t>
            </w:r>
            <w:r w:rsidRPr="001A0A01">
              <w:rPr>
                <w:b/>
                <w:spacing w:val="-2"/>
                <w:lang w:val="en-GB"/>
              </w:rPr>
              <w:t xml:space="preserve"> of sales in services</w:t>
            </w:r>
            <w:r w:rsidRPr="001A0A01">
              <w:rPr>
                <w:b/>
                <w:bCs/>
                <w:spacing w:val="-2"/>
                <w:lang w:val="en-GB"/>
              </w:rPr>
              <w:t>*</w:t>
            </w:r>
            <w:r w:rsidRPr="001A0A01">
              <w:rPr>
                <w:b/>
                <w:spacing w:val="-2"/>
                <w:lang w:val="en-GB"/>
              </w:rPr>
              <w:br/>
            </w:r>
            <w:r w:rsidRPr="001A0A01">
              <w:rPr>
                <w:spacing w:val="-2"/>
                <w:lang w:val="en-GB"/>
              </w:rPr>
              <w:t>(real, in p. p),</w:t>
            </w:r>
            <w:r w:rsidRPr="001A0A01">
              <w:rPr>
                <w:b/>
                <w:spacing w:val="-2"/>
                <w:lang w:val="en-GB"/>
              </w:rPr>
              <w:t xml:space="preserve"> total sales in services</w:t>
            </w:r>
            <w:r w:rsidRPr="001A0A01">
              <w:rPr>
                <w:b/>
                <w:bCs/>
                <w:spacing w:val="-2"/>
                <w:lang w:val="en-GB"/>
              </w:rPr>
              <w:t xml:space="preserve">* </w:t>
            </w:r>
            <w:r>
              <w:rPr>
                <w:spacing w:val="-2"/>
                <w:lang w:val="en-GB"/>
              </w:rPr>
              <w:t>(real, base of 2021=100</w:t>
            </w:r>
            <w:r w:rsidRPr="001A0A01">
              <w:rPr>
                <w:spacing w:val="-2"/>
                <w:lang w:val="en-GB"/>
              </w:rPr>
              <w:t>),</w:t>
            </w:r>
            <w:r w:rsidRPr="001A0A01">
              <w:rPr>
                <w:b/>
                <w:spacing w:val="-2"/>
                <w:lang w:val="en-GB"/>
              </w:rPr>
              <w:t xml:space="preserve"> balance of business confidence indicator in services</w:t>
            </w:r>
            <w:r w:rsidRPr="001A0A01">
              <w:rPr>
                <w:b/>
                <w:bCs/>
                <w:spacing w:val="-2"/>
                <w:lang w:val="en-GB"/>
              </w:rPr>
              <w:t>**</w:t>
            </w:r>
            <w:r w:rsidRPr="001A0A01">
              <w:rPr>
                <w:b/>
                <w:spacing w:val="-2"/>
                <w:lang w:val="en-GB"/>
              </w:rPr>
              <w:t xml:space="preserve"> </w:t>
            </w:r>
            <w:r>
              <w:rPr>
                <w:spacing w:val="-2"/>
                <w:lang w:val="en-GB"/>
              </w:rPr>
              <w:t>(in p. p.</w:t>
            </w:r>
            <w:r w:rsidRPr="001A0A01">
              <w:rPr>
                <w:spacing w:val="-2"/>
                <w:lang w:val="en-GB"/>
              </w:rPr>
              <w:t>)</w:t>
            </w:r>
            <w:r w:rsidRPr="001A0A01">
              <w:rPr>
                <w:b/>
                <w:bCs/>
                <w:spacing w:val="-2"/>
                <w:lang w:val="en-GB"/>
              </w:rPr>
              <w:t xml:space="preserve"> and </w:t>
            </w:r>
            <w:r w:rsidRPr="001A0A01">
              <w:rPr>
                <w:b/>
                <w:spacing w:val="-2"/>
                <w:lang w:val="en-GB"/>
              </w:rPr>
              <w:t>barriers to growth</w:t>
            </w:r>
            <w:r w:rsidRPr="001A0A01">
              <w:rPr>
                <w:b/>
                <w:bCs/>
                <w:spacing w:val="-2"/>
                <w:lang w:val="en-GB"/>
              </w:rPr>
              <w:t>**</w:t>
            </w:r>
            <w:r w:rsidRPr="001A0A01">
              <w:rPr>
                <w:b/>
                <w:spacing w:val="-2"/>
                <w:lang w:val="en-GB"/>
              </w:rPr>
              <w:t xml:space="preserve"> </w:t>
            </w:r>
            <w:r>
              <w:rPr>
                <w:spacing w:val="-2"/>
                <w:lang w:val="en-GB"/>
              </w:rPr>
              <w:t>(in %</w:t>
            </w:r>
            <w:r w:rsidRPr="001A0A01">
              <w:rPr>
                <w:spacing w:val="-2"/>
                <w:lang w:val="en-GB"/>
              </w:rPr>
              <w:t xml:space="preserve">) </w:t>
            </w:r>
            <w:r w:rsidRPr="001A0A01">
              <w:rPr>
                <w:spacing w:val="-4"/>
                <w:lang w:val="en-GB"/>
              </w:rPr>
              <w:t xml:space="preserve"> </w:t>
            </w:r>
          </w:p>
        </w:tc>
      </w:tr>
      <w:tr w:rsidR="00E97D7E" w:rsidRPr="001A0A01" w14:paraId="074B14AC" w14:textId="77777777" w:rsidTr="004C697D">
        <w:tblPrEx>
          <w:tblCellMar>
            <w:left w:w="70" w:type="dxa"/>
            <w:right w:w="70" w:type="dxa"/>
          </w:tblCellMar>
        </w:tblPrEx>
        <w:trPr>
          <w:trHeight w:val="170"/>
        </w:trPr>
        <w:tc>
          <w:tcPr>
            <w:tcW w:w="1814" w:type="dxa"/>
            <w:shd w:val="clear" w:color="auto" w:fill="auto"/>
          </w:tcPr>
          <w:p w14:paraId="29A89ECF" w14:textId="77777777" w:rsidR="00E97D7E" w:rsidRPr="001A0A01" w:rsidRDefault="00E97D7E" w:rsidP="00E97D7E">
            <w:pPr>
              <w:pStyle w:val="Marginlie"/>
              <w:rPr>
                <w:lang w:val="en-GB"/>
              </w:rPr>
            </w:pPr>
          </w:p>
        </w:tc>
        <w:tc>
          <w:tcPr>
            <w:tcW w:w="229" w:type="dxa"/>
            <w:shd w:val="clear" w:color="auto" w:fill="auto"/>
          </w:tcPr>
          <w:p w14:paraId="44E12FD5" w14:textId="77777777" w:rsidR="00E97D7E" w:rsidRPr="001A0A01" w:rsidRDefault="00E97D7E" w:rsidP="00E97D7E">
            <w:pPr>
              <w:pStyle w:val="Textpoznpodarou"/>
              <w:jc w:val="both"/>
              <w:rPr>
                <w:spacing w:val="-4"/>
                <w:lang w:val="en-GB"/>
              </w:rPr>
            </w:pPr>
          </w:p>
        </w:tc>
        <w:tc>
          <w:tcPr>
            <w:tcW w:w="7596" w:type="dxa"/>
            <w:shd w:val="clear" w:color="auto" w:fill="auto"/>
          </w:tcPr>
          <w:p w14:paraId="0DF4E6E8" w14:textId="47BA3E07" w:rsidR="00E97D7E" w:rsidRPr="001A0A01" w:rsidRDefault="00E97D7E" w:rsidP="00E97D7E">
            <w:pPr>
              <w:spacing w:before="40" w:after="0"/>
              <w:rPr>
                <w:rFonts w:cs="Arial"/>
                <w:sz w:val="14"/>
                <w:szCs w:val="14"/>
                <w:lang w:val="en-GB"/>
              </w:rPr>
            </w:pPr>
            <w:r>
              <w:rPr>
                <w:noProof/>
              </w:rPr>
              <w:drawing>
                <wp:inline distT="0" distB="0" distL="0" distR="0" wp14:anchorId="4EEA71C7" wp14:editId="0445AA83">
                  <wp:extent cx="4707172" cy="3636645"/>
                  <wp:effectExtent l="0" t="0" r="0" b="1905"/>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E97D7E" w:rsidRPr="001A0A01" w14:paraId="6D588E52" w14:textId="77777777" w:rsidTr="00E551F6">
        <w:trPr>
          <w:trHeight w:val="170"/>
        </w:trPr>
        <w:tc>
          <w:tcPr>
            <w:tcW w:w="1814" w:type="dxa"/>
            <w:shd w:val="clear" w:color="auto" w:fill="auto"/>
            <w:tcMar>
              <w:left w:w="0" w:type="dxa"/>
            </w:tcMar>
          </w:tcPr>
          <w:p w14:paraId="6664BB69" w14:textId="77777777" w:rsidR="00E97D7E" w:rsidRPr="001A0A01" w:rsidRDefault="00E97D7E" w:rsidP="00E97D7E">
            <w:pPr>
              <w:pStyle w:val="Marginlie"/>
              <w:rPr>
                <w:lang w:val="en-GB"/>
              </w:rPr>
            </w:pPr>
          </w:p>
        </w:tc>
        <w:tc>
          <w:tcPr>
            <w:tcW w:w="229" w:type="dxa"/>
            <w:shd w:val="clear" w:color="auto" w:fill="auto"/>
            <w:tcMar>
              <w:left w:w="0" w:type="dxa"/>
            </w:tcMar>
          </w:tcPr>
          <w:p w14:paraId="41769C70"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7E5C40BC" w14:textId="199DC7F0"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Note: All data are seasonally adju</w:t>
            </w:r>
            <w:r w:rsidR="00BE6FF8">
              <w:rPr>
                <w:rFonts w:cs="Arial"/>
                <w:spacing w:val="-4"/>
                <w:sz w:val="14"/>
                <w:szCs w:val="14"/>
                <w:lang w:val="en-GB"/>
              </w:rPr>
              <w:t xml:space="preserve">sted, only contributions of </w:t>
            </w:r>
            <w:r w:rsidRPr="001A0A01">
              <w:rPr>
                <w:rFonts w:cs="Arial"/>
                <w:spacing w:val="-4"/>
                <w:sz w:val="14"/>
                <w:szCs w:val="14"/>
                <w:lang w:val="en-GB"/>
              </w:rPr>
              <w:t xml:space="preserve">branches to the growth of sales are adjusted solely for calendar effects. </w:t>
            </w:r>
          </w:p>
          <w:p w14:paraId="342C7A83" w14:textId="77777777"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 xml:space="preserve">*Without branches trade, financial activities, insurance activities, science, research and public services. </w:t>
            </w:r>
          </w:p>
          <w:p w14:paraId="2964C424" w14:textId="3B6EF31F" w:rsidR="00E97D7E" w:rsidRPr="001A0A01" w:rsidRDefault="00E97D7E" w:rsidP="00E97D7E">
            <w:pPr>
              <w:spacing w:after="0" w:line="240" w:lineRule="auto"/>
              <w:rPr>
                <w:rFonts w:cs="Arial"/>
                <w:spacing w:val="-4"/>
                <w:sz w:val="14"/>
                <w:szCs w:val="14"/>
                <w:lang w:val="en-GB"/>
              </w:rPr>
            </w:pPr>
            <w:r w:rsidRPr="001A0A01">
              <w:rPr>
                <w:rFonts w:cs="Arial"/>
                <w:spacing w:val="-4"/>
                <w:sz w:val="14"/>
                <w:szCs w:val="14"/>
                <w:lang w:val="en-GB"/>
              </w:rPr>
              <w:t xml:space="preserve">**Also involves the financial sector. Balance of business confidence </w:t>
            </w:r>
            <w:r w:rsidR="00F312E5">
              <w:rPr>
                <w:rFonts w:cs="Arial"/>
                <w:spacing w:val="-4"/>
                <w:sz w:val="14"/>
                <w:szCs w:val="14"/>
                <w:lang w:val="en-GB"/>
              </w:rPr>
              <w:t>express the level in the second</w:t>
            </w:r>
            <w:r w:rsidRPr="001A0A01">
              <w:rPr>
                <w:rFonts w:cs="Arial"/>
                <w:spacing w:val="-4"/>
                <w:sz w:val="14"/>
                <w:szCs w:val="14"/>
                <w:lang w:val="en-GB"/>
              </w:rPr>
              <w:t xml:space="preserve"> </w:t>
            </w:r>
            <w:r w:rsidR="00F312E5">
              <w:rPr>
                <w:rFonts w:cs="Arial"/>
                <w:spacing w:val="-4"/>
                <w:sz w:val="14"/>
                <w:szCs w:val="14"/>
                <w:lang w:val="en-GB"/>
              </w:rPr>
              <w:t>month of the given quarter</w:t>
            </w:r>
            <w:proofErr w:type="gramStart"/>
            <w:r w:rsidR="00F312E5">
              <w:rPr>
                <w:rFonts w:cs="Arial"/>
                <w:spacing w:val="-4"/>
                <w:sz w:val="14"/>
                <w:szCs w:val="14"/>
                <w:lang w:val="en-GB"/>
              </w:rPr>
              <w:t>,,</w:t>
            </w:r>
            <w:proofErr w:type="gramEnd"/>
            <w:r w:rsidR="00F312E5">
              <w:rPr>
                <w:rFonts w:cs="Arial"/>
                <w:spacing w:val="-4"/>
                <w:sz w:val="14"/>
                <w:szCs w:val="14"/>
                <w:lang w:val="en-GB"/>
              </w:rPr>
              <w:t xml:space="preserve"> g</w:t>
            </w:r>
            <w:r w:rsidRPr="001A0A01">
              <w:rPr>
                <w:rFonts w:cs="Arial"/>
                <w:spacing w:val="-4"/>
                <w:sz w:val="14"/>
                <w:szCs w:val="14"/>
                <w:lang w:val="en-GB"/>
              </w:rPr>
              <w:t xml:space="preserve">rowth barriers </w:t>
            </w:r>
            <w:r w:rsidR="00F312E5">
              <w:rPr>
                <w:rFonts w:cs="Arial"/>
                <w:spacing w:val="-4"/>
                <w:sz w:val="14"/>
                <w:szCs w:val="14"/>
                <w:lang w:val="en-GB"/>
              </w:rPr>
              <w:t>then</w:t>
            </w:r>
            <w:r w:rsidR="00F312E5" w:rsidRPr="001A0A01">
              <w:rPr>
                <w:rFonts w:cs="Arial"/>
                <w:spacing w:val="-4"/>
                <w:sz w:val="14"/>
                <w:szCs w:val="14"/>
                <w:lang w:val="en-GB"/>
              </w:rPr>
              <w:t xml:space="preserve"> </w:t>
            </w:r>
            <w:r w:rsidR="00F312E5">
              <w:rPr>
                <w:rFonts w:cs="Arial"/>
                <w:spacing w:val="-4"/>
                <w:sz w:val="14"/>
                <w:szCs w:val="14"/>
                <w:lang w:val="en-GB"/>
              </w:rPr>
              <w:t>in the first month</w:t>
            </w:r>
            <w:r w:rsidRPr="001A0A01">
              <w:rPr>
                <w:rFonts w:cs="Arial"/>
                <w:spacing w:val="-4"/>
                <w:sz w:val="14"/>
                <w:szCs w:val="14"/>
                <w:lang w:val="en-GB"/>
              </w:rPr>
              <w:t xml:space="preserve">. Businesses could have indicated more key barriers simultaneously. </w:t>
            </w:r>
          </w:p>
          <w:p w14:paraId="53C8AFC5" w14:textId="71E3F5FA" w:rsidR="00E97D7E" w:rsidRPr="00083363" w:rsidRDefault="00E97D7E" w:rsidP="00E97D7E">
            <w:pPr>
              <w:spacing w:after="0" w:line="240" w:lineRule="auto"/>
              <w:rPr>
                <w:rFonts w:cs="Arial"/>
                <w:sz w:val="14"/>
                <w:szCs w:val="14"/>
                <w:lang w:val="en-GB"/>
              </w:rPr>
            </w:pPr>
            <w:r w:rsidRPr="001A0A01">
              <w:rPr>
                <w:rFonts w:cs="Arial"/>
                <w:spacing w:val="-4"/>
                <w:sz w:val="14"/>
                <w:szCs w:val="14"/>
                <w:lang w:val="en-GB"/>
              </w:rPr>
              <w:t xml:space="preserve">Source: CZSO, Eurostat </w:t>
            </w:r>
          </w:p>
          <w:p w14:paraId="08D84EED" w14:textId="77777777" w:rsidR="00E97D7E" w:rsidRPr="001A0A01" w:rsidRDefault="00E97D7E" w:rsidP="00E97D7E">
            <w:pPr>
              <w:spacing w:after="0" w:line="240" w:lineRule="auto"/>
              <w:rPr>
                <w:rFonts w:cs="Arial"/>
                <w:b/>
                <w:bCs/>
                <w:sz w:val="16"/>
                <w:szCs w:val="16"/>
                <w:lang w:val="en-GB"/>
              </w:rPr>
            </w:pPr>
          </w:p>
        </w:tc>
      </w:tr>
      <w:tr w:rsidR="00165465" w:rsidRPr="001A0A01" w14:paraId="159EEFCA" w14:textId="77777777" w:rsidTr="00E551F6">
        <w:trPr>
          <w:trHeight w:val="170"/>
        </w:trPr>
        <w:tc>
          <w:tcPr>
            <w:tcW w:w="1814" w:type="dxa"/>
            <w:shd w:val="clear" w:color="auto" w:fill="auto"/>
            <w:tcMar>
              <w:left w:w="0" w:type="dxa"/>
            </w:tcMar>
          </w:tcPr>
          <w:p w14:paraId="4E5D02F7" w14:textId="3B2A1EA0" w:rsidR="00165465" w:rsidRPr="001A0A01" w:rsidRDefault="00165465" w:rsidP="00165465">
            <w:pPr>
              <w:pStyle w:val="Marginlie"/>
              <w:rPr>
                <w:color w:val="0D0D0D" w:themeColor="text1" w:themeTint="F2"/>
                <w:spacing w:val="-6"/>
                <w:lang w:val="en-GB"/>
              </w:rPr>
            </w:pPr>
            <w:r>
              <w:rPr>
                <w:color w:val="0D0D0D" w:themeColor="text1" w:themeTint="F2"/>
                <w:spacing w:val="-4"/>
                <w:lang w:val="en-GB"/>
              </w:rPr>
              <w:t xml:space="preserve">The </w:t>
            </w:r>
            <w:r w:rsidRPr="001A0A01">
              <w:rPr>
                <w:color w:val="0D0D0D" w:themeColor="text1" w:themeTint="F2"/>
                <w:spacing w:val="-4"/>
                <w:lang w:val="en-GB"/>
              </w:rPr>
              <w:t>longer-term decline in sales of employment placement agencies continued.</w:t>
            </w:r>
          </w:p>
        </w:tc>
        <w:tc>
          <w:tcPr>
            <w:tcW w:w="229" w:type="dxa"/>
            <w:shd w:val="clear" w:color="auto" w:fill="auto"/>
            <w:tcMar>
              <w:left w:w="0" w:type="dxa"/>
            </w:tcMar>
          </w:tcPr>
          <w:p w14:paraId="61479552" w14:textId="77777777" w:rsidR="00165465" w:rsidRPr="001A0A01" w:rsidRDefault="00165465"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12385198" w14:textId="3280E1A0" w:rsidR="00165465" w:rsidRPr="001A0A01" w:rsidRDefault="00165465" w:rsidP="00E97D7E">
            <w:pPr>
              <w:rPr>
                <w:rFonts w:cs="Arial"/>
                <w:color w:val="0D0D0D" w:themeColor="text1" w:themeTint="F2"/>
                <w:spacing w:val="-6"/>
                <w:lang w:val="en-GB"/>
              </w:rPr>
            </w:pPr>
            <w:r w:rsidRPr="001A0A01">
              <w:rPr>
                <w:rFonts w:cs="Arial"/>
                <w:color w:val="0D0D0D" w:themeColor="text1" w:themeTint="F2"/>
                <w:spacing w:val="-4"/>
                <w:lang w:val="en-GB"/>
              </w:rPr>
              <w:t>The sales exceeded the level of H1 2023 by 1.6% in administrative and support service activities this year. Further, particularly the travel agencies and offices also prospered, the sales already closely overtook the 2019 level here. In contrast, a continuous marked decline of demand for employment placement agency activities can be observed for a third year in a row (sales decreased by 10.9%, year-on-year, this year</w:t>
            </w:r>
            <w:r w:rsidRPr="001A0A01">
              <w:rPr>
                <w:rStyle w:val="Znakapoznpodarou"/>
                <w:color w:val="0D0D0D" w:themeColor="text1" w:themeTint="F2"/>
                <w:spacing w:val="-2"/>
                <w:lang w:val="en-GB"/>
              </w:rPr>
              <w:footnoteReference w:id="41"/>
            </w:r>
            <w:r w:rsidRPr="001A0A01">
              <w:rPr>
                <w:rFonts w:cs="Arial"/>
                <w:color w:val="0D0D0D" w:themeColor="text1" w:themeTint="F2"/>
                <w:spacing w:val="-4"/>
                <w:lang w:val="en-GB"/>
              </w:rPr>
              <w:t xml:space="preserve">). Cost pressures as well as the development of digitization resulted in a continued slight decrease of demand for security and investigation activities. On the contrary, the sales in the rental and operating leasing </w:t>
            </w:r>
            <w:r w:rsidRPr="001A0A01">
              <w:rPr>
                <w:rFonts w:cs="Arial"/>
                <w:color w:val="0D0D0D" w:themeColor="text1" w:themeTint="F2"/>
                <w:spacing w:val="-4"/>
                <w:lang w:val="en-GB"/>
              </w:rPr>
              <w:lastRenderedPageBreak/>
              <w:t xml:space="preserve">developing </w:t>
            </w:r>
            <w:proofErr w:type="spellStart"/>
            <w:r w:rsidRPr="001A0A01">
              <w:rPr>
                <w:rFonts w:cs="Arial"/>
                <w:color w:val="0D0D0D" w:themeColor="text1" w:themeTint="F2"/>
                <w:spacing w:val="-4"/>
                <w:lang w:val="en-GB"/>
              </w:rPr>
              <w:t>procyclically</w:t>
            </w:r>
            <w:proofErr w:type="spellEnd"/>
            <w:r w:rsidRPr="001A0A01">
              <w:rPr>
                <w:rFonts w:cs="Arial"/>
                <w:color w:val="0D0D0D" w:themeColor="text1" w:themeTint="F2"/>
                <w:spacing w:val="-4"/>
                <w:lang w:val="en-GB"/>
              </w:rPr>
              <w:t xml:space="preserve"> revived this year (+5.2%), higher demand manifested in all segments except for the rental of passenger vehicles and other light motor vehicles.</w:t>
            </w:r>
          </w:p>
        </w:tc>
      </w:tr>
      <w:tr w:rsidR="00E97D7E" w:rsidRPr="001A0A01" w14:paraId="6F7E010C" w14:textId="77777777" w:rsidTr="00E551F6">
        <w:trPr>
          <w:trHeight w:val="170"/>
        </w:trPr>
        <w:tc>
          <w:tcPr>
            <w:tcW w:w="1814" w:type="dxa"/>
            <w:shd w:val="clear" w:color="auto" w:fill="auto"/>
            <w:tcMar>
              <w:left w:w="0" w:type="dxa"/>
            </w:tcMar>
          </w:tcPr>
          <w:p w14:paraId="7958D0C7" w14:textId="77777777" w:rsidR="00E97D7E" w:rsidRPr="001A0A01" w:rsidRDefault="00E97D7E" w:rsidP="00E97D7E">
            <w:pPr>
              <w:jc w:val="left"/>
              <w:rPr>
                <w:color w:val="0D0D0D" w:themeColor="text1" w:themeTint="F2"/>
                <w:lang w:val="en-GB"/>
              </w:rPr>
            </w:pPr>
            <w:bookmarkStart w:id="50" w:name="_Hlk178526661"/>
            <w:r w:rsidRPr="001A0A01">
              <w:rPr>
                <w:color w:val="0D0D0D" w:themeColor="text1" w:themeTint="F2"/>
                <w:spacing w:val="-6"/>
                <w:sz w:val="16"/>
                <w:szCs w:val="16"/>
                <w:lang w:val="en-GB"/>
              </w:rPr>
              <w:lastRenderedPageBreak/>
              <w:t xml:space="preserve">Demand for programming services continued to grow, sales nevertheless decreased in the motion picture and music publishing industries, as well as in information activities. </w:t>
            </w:r>
          </w:p>
          <w:bookmarkEnd w:id="50"/>
          <w:p w14:paraId="5F4E5F32" w14:textId="77777777" w:rsidR="00E97D7E" w:rsidRPr="001A0A01" w:rsidRDefault="00E97D7E" w:rsidP="00E97D7E">
            <w:pPr>
              <w:pStyle w:val="Marginlie"/>
              <w:rPr>
                <w:color w:val="0D0D0D" w:themeColor="text1" w:themeTint="F2"/>
                <w:spacing w:val="-6"/>
                <w:lang w:val="en-GB"/>
              </w:rPr>
            </w:pPr>
          </w:p>
        </w:tc>
        <w:tc>
          <w:tcPr>
            <w:tcW w:w="229" w:type="dxa"/>
            <w:shd w:val="clear" w:color="auto" w:fill="auto"/>
            <w:tcMar>
              <w:left w:w="0" w:type="dxa"/>
            </w:tcMar>
          </w:tcPr>
          <w:p w14:paraId="5CA6F993"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CC15246" w14:textId="449DC886" w:rsidR="00E97D7E" w:rsidRPr="001A0A01" w:rsidRDefault="00E97D7E" w:rsidP="00E97D7E">
            <w:pPr>
              <w:rPr>
                <w:rFonts w:cs="Arial"/>
                <w:color w:val="0D0D0D" w:themeColor="text1" w:themeTint="F2"/>
                <w:spacing w:val="-4"/>
                <w:lang w:val="en-GB"/>
              </w:rPr>
            </w:pPr>
            <w:r w:rsidRPr="001A0A01">
              <w:rPr>
                <w:rFonts w:cs="Arial"/>
                <w:color w:val="0D0D0D" w:themeColor="text1" w:themeTint="F2"/>
                <w:spacing w:val="-6"/>
                <w:lang w:val="en-GB"/>
              </w:rPr>
              <w:t xml:space="preserve">Sales increased only very slightly, year-on-year, in the traditionally dynamic sector of information and communication (+1.1%) in H1 </w:t>
            </w:r>
            <w:r w:rsidR="00914DDD">
              <w:rPr>
                <w:rFonts w:cs="Arial"/>
                <w:color w:val="0D0D0D" w:themeColor="text1" w:themeTint="F2"/>
                <w:spacing w:val="-6"/>
                <w:lang w:val="en-GB"/>
              </w:rPr>
              <w:t xml:space="preserve">2024 </w:t>
            </w:r>
            <w:r w:rsidRPr="001A0A01">
              <w:rPr>
                <w:rFonts w:cs="Arial"/>
                <w:color w:val="0D0D0D" w:themeColor="text1" w:themeTint="F2"/>
                <w:spacing w:val="-6"/>
                <w:lang w:val="en-GB"/>
              </w:rPr>
              <w:t>and thus followed in the insignificant results of last year. Demand increased the most in the radio and television programming and broadcasting (+8.2%) here, however specially the higher sales in the key long-term developing segment of IT activities (+4.8%, including e.g. programming or computer facilities management activities) contributed to the growth of the whole branch. Mainly the drop of sales of the so-called motion picture and music industry (−35.4%</w:t>
            </w:r>
            <w:r w:rsidRPr="001A0A01">
              <w:rPr>
                <w:rStyle w:val="Znakapoznpodarou"/>
                <w:color w:val="0D0D0D" w:themeColor="text1" w:themeTint="F2"/>
                <w:spacing w:val="-8"/>
                <w:lang w:val="en-GB"/>
              </w:rPr>
              <w:footnoteReference w:id="42"/>
            </w:r>
            <w:r w:rsidRPr="001A0A01">
              <w:rPr>
                <w:rFonts w:cs="Arial"/>
                <w:color w:val="0D0D0D" w:themeColor="text1" w:themeTint="F2"/>
                <w:spacing w:val="-6"/>
                <w:lang w:val="en-GB"/>
              </w:rPr>
              <w:t>.) had the opposite effect. It reached a comparable depth as in year 2020 and this year it was primarily related to irregular invoicing</w:t>
            </w:r>
            <w:r w:rsidRPr="001A0A01">
              <w:rPr>
                <w:rStyle w:val="Znakapoznpodarou"/>
                <w:color w:val="0D0D0D" w:themeColor="text1" w:themeTint="F2"/>
                <w:spacing w:val="-6"/>
                <w:lang w:val="en-GB"/>
              </w:rPr>
              <w:footnoteReference w:id="43"/>
            </w:r>
            <w:r w:rsidRPr="001A0A01">
              <w:rPr>
                <w:rFonts w:cs="Arial"/>
                <w:color w:val="0D0D0D" w:themeColor="text1" w:themeTint="F2"/>
                <w:spacing w:val="-6"/>
                <w:lang w:val="en-GB"/>
              </w:rPr>
              <w:t>. Information activities</w:t>
            </w:r>
            <w:r w:rsidRPr="001A0A01">
              <w:rPr>
                <w:rStyle w:val="Znakapoznpodarou"/>
                <w:color w:val="0D0D0D" w:themeColor="text1" w:themeTint="F2"/>
                <w:spacing w:val="-4"/>
                <w:lang w:val="en-GB"/>
              </w:rPr>
              <w:footnoteReference w:id="44"/>
            </w:r>
            <w:r w:rsidRPr="001A0A01">
              <w:rPr>
                <w:rFonts w:cs="Arial"/>
                <w:color w:val="0D0D0D" w:themeColor="text1" w:themeTint="F2"/>
                <w:spacing w:val="-6"/>
                <w:lang w:val="en-GB"/>
              </w:rPr>
              <w:t xml:space="preserve"> also coped with lower demand, sales fell for the seventh quarter in a row here (by 2.6% for the whole H1). </w:t>
            </w:r>
          </w:p>
        </w:tc>
      </w:tr>
      <w:tr w:rsidR="00E97D7E" w:rsidRPr="001A0A01" w14:paraId="02D56ECF" w14:textId="77777777" w:rsidTr="00E551F6">
        <w:trPr>
          <w:trHeight w:val="170"/>
        </w:trPr>
        <w:tc>
          <w:tcPr>
            <w:tcW w:w="1814" w:type="dxa"/>
            <w:shd w:val="clear" w:color="auto" w:fill="auto"/>
            <w:tcMar>
              <w:left w:w="0" w:type="dxa"/>
            </w:tcMar>
          </w:tcPr>
          <w:p w14:paraId="4FFB1D59" w14:textId="77777777" w:rsidR="00E97D7E" w:rsidRPr="001A0A01" w:rsidRDefault="00E97D7E" w:rsidP="00E97D7E">
            <w:pPr>
              <w:pStyle w:val="Marginlie"/>
              <w:rPr>
                <w:color w:val="0D0D0D" w:themeColor="text1" w:themeTint="F2"/>
                <w:spacing w:val="-6"/>
                <w:lang w:val="en-GB"/>
              </w:rPr>
            </w:pPr>
            <w:r w:rsidRPr="001A0A01">
              <w:rPr>
                <w:color w:val="0D0D0D" w:themeColor="text1" w:themeTint="F2"/>
                <w:spacing w:val="-6"/>
                <w:lang w:val="en-GB"/>
              </w:rPr>
              <w:t xml:space="preserve">Price stabilisation in the economy led to a rapid improvement of consumer confidence. Retailers' confidence also strengthened.  </w:t>
            </w:r>
          </w:p>
          <w:p w14:paraId="6FA1C010" w14:textId="77777777" w:rsidR="00E97D7E" w:rsidRPr="001A0A01" w:rsidRDefault="00E97D7E" w:rsidP="00E97D7E">
            <w:pPr>
              <w:pStyle w:val="Marginlie"/>
              <w:rPr>
                <w:color w:val="0D0D0D" w:themeColor="text1" w:themeTint="F2"/>
                <w:spacing w:val="-6"/>
                <w:lang w:val="en-GB"/>
              </w:rPr>
            </w:pPr>
          </w:p>
          <w:p w14:paraId="2B5212C3" w14:textId="77777777" w:rsidR="00E97D7E" w:rsidRPr="001A0A01" w:rsidRDefault="00E97D7E" w:rsidP="00E97D7E">
            <w:pPr>
              <w:pStyle w:val="Marginlie"/>
              <w:rPr>
                <w:color w:val="0D0D0D" w:themeColor="text1" w:themeTint="F2"/>
                <w:spacing w:val="-6"/>
                <w:lang w:val="en-GB"/>
              </w:rPr>
            </w:pPr>
          </w:p>
          <w:p w14:paraId="06A67A84" w14:textId="3AE85884" w:rsidR="00E97D7E" w:rsidRDefault="00E97D7E" w:rsidP="00E97D7E">
            <w:pPr>
              <w:pStyle w:val="Marginlie"/>
              <w:rPr>
                <w:color w:val="0D0D0D" w:themeColor="text1" w:themeTint="F2"/>
                <w:spacing w:val="-6"/>
                <w:lang w:val="en-GB"/>
              </w:rPr>
            </w:pPr>
          </w:p>
          <w:p w14:paraId="7E9886E8" w14:textId="760A9462" w:rsidR="00C04E28" w:rsidRDefault="00C04E28" w:rsidP="00E97D7E">
            <w:pPr>
              <w:pStyle w:val="Marginlie"/>
              <w:rPr>
                <w:color w:val="0D0D0D" w:themeColor="text1" w:themeTint="F2"/>
                <w:spacing w:val="-6"/>
                <w:lang w:val="en-GB"/>
              </w:rPr>
            </w:pPr>
          </w:p>
          <w:p w14:paraId="0EEB6EF0" w14:textId="37E6E289" w:rsidR="00C04E28" w:rsidRDefault="00C04E28" w:rsidP="00E97D7E">
            <w:pPr>
              <w:pStyle w:val="Marginlie"/>
              <w:rPr>
                <w:color w:val="0D0D0D" w:themeColor="text1" w:themeTint="F2"/>
                <w:spacing w:val="-6"/>
                <w:lang w:val="en-GB"/>
              </w:rPr>
            </w:pPr>
          </w:p>
          <w:p w14:paraId="2F8D814E" w14:textId="77777777" w:rsidR="00C04E28" w:rsidRPr="001A0A01" w:rsidRDefault="00C04E28" w:rsidP="00E97D7E">
            <w:pPr>
              <w:pStyle w:val="Marginlie"/>
              <w:rPr>
                <w:color w:val="0D0D0D" w:themeColor="text1" w:themeTint="F2"/>
                <w:spacing w:val="-6"/>
                <w:lang w:val="en-GB"/>
              </w:rPr>
            </w:pPr>
          </w:p>
          <w:p w14:paraId="3BB6CBDB" w14:textId="77777777" w:rsidR="00E97D7E" w:rsidRPr="001A0A01" w:rsidRDefault="00E97D7E" w:rsidP="00E97D7E">
            <w:pPr>
              <w:pStyle w:val="Marginlie"/>
              <w:rPr>
                <w:color w:val="0D0D0D" w:themeColor="text1" w:themeTint="F2"/>
                <w:spacing w:val="-6"/>
                <w:lang w:val="en-GB"/>
              </w:rPr>
            </w:pPr>
          </w:p>
          <w:p w14:paraId="6EB76959" w14:textId="77777777" w:rsidR="00E97D7E" w:rsidRPr="001A0A01" w:rsidRDefault="00E97D7E" w:rsidP="00E97D7E">
            <w:pPr>
              <w:pStyle w:val="Marginlie"/>
              <w:rPr>
                <w:color w:val="0D0D0D" w:themeColor="text1" w:themeTint="F2"/>
                <w:spacing w:val="-6"/>
                <w:lang w:val="en-GB"/>
              </w:rPr>
            </w:pPr>
          </w:p>
          <w:p w14:paraId="0D515E8A" w14:textId="77777777" w:rsidR="00E97D7E" w:rsidRPr="001A0A01" w:rsidRDefault="00E97D7E" w:rsidP="00E97D7E">
            <w:pPr>
              <w:pStyle w:val="Marginlie"/>
              <w:rPr>
                <w:color w:val="0D0D0D" w:themeColor="text1" w:themeTint="F2"/>
                <w:spacing w:val="-6"/>
                <w:lang w:val="en-GB"/>
              </w:rPr>
            </w:pPr>
            <w:bookmarkStart w:id="54" w:name="_Hlk178529480"/>
            <w:r w:rsidRPr="001A0A01">
              <w:rPr>
                <w:color w:val="0D0D0D" w:themeColor="text1" w:themeTint="F2"/>
                <w:spacing w:val="-6"/>
                <w:lang w:val="en-GB"/>
              </w:rPr>
              <w:t xml:space="preserve">Retail sales increased, quarter-on-quarter, for the fourth time in a row, nevertheless have not attained the level of 2019 yet. </w:t>
            </w:r>
            <w:bookmarkEnd w:id="54"/>
          </w:p>
        </w:tc>
        <w:tc>
          <w:tcPr>
            <w:tcW w:w="229" w:type="dxa"/>
            <w:shd w:val="clear" w:color="auto" w:fill="auto"/>
            <w:tcMar>
              <w:left w:w="0" w:type="dxa"/>
            </w:tcMar>
          </w:tcPr>
          <w:p w14:paraId="05A49A7F"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16C79CC2" w14:textId="671D5F36" w:rsidR="00E97D7E" w:rsidRPr="001A0A01" w:rsidRDefault="00E97D7E" w:rsidP="00E97D7E">
            <w:pPr>
              <w:rPr>
                <w:rFonts w:cs="Arial"/>
                <w:color w:val="0D0D0D" w:themeColor="text1" w:themeTint="F2"/>
                <w:spacing w:val="-4"/>
                <w:lang w:val="en-GB"/>
              </w:rPr>
            </w:pPr>
            <w:r w:rsidRPr="001A0A01">
              <w:rPr>
                <w:rFonts w:cs="Arial"/>
                <w:color w:val="0D0D0D" w:themeColor="text1" w:themeTint="F2"/>
                <w:spacing w:val="-4"/>
                <w:lang w:val="en-GB"/>
              </w:rPr>
              <w:t>Retail also experienced a positive turnaround in recent quarters. Its precondition was the return of consumer prices to regular growth bands coupled with likely a temporary, however relatively significant decrease of food prices. This, together with the good condition of the labour market, swiftly launched the growth of the purchasing power of households and improved their overall confidence in the economy. It consequently climbed up highest in the last two and half years in April</w:t>
            </w:r>
            <w:r w:rsidR="00C04E28">
              <w:rPr>
                <w:rFonts w:cs="Arial"/>
                <w:color w:val="0D0D0D" w:themeColor="text1" w:themeTint="F2"/>
                <w:spacing w:val="-4"/>
                <w:lang w:val="en-GB"/>
              </w:rPr>
              <w:t xml:space="preserve"> 2024</w:t>
            </w:r>
            <w:r w:rsidRPr="001A0A01">
              <w:rPr>
                <w:rFonts w:cs="Arial"/>
                <w:color w:val="0D0D0D" w:themeColor="text1" w:themeTint="F2"/>
                <w:spacing w:val="-4"/>
                <w:lang w:val="en-GB"/>
              </w:rPr>
              <w:t>. Although there was a slight deterioration subsequently, the consumer pessimism was still lower in August than in any month from the period 2022 to 2023. However, people still declare a higher intention to save and simultaneously still do not consider the current time to be very suitable for large purchases (investments or durable goods). To a certain extent, this fact counteracts a faster recovery in demand for certain assortment groups of non-food products. At the same time, however, the traders' optimism also strengthened, the level of their confidence in the economy hiked up the highest in the last fourteen months in July this year. The development of inbound tourism also contributed to the recovery of retail. Retail sales</w:t>
            </w:r>
            <w:r w:rsidRPr="001A0A01">
              <w:rPr>
                <w:rStyle w:val="Znakapoznpodarou"/>
                <w:color w:val="0D0D0D" w:themeColor="text1" w:themeTint="F2"/>
                <w:spacing w:val="-4"/>
                <w:lang w:val="en-GB"/>
              </w:rPr>
              <w:footnoteReference w:id="45"/>
            </w:r>
            <w:r w:rsidRPr="001A0A01">
              <w:rPr>
                <w:rFonts w:cs="Arial"/>
                <w:color w:val="0D0D0D" w:themeColor="text1" w:themeTint="F2"/>
                <w:spacing w:val="-4"/>
                <w:lang w:val="en-GB"/>
              </w:rPr>
              <w:t xml:space="preserve"> showed a slight quarter-on-quarter growth (+0.5%) already in Q3 2023 </w:t>
            </w:r>
            <w:r w:rsidR="00C04E28">
              <w:rPr>
                <w:rFonts w:cs="Arial"/>
                <w:color w:val="0D0D0D" w:themeColor="text1" w:themeTint="F2"/>
                <w:spacing w:val="-4"/>
                <w:lang w:val="en-GB"/>
              </w:rPr>
              <w:t>(</w:t>
            </w:r>
            <w:r w:rsidRPr="001A0A01">
              <w:rPr>
                <w:rFonts w:cs="Arial"/>
                <w:color w:val="0D0D0D" w:themeColor="text1" w:themeTint="F2"/>
                <w:spacing w:val="-4"/>
                <w:lang w:val="en-GB"/>
              </w:rPr>
              <w:t>after seven quarters of adverse development</w:t>
            </w:r>
            <w:r w:rsidR="00C04E28">
              <w:rPr>
                <w:rFonts w:cs="Arial"/>
                <w:color w:val="0D0D0D" w:themeColor="text1" w:themeTint="F2"/>
                <w:spacing w:val="-4"/>
                <w:lang w:val="en-GB"/>
              </w:rPr>
              <w:t>)</w:t>
            </w:r>
            <w:r w:rsidRPr="001A0A01">
              <w:rPr>
                <w:rFonts w:cs="Arial"/>
                <w:color w:val="0D0D0D" w:themeColor="text1" w:themeTint="F2"/>
                <w:spacing w:val="-4"/>
                <w:lang w:val="en-GB"/>
              </w:rPr>
              <w:t xml:space="preserve">, which consequently </w:t>
            </w:r>
            <w:r w:rsidR="00C04E28">
              <w:rPr>
                <w:rFonts w:cs="Arial"/>
                <w:color w:val="0D0D0D" w:themeColor="text1" w:themeTint="F2"/>
                <w:spacing w:val="-4"/>
                <w:lang w:val="en-GB"/>
              </w:rPr>
              <w:t>strengthened and attained</w:t>
            </w:r>
            <w:r w:rsidRPr="001A0A01">
              <w:rPr>
                <w:rFonts w:cs="Arial"/>
                <w:color w:val="0D0D0D" w:themeColor="text1" w:themeTint="F2"/>
                <w:spacing w:val="-4"/>
                <w:lang w:val="en-GB"/>
              </w:rPr>
              <w:t xml:space="preserve"> 2</w:t>
            </w:r>
            <w:r w:rsidR="00C04E28">
              <w:rPr>
                <w:rFonts w:cs="Arial"/>
                <w:color w:val="0D0D0D" w:themeColor="text1" w:themeTint="F2"/>
                <w:spacing w:val="-4"/>
                <w:lang w:val="en-GB"/>
              </w:rPr>
              <w:t>.0</w:t>
            </w:r>
            <w:r w:rsidRPr="001A0A01">
              <w:rPr>
                <w:rFonts w:cs="Arial"/>
                <w:color w:val="0D0D0D" w:themeColor="text1" w:themeTint="F2"/>
                <w:spacing w:val="-4"/>
                <w:lang w:val="en-GB"/>
              </w:rPr>
              <w:t>% at the beginning of this year (it then moderated to 0.6% in Q2). Nevertheless, the current level of sales still lagged behind its pre-crisis peak (from Q4 2019) by 3.4%</w:t>
            </w:r>
            <w:r w:rsidRPr="001A0A01">
              <w:rPr>
                <w:rStyle w:val="Znakapoznpodarou"/>
                <w:color w:val="0D0D0D" w:themeColor="text1" w:themeTint="F2"/>
                <w:spacing w:val="-4"/>
                <w:szCs w:val="20"/>
                <w:lang w:val="en-GB"/>
              </w:rPr>
              <w:footnoteReference w:id="46"/>
            </w:r>
            <w:r w:rsidRPr="001A0A01">
              <w:rPr>
                <w:rFonts w:cs="Arial"/>
                <w:color w:val="0D0D0D" w:themeColor="text1" w:themeTint="F2"/>
                <w:spacing w:val="-4"/>
                <w:szCs w:val="20"/>
                <w:lang w:val="en-GB"/>
              </w:rPr>
              <w:t>.</w:t>
            </w:r>
          </w:p>
        </w:tc>
      </w:tr>
      <w:tr w:rsidR="00E97D7E" w:rsidRPr="001A0A01" w14:paraId="759D22AC" w14:textId="77777777" w:rsidTr="00E551F6">
        <w:trPr>
          <w:trHeight w:val="170"/>
        </w:trPr>
        <w:tc>
          <w:tcPr>
            <w:tcW w:w="1814" w:type="dxa"/>
            <w:shd w:val="clear" w:color="auto" w:fill="auto"/>
            <w:tcMar>
              <w:left w:w="0" w:type="dxa"/>
            </w:tcMar>
          </w:tcPr>
          <w:p w14:paraId="5108B4BE" w14:textId="77777777" w:rsidR="00E97D7E" w:rsidRPr="001A0A01" w:rsidRDefault="00E97D7E" w:rsidP="00E97D7E">
            <w:pPr>
              <w:pStyle w:val="Marginlie"/>
              <w:rPr>
                <w:lang w:val="en-GB"/>
              </w:rPr>
            </w:pPr>
            <w:r w:rsidRPr="001A0A01">
              <w:rPr>
                <w:lang w:val="en-GB"/>
              </w:rPr>
              <w:t xml:space="preserve">The year-on-year growth of retail sales was driven from one half by a sharp recovery of sales via internet. </w:t>
            </w:r>
          </w:p>
          <w:p w14:paraId="560ACA0C" w14:textId="77777777" w:rsidR="00E97D7E" w:rsidRPr="001A0A01" w:rsidRDefault="00E97D7E" w:rsidP="00E97D7E">
            <w:pPr>
              <w:pStyle w:val="Marginlie"/>
              <w:rPr>
                <w:lang w:val="en-GB"/>
              </w:rPr>
            </w:pPr>
          </w:p>
          <w:p w14:paraId="76F603D9" w14:textId="77777777" w:rsidR="00E97D7E" w:rsidRPr="001A0A01" w:rsidRDefault="00E97D7E" w:rsidP="00E97D7E">
            <w:pPr>
              <w:pStyle w:val="Marginlie"/>
              <w:rPr>
                <w:lang w:val="en-GB"/>
              </w:rPr>
            </w:pPr>
          </w:p>
          <w:p w14:paraId="56FEA5B3" w14:textId="29AEDDB3" w:rsidR="00E97D7E" w:rsidRDefault="00E97D7E" w:rsidP="00E97D7E">
            <w:pPr>
              <w:pStyle w:val="Marginlie"/>
              <w:rPr>
                <w:lang w:val="en-GB"/>
              </w:rPr>
            </w:pPr>
          </w:p>
          <w:p w14:paraId="347BF75E" w14:textId="68D812AF" w:rsidR="002D4EE0" w:rsidRDefault="002D4EE0" w:rsidP="00E97D7E">
            <w:pPr>
              <w:pStyle w:val="Marginlie"/>
              <w:rPr>
                <w:lang w:val="en-GB"/>
              </w:rPr>
            </w:pPr>
          </w:p>
          <w:p w14:paraId="4451A2CF" w14:textId="77777777" w:rsidR="002D4EE0" w:rsidRPr="001A0A01" w:rsidRDefault="002D4EE0" w:rsidP="00E97D7E">
            <w:pPr>
              <w:pStyle w:val="Marginlie"/>
              <w:rPr>
                <w:lang w:val="en-GB"/>
              </w:rPr>
            </w:pPr>
          </w:p>
          <w:p w14:paraId="0227A643" w14:textId="77777777" w:rsidR="00E97D7E" w:rsidRPr="001A0A01" w:rsidRDefault="00E97D7E" w:rsidP="00E97D7E">
            <w:pPr>
              <w:pStyle w:val="Marginlie"/>
              <w:rPr>
                <w:lang w:val="en-GB"/>
              </w:rPr>
            </w:pPr>
          </w:p>
          <w:p w14:paraId="462210D6" w14:textId="77777777" w:rsidR="00E97D7E" w:rsidRPr="001A0A01" w:rsidRDefault="00E97D7E" w:rsidP="00E97D7E">
            <w:pPr>
              <w:pStyle w:val="Marginlie"/>
              <w:rPr>
                <w:lang w:val="en-GB"/>
              </w:rPr>
            </w:pPr>
            <w:r w:rsidRPr="001A0A01">
              <w:rPr>
                <w:lang w:val="en-GB"/>
              </w:rPr>
              <w:lastRenderedPageBreak/>
              <w:t xml:space="preserve">The interest for cosmetic and toilet articles grew the most within the specialised stores. </w:t>
            </w:r>
          </w:p>
          <w:p w14:paraId="23ECB9F0" w14:textId="77777777" w:rsidR="00E97D7E" w:rsidRPr="001A0A01" w:rsidRDefault="00E97D7E" w:rsidP="00E97D7E">
            <w:pPr>
              <w:pStyle w:val="Marginlie"/>
              <w:rPr>
                <w:lang w:val="en-GB"/>
              </w:rPr>
            </w:pPr>
          </w:p>
          <w:p w14:paraId="4BA5EEA6" w14:textId="77777777" w:rsidR="00E97D7E" w:rsidRPr="001A0A01" w:rsidRDefault="00E97D7E" w:rsidP="00E97D7E">
            <w:pPr>
              <w:pStyle w:val="Marginlie"/>
              <w:rPr>
                <w:lang w:val="en-GB"/>
              </w:rPr>
            </w:pPr>
          </w:p>
          <w:p w14:paraId="37C13491" w14:textId="77777777" w:rsidR="00E97D7E" w:rsidRPr="001A0A01" w:rsidRDefault="00E97D7E" w:rsidP="00E97D7E">
            <w:pPr>
              <w:pStyle w:val="Marginlie"/>
              <w:rPr>
                <w:lang w:val="en-GB"/>
              </w:rPr>
            </w:pPr>
          </w:p>
          <w:p w14:paraId="0A0A657D" w14:textId="77777777" w:rsidR="00E97D7E" w:rsidRPr="001A0A01" w:rsidRDefault="00E97D7E" w:rsidP="00E97D7E">
            <w:pPr>
              <w:pStyle w:val="Marginlie"/>
              <w:rPr>
                <w:color w:val="0D0D0D" w:themeColor="text1" w:themeTint="F2"/>
                <w:spacing w:val="-6"/>
                <w:lang w:val="en-GB"/>
              </w:rPr>
            </w:pPr>
            <w:r w:rsidRPr="001A0A01">
              <w:rPr>
                <w:lang w:val="en-GB"/>
              </w:rPr>
              <w:t xml:space="preserve">Growth of sales for food was concentrated into large retail chains. </w:t>
            </w:r>
          </w:p>
        </w:tc>
        <w:tc>
          <w:tcPr>
            <w:tcW w:w="229" w:type="dxa"/>
            <w:shd w:val="clear" w:color="auto" w:fill="auto"/>
            <w:tcMar>
              <w:left w:w="0" w:type="dxa"/>
            </w:tcMar>
          </w:tcPr>
          <w:p w14:paraId="4BE41279" w14:textId="77777777" w:rsidR="00E97D7E" w:rsidRPr="001A0A01" w:rsidRDefault="00E97D7E" w:rsidP="00E97D7E">
            <w:pPr>
              <w:pStyle w:val="Textpoznpodarou"/>
              <w:jc w:val="both"/>
              <w:rPr>
                <w:color w:val="0D0D0D" w:themeColor="text1" w:themeTint="F2"/>
                <w:spacing w:val="-4"/>
                <w:lang w:val="en-GB"/>
              </w:rPr>
            </w:pPr>
          </w:p>
        </w:tc>
        <w:tc>
          <w:tcPr>
            <w:tcW w:w="7596" w:type="dxa"/>
            <w:shd w:val="clear" w:color="auto" w:fill="auto"/>
            <w:tcMar>
              <w:left w:w="0" w:type="dxa"/>
            </w:tcMar>
          </w:tcPr>
          <w:p w14:paraId="07A5904A" w14:textId="13CCAB90" w:rsidR="00E97D7E" w:rsidRPr="001A0A01" w:rsidRDefault="00E97D7E" w:rsidP="00E97D7E">
            <w:pPr>
              <w:rPr>
                <w:rFonts w:cs="Arial"/>
                <w:color w:val="0D0D0D" w:themeColor="text1" w:themeTint="F2"/>
                <w:spacing w:val="-4"/>
                <w:lang w:val="en-GB"/>
              </w:rPr>
            </w:pPr>
            <w:bookmarkStart w:id="55" w:name="_Hlk178534058"/>
            <w:r w:rsidRPr="001A0A01">
              <w:rPr>
                <w:rFonts w:cs="Arial"/>
                <w:color w:val="0D0D0D" w:themeColor="text1" w:themeTint="F2"/>
                <w:spacing w:val="-4"/>
                <w:szCs w:val="20"/>
                <w:lang w:val="en-GB"/>
              </w:rPr>
              <w:t>Retail sales increased by 3.9%, year-on-year, in Q1 2024 and thus halted the fall lasting nearly two ye</w:t>
            </w:r>
            <w:r w:rsidR="00C04E28">
              <w:rPr>
                <w:rFonts w:cs="Arial"/>
                <w:color w:val="0D0D0D" w:themeColor="text1" w:themeTint="F2"/>
                <w:spacing w:val="-4"/>
                <w:szCs w:val="20"/>
                <w:lang w:val="en-GB"/>
              </w:rPr>
              <w:t>ars. The sales increased by</w:t>
            </w:r>
            <w:r w:rsidRPr="001A0A01">
              <w:rPr>
                <w:rFonts w:cs="Arial"/>
                <w:color w:val="0D0D0D" w:themeColor="text1" w:themeTint="F2"/>
                <w:spacing w:val="-4"/>
                <w:szCs w:val="20"/>
                <w:lang w:val="en-GB"/>
              </w:rPr>
              <w:t xml:space="preserve"> 4</w:t>
            </w:r>
            <w:r w:rsidR="00C04E28">
              <w:rPr>
                <w:rFonts w:cs="Arial"/>
                <w:color w:val="0D0D0D" w:themeColor="text1" w:themeTint="F2"/>
                <w:spacing w:val="-4"/>
                <w:szCs w:val="20"/>
                <w:lang w:val="en-GB"/>
              </w:rPr>
              <w:t>.0</w:t>
            </w:r>
            <w:r w:rsidRPr="001A0A01">
              <w:rPr>
                <w:rFonts w:cs="Arial"/>
                <w:color w:val="0D0D0D" w:themeColor="text1" w:themeTint="F2"/>
                <w:spacing w:val="-4"/>
                <w:szCs w:val="20"/>
                <w:lang w:val="en-GB"/>
              </w:rPr>
              <w:t>% for the whole H1</w:t>
            </w:r>
            <w:r w:rsidR="00C04E28">
              <w:rPr>
                <w:rFonts w:cs="Arial"/>
                <w:color w:val="0D0D0D" w:themeColor="text1" w:themeTint="F2"/>
                <w:spacing w:val="-4"/>
                <w:szCs w:val="20"/>
                <w:lang w:val="en-GB"/>
              </w:rPr>
              <w:t xml:space="preserve"> 2024</w:t>
            </w:r>
            <w:r w:rsidRPr="001A0A01">
              <w:rPr>
                <w:rFonts w:cs="Arial"/>
                <w:color w:val="0D0D0D" w:themeColor="text1" w:themeTint="F2"/>
                <w:spacing w:val="-4"/>
                <w:szCs w:val="20"/>
                <w:lang w:val="en-GB"/>
              </w:rPr>
              <w:t>. All major retail segments contributed to the growth. Higher sales of non-food goods (+5.3%, contribution +2.6 p.p.), driven primarily by a sharp recovery of sales via internet and mail order houses (+16.9%) played a key role. It likely also absorbs a part of the demand of specialised brick-and-mortar stores (e.g. sales for trade with computer and communication equipment decreased by 2.2% in these stores i</w:t>
            </w:r>
            <w:r w:rsidR="00C04E28">
              <w:rPr>
                <w:rFonts w:cs="Arial"/>
                <w:color w:val="0D0D0D" w:themeColor="text1" w:themeTint="F2"/>
                <w:spacing w:val="-4"/>
                <w:szCs w:val="20"/>
                <w:lang w:val="en-GB"/>
              </w:rPr>
              <w:t xml:space="preserve">n H1). Sales for household </w:t>
            </w:r>
            <w:r w:rsidR="00C04E28" w:rsidRPr="00C04E28">
              <w:rPr>
                <w:rFonts w:cs="Arial"/>
                <w:color w:val="0D0D0D" w:themeColor="text1" w:themeTint="F2"/>
                <w:spacing w:val="-4"/>
                <w:szCs w:val="20"/>
                <w:lang w:val="en-GB"/>
              </w:rPr>
              <w:t>equipment</w:t>
            </w:r>
            <w:r w:rsidRPr="001A0A01">
              <w:rPr>
                <w:rFonts w:cs="Arial"/>
                <w:color w:val="0D0D0D" w:themeColor="text1" w:themeTint="F2"/>
                <w:spacing w:val="-4"/>
                <w:szCs w:val="20"/>
                <w:lang w:val="en-GB"/>
              </w:rPr>
              <w:t xml:space="preserve"> also fell even slightly further</w:t>
            </w:r>
            <w:r w:rsidRPr="001A0A01">
              <w:rPr>
                <w:rStyle w:val="Znakapoznpodarou"/>
                <w:color w:val="0D0D0D" w:themeColor="text1" w:themeTint="F2"/>
                <w:spacing w:val="-4"/>
                <w:szCs w:val="20"/>
                <w:lang w:val="en-GB"/>
              </w:rPr>
              <w:footnoteReference w:id="47"/>
            </w:r>
            <w:r w:rsidRPr="001A0A01">
              <w:rPr>
                <w:rFonts w:cs="Arial"/>
                <w:color w:val="0D0D0D" w:themeColor="text1" w:themeTint="F2"/>
                <w:spacing w:val="-4"/>
                <w:szCs w:val="20"/>
                <w:lang w:val="en-GB"/>
              </w:rPr>
              <w:t xml:space="preserve">. Stores with products for arts, sports and recreation and also wearing </w:t>
            </w:r>
            <w:r w:rsidRPr="001A0A01">
              <w:rPr>
                <w:rFonts w:cs="Arial"/>
                <w:color w:val="0D0D0D" w:themeColor="text1" w:themeTint="F2"/>
                <w:spacing w:val="-4"/>
                <w:szCs w:val="20"/>
                <w:lang w:val="en-GB"/>
              </w:rPr>
              <w:lastRenderedPageBreak/>
              <w:t>apparel, footwear and leather goods</w:t>
            </w:r>
            <w:r w:rsidRPr="001A0A01">
              <w:rPr>
                <w:rStyle w:val="Znakapoznpodarou"/>
                <w:color w:val="0D0D0D" w:themeColor="text1" w:themeTint="F2"/>
                <w:spacing w:val="-4"/>
                <w:szCs w:val="20"/>
                <w:lang w:val="en-GB"/>
              </w:rPr>
              <w:footnoteReference w:id="48"/>
            </w:r>
            <w:r w:rsidRPr="001A0A01">
              <w:rPr>
                <w:rFonts w:cs="Arial"/>
                <w:color w:val="0D0D0D" w:themeColor="text1" w:themeTint="F2"/>
                <w:spacing w:val="-4"/>
                <w:szCs w:val="20"/>
                <w:lang w:val="en-GB"/>
              </w:rPr>
              <w:t xml:space="preserve"> also registered a mild drop of demand. Within the specialised stores</w:t>
            </w:r>
            <w:r w:rsidRPr="001A0A01">
              <w:rPr>
                <w:rStyle w:val="Znakapoznpodarou"/>
                <w:color w:val="0D0D0D" w:themeColor="text1" w:themeTint="F2"/>
                <w:szCs w:val="20"/>
                <w:lang w:val="en-GB"/>
              </w:rPr>
              <w:footnoteReference w:id="49"/>
            </w:r>
            <w:r w:rsidRPr="001A0A01">
              <w:rPr>
                <w:rFonts w:cs="Arial"/>
                <w:color w:val="0D0D0D" w:themeColor="text1" w:themeTint="F2"/>
                <w:spacing w:val="-4"/>
                <w:szCs w:val="20"/>
                <w:lang w:val="en-GB"/>
              </w:rPr>
              <w:t xml:space="preserve">, sales grew the most for cosmetic and toilet articles (+18.3%) and further pharmaceutical and medical products (+6.5%), both of which represent products for which demand did not decrease significantly even during the pandemic period. Sales for food increased more modestly (+2.7%, contribution to the growth of total retail was +1.0 p.p.), nevertheless it still presented the highest pace since H2 2017. </w:t>
            </w:r>
            <w:bookmarkEnd w:id="55"/>
            <w:r w:rsidRPr="001A0A01">
              <w:rPr>
                <w:rFonts w:cs="Arial"/>
                <w:color w:val="0D0D0D" w:themeColor="text1" w:themeTint="F2"/>
                <w:spacing w:val="-4"/>
                <w:szCs w:val="20"/>
                <w:lang w:val="en-GB"/>
              </w:rPr>
              <w:t xml:space="preserve">The growth of demand was concentrated in large chains here, since the sales of smaller specialised stores with food (of which tobacco products are the most important assortment group in terms of weight) decreased by 2.2% and have been declining continuously since Spring 2022. On the contrary, the demand for fuels after last year's recovery, partly stimulated by a more favourable consumer price, continued to grow (fuels – sales strengthened by 3.1% in H1 2024 here and contributed +0.4 p.p. to the growth of the total retail trade).  </w:t>
            </w:r>
          </w:p>
        </w:tc>
      </w:tr>
      <w:tr w:rsidR="00E97D7E" w:rsidRPr="001A0A01" w14:paraId="42B5A3A8" w14:textId="77777777" w:rsidTr="00E551F6">
        <w:trPr>
          <w:trHeight w:val="155"/>
        </w:trPr>
        <w:tc>
          <w:tcPr>
            <w:tcW w:w="1814" w:type="dxa"/>
            <w:vMerge w:val="restart"/>
            <w:shd w:val="clear" w:color="auto" w:fill="auto"/>
            <w:tcMar>
              <w:left w:w="0" w:type="dxa"/>
            </w:tcMar>
          </w:tcPr>
          <w:p w14:paraId="28481EBE" w14:textId="77777777" w:rsidR="00E97D7E" w:rsidRPr="001A0A01" w:rsidRDefault="00E97D7E" w:rsidP="00E97D7E">
            <w:pPr>
              <w:pStyle w:val="Marginlie"/>
              <w:rPr>
                <w:lang w:val="en-GB"/>
              </w:rPr>
            </w:pPr>
          </w:p>
        </w:tc>
        <w:tc>
          <w:tcPr>
            <w:tcW w:w="229" w:type="dxa"/>
            <w:vMerge w:val="restart"/>
            <w:shd w:val="clear" w:color="auto" w:fill="auto"/>
            <w:tcMar>
              <w:left w:w="0" w:type="dxa"/>
            </w:tcMar>
          </w:tcPr>
          <w:p w14:paraId="71D0150B"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56C445C6" w14:textId="249A417E" w:rsidR="00E97D7E" w:rsidRPr="001A0A01" w:rsidRDefault="00E97D7E" w:rsidP="00E97D7E">
            <w:pPr>
              <w:spacing w:after="0"/>
              <w:rPr>
                <w:rFonts w:cs="Arial"/>
                <w:color w:val="0D0D0D" w:themeColor="text1" w:themeTint="F2"/>
                <w:spacing w:val="-4"/>
                <w:szCs w:val="20"/>
                <w:lang w:val="en-GB"/>
              </w:rPr>
            </w:pPr>
            <w:r w:rsidRPr="001A0A01">
              <w:rPr>
                <w:b/>
                <w:lang w:val="en-GB"/>
              </w:rPr>
              <w:t xml:space="preserve">Chart 8 </w:t>
            </w:r>
            <w:r w:rsidRPr="001A0A01">
              <w:rPr>
                <w:b/>
                <w:spacing w:val="-4"/>
                <w:lang w:val="en-GB"/>
              </w:rPr>
              <w:t>Contributions of sub</w:t>
            </w:r>
            <w:r>
              <w:rPr>
                <w:b/>
                <w:spacing w:val="-4"/>
                <w:lang w:val="en-GB"/>
              </w:rPr>
              <w:t xml:space="preserve">-branches to year-on-year </w:t>
            </w:r>
            <w:r>
              <w:rPr>
                <w:b/>
                <w:spacing w:val="-2"/>
                <w:lang w:val="en-GB"/>
              </w:rPr>
              <w:t>growth</w:t>
            </w:r>
            <w:r w:rsidRPr="001A0A01">
              <w:rPr>
                <w:b/>
                <w:spacing w:val="-4"/>
                <w:lang w:val="en-GB"/>
              </w:rPr>
              <w:t xml:space="preserve"> of sales in retail trade</w:t>
            </w:r>
            <w:r w:rsidRPr="001A0A01">
              <w:rPr>
                <w:rFonts w:cs="Arial"/>
                <w:b/>
                <w:bCs/>
                <w:color w:val="0D0D0D" w:themeColor="text1" w:themeTint="F2"/>
                <w:spacing w:val="-4"/>
                <w:lang w:val="en-GB"/>
              </w:rPr>
              <w:t xml:space="preserve">* </w:t>
            </w:r>
            <w:r w:rsidRPr="001A0A01">
              <w:rPr>
                <w:rFonts w:cs="Arial"/>
                <w:color w:val="0D0D0D" w:themeColor="text1" w:themeTint="F2"/>
                <w:spacing w:val="-4"/>
                <w:lang w:val="en-GB"/>
              </w:rPr>
              <w:t xml:space="preserve">(real, in p.p.), </w:t>
            </w:r>
            <w:r w:rsidRPr="001A0A01">
              <w:rPr>
                <w:rFonts w:cs="Arial"/>
                <w:b/>
                <w:bCs/>
                <w:color w:val="0D0D0D" w:themeColor="text1" w:themeTint="F2"/>
                <w:spacing w:val="-4"/>
                <w:szCs w:val="20"/>
                <w:lang w:val="en-GB"/>
              </w:rPr>
              <w:t xml:space="preserve">sales in retail trade and motorist segment of trade** </w:t>
            </w:r>
            <w:r>
              <w:rPr>
                <w:rFonts w:cs="Arial"/>
                <w:color w:val="0D0D0D" w:themeColor="text1" w:themeTint="F2"/>
                <w:spacing w:val="-4"/>
                <w:szCs w:val="20"/>
                <w:lang w:val="en-GB"/>
              </w:rPr>
              <w:t xml:space="preserve">(real, </w:t>
            </w:r>
            <w:r>
              <w:rPr>
                <w:spacing w:val="-2"/>
                <w:lang w:val="en-GB"/>
              </w:rPr>
              <w:t>base of</w:t>
            </w:r>
            <w:r>
              <w:rPr>
                <w:rFonts w:cs="Arial"/>
                <w:color w:val="0D0D0D" w:themeColor="text1" w:themeTint="F2"/>
                <w:spacing w:val="-4"/>
                <w:szCs w:val="20"/>
                <w:lang w:val="en-GB"/>
              </w:rPr>
              <w:t xml:space="preserve"> 2021=100) </w:t>
            </w:r>
            <w:r w:rsidRPr="004C697D">
              <w:rPr>
                <w:rFonts w:cs="Arial"/>
                <w:b/>
                <w:color w:val="0D0D0D" w:themeColor="text1" w:themeTint="F2"/>
                <w:spacing w:val="-4"/>
                <w:szCs w:val="20"/>
                <w:lang w:val="en-GB"/>
              </w:rPr>
              <w:t>and</w:t>
            </w:r>
            <w:r w:rsidRPr="001A0A01">
              <w:rPr>
                <w:rFonts w:cs="Arial"/>
                <w:b/>
                <w:color w:val="0D0D0D" w:themeColor="text1" w:themeTint="F2"/>
                <w:spacing w:val="-4"/>
                <w:szCs w:val="20"/>
                <w:lang w:val="en-GB"/>
              </w:rPr>
              <w:t xml:space="preserve"> balance of business and consumer confidence indicator</w:t>
            </w:r>
            <w:r w:rsidRPr="001A0A01">
              <w:rPr>
                <w:rFonts w:cs="Arial"/>
                <w:b/>
                <w:bCs/>
                <w:color w:val="0D0D0D" w:themeColor="text1" w:themeTint="F2"/>
                <w:spacing w:val="-4"/>
                <w:lang w:val="en-GB"/>
              </w:rPr>
              <w:t xml:space="preserve">*** </w:t>
            </w:r>
            <w:r>
              <w:rPr>
                <w:rFonts w:cs="Arial"/>
                <w:color w:val="0D0D0D" w:themeColor="text1" w:themeTint="F2"/>
                <w:spacing w:val="-4"/>
                <w:lang w:val="en-GB"/>
              </w:rPr>
              <w:t>(in p. p</w:t>
            </w:r>
            <w:r w:rsidRPr="001A0A01">
              <w:rPr>
                <w:rFonts w:cs="Arial"/>
                <w:color w:val="0D0D0D" w:themeColor="text1" w:themeTint="F2"/>
                <w:spacing w:val="-4"/>
                <w:lang w:val="en-GB"/>
              </w:rPr>
              <w:t>)</w:t>
            </w:r>
          </w:p>
        </w:tc>
      </w:tr>
      <w:tr w:rsidR="00E97D7E" w:rsidRPr="001A0A01" w14:paraId="4D6E5BFF" w14:textId="77777777" w:rsidTr="00BB73B5">
        <w:tblPrEx>
          <w:tblCellMar>
            <w:left w:w="70" w:type="dxa"/>
            <w:right w:w="70" w:type="dxa"/>
          </w:tblCellMar>
        </w:tblPrEx>
        <w:trPr>
          <w:trHeight w:val="155"/>
        </w:trPr>
        <w:tc>
          <w:tcPr>
            <w:tcW w:w="1814" w:type="dxa"/>
            <w:vMerge/>
            <w:shd w:val="clear" w:color="auto" w:fill="auto"/>
          </w:tcPr>
          <w:p w14:paraId="4D543EFE" w14:textId="77777777" w:rsidR="00E97D7E" w:rsidRPr="001A0A01" w:rsidRDefault="00E97D7E" w:rsidP="00E97D7E">
            <w:pPr>
              <w:pStyle w:val="Marginlie"/>
              <w:rPr>
                <w:lang w:val="en-GB"/>
              </w:rPr>
            </w:pPr>
          </w:p>
        </w:tc>
        <w:tc>
          <w:tcPr>
            <w:tcW w:w="229" w:type="dxa"/>
            <w:vMerge/>
            <w:shd w:val="clear" w:color="auto" w:fill="auto"/>
          </w:tcPr>
          <w:p w14:paraId="340183BF" w14:textId="77777777" w:rsidR="00E97D7E" w:rsidRPr="001A0A01" w:rsidRDefault="00E97D7E" w:rsidP="00E97D7E">
            <w:pPr>
              <w:pStyle w:val="Textpoznpodarou"/>
              <w:jc w:val="both"/>
              <w:rPr>
                <w:spacing w:val="-4"/>
                <w:lang w:val="en-GB"/>
              </w:rPr>
            </w:pPr>
          </w:p>
        </w:tc>
        <w:tc>
          <w:tcPr>
            <w:tcW w:w="7596" w:type="dxa"/>
            <w:shd w:val="clear" w:color="auto" w:fill="auto"/>
          </w:tcPr>
          <w:p w14:paraId="3927F853" w14:textId="43319C86" w:rsidR="00E97D7E" w:rsidRPr="001A0A01" w:rsidRDefault="00E97D7E" w:rsidP="00E97D7E">
            <w:pPr>
              <w:spacing w:before="40" w:after="0"/>
              <w:rPr>
                <w:rFonts w:cs="Arial"/>
                <w:color w:val="0D0D0D" w:themeColor="text1" w:themeTint="F2"/>
                <w:spacing w:val="-4"/>
                <w:szCs w:val="20"/>
                <w:lang w:val="en-GB"/>
              </w:rPr>
            </w:pPr>
            <w:r>
              <w:rPr>
                <w:noProof/>
              </w:rPr>
              <w:drawing>
                <wp:inline distT="0" distB="0" distL="0" distR="0" wp14:anchorId="614EAA8D" wp14:editId="728164F7">
                  <wp:extent cx="4691269" cy="3707765"/>
                  <wp:effectExtent l="0" t="0" r="0" b="6985"/>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E97D7E" w:rsidRPr="001A0A01" w14:paraId="0D8870CC" w14:textId="77777777" w:rsidTr="00E551F6">
        <w:trPr>
          <w:trHeight w:val="155"/>
        </w:trPr>
        <w:tc>
          <w:tcPr>
            <w:tcW w:w="1814" w:type="dxa"/>
            <w:vMerge/>
            <w:shd w:val="clear" w:color="auto" w:fill="auto"/>
            <w:tcMar>
              <w:left w:w="0" w:type="dxa"/>
            </w:tcMar>
          </w:tcPr>
          <w:p w14:paraId="1DCC294B" w14:textId="77777777" w:rsidR="00E97D7E" w:rsidRPr="001A0A01" w:rsidRDefault="00E97D7E" w:rsidP="00E97D7E">
            <w:pPr>
              <w:pStyle w:val="Marginlie"/>
              <w:rPr>
                <w:lang w:val="en-GB"/>
              </w:rPr>
            </w:pPr>
          </w:p>
        </w:tc>
        <w:tc>
          <w:tcPr>
            <w:tcW w:w="229" w:type="dxa"/>
            <w:vMerge/>
            <w:shd w:val="clear" w:color="auto" w:fill="auto"/>
            <w:tcMar>
              <w:left w:w="0" w:type="dxa"/>
            </w:tcMar>
          </w:tcPr>
          <w:p w14:paraId="3C58EC0D"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7D275695" w14:textId="77777777" w:rsidR="00E97D7E" w:rsidRPr="00BE6FF8" w:rsidRDefault="00E97D7E" w:rsidP="00E97D7E">
            <w:pPr>
              <w:spacing w:after="0" w:line="240" w:lineRule="auto"/>
              <w:rPr>
                <w:rFonts w:cs="Arial"/>
                <w:spacing w:val="-2"/>
                <w:sz w:val="14"/>
                <w:szCs w:val="14"/>
                <w:lang w:val="en-GB"/>
              </w:rPr>
            </w:pPr>
            <w:r w:rsidRPr="00B61F47">
              <w:rPr>
                <w:rFonts w:cs="Arial"/>
                <w:color w:val="0D0D0D" w:themeColor="text1" w:themeTint="F2"/>
                <w:spacing w:val="-6"/>
                <w:sz w:val="16"/>
                <w:szCs w:val="16"/>
                <w:lang w:val="en-GB"/>
              </w:rPr>
              <w:t>*</w:t>
            </w:r>
            <w:r w:rsidRPr="00B61F47">
              <w:rPr>
                <w:rFonts w:cs="Arial"/>
                <w:sz w:val="16"/>
                <w:szCs w:val="16"/>
                <w:lang w:val="en-GB"/>
              </w:rPr>
              <w:t xml:space="preserve"> </w:t>
            </w:r>
            <w:r w:rsidRPr="00BE6FF8">
              <w:rPr>
                <w:rFonts w:cs="Arial"/>
                <w:spacing w:val="-2"/>
                <w:sz w:val="14"/>
                <w:szCs w:val="14"/>
                <w:lang w:val="en-GB"/>
              </w:rPr>
              <w:t>Sales are adjusted for calendar effects.</w:t>
            </w:r>
          </w:p>
          <w:p w14:paraId="3A648557" w14:textId="7AC54650" w:rsidR="00E97D7E" w:rsidRPr="00BE6FF8" w:rsidRDefault="00E97D7E" w:rsidP="00E97D7E">
            <w:pPr>
              <w:spacing w:after="0" w:line="240" w:lineRule="auto"/>
              <w:rPr>
                <w:rFonts w:cs="Arial"/>
                <w:spacing w:val="-2"/>
                <w:sz w:val="14"/>
                <w:szCs w:val="14"/>
                <w:lang w:val="en-GB"/>
              </w:rPr>
            </w:pPr>
            <w:r w:rsidRPr="00BE6FF8">
              <w:rPr>
                <w:rFonts w:cs="Arial"/>
                <w:spacing w:val="-2"/>
                <w:sz w:val="14"/>
                <w:szCs w:val="14"/>
                <w:lang w:val="en-GB"/>
              </w:rPr>
              <w:t xml:space="preserve">** Sales are adjusted for both seasonal and calendar effects. </w:t>
            </w:r>
          </w:p>
          <w:p w14:paraId="7EA7FC56" w14:textId="49F0DE3A" w:rsidR="00E97D7E" w:rsidRPr="00BB73B5" w:rsidRDefault="00E97D7E" w:rsidP="00E97D7E">
            <w:pPr>
              <w:rPr>
                <w:rFonts w:cs="Arial"/>
                <w:color w:val="0D0D0D" w:themeColor="text1" w:themeTint="F2"/>
                <w:spacing w:val="-4"/>
                <w:sz w:val="14"/>
                <w:szCs w:val="14"/>
                <w:lang w:val="en-GB"/>
              </w:rPr>
            </w:pPr>
            <w:r w:rsidRPr="001A0A01">
              <w:rPr>
                <w:rFonts w:cs="Arial"/>
                <w:color w:val="0D0D0D" w:themeColor="text1" w:themeTint="F2"/>
                <w:spacing w:val="-4"/>
                <w:sz w:val="14"/>
                <w:szCs w:val="14"/>
                <w:lang w:val="en-GB"/>
              </w:rPr>
              <w:t xml:space="preserve">*** </w:t>
            </w:r>
            <w:r w:rsidRPr="001A0A01">
              <w:rPr>
                <w:rFonts w:cs="Arial"/>
                <w:color w:val="0D0D0D" w:themeColor="text1" w:themeTint="F2"/>
                <w:spacing w:val="-5"/>
                <w:sz w:val="14"/>
                <w:szCs w:val="14"/>
                <w:lang w:val="en-GB"/>
              </w:rPr>
              <w:t xml:space="preserve">Consumer confidence indicator balance is seasonally adjusted and expresses the position in the second month of the given quarter. </w:t>
            </w:r>
            <w:r w:rsidRPr="001A0A01">
              <w:rPr>
                <w:rFonts w:cs="Arial"/>
                <w:color w:val="0D0D0D" w:themeColor="text1" w:themeTint="F2"/>
                <w:spacing w:val="-4"/>
                <w:sz w:val="14"/>
                <w:szCs w:val="14"/>
                <w:lang w:val="en-GB"/>
              </w:rPr>
              <w:t xml:space="preserve">           </w:t>
            </w:r>
            <w:r>
              <w:rPr>
                <w:rFonts w:cs="Arial"/>
                <w:color w:val="0D0D0D" w:themeColor="text1" w:themeTint="F2"/>
                <w:spacing w:val="-4"/>
                <w:sz w:val="14"/>
                <w:szCs w:val="14"/>
                <w:lang w:val="en-GB"/>
              </w:rPr>
              <w:t xml:space="preserve">                   Source: CZSO</w:t>
            </w:r>
          </w:p>
        </w:tc>
      </w:tr>
      <w:tr w:rsidR="00E97D7E" w:rsidRPr="001A0A01" w14:paraId="63699D9C" w14:textId="77777777" w:rsidTr="00E551F6">
        <w:trPr>
          <w:trHeight w:val="170"/>
        </w:trPr>
        <w:tc>
          <w:tcPr>
            <w:tcW w:w="1814" w:type="dxa"/>
            <w:shd w:val="clear" w:color="auto" w:fill="auto"/>
            <w:tcMar>
              <w:left w:w="0" w:type="dxa"/>
            </w:tcMar>
          </w:tcPr>
          <w:p w14:paraId="465BF7D5" w14:textId="77777777" w:rsidR="00E97D7E" w:rsidRPr="001A0A01" w:rsidRDefault="00E97D7E" w:rsidP="00E97D7E">
            <w:pPr>
              <w:jc w:val="left"/>
              <w:rPr>
                <w:spacing w:val="-4"/>
                <w:lang w:val="en-GB"/>
              </w:rPr>
            </w:pPr>
            <w:r w:rsidRPr="001A0A01">
              <w:rPr>
                <w:spacing w:val="-4"/>
                <w:sz w:val="16"/>
                <w:szCs w:val="16"/>
                <w:lang w:val="en-GB"/>
              </w:rPr>
              <w:t>A slight increase of sales occurred in all parts of the motor vehicle segment of trade, except for the sale of parts and accessories.</w:t>
            </w:r>
          </w:p>
        </w:tc>
        <w:tc>
          <w:tcPr>
            <w:tcW w:w="229" w:type="dxa"/>
            <w:shd w:val="clear" w:color="auto" w:fill="auto"/>
            <w:tcMar>
              <w:left w:w="0" w:type="dxa"/>
            </w:tcMar>
          </w:tcPr>
          <w:p w14:paraId="513F8949" w14:textId="77777777" w:rsidR="00E97D7E" w:rsidRPr="001A0A01" w:rsidRDefault="00E97D7E" w:rsidP="00E97D7E">
            <w:pPr>
              <w:pStyle w:val="Textpoznpodarou"/>
              <w:jc w:val="both"/>
              <w:rPr>
                <w:spacing w:val="-4"/>
                <w:lang w:val="en-GB"/>
              </w:rPr>
            </w:pPr>
          </w:p>
        </w:tc>
        <w:tc>
          <w:tcPr>
            <w:tcW w:w="7596" w:type="dxa"/>
            <w:shd w:val="clear" w:color="auto" w:fill="auto"/>
            <w:tcMar>
              <w:left w:w="0" w:type="dxa"/>
            </w:tcMar>
          </w:tcPr>
          <w:p w14:paraId="0D82865F" w14:textId="69BFF591" w:rsidR="00E97D7E" w:rsidRPr="001A0A01" w:rsidRDefault="00E97D7E" w:rsidP="00BE6FF8">
            <w:pPr>
              <w:spacing w:after="0"/>
              <w:rPr>
                <w:rFonts w:cs="Arial"/>
                <w:color w:val="0D0D0D" w:themeColor="text1" w:themeTint="F2"/>
                <w:spacing w:val="-3"/>
                <w:szCs w:val="20"/>
                <w:lang w:val="en-GB"/>
              </w:rPr>
            </w:pPr>
            <w:bookmarkStart w:id="58" w:name="_Hlk178539586"/>
            <w:r w:rsidRPr="001A0A01">
              <w:rPr>
                <w:rFonts w:cs="Arial"/>
                <w:color w:val="0D0D0D" w:themeColor="text1" w:themeTint="F2"/>
                <w:szCs w:val="20"/>
                <w:lang w:val="en-GB"/>
              </w:rPr>
              <w:t>Sales in the motor vehicle segment (trade, repairs and maintenance of motor vehicles) of trade increased by 1.7%, year-on-year, in H1 and, similarly to fuels continued in their last year's recovery. A slight increase in demand manifested in all parts of this se</w:t>
            </w:r>
            <w:r w:rsidR="00B61F47">
              <w:rPr>
                <w:rFonts w:cs="Arial"/>
                <w:color w:val="0D0D0D" w:themeColor="text1" w:themeTint="F2"/>
                <w:szCs w:val="20"/>
                <w:lang w:val="en-GB"/>
              </w:rPr>
              <w:t>gment this year (</w:t>
            </w:r>
            <w:r w:rsidRPr="001A0A01">
              <w:rPr>
                <w:rFonts w:cs="Arial"/>
                <w:color w:val="0D0D0D" w:themeColor="text1" w:themeTint="F2"/>
                <w:szCs w:val="20"/>
                <w:lang w:val="en-GB"/>
              </w:rPr>
              <w:t>except for the sale of parts and accessories</w:t>
            </w:r>
            <w:r w:rsidR="00B61F47">
              <w:rPr>
                <w:rFonts w:cs="Arial"/>
                <w:color w:val="0D0D0D" w:themeColor="text1" w:themeTint="F2"/>
                <w:szCs w:val="20"/>
                <w:lang w:val="en-GB"/>
              </w:rPr>
              <w:t>)</w:t>
            </w:r>
            <w:r w:rsidRPr="001A0A01">
              <w:rPr>
                <w:rFonts w:cs="Arial"/>
                <w:color w:val="0D0D0D" w:themeColor="text1" w:themeTint="F2"/>
                <w:szCs w:val="20"/>
                <w:lang w:val="en-GB"/>
              </w:rPr>
              <w:t xml:space="preserve">. Compared to Q4 2017, when this segment of trade was at its peak, its sales were by 8.5% lower in Q2 this year. </w:t>
            </w:r>
            <w:bookmarkEnd w:id="58"/>
          </w:p>
        </w:tc>
      </w:tr>
    </w:tbl>
    <w:p w14:paraId="65D0653A" w14:textId="77777777" w:rsidR="00E551F6" w:rsidRPr="00BB73B5" w:rsidRDefault="00E551F6" w:rsidP="00E551F6">
      <w:pPr>
        <w:spacing w:after="0" w:line="240" w:lineRule="auto"/>
        <w:jc w:val="left"/>
        <w:rPr>
          <w:rFonts w:eastAsia="MS Gothic"/>
          <w:b/>
          <w:bCs/>
          <w:color w:val="71818C"/>
          <w:sz w:val="2"/>
          <w:szCs w:val="2"/>
          <w:lang w:val="en-GB"/>
        </w:rPr>
      </w:pPr>
      <w:r w:rsidRPr="00BB73B5">
        <w:rPr>
          <w:rFonts w:eastAsia="MS Gothic"/>
          <w:b/>
          <w:bCs/>
          <w:color w:val="71818C"/>
          <w:sz w:val="2"/>
          <w:szCs w:val="2"/>
          <w:lang w:val="en-GB"/>
        </w:rPr>
        <w:t xml:space="preserve"> </w:t>
      </w:r>
    </w:p>
    <w:p w14:paraId="06C85012" w14:textId="77777777" w:rsidR="00E551F6" w:rsidRPr="00BE6FF8" w:rsidRDefault="00E551F6" w:rsidP="00E551F6">
      <w:pPr>
        <w:spacing w:after="0" w:line="240" w:lineRule="auto"/>
        <w:jc w:val="left"/>
        <w:rPr>
          <w:rFonts w:eastAsia="MS Gothic"/>
          <w:b/>
          <w:bCs/>
          <w:color w:val="86BF5E"/>
          <w:szCs w:val="20"/>
          <w:lang w:val="en-GB"/>
        </w:rPr>
      </w:pPr>
      <w:r w:rsidRPr="001A0A01">
        <w:rPr>
          <w:lang w:val="en-GB"/>
        </w:rPr>
        <w:br w:type="page"/>
      </w:r>
    </w:p>
    <w:p w14:paraId="4DB46887" w14:textId="77777777" w:rsidR="00E551F6" w:rsidRPr="001A0A01" w:rsidRDefault="00E551F6" w:rsidP="00E551F6">
      <w:pPr>
        <w:pStyle w:val="Nadpis1"/>
        <w:rPr>
          <w:lang w:val="en-GB"/>
        </w:rPr>
      </w:pPr>
      <w:bookmarkStart w:id="59" w:name="_Toc179774108"/>
      <w:r w:rsidRPr="001A0A01">
        <w:rPr>
          <w:lang w:val="en-GB"/>
        </w:rPr>
        <w:lastRenderedPageBreak/>
        <w:t>4</w:t>
      </w:r>
      <w:bookmarkStart w:id="60" w:name="_Toc19090679"/>
      <w:bookmarkStart w:id="61" w:name="_Toc74643856"/>
      <w:bookmarkStart w:id="62" w:name="_Toc42852411"/>
      <w:bookmarkStart w:id="63" w:name="_Toc74643857"/>
      <w:bookmarkEnd w:id="60"/>
      <w:r w:rsidRPr="001A0A01">
        <w:rPr>
          <w:lang w:val="en-GB"/>
        </w:rPr>
        <w:t>. External Relations</w:t>
      </w:r>
      <w:bookmarkEnd w:id="17"/>
      <w:bookmarkEnd w:id="18"/>
      <w:bookmarkEnd w:id="59"/>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E551F6" w:rsidRPr="001A0A01" w14:paraId="258CD58C" w14:textId="77777777" w:rsidTr="00E551F6">
        <w:trPr>
          <w:trHeight w:val="145"/>
        </w:trPr>
        <w:tc>
          <w:tcPr>
            <w:tcW w:w="1748" w:type="dxa"/>
            <w:hideMark/>
          </w:tcPr>
          <w:p w14:paraId="1D1AE068" w14:textId="77777777" w:rsidR="00E551F6" w:rsidRPr="001A0A01" w:rsidRDefault="00E551F6" w:rsidP="00E551F6">
            <w:pPr>
              <w:pStyle w:val="Marginlie"/>
              <w:rPr>
                <w:lang w:val="en-GB" w:eastAsia="en-US"/>
              </w:rPr>
            </w:pPr>
            <w:r w:rsidRPr="001A0A01">
              <w:rPr>
                <w:lang w:val="en-GB" w:eastAsia="en-US"/>
              </w:rPr>
              <w:t>Year-on-year growth of export strengthened in Q2.</w:t>
            </w:r>
          </w:p>
        </w:tc>
        <w:tc>
          <w:tcPr>
            <w:tcW w:w="252" w:type="dxa"/>
          </w:tcPr>
          <w:p w14:paraId="2B1FB5B2" w14:textId="77777777" w:rsidR="00E551F6" w:rsidRPr="001A0A01" w:rsidRDefault="00E551F6" w:rsidP="00E551F6">
            <w:pPr>
              <w:pStyle w:val="Textpoznpodarou"/>
              <w:jc w:val="both"/>
              <w:rPr>
                <w:spacing w:val="-4"/>
                <w:lang w:val="en-GB" w:eastAsia="en-US"/>
              </w:rPr>
            </w:pPr>
          </w:p>
        </w:tc>
        <w:tc>
          <w:tcPr>
            <w:tcW w:w="7677" w:type="dxa"/>
            <w:gridSpan w:val="3"/>
            <w:hideMark/>
          </w:tcPr>
          <w:p w14:paraId="7A8A452D" w14:textId="77777777" w:rsidR="00E551F6" w:rsidRPr="001A0A01" w:rsidRDefault="00E551F6" w:rsidP="00E551F6">
            <w:pPr>
              <w:rPr>
                <w:spacing w:val="-4"/>
                <w:lang w:val="en-GB" w:eastAsia="en-US"/>
              </w:rPr>
            </w:pPr>
            <w:bookmarkStart w:id="64" w:name="_Hlk178541761"/>
            <w:r w:rsidRPr="001A0A01">
              <w:rPr>
                <w:spacing w:val="-4"/>
                <w:lang w:val="en-GB" w:eastAsia="en-US"/>
              </w:rPr>
              <w:t>In H1 2024, the value of total exports of goods</w:t>
            </w:r>
            <w:r w:rsidRPr="001A0A01">
              <w:rPr>
                <w:rStyle w:val="Znakapoznpodarou"/>
                <w:spacing w:val="-4"/>
                <w:lang w:val="en-GB" w:eastAsia="en-US"/>
              </w:rPr>
              <w:footnoteReference w:id="50"/>
            </w:r>
            <w:r w:rsidRPr="001A0A01">
              <w:rPr>
                <w:spacing w:val="-4"/>
                <w:lang w:val="en-GB" w:eastAsia="en-US"/>
              </w:rPr>
              <w:t xml:space="preserve"> increased by 52.2 </w:t>
            </w:r>
            <w:proofErr w:type="spellStart"/>
            <w:r w:rsidRPr="001A0A01">
              <w:rPr>
                <w:spacing w:val="-4"/>
                <w:lang w:val="en-GB" w:eastAsia="en-US"/>
              </w:rPr>
              <w:t>bn</w:t>
            </w:r>
            <w:proofErr w:type="spellEnd"/>
            <w:r w:rsidRPr="001A0A01">
              <w:rPr>
                <w:spacing w:val="-4"/>
                <w:lang w:val="en-GB" w:eastAsia="en-US"/>
              </w:rPr>
              <w:t xml:space="preserve"> CZK (2.3%), year-on-year, to 2,341.8 </w:t>
            </w:r>
            <w:proofErr w:type="spellStart"/>
            <w:r w:rsidRPr="001A0A01">
              <w:rPr>
                <w:spacing w:val="-4"/>
                <w:lang w:val="en-GB" w:eastAsia="en-US"/>
              </w:rPr>
              <w:t>bn</w:t>
            </w:r>
            <w:proofErr w:type="spellEnd"/>
            <w:r w:rsidRPr="001A0A01">
              <w:rPr>
                <w:spacing w:val="-4"/>
                <w:lang w:val="en-GB" w:eastAsia="en-US"/>
              </w:rPr>
              <w:t xml:space="preserve"> CZK in H1 2024. The development in Q2, when exports increased by 52.3 </w:t>
            </w:r>
            <w:proofErr w:type="spellStart"/>
            <w:r w:rsidRPr="001A0A01">
              <w:rPr>
                <w:spacing w:val="-4"/>
                <w:lang w:val="en-GB" w:eastAsia="en-US"/>
              </w:rPr>
              <w:t>bn</w:t>
            </w:r>
            <w:proofErr w:type="spellEnd"/>
            <w:r w:rsidRPr="001A0A01">
              <w:rPr>
                <w:spacing w:val="-4"/>
                <w:lang w:val="en-GB" w:eastAsia="en-US"/>
              </w:rPr>
              <w:t xml:space="preserve"> CZK (4.6%), year-on-year, to 1,185.5 </w:t>
            </w:r>
            <w:proofErr w:type="spellStart"/>
            <w:r w:rsidRPr="001A0A01">
              <w:rPr>
                <w:spacing w:val="-4"/>
                <w:lang w:val="en-GB" w:eastAsia="en-US"/>
              </w:rPr>
              <w:t>bn</w:t>
            </w:r>
            <w:proofErr w:type="spellEnd"/>
            <w:r w:rsidRPr="001A0A01">
              <w:rPr>
                <w:spacing w:val="-4"/>
                <w:lang w:val="en-GB" w:eastAsia="en-US"/>
              </w:rPr>
              <w:t xml:space="preserve"> CZK, stands solely behind the total half-yearly increase. The strengthening of export price growth partially manifested</w:t>
            </w:r>
            <w:r w:rsidRPr="001A0A01">
              <w:rPr>
                <w:rStyle w:val="Znakapoznpodarou"/>
                <w:spacing w:val="-4"/>
                <w:lang w:val="en-GB" w:eastAsia="en-US"/>
              </w:rPr>
              <w:footnoteReference w:id="51"/>
            </w:r>
            <w:r w:rsidRPr="001A0A01">
              <w:rPr>
                <w:spacing w:val="-4"/>
                <w:lang w:val="en-GB" w:eastAsia="en-US"/>
              </w:rPr>
              <w:t>. According to the seasonally adjusted data, the value of exports increased by 0.5%, quarter-on-quarter, in Q2 2024 and the rate of growth thus slowed down in comparison to the previous two quarters.</w:t>
            </w:r>
            <w:bookmarkEnd w:id="64"/>
          </w:p>
        </w:tc>
      </w:tr>
      <w:tr w:rsidR="00E551F6" w:rsidRPr="001A0A01" w14:paraId="757B1988" w14:textId="77777777" w:rsidTr="00E551F6">
        <w:trPr>
          <w:trHeight w:val="150"/>
        </w:trPr>
        <w:tc>
          <w:tcPr>
            <w:tcW w:w="1748" w:type="dxa"/>
            <w:vMerge w:val="restart"/>
          </w:tcPr>
          <w:p w14:paraId="26E91BA0" w14:textId="77777777" w:rsidR="00E551F6" w:rsidRPr="001A0A01" w:rsidRDefault="00E551F6" w:rsidP="00E551F6">
            <w:pPr>
              <w:pStyle w:val="Marginlie"/>
              <w:rPr>
                <w:lang w:val="en-GB" w:eastAsia="en-US"/>
              </w:rPr>
            </w:pPr>
          </w:p>
        </w:tc>
        <w:tc>
          <w:tcPr>
            <w:tcW w:w="252" w:type="dxa"/>
            <w:vMerge w:val="restart"/>
          </w:tcPr>
          <w:p w14:paraId="57D592B4" w14:textId="77777777" w:rsidR="00E551F6" w:rsidRPr="001A0A01" w:rsidRDefault="00E551F6" w:rsidP="00E551F6">
            <w:pPr>
              <w:pStyle w:val="Textpoznpodarou"/>
              <w:jc w:val="both"/>
              <w:rPr>
                <w:spacing w:val="-4"/>
                <w:lang w:val="en-GB" w:eastAsia="en-US"/>
              </w:rPr>
            </w:pPr>
          </w:p>
        </w:tc>
        <w:tc>
          <w:tcPr>
            <w:tcW w:w="7677" w:type="dxa"/>
            <w:gridSpan w:val="3"/>
          </w:tcPr>
          <w:p w14:paraId="3769EB78" w14:textId="77777777" w:rsidR="00E551F6" w:rsidRPr="001A0A01" w:rsidRDefault="00E551F6" w:rsidP="00E551F6">
            <w:pPr>
              <w:spacing w:after="0"/>
              <w:rPr>
                <w:spacing w:val="-4"/>
                <w:lang w:val="en-GB" w:eastAsia="en-US"/>
              </w:rPr>
            </w:pPr>
            <w:r w:rsidRPr="001A0A01">
              <w:rPr>
                <w:rFonts w:cs="Arial"/>
                <w:b/>
                <w:bCs/>
                <w:color w:val="000000"/>
                <w:szCs w:val="20"/>
                <w:lang w:val="en-GB" w:eastAsia="en-US"/>
              </w:rPr>
              <w:t xml:space="preserve">Chart 9 </w:t>
            </w:r>
            <w:r w:rsidRPr="001A0A01">
              <w:rPr>
                <w:b/>
                <w:bCs/>
                <w:spacing w:val="-4"/>
                <w:lang w:val="en-GB" w:eastAsia="en-US"/>
              </w:rPr>
              <w:t xml:space="preserve">Export and import of goods </w:t>
            </w:r>
            <w:r w:rsidRPr="001A0A01">
              <w:rPr>
                <w:spacing w:val="-4"/>
                <w:lang w:val="en-GB" w:eastAsia="en-US"/>
              </w:rPr>
              <w:t>(y-o-y change, in %)</w:t>
            </w:r>
            <w:r w:rsidRPr="001A0A01">
              <w:rPr>
                <w:b/>
                <w:bCs/>
                <w:spacing w:val="-4"/>
                <w:lang w:val="en-GB" w:eastAsia="en-US"/>
              </w:rPr>
              <w:t xml:space="preserve"> and balance of international trade with goods </w:t>
            </w:r>
            <w:r w:rsidRPr="001A0A01">
              <w:rPr>
                <w:spacing w:val="-4"/>
                <w:lang w:val="en-GB" w:eastAsia="en-US"/>
              </w:rPr>
              <w:t xml:space="preserve">(in </w:t>
            </w:r>
            <w:proofErr w:type="spellStart"/>
            <w:r w:rsidRPr="001A0A01">
              <w:rPr>
                <w:spacing w:val="-4"/>
                <w:lang w:val="en-GB" w:eastAsia="en-US"/>
              </w:rPr>
              <w:t>bn</w:t>
            </w:r>
            <w:proofErr w:type="spellEnd"/>
            <w:r w:rsidRPr="001A0A01">
              <w:rPr>
                <w:spacing w:val="-4"/>
                <w:lang w:val="en-GB" w:eastAsia="en-US"/>
              </w:rPr>
              <w:t xml:space="preserve"> CZK, right axis)</w:t>
            </w:r>
            <w:r w:rsidRPr="001A0A01">
              <w:rPr>
                <w:rFonts w:cs="Arial"/>
                <w:b/>
                <w:bCs/>
                <w:color w:val="000000"/>
                <w:szCs w:val="20"/>
                <w:lang w:val="en-GB" w:eastAsia="en-US"/>
              </w:rPr>
              <w:t xml:space="preserve"> </w:t>
            </w:r>
          </w:p>
        </w:tc>
      </w:tr>
      <w:tr w:rsidR="00E551F6" w:rsidRPr="001A0A01" w14:paraId="6C1B2ABD" w14:textId="77777777" w:rsidTr="004350ED">
        <w:tblPrEx>
          <w:tblCellMar>
            <w:left w:w="70" w:type="dxa"/>
            <w:right w:w="70" w:type="dxa"/>
          </w:tblCellMar>
        </w:tblPrEx>
        <w:trPr>
          <w:trHeight w:val="150"/>
        </w:trPr>
        <w:tc>
          <w:tcPr>
            <w:tcW w:w="1748" w:type="dxa"/>
            <w:vMerge/>
          </w:tcPr>
          <w:p w14:paraId="0E8F666D" w14:textId="77777777" w:rsidR="00E551F6" w:rsidRPr="001A0A01" w:rsidRDefault="00E551F6" w:rsidP="00E551F6">
            <w:pPr>
              <w:pStyle w:val="Marginlie"/>
              <w:rPr>
                <w:lang w:val="en-GB" w:eastAsia="en-US"/>
              </w:rPr>
            </w:pPr>
          </w:p>
        </w:tc>
        <w:tc>
          <w:tcPr>
            <w:tcW w:w="252" w:type="dxa"/>
            <w:vMerge/>
          </w:tcPr>
          <w:p w14:paraId="2E592C5B" w14:textId="77777777" w:rsidR="00E551F6" w:rsidRPr="001A0A01" w:rsidRDefault="00E551F6" w:rsidP="00E551F6">
            <w:pPr>
              <w:pStyle w:val="Textpoznpodarou"/>
              <w:jc w:val="both"/>
              <w:rPr>
                <w:spacing w:val="-4"/>
                <w:lang w:val="en-GB" w:eastAsia="en-US"/>
              </w:rPr>
            </w:pPr>
          </w:p>
        </w:tc>
        <w:tc>
          <w:tcPr>
            <w:tcW w:w="7677" w:type="dxa"/>
            <w:gridSpan w:val="3"/>
          </w:tcPr>
          <w:p w14:paraId="2E0760D9" w14:textId="250BB1B7" w:rsidR="00E551F6" w:rsidRPr="001A0A01" w:rsidRDefault="004350ED" w:rsidP="00E551F6">
            <w:pPr>
              <w:spacing w:after="0"/>
              <w:rPr>
                <w:spacing w:val="-4"/>
                <w:lang w:val="en-GB" w:eastAsia="en-US"/>
              </w:rPr>
            </w:pPr>
            <w:r>
              <w:rPr>
                <w:noProof/>
              </w:rPr>
              <w:drawing>
                <wp:inline distT="0" distB="0" distL="0" distR="0" wp14:anchorId="4CAD83BC" wp14:editId="037BE99E">
                  <wp:extent cx="4752000" cy="3492000"/>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E551F6" w:rsidRPr="001A0A01" w14:paraId="4EEA0217" w14:textId="77777777" w:rsidTr="00E551F6">
        <w:trPr>
          <w:trHeight w:val="150"/>
        </w:trPr>
        <w:tc>
          <w:tcPr>
            <w:tcW w:w="1748" w:type="dxa"/>
            <w:vMerge/>
          </w:tcPr>
          <w:p w14:paraId="6943808E" w14:textId="77777777" w:rsidR="00E551F6" w:rsidRPr="001A0A01" w:rsidRDefault="00E551F6" w:rsidP="00E551F6">
            <w:pPr>
              <w:pStyle w:val="Marginlie"/>
              <w:rPr>
                <w:lang w:val="en-GB" w:eastAsia="en-US"/>
              </w:rPr>
            </w:pPr>
          </w:p>
        </w:tc>
        <w:tc>
          <w:tcPr>
            <w:tcW w:w="252" w:type="dxa"/>
            <w:vMerge/>
          </w:tcPr>
          <w:p w14:paraId="5DA7B701" w14:textId="77777777" w:rsidR="00E551F6" w:rsidRPr="001A0A01" w:rsidRDefault="00E551F6" w:rsidP="00E551F6">
            <w:pPr>
              <w:pStyle w:val="Textpoznpodarou"/>
              <w:jc w:val="both"/>
              <w:rPr>
                <w:spacing w:val="-4"/>
                <w:lang w:val="en-GB" w:eastAsia="en-US"/>
              </w:rPr>
            </w:pPr>
          </w:p>
        </w:tc>
        <w:tc>
          <w:tcPr>
            <w:tcW w:w="7677" w:type="dxa"/>
            <w:gridSpan w:val="3"/>
          </w:tcPr>
          <w:p w14:paraId="3556683F" w14:textId="4B969737" w:rsidR="00E551F6" w:rsidRPr="00E200EF" w:rsidRDefault="00E551F6" w:rsidP="00E200EF">
            <w:pPr>
              <w:spacing w:after="180"/>
              <w:jc w:val="left"/>
              <w:rPr>
                <w:sz w:val="14"/>
                <w:szCs w:val="14"/>
                <w:lang w:val="en-GB" w:eastAsia="en-US"/>
              </w:rPr>
            </w:pPr>
            <w:r w:rsidRPr="00E200EF">
              <w:rPr>
                <w:sz w:val="14"/>
                <w:szCs w:val="14"/>
                <w:lang w:val="en-GB" w:eastAsia="en-US"/>
              </w:rPr>
              <w:t>Source: CZSO</w:t>
            </w:r>
          </w:p>
        </w:tc>
      </w:tr>
      <w:tr w:rsidR="00E551F6" w:rsidRPr="001A0A01" w14:paraId="1FBBC1A3" w14:textId="77777777" w:rsidTr="00E551F6">
        <w:trPr>
          <w:trHeight w:val="145"/>
        </w:trPr>
        <w:tc>
          <w:tcPr>
            <w:tcW w:w="1748" w:type="dxa"/>
          </w:tcPr>
          <w:p w14:paraId="025F17F5" w14:textId="77777777" w:rsidR="00E551F6" w:rsidRPr="001A0A01" w:rsidRDefault="00E551F6" w:rsidP="00E551F6">
            <w:pPr>
              <w:pStyle w:val="Marginlie"/>
              <w:rPr>
                <w:lang w:val="en-GB" w:eastAsia="en-US"/>
              </w:rPr>
            </w:pPr>
            <w:r w:rsidRPr="001A0A01">
              <w:rPr>
                <w:lang w:val="en-GB" w:eastAsia="en-US"/>
              </w:rPr>
              <w:t xml:space="preserve">Mostly export outside the EU grew. </w:t>
            </w:r>
          </w:p>
        </w:tc>
        <w:tc>
          <w:tcPr>
            <w:tcW w:w="252" w:type="dxa"/>
          </w:tcPr>
          <w:p w14:paraId="1526BF30" w14:textId="77777777" w:rsidR="00E551F6" w:rsidRPr="001A0A01" w:rsidRDefault="00E551F6" w:rsidP="00E551F6">
            <w:pPr>
              <w:pStyle w:val="Textpoznpodarou"/>
              <w:jc w:val="both"/>
              <w:rPr>
                <w:spacing w:val="-4"/>
                <w:lang w:val="en-GB" w:eastAsia="en-US"/>
              </w:rPr>
            </w:pPr>
          </w:p>
        </w:tc>
        <w:tc>
          <w:tcPr>
            <w:tcW w:w="7677" w:type="dxa"/>
            <w:gridSpan w:val="3"/>
          </w:tcPr>
          <w:p w14:paraId="0A815C3A" w14:textId="77777777" w:rsidR="00E551F6" w:rsidRPr="001A0A01" w:rsidRDefault="00E551F6" w:rsidP="00E551F6">
            <w:pPr>
              <w:rPr>
                <w:spacing w:val="-4"/>
                <w:lang w:val="en-GB" w:eastAsia="en-US"/>
              </w:rPr>
            </w:pPr>
            <w:bookmarkStart w:id="65" w:name="_Hlk178542734"/>
            <w:r w:rsidRPr="001A0A01">
              <w:rPr>
                <w:spacing w:val="-4"/>
                <w:lang w:val="en-GB" w:eastAsia="en-US"/>
              </w:rPr>
              <w:t xml:space="preserve">The value of exports into the EU countries decreased, year-on-year, in H1 (−5.4 </w:t>
            </w:r>
            <w:proofErr w:type="spellStart"/>
            <w:r w:rsidRPr="001A0A01">
              <w:rPr>
                <w:spacing w:val="-4"/>
                <w:lang w:val="en-GB" w:eastAsia="en-US"/>
              </w:rPr>
              <w:t>bn</w:t>
            </w:r>
            <w:proofErr w:type="spellEnd"/>
            <w:r w:rsidRPr="001A0A01">
              <w:rPr>
                <w:spacing w:val="-4"/>
                <w:lang w:val="en-GB" w:eastAsia="en-US"/>
              </w:rPr>
              <w:t xml:space="preserve"> CZK, −0.3%), which was significantly driven by the development of exports to Germany (−6.7 </w:t>
            </w:r>
            <w:proofErr w:type="spellStart"/>
            <w:r w:rsidRPr="001A0A01">
              <w:rPr>
                <w:spacing w:val="-4"/>
                <w:lang w:val="en-GB" w:eastAsia="en-US"/>
              </w:rPr>
              <w:t>bn</w:t>
            </w:r>
            <w:proofErr w:type="spellEnd"/>
            <w:r w:rsidRPr="001A0A01">
              <w:rPr>
                <w:spacing w:val="-4"/>
                <w:lang w:val="en-GB" w:eastAsia="en-US"/>
              </w:rPr>
              <w:t xml:space="preserve"> CZK, −0.9%), Austria (−6.7 </w:t>
            </w:r>
            <w:proofErr w:type="spellStart"/>
            <w:r w:rsidRPr="001A0A01">
              <w:rPr>
                <w:spacing w:val="-4"/>
                <w:lang w:val="en-GB" w:eastAsia="en-US"/>
              </w:rPr>
              <w:t>bn</w:t>
            </w:r>
            <w:proofErr w:type="spellEnd"/>
            <w:r w:rsidRPr="001A0A01">
              <w:rPr>
                <w:spacing w:val="-4"/>
                <w:lang w:val="en-GB" w:eastAsia="en-US"/>
              </w:rPr>
              <w:t xml:space="preserve">, −6.9%) and the Netherlands (−6.3 </w:t>
            </w:r>
            <w:proofErr w:type="spellStart"/>
            <w:r w:rsidRPr="001A0A01">
              <w:rPr>
                <w:spacing w:val="-4"/>
                <w:lang w:val="en-GB" w:eastAsia="en-US"/>
              </w:rPr>
              <w:t>bn</w:t>
            </w:r>
            <w:proofErr w:type="spellEnd"/>
            <w:r w:rsidRPr="001A0A01">
              <w:rPr>
                <w:spacing w:val="-4"/>
                <w:lang w:val="en-GB" w:eastAsia="en-US"/>
              </w:rPr>
              <w:t xml:space="preserve">, −7.9%). On the contrary, the exports to countries outside the EU increased by 57.4 </w:t>
            </w:r>
            <w:proofErr w:type="spellStart"/>
            <w:r w:rsidRPr="001A0A01">
              <w:rPr>
                <w:spacing w:val="-4"/>
                <w:lang w:val="en-GB" w:eastAsia="en-US"/>
              </w:rPr>
              <w:t>bn</w:t>
            </w:r>
            <w:proofErr w:type="spellEnd"/>
            <w:r w:rsidRPr="001A0A01">
              <w:rPr>
                <w:spacing w:val="-4"/>
                <w:lang w:val="en-GB" w:eastAsia="en-US"/>
              </w:rPr>
              <w:t xml:space="preserve"> CZK (13.2%), year-on-year, in H1. Strengthening of exports to Great Britain (+19.7 </w:t>
            </w:r>
            <w:proofErr w:type="spellStart"/>
            <w:r w:rsidRPr="001A0A01">
              <w:rPr>
                <w:spacing w:val="-4"/>
                <w:lang w:val="en-GB" w:eastAsia="en-US"/>
              </w:rPr>
              <w:t>bn</w:t>
            </w:r>
            <w:proofErr w:type="spellEnd"/>
            <w:r w:rsidRPr="001A0A01">
              <w:rPr>
                <w:spacing w:val="-4"/>
                <w:lang w:val="en-GB" w:eastAsia="en-US"/>
              </w:rPr>
              <w:t xml:space="preserve"> CZK, 22.0%) played a major role in this development. Exports to the EU grew slightly in Q2 alone (+15.3 </w:t>
            </w:r>
            <w:proofErr w:type="spellStart"/>
            <w:r w:rsidRPr="001A0A01">
              <w:rPr>
                <w:spacing w:val="-4"/>
                <w:lang w:val="en-GB" w:eastAsia="en-US"/>
              </w:rPr>
              <w:t>bn</w:t>
            </w:r>
            <w:proofErr w:type="spellEnd"/>
            <w:r w:rsidRPr="001A0A01">
              <w:rPr>
                <w:spacing w:val="-4"/>
                <w:lang w:val="en-GB" w:eastAsia="en-US"/>
              </w:rPr>
              <w:t xml:space="preserve"> CZK, 1.7%), however mainly the exports outside the EU (+37.0 </w:t>
            </w:r>
            <w:proofErr w:type="spellStart"/>
            <w:r w:rsidRPr="001A0A01">
              <w:rPr>
                <w:spacing w:val="-4"/>
                <w:lang w:val="en-GB" w:eastAsia="en-US"/>
              </w:rPr>
              <w:t>bn</w:t>
            </w:r>
            <w:proofErr w:type="spellEnd"/>
            <w:r w:rsidRPr="001A0A01">
              <w:rPr>
                <w:spacing w:val="-4"/>
                <w:lang w:val="en-GB" w:eastAsia="en-US"/>
              </w:rPr>
              <w:t xml:space="preserve">, 16.9%) contributed to the total year-on-year growth of exports. </w:t>
            </w:r>
            <w:bookmarkStart w:id="66" w:name="_Hlk178543370"/>
            <w:bookmarkEnd w:id="65"/>
            <w:r w:rsidRPr="001A0A01">
              <w:rPr>
                <w:spacing w:val="-4"/>
                <w:lang w:val="en-GB" w:eastAsia="en-US"/>
              </w:rPr>
              <w:t>Exports to Great Britain grew the most, year-on-year</w:t>
            </w:r>
            <w:r w:rsidRPr="001A0A01">
              <w:rPr>
                <w:rStyle w:val="Znakapoznpodarou"/>
                <w:spacing w:val="-4"/>
                <w:lang w:val="en-GB" w:eastAsia="en-US"/>
              </w:rPr>
              <w:footnoteReference w:id="52"/>
            </w:r>
            <w:r w:rsidRPr="001A0A01">
              <w:rPr>
                <w:spacing w:val="-4"/>
                <w:lang w:val="en-GB" w:eastAsia="en-US"/>
              </w:rPr>
              <w:t xml:space="preserve"> (see Table 2). With some margin, the increase for Germany and the United States of America followed. Exports to China, Slovakia, Turkey, Ukraine, Spain, Singapore or Romania also contributed notably to the growth of exports. There was a significant minority of countries where exports fell, year-on-year, in Q2. Exports to Belgium, Italy and Austria decreased the most.</w:t>
            </w:r>
            <w:bookmarkEnd w:id="66"/>
          </w:p>
        </w:tc>
      </w:tr>
      <w:tr w:rsidR="00E551F6" w:rsidRPr="001A0A01" w14:paraId="6A0A860F" w14:textId="77777777" w:rsidTr="00E551F6">
        <w:trPr>
          <w:trHeight w:val="145"/>
        </w:trPr>
        <w:tc>
          <w:tcPr>
            <w:tcW w:w="1748" w:type="dxa"/>
          </w:tcPr>
          <w:p w14:paraId="01005645" w14:textId="77777777" w:rsidR="00E551F6" w:rsidRPr="001A0A01" w:rsidRDefault="00E551F6" w:rsidP="00E551F6">
            <w:pPr>
              <w:pStyle w:val="Marginlie"/>
              <w:rPr>
                <w:lang w:val="en-GB" w:eastAsia="en-US"/>
              </w:rPr>
            </w:pPr>
            <w:bookmarkStart w:id="67" w:name="_Hlk178546478"/>
            <w:r w:rsidRPr="001A0A01">
              <w:rPr>
                <w:lang w:val="en-GB" w:eastAsia="en-US"/>
              </w:rPr>
              <w:lastRenderedPageBreak/>
              <w:t xml:space="preserve">Motor vehicles continued to be at the forefront of the export growth. </w:t>
            </w:r>
            <w:bookmarkEnd w:id="67"/>
          </w:p>
        </w:tc>
        <w:tc>
          <w:tcPr>
            <w:tcW w:w="252" w:type="dxa"/>
          </w:tcPr>
          <w:p w14:paraId="04FA568F" w14:textId="77777777" w:rsidR="00E551F6" w:rsidRPr="001A0A01" w:rsidRDefault="00E551F6" w:rsidP="00E551F6">
            <w:pPr>
              <w:pStyle w:val="Textpoznpodarou"/>
              <w:jc w:val="both"/>
              <w:rPr>
                <w:spacing w:val="-4"/>
                <w:lang w:val="en-GB" w:eastAsia="en-US"/>
              </w:rPr>
            </w:pPr>
          </w:p>
        </w:tc>
        <w:tc>
          <w:tcPr>
            <w:tcW w:w="7677" w:type="dxa"/>
            <w:gridSpan w:val="3"/>
          </w:tcPr>
          <w:p w14:paraId="12D755FD" w14:textId="77777777" w:rsidR="00E551F6" w:rsidRPr="001A0A01" w:rsidRDefault="00E551F6" w:rsidP="004350ED">
            <w:pPr>
              <w:rPr>
                <w:spacing w:val="-4"/>
                <w:lang w:val="en-GB" w:eastAsia="en-US"/>
              </w:rPr>
            </w:pPr>
            <w:bookmarkStart w:id="68" w:name="_Hlk178546505"/>
            <w:r w:rsidRPr="001A0A01">
              <w:rPr>
                <w:spacing w:val="-4"/>
                <w:lang w:val="en-GB" w:eastAsia="en-US"/>
              </w:rPr>
              <w:t xml:space="preserve">The exports of motor vehicles (+43.2 </w:t>
            </w:r>
            <w:proofErr w:type="spellStart"/>
            <w:r w:rsidRPr="001A0A01">
              <w:rPr>
                <w:spacing w:val="-4"/>
                <w:lang w:val="en-GB" w:eastAsia="en-US"/>
              </w:rPr>
              <w:t>bn</w:t>
            </w:r>
            <w:proofErr w:type="spellEnd"/>
            <w:r w:rsidRPr="001A0A01">
              <w:rPr>
                <w:spacing w:val="-4"/>
                <w:lang w:val="en-GB" w:eastAsia="en-US"/>
              </w:rPr>
              <w:t xml:space="preserve"> CZK, 6.8%) and computers, electronic and optical appliances and equipment (+16.0 </w:t>
            </w:r>
            <w:proofErr w:type="spellStart"/>
            <w:r w:rsidRPr="001A0A01">
              <w:rPr>
                <w:spacing w:val="-4"/>
                <w:lang w:val="en-GB" w:eastAsia="en-US"/>
              </w:rPr>
              <w:t>bn</w:t>
            </w:r>
            <w:proofErr w:type="spellEnd"/>
            <w:r w:rsidRPr="001A0A01">
              <w:rPr>
                <w:spacing w:val="-4"/>
                <w:lang w:val="en-GB" w:eastAsia="en-US"/>
              </w:rPr>
              <w:t xml:space="preserve"> CZK, 8.8%) increased the most in H1. On the other hand, the exports of machinery and equipment (−12.8 </w:t>
            </w:r>
            <w:proofErr w:type="spellStart"/>
            <w:r w:rsidRPr="001A0A01">
              <w:rPr>
                <w:spacing w:val="-4"/>
                <w:lang w:val="en-GB" w:eastAsia="en-US"/>
              </w:rPr>
              <w:t>bn</w:t>
            </w:r>
            <w:proofErr w:type="spellEnd"/>
            <w:r w:rsidRPr="001A0A01">
              <w:rPr>
                <w:spacing w:val="-4"/>
                <w:lang w:val="en-GB" w:eastAsia="en-US"/>
              </w:rPr>
              <w:t xml:space="preserve"> CZK, −4.7%), electricity, gas, steam and air conditioning (−10.6 </w:t>
            </w:r>
            <w:proofErr w:type="spellStart"/>
            <w:r w:rsidRPr="001A0A01">
              <w:rPr>
                <w:spacing w:val="-4"/>
                <w:lang w:val="en-GB" w:eastAsia="en-US"/>
              </w:rPr>
              <w:t>bn</w:t>
            </w:r>
            <w:proofErr w:type="spellEnd"/>
            <w:r w:rsidRPr="001A0A01">
              <w:rPr>
                <w:spacing w:val="-4"/>
                <w:lang w:val="en-GB" w:eastAsia="en-US"/>
              </w:rPr>
              <w:t xml:space="preserve">, −37.4%) and basic metals (−10.6 </w:t>
            </w:r>
            <w:proofErr w:type="spellStart"/>
            <w:r w:rsidRPr="001A0A01">
              <w:rPr>
                <w:spacing w:val="-4"/>
                <w:lang w:val="en-GB" w:eastAsia="en-US"/>
              </w:rPr>
              <w:t>bn</w:t>
            </w:r>
            <w:proofErr w:type="spellEnd"/>
            <w:r w:rsidRPr="001A0A01">
              <w:rPr>
                <w:spacing w:val="-4"/>
                <w:lang w:val="en-GB" w:eastAsia="en-US"/>
              </w:rPr>
              <w:t xml:space="preserve">, −11.9%) plunged. Exports of a number of goods started to grow, year-on-year, in Q2 itself and strengthened for other goods compared to the previous quarter. Exports of motor vehicles (see Table 1) and computers, electronic and optical appliances and equipment increased the most. Exports of rubber and plastic products, food products and chemicals and chemical products also grew considerably. A decrease in the value of exports was recorded for a minority of good types, the most for machinery and equipment, basic metals and coke, and refined petroleum products.   </w:t>
            </w:r>
            <w:bookmarkEnd w:id="68"/>
          </w:p>
        </w:tc>
      </w:tr>
      <w:tr w:rsidR="00E551F6" w:rsidRPr="001A0A01" w14:paraId="2C61DFDF" w14:textId="77777777" w:rsidTr="00E551F6">
        <w:trPr>
          <w:trHeight w:val="170"/>
        </w:trPr>
        <w:tc>
          <w:tcPr>
            <w:tcW w:w="4811" w:type="dxa"/>
            <w:gridSpan w:val="3"/>
            <w:hideMark/>
          </w:tcPr>
          <w:p w14:paraId="30C5E265" w14:textId="77777777" w:rsidR="00E551F6" w:rsidRPr="001A0A01" w:rsidRDefault="00E551F6" w:rsidP="00E551F6">
            <w:pPr>
              <w:spacing w:after="0"/>
              <w:rPr>
                <w:spacing w:val="-4"/>
                <w:lang w:val="en-GB" w:eastAsia="en-US"/>
              </w:rPr>
            </w:pPr>
            <w:r w:rsidRPr="001A0A01">
              <w:rPr>
                <w:rFonts w:cs="Arial"/>
                <w:b/>
                <w:bCs/>
                <w:color w:val="000000"/>
                <w:sz w:val="18"/>
                <w:szCs w:val="18"/>
                <w:lang w:val="en-GB" w:eastAsia="en-US"/>
              </w:rPr>
              <w:t xml:space="preserve">Table 1 Sections of CPA classification with highest impact on goods exports development in Q2 </w:t>
            </w:r>
            <w:r w:rsidRPr="001A0A01">
              <w:rPr>
                <w:rFonts w:cs="Arial"/>
                <w:bCs/>
                <w:color w:val="000000"/>
                <w:sz w:val="18"/>
                <w:szCs w:val="18"/>
                <w:lang w:val="en-GB" w:eastAsia="en-US"/>
              </w:rPr>
              <w:t>(year-on-year)</w:t>
            </w:r>
          </w:p>
        </w:tc>
        <w:tc>
          <w:tcPr>
            <w:tcW w:w="57" w:type="dxa"/>
          </w:tcPr>
          <w:p w14:paraId="328B0CCA" w14:textId="77777777" w:rsidR="00E551F6" w:rsidRPr="001A0A01" w:rsidRDefault="00E551F6" w:rsidP="00E551F6">
            <w:pPr>
              <w:spacing w:after="0"/>
              <w:rPr>
                <w:spacing w:val="-4"/>
                <w:lang w:val="en-GB" w:eastAsia="en-US"/>
              </w:rPr>
            </w:pPr>
          </w:p>
        </w:tc>
        <w:tc>
          <w:tcPr>
            <w:tcW w:w="4809" w:type="dxa"/>
            <w:hideMark/>
          </w:tcPr>
          <w:p w14:paraId="1B7681E5" w14:textId="77777777" w:rsidR="00E551F6" w:rsidRPr="001A0A01" w:rsidRDefault="00E551F6" w:rsidP="00E551F6">
            <w:pPr>
              <w:spacing w:after="0"/>
              <w:jc w:val="left"/>
              <w:rPr>
                <w:spacing w:val="-4"/>
                <w:sz w:val="18"/>
                <w:szCs w:val="18"/>
                <w:lang w:val="en-GB" w:eastAsia="en-US"/>
              </w:rPr>
            </w:pPr>
            <w:r w:rsidRPr="001A0A01">
              <w:rPr>
                <w:rFonts w:cs="Arial"/>
                <w:b/>
                <w:bCs/>
                <w:color w:val="000000"/>
                <w:sz w:val="18"/>
                <w:szCs w:val="18"/>
                <w:lang w:val="en-GB" w:eastAsia="en-US"/>
              </w:rPr>
              <w:t xml:space="preserve">Table 2 Countries with largest impact on exports of goods in Q2 2024 </w:t>
            </w:r>
            <w:r w:rsidRPr="001A0A01">
              <w:rPr>
                <w:rFonts w:cs="Arial"/>
                <w:bCs/>
                <w:color w:val="000000"/>
                <w:sz w:val="18"/>
                <w:szCs w:val="18"/>
                <w:lang w:val="en-GB" w:eastAsia="en-US"/>
              </w:rPr>
              <w:t>(year-on-year)</w:t>
            </w:r>
          </w:p>
        </w:tc>
      </w:tr>
      <w:tr w:rsidR="00E551F6" w:rsidRPr="001A0A01" w14:paraId="7954D522" w14:textId="77777777" w:rsidTr="00E551F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E551F6" w:rsidRPr="001A0A01" w14:paraId="31D52773" w14:textId="77777777" w:rsidTr="00E551F6">
              <w:trPr>
                <w:trHeight w:val="255"/>
              </w:trPr>
              <w:tc>
                <w:tcPr>
                  <w:tcW w:w="3417" w:type="dxa"/>
                  <w:tcBorders>
                    <w:top w:val="nil"/>
                    <w:left w:val="nil"/>
                    <w:bottom w:val="nil"/>
                    <w:right w:val="nil"/>
                  </w:tcBorders>
                  <w:shd w:val="clear" w:color="auto" w:fill="auto"/>
                  <w:noWrap/>
                  <w:vAlign w:val="bottom"/>
                  <w:hideMark/>
                </w:tcPr>
                <w:p w14:paraId="41D631E6" w14:textId="77777777" w:rsidR="00E551F6" w:rsidRPr="001A0A01" w:rsidRDefault="00E551F6" w:rsidP="00E551F6">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51450DC2" w14:textId="77777777" w:rsidR="00E551F6" w:rsidRPr="001A0A01" w:rsidRDefault="00E551F6" w:rsidP="00E551F6">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c>
                <w:tcPr>
                  <w:tcW w:w="700" w:type="dxa"/>
                  <w:tcBorders>
                    <w:top w:val="nil"/>
                    <w:left w:val="nil"/>
                    <w:bottom w:val="nil"/>
                    <w:right w:val="nil"/>
                  </w:tcBorders>
                  <w:shd w:val="clear" w:color="auto" w:fill="auto"/>
                  <w:noWrap/>
                  <w:vAlign w:val="bottom"/>
                  <w:hideMark/>
                </w:tcPr>
                <w:p w14:paraId="612DB712"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4EBF6DD2" w14:textId="77777777" w:rsidTr="00E551F6">
              <w:trPr>
                <w:trHeight w:val="255"/>
              </w:trPr>
              <w:tc>
                <w:tcPr>
                  <w:tcW w:w="3417" w:type="dxa"/>
                  <w:tcBorders>
                    <w:top w:val="single" w:sz="4" w:space="0" w:color="auto"/>
                    <w:left w:val="nil"/>
                    <w:bottom w:val="nil"/>
                    <w:right w:val="nil"/>
                  </w:tcBorders>
                  <w:shd w:val="clear" w:color="auto" w:fill="auto"/>
                  <w:vAlign w:val="bottom"/>
                  <w:hideMark/>
                </w:tcPr>
                <w:p w14:paraId="59572E8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Motor vehicles (excl. motorcycles) and parts</w:t>
                  </w:r>
                </w:p>
              </w:tc>
              <w:tc>
                <w:tcPr>
                  <w:tcW w:w="700" w:type="dxa"/>
                  <w:tcBorders>
                    <w:top w:val="single" w:sz="4" w:space="0" w:color="auto"/>
                    <w:left w:val="nil"/>
                    <w:bottom w:val="nil"/>
                    <w:right w:val="nil"/>
                  </w:tcBorders>
                  <w:shd w:val="clear" w:color="auto" w:fill="auto"/>
                  <w:noWrap/>
                  <w:vAlign w:val="bottom"/>
                  <w:hideMark/>
                </w:tcPr>
                <w:p w14:paraId="00A1FE3E" w14:textId="4D7101E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+20</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single" w:sz="4" w:space="0" w:color="auto"/>
                    <w:left w:val="nil"/>
                    <w:bottom w:val="nil"/>
                    <w:right w:val="nil"/>
                  </w:tcBorders>
                  <w:shd w:val="clear" w:color="auto" w:fill="auto"/>
                  <w:noWrap/>
                  <w:vAlign w:val="bottom"/>
                  <w:hideMark/>
                </w:tcPr>
                <w:p w14:paraId="61A33F47" w14:textId="70BF1B2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06E360ED" w14:textId="77777777" w:rsidTr="00E551F6">
              <w:trPr>
                <w:trHeight w:val="255"/>
              </w:trPr>
              <w:tc>
                <w:tcPr>
                  <w:tcW w:w="3417" w:type="dxa"/>
                  <w:tcBorders>
                    <w:top w:val="nil"/>
                    <w:left w:val="nil"/>
                    <w:bottom w:val="nil"/>
                    <w:right w:val="nil"/>
                  </w:tcBorders>
                  <w:shd w:val="clear" w:color="auto" w:fill="auto"/>
                  <w:vAlign w:val="bottom"/>
                  <w:hideMark/>
                </w:tcPr>
                <w:p w14:paraId="20E4ED3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Computers, electron. and opt. appliances and equipment</w:t>
                  </w:r>
                </w:p>
              </w:tc>
              <w:tc>
                <w:tcPr>
                  <w:tcW w:w="700" w:type="dxa"/>
                  <w:tcBorders>
                    <w:top w:val="nil"/>
                    <w:left w:val="nil"/>
                    <w:bottom w:val="nil"/>
                    <w:right w:val="nil"/>
                  </w:tcBorders>
                  <w:shd w:val="clear" w:color="auto" w:fill="auto"/>
                  <w:noWrap/>
                  <w:vAlign w:val="bottom"/>
                  <w:hideMark/>
                </w:tcPr>
                <w:p w14:paraId="096D9F0B" w14:textId="18DAFA3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+11</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D7B1BB9" w14:textId="0AD4F43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407D8FF6" w14:textId="77777777" w:rsidTr="00E551F6">
              <w:trPr>
                <w:trHeight w:val="255"/>
              </w:trPr>
              <w:tc>
                <w:tcPr>
                  <w:tcW w:w="3417" w:type="dxa"/>
                  <w:tcBorders>
                    <w:top w:val="nil"/>
                    <w:left w:val="nil"/>
                    <w:bottom w:val="nil"/>
                    <w:right w:val="nil"/>
                  </w:tcBorders>
                  <w:shd w:val="clear" w:color="auto" w:fill="auto"/>
                  <w:vAlign w:val="bottom"/>
                  <w:hideMark/>
                </w:tcPr>
                <w:p w14:paraId="5C0A19F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0A932FF0" w14:textId="17D27C8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4BA2D2CB" w14:textId="16809CA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3A801701" w14:textId="77777777" w:rsidTr="00E551F6">
              <w:trPr>
                <w:trHeight w:val="255"/>
              </w:trPr>
              <w:tc>
                <w:tcPr>
                  <w:tcW w:w="3417" w:type="dxa"/>
                  <w:tcBorders>
                    <w:top w:val="nil"/>
                    <w:left w:val="nil"/>
                    <w:bottom w:val="nil"/>
                    <w:right w:val="nil"/>
                  </w:tcBorders>
                  <w:shd w:val="clear" w:color="auto" w:fill="auto"/>
                  <w:vAlign w:val="bottom"/>
                  <w:hideMark/>
                </w:tcPr>
                <w:p w14:paraId="2C089E8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61B61919" w14:textId="503A0B9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21EDCA8C" w14:textId="372915D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+14</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D1F1EBF" w14:textId="77777777" w:rsidTr="00E551F6">
              <w:trPr>
                <w:trHeight w:val="255"/>
              </w:trPr>
              <w:tc>
                <w:tcPr>
                  <w:tcW w:w="3417" w:type="dxa"/>
                  <w:tcBorders>
                    <w:top w:val="nil"/>
                    <w:left w:val="nil"/>
                    <w:bottom w:val="nil"/>
                    <w:right w:val="nil"/>
                  </w:tcBorders>
                  <w:shd w:val="clear" w:color="auto" w:fill="auto"/>
                  <w:vAlign w:val="bottom"/>
                  <w:hideMark/>
                </w:tcPr>
                <w:p w14:paraId="5EFF596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0515AEAC" w14:textId="4C06A66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2BDA9F54" w14:textId="2F5AA63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5</w:t>
                  </w:r>
                </w:p>
              </w:tc>
            </w:tr>
            <w:tr w:rsidR="00E551F6" w:rsidRPr="001A0A01" w14:paraId="44D5E868" w14:textId="77777777" w:rsidTr="00E551F6">
              <w:trPr>
                <w:trHeight w:val="255"/>
              </w:trPr>
              <w:tc>
                <w:tcPr>
                  <w:tcW w:w="3417" w:type="dxa"/>
                  <w:tcBorders>
                    <w:top w:val="nil"/>
                    <w:left w:val="nil"/>
                    <w:bottom w:val="nil"/>
                    <w:right w:val="nil"/>
                  </w:tcBorders>
                  <w:shd w:val="clear" w:color="auto" w:fill="auto"/>
                  <w:vAlign w:val="bottom"/>
                  <w:hideMark/>
                </w:tcPr>
                <w:p w14:paraId="2DEB7F4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Collection, treatment, management and disposal of waste</w:t>
                  </w:r>
                </w:p>
              </w:tc>
              <w:tc>
                <w:tcPr>
                  <w:tcW w:w="700" w:type="dxa"/>
                  <w:tcBorders>
                    <w:top w:val="nil"/>
                    <w:left w:val="nil"/>
                    <w:bottom w:val="nil"/>
                    <w:right w:val="nil"/>
                  </w:tcBorders>
                  <w:shd w:val="clear" w:color="auto" w:fill="auto"/>
                  <w:noWrap/>
                  <w:vAlign w:val="bottom"/>
                  <w:hideMark/>
                </w:tcPr>
                <w:p w14:paraId="3E7F4E77" w14:textId="5C5A2A7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34F20C7D" w14:textId="6B9A3EB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+24</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20EBBE69" w14:textId="77777777" w:rsidTr="00E551F6">
              <w:trPr>
                <w:trHeight w:val="255"/>
              </w:trPr>
              <w:tc>
                <w:tcPr>
                  <w:tcW w:w="3417" w:type="dxa"/>
                  <w:tcBorders>
                    <w:top w:val="nil"/>
                    <w:left w:val="nil"/>
                    <w:bottom w:val="nil"/>
                    <w:right w:val="nil"/>
                  </w:tcBorders>
                  <w:shd w:val="clear" w:color="auto" w:fill="auto"/>
                  <w:vAlign w:val="bottom"/>
                  <w:hideMark/>
                </w:tcPr>
                <w:p w14:paraId="5D41C52E"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3F366907" w14:textId="59ECCDC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2567F9ED" w14:textId="683967C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20939188" w14:textId="77777777" w:rsidTr="00E551F6">
              <w:trPr>
                <w:trHeight w:val="255"/>
              </w:trPr>
              <w:tc>
                <w:tcPr>
                  <w:tcW w:w="3417" w:type="dxa"/>
                  <w:tcBorders>
                    <w:top w:val="nil"/>
                    <w:left w:val="nil"/>
                    <w:bottom w:val="nil"/>
                    <w:right w:val="nil"/>
                  </w:tcBorders>
                  <w:shd w:val="clear" w:color="auto" w:fill="auto"/>
                  <w:vAlign w:val="bottom"/>
                  <w:hideMark/>
                </w:tcPr>
                <w:p w14:paraId="0EF4764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536B0545" w14:textId="2F25F70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4BB602BB" w14:textId="736390F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6E56F8C1" w14:textId="77777777" w:rsidTr="00E551F6">
              <w:trPr>
                <w:trHeight w:val="255"/>
              </w:trPr>
              <w:tc>
                <w:tcPr>
                  <w:tcW w:w="3417" w:type="dxa"/>
                  <w:tcBorders>
                    <w:top w:val="nil"/>
                    <w:left w:val="nil"/>
                    <w:bottom w:val="nil"/>
                    <w:right w:val="nil"/>
                  </w:tcBorders>
                  <w:shd w:val="clear" w:color="auto" w:fill="auto"/>
                  <w:vAlign w:val="bottom"/>
                  <w:hideMark/>
                </w:tcPr>
                <w:p w14:paraId="5842E0D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Other manufacturing products</w:t>
                  </w:r>
                </w:p>
              </w:tc>
              <w:tc>
                <w:tcPr>
                  <w:tcW w:w="700" w:type="dxa"/>
                  <w:tcBorders>
                    <w:top w:val="nil"/>
                    <w:left w:val="nil"/>
                    <w:bottom w:val="nil"/>
                    <w:right w:val="nil"/>
                  </w:tcBorders>
                  <w:shd w:val="clear" w:color="auto" w:fill="auto"/>
                  <w:noWrap/>
                  <w:vAlign w:val="bottom"/>
                  <w:hideMark/>
                </w:tcPr>
                <w:p w14:paraId="18B7F75D" w14:textId="17D753B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64997629" w14:textId="5B3D71E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6C88CC2F" w14:textId="77777777" w:rsidTr="00E551F6">
              <w:trPr>
                <w:trHeight w:val="255"/>
              </w:trPr>
              <w:tc>
                <w:tcPr>
                  <w:tcW w:w="3417" w:type="dxa"/>
                  <w:tcBorders>
                    <w:top w:val="nil"/>
                    <w:left w:val="nil"/>
                    <w:bottom w:val="nil"/>
                    <w:right w:val="nil"/>
                  </w:tcBorders>
                  <w:shd w:val="clear" w:color="auto" w:fill="auto"/>
                  <w:vAlign w:val="bottom"/>
                  <w:hideMark/>
                </w:tcPr>
                <w:p w14:paraId="1991F99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pharmaceutical products</w:t>
                  </w:r>
                </w:p>
              </w:tc>
              <w:tc>
                <w:tcPr>
                  <w:tcW w:w="700" w:type="dxa"/>
                  <w:tcBorders>
                    <w:top w:val="nil"/>
                    <w:left w:val="nil"/>
                    <w:bottom w:val="nil"/>
                    <w:right w:val="nil"/>
                  </w:tcBorders>
                  <w:shd w:val="clear" w:color="auto" w:fill="auto"/>
                  <w:noWrap/>
                  <w:vAlign w:val="bottom"/>
                  <w:hideMark/>
                </w:tcPr>
                <w:p w14:paraId="10215B98" w14:textId="2821FF6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AC3971B" w14:textId="51E0BE8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35FDEF0C" w14:textId="77777777" w:rsidTr="00E551F6">
              <w:trPr>
                <w:trHeight w:val="255"/>
              </w:trPr>
              <w:tc>
                <w:tcPr>
                  <w:tcW w:w="3417" w:type="dxa"/>
                  <w:tcBorders>
                    <w:top w:val="nil"/>
                    <w:left w:val="nil"/>
                    <w:bottom w:val="nil"/>
                    <w:right w:val="nil"/>
                  </w:tcBorders>
                  <w:shd w:val="clear" w:color="auto" w:fill="auto"/>
                  <w:vAlign w:val="bottom"/>
                  <w:hideMark/>
                </w:tcPr>
                <w:p w14:paraId="570E1E0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Wearing apparel</w:t>
                  </w:r>
                </w:p>
              </w:tc>
              <w:tc>
                <w:tcPr>
                  <w:tcW w:w="700" w:type="dxa"/>
                  <w:tcBorders>
                    <w:top w:val="nil"/>
                    <w:left w:val="nil"/>
                    <w:bottom w:val="nil"/>
                    <w:right w:val="nil"/>
                  </w:tcBorders>
                  <w:shd w:val="clear" w:color="auto" w:fill="auto"/>
                  <w:noWrap/>
                  <w:vAlign w:val="bottom"/>
                  <w:hideMark/>
                </w:tcPr>
                <w:p w14:paraId="53A4105F" w14:textId="5C62D6A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814EE11" w14:textId="48D656E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+29</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4E3039B0" w14:textId="77777777" w:rsidTr="00E551F6">
              <w:trPr>
                <w:trHeight w:val="255"/>
              </w:trPr>
              <w:tc>
                <w:tcPr>
                  <w:tcW w:w="3417" w:type="dxa"/>
                  <w:tcBorders>
                    <w:top w:val="nil"/>
                    <w:left w:val="nil"/>
                    <w:bottom w:val="nil"/>
                    <w:right w:val="nil"/>
                  </w:tcBorders>
                  <w:shd w:val="clear" w:color="auto" w:fill="auto"/>
                  <w:vAlign w:val="bottom"/>
                  <w:hideMark/>
                </w:tcPr>
                <w:p w14:paraId="69C8764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4A6E503E" w14:textId="1A11790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05093B2F" w14:textId="1101E7B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39E58397" w14:textId="77777777" w:rsidTr="00E551F6">
              <w:trPr>
                <w:trHeight w:val="255"/>
              </w:trPr>
              <w:tc>
                <w:tcPr>
                  <w:tcW w:w="3417" w:type="dxa"/>
                  <w:tcBorders>
                    <w:top w:val="nil"/>
                    <w:left w:val="nil"/>
                    <w:bottom w:val="nil"/>
                    <w:right w:val="nil"/>
                  </w:tcBorders>
                  <w:shd w:val="clear" w:color="auto" w:fill="auto"/>
                  <w:vAlign w:val="bottom"/>
                  <w:hideMark/>
                </w:tcPr>
                <w:p w14:paraId="2B21F6F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510B6BDE" w14:textId="17BB859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3E360834" w14:textId="40F56A3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1494CD5A" w14:textId="77777777" w:rsidTr="00E551F6">
              <w:trPr>
                <w:trHeight w:val="255"/>
              </w:trPr>
              <w:tc>
                <w:tcPr>
                  <w:tcW w:w="3417" w:type="dxa"/>
                  <w:tcBorders>
                    <w:top w:val="nil"/>
                    <w:left w:val="nil"/>
                    <w:bottom w:val="nil"/>
                    <w:right w:val="nil"/>
                  </w:tcBorders>
                  <w:shd w:val="clear" w:color="auto" w:fill="auto"/>
                  <w:vAlign w:val="bottom"/>
                  <w:hideMark/>
                </w:tcPr>
                <w:p w14:paraId="34F6036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5CECA409" w14:textId="061690C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7D5DDA83" w14:textId="4DD5EAA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7F2FDAE5" w14:textId="77777777" w:rsidTr="00E551F6">
              <w:trPr>
                <w:trHeight w:val="255"/>
              </w:trPr>
              <w:tc>
                <w:tcPr>
                  <w:tcW w:w="3417" w:type="dxa"/>
                  <w:tcBorders>
                    <w:top w:val="nil"/>
                    <w:left w:val="nil"/>
                    <w:bottom w:val="nil"/>
                    <w:right w:val="nil"/>
                  </w:tcBorders>
                  <w:shd w:val="clear" w:color="auto" w:fill="auto"/>
                  <w:vAlign w:val="bottom"/>
                  <w:hideMark/>
                </w:tcPr>
                <w:p w14:paraId="2B96AF9E"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xml:space="preserve">Machinery and equipment, </w:t>
                  </w:r>
                  <w:proofErr w:type="spellStart"/>
                  <w:r w:rsidRPr="001A0A01">
                    <w:rPr>
                      <w:rFonts w:cs="Arial"/>
                      <w:color w:val="000000"/>
                      <w:sz w:val="16"/>
                      <w:szCs w:val="16"/>
                      <w:lang w:val="en-GB"/>
                    </w:rPr>
                    <w:t>n.c.e</w:t>
                  </w:r>
                  <w:proofErr w:type="spellEnd"/>
                  <w:r w:rsidRPr="001A0A01">
                    <w:rPr>
                      <w:rFonts w:cs="Arial"/>
                      <w:color w:val="000000"/>
                      <w:sz w:val="16"/>
                      <w:szCs w:val="16"/>
                      <w:lang w:val="en-GB"/>
                    </w:rPr>
                    <w:t>.</w:t>
                  </w:r>
                </w:p>
              </w:tc>
              <w:tc>
                <w:tcPr>
                  <w:tcW w:w="700" w:type="dxa"/>
                  <w:tcBorders>
                    <w:top w:val="nil"/>
                    <w:left w:val="nil"/>
                    <w:bottom w:val="nil"/>
                    <w:right w:val="nil"/>
                  </w:tcBorders>
                  <w:shd w:val="clear" w:color="auto" w:fill="auto"/>
                  <w:noWrap/>
                  <w:vAlign w:val="bottom"/>
                  <w:hideMark/>
                </w:tcPr>
                <w:p w14:paraId="4EDC0389" w14:textId="110B368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2</w:t>
                  </w:r>
                </w:p>
              </w:tc>
              <w:tc>
                <w:tcPr>
                  <w:tcW w:w="700" w:type="dxa"/>
                  <w:tcBorders>
                    <w:top w:val="nil"/>
                    <w:left w:val="nil"/>
                    <w:bottom w:val="nil"/>
                    <w:right w:val="nil"/>
                  </w:tcBorders>
                  <w:shd w:val="clear" w:color="auto" w:fill="auto"/>
                  <w:noWrap/>
                  <w:vAlign w:val="bottom"/>
                  <w:hideMark/>
                </w:tcPr>
                <w:p w14:paraId="69806F04" w14:textId="67D7D7E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1</w:t>
                  </w:r>
                </w:p>
              </w:tc>
            </w:tr>
          </w:tbl>
          <w:p w14:paraId="69ED795A" w14:textId="77777777" w:rsidR="00E551F6" w:rsidRPr="001A0A01" w:rsidRDefault="00E551F6" w:rsidP="00E551F6">
            <w:pPr>
              <w:spacing w:after="0"/>
              <w:rPr>
                <w:spacing w:val="-4"/>
                <w:lang w:val="en-GB" w:eastAsia="en-US"/>
              </w:rPr>
            </w:pPr>
          </w:p>
        </w:tc>
        <w:tc>
          <w:tcPr>
            <w:tcW w:w="57" w:type="dxa"/>
          </w:tcPr>
          <w:p w14:paraId="56555CC4" w14:textId="77777777" w:rsidR="00E551F6" w:rsidRPr="001A0A01" w:rsidRDefault="00E551F6" w:rsidP="00E551F6">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E551F6" w:rsidRPr="001A0A01" w14:paraId="6F7C9769" w14:textId="77777777" w:rsidTr="00E551F6">
              <w:trPr>
                <w:trHeight w:val="255"/>
              </w:trPr>
              <w:tc>
                <w:tcPr>
                  <w:tcW w:w="3362" w:type="dxa"/>
                  <w:tcBorders>
                    <w:top w:val="nil"/>
                    <w:left w:val="nil"/>
                    <w:bottom w:val="nil"/>
                    <w:right w:val="nil"/>
                  </w:tcBorders>
                  <w:shd w:val="clear" w:color="auto" w:fill="auto"/>
                  <w:noWrap/>
                  <w:vAlign w:val="bottom"/>
                  <w:hideMark/>
                </w:tcPr>
                <w:p w14:paraId="23D4BAB3" w14:textId="77777777" w:rsidR="00E551F6" w:rsidRPr="001A0A01" w:rsidRDefault="00E551F6" w:rsidP="00E551F6">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330B234B" w14:textId="77777777" w:rsidR="00E551F6" w:rsidRPr="001A0A01" w:rsidRDefault="00E551F6" w:rsidP="00E551F6">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c>
                <w:tcPr>
                  <w:tcW w:w="700" w:type="dxa"/>
                  <w:tcBorders>
                    <w:top w:val="nil"/>
                    <w:left w:val="nil"/>
                    <w:bottom w:val="nil"/>
                    <w:right w:val="nil"/>
                  </w:tcBorders>
                  <w:shd w:val="clear" w:color="auto" w:fill="auto"/>
                  <w:noWrap/>
                  <w:vAlign w:val="bottom"/>
                  <w:hideMark/>
                </w:tcPr>
                <w:p w14:paraId="4D55CBE9"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6E825315" w14:textId="77777777" w:rsidTr="00E551F6">
              <w:trPr>
                <w:trHeight w:val="255"/>
              </w:trPr>
              <w:tc>
                <w:tcPr>
                  <w:tcW w:w="3362" w:type="dxa"/>
                  <w:tcBorders>
                    <w:top w:val="single" w:sz="4" w:space="0" w:color="auto"/>
                    <w:left w:val="nil"/>
                    <w:bottom w:val="nil"/>
                    <w:right w:val="nil"/>
                  </w:tcBorders>
                  <w:shd w:val="clear" w:color="auto" w:fill="auto"/>
                  <w:noWrap/>
                  <w:vAlign w:val="bottom"/>
                  <w:hideMark/>
                </w:tcPr>
                <w:p w14:paraId="19C99B5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single" w:sz="4" w:space="0" w:color="auto"/>
                    <w:left w:val="nil"/>
                    <w:bottom w:val="nil"/>
                    <w:right w:val="nil"/>
                  </w:tcBorders>
                  <w:shd w:val="clear" w:color="auto" w:fill="auto"/>
                  <w:noWrap/>
                  <w:vAlign w:val="bottom"/>
                  <w:hideMark/>
                </w:tcPr>
                <w:p w14:paraId="66585C26" w14:textId="7E4E6FD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single" w:sz="4" w:space="0" w:color="auto"/>
                    <w:left w:val="nil"/>
                    <w:bottom w:val="nil"/>
                    <w:right w:val="nil"/>
                  </w:tcBorders>
                  <w:shd w:val="clear" w:color="auto" w:fill="auto"/>
                  <w:noWrap/>
                  <w:vAlign w:val="bottom"/>
                  <w:hideMark/>
                </w:tcPr>
                <w:p w14:paraId="66D402F5" w14:textId="52F5016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+28</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24ECDBA2" w14:textId="77777777" w:rsidTr="00E551F6">
              <w:trPr>
                <w:trHeight w:val="255"/>
              </w:trPr>
              <w:tc>
                <w:tcPr>
                  <w:tcW w:w="3362" w:type="dxa"/>
                  <w:tcBorders>
                    <w:top w:val="nil"/>
                    <w:left w:val="nil"/>
                    <w:bottom w:val="nil"/>
                    <w:right w:val="nil"/>
                  </w:tcBorders>
                  <w:shd w:val="clear" w:color="auto" w:fill="auto"/>
                  <w:noWrap/>
                  <w:vAlign w:val="bottom"/>
                  <w:hideMark/>
                </w:tcPr>
                <w:p w14:paraId="18BA43E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3CCC4871" w14:textId="3FD5DD4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403E821" w14:textId="5808B3A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0224D409" w14:textId="77777777" w:rsidTr="00E551F6">
              <w:trPr>
                <w:trHeight w:val="255"/>
              </w:trPr>
              <w:tc>
                <w:tcPr>
                  <w:tcW w:w="3362" w:type="dxa"/>
                  <w:tcBorders>
                    <w:top w:val="nil"/>
                    <w:left w:val="nil"/>
                    <w:bottom w:val="nil"/>
                    <w:right w:val="nil"/>
                  </w:tcBorders>
                  <w:shd w:val="clear" w:color="auto" w:fill="auto"/>
                  <w:noWrap/>
                  <w:vAlign w:val="bottom"/>
                  <w:hideMark/>
                </w:tcPr>
                <w:p w14:paraId="2DB29EA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387E6855" w14:textId="5BBACBD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647546AA" w14:textId="2BE88EE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+18</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63DC58AD" w14:textId="77777777" w:rsidTr="00E551F6">
              <w:trPr>
                <w:trHeight w:val="255"/>
              </w:trPr>
              <w:tc>
                <w:tcPr>
                  <w:tcW w:w="3362" w:type="dxa"/>
                  <w:tcBorders>
                    <w:top w:val="nil"/>
                    <w:left w:val="nil"/>
                    <w:bottom w:val="nil"/>
                    <w:right w:val="nil"/>
                  </w:tcBorders>
                  <w:shd w:val="clear" w:color="auto" w:fill="auto"/>
                  <w:noWrap/>
                  <w:vAlign w:val="bottom"/>
                  <w:hideMark/>
                </w:tcPr>
                <w:p w14:paraId="59E6FC7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0D6F441D" w14:textId="77F2603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094B47A" w14:textId="1F52E16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43AEF59D" w14:textId="77777777" w:rsidTr="00E551F6">
              <w:trPr>
                <w:trHeight w:val="255"/>
              </w:trPr>
              <w:tc>
                <w:tcPr>
                  <w:tcW w:w="3362" w:type="dxa"/>
                  <w:tcBorders>
                    <w:top w:val="nil"/>
                    <w:left w:val="nil"/>
                    <w:bottom w:val="nil"/>
                    <w:right w:val="nil"/>
                  </w:tcBorders>
                  <w:shd w:val="clear" w:color="auto" w:fill="auto"/>
                  <w:noWrap/>
                  <w:vAlign w:val="bottom"/>
                  <w:hideMark/>
                </w:tcPr>
                <w:p w14:paraId="1742D31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79A81FE5" w14:textId="78BAA23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1DC8389" w14:textId="0C4609A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+32</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4092634C" w14:textId="77777777" w:rsidTr="00E551F6">
              <w:trPr>
                <w:trHeight w:val="255"/>
              </w:trPr>
              <w:tc>
                <w:tcPr>
                  <w:tcW w:w="3362" w:type="dxa"/>
                  <w:tcBorders>
                    <w:top w:val="nil"/>
                    <w:left w:val="nil"/>
                    <w:bottom w:val="nil"/>
                    <w:right w:val="nil"/>
                  </w:tcBorders>
                  <w:shd w:val="clear" w:color="auto" w:fill="auto"/>
                  <w:noWrap/>
                  <w:vAlign w:val="bottom"/>
                  <w:hideMark/>
                </w:tcPr>
                <w:p w14:paraId="2A114F8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75245FBB" w14:textId="6B2D206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0F796E8A" w14:textId="3F191BD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2490D69F" w14:textId="77777777" w:rsidTr="00E551F6">
              <w:trPr>
                <w:trHeight w:val="255"/>
              </w:trPr>
              <w:tc>
                <w:tcPr>
                  <w:tcW w:w="3362" w:type="dxa"/>
                  <w:tcBorders>
                    <w:top w:val="nil"/>
                    <w:left w:val="nil"/>
                    <w:bottom w:val="nil"/>
                    <w:right w:val="nil"/>
                  </w:tcBorders>
                  <w:shd w:val="clear" w:color="auto" w:fill="auto"/>
                  <w:noWrap/>
                  <w:vAlign w:val="bottom"/>
                  <w:hideMark/>
                </w:tcPr>
                <w:p w14:paraId="4AF8392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2FB6094E" w14:textId="5177834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758FB147" w14:textId="72774D0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3923D633" w14:textId="77777777" w:rsidTr="00E551F6">
              <w:trPr>
                <w:trHeight w:val="255"/>
              </w:trPr>
              <w:tc>
                <w:tcPr>
                  <w:tcW w:w="3362" w:type="dxa"/>
                  <w:tcBorders>
                    <w:top w:val="nil"/>
                    <w:left w:val="nil"/>
                    <w:bottom w:val="nil"/>
                    <w:right w:val="nil"/>
                  </w:tcBorders>
                  <w:shd w:val="clear" w:color="auto" w:fill="auto"/>
                  <w:noWrap/>
                  <w:vAlign w:val="bottom"/>
                  <w:hideMark/>
                </w:tcPr>
                <w:p w14:paraId="638665E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Ukraine</w:t>
                  </w:r>
                </w:p>
              </w:tc>
              <w:tc>
                <w:tcPr>
                  <w:tcW w:w="700" w:type="dxa"/>
                  <w:tcBorders>
                    <w:top w:val="nil"/>
                    <w:left w:val="nil"/>
                    <w:bottom w:val="nil"/>
                    <w:right w:val="nil"/>
                  </w:tcBorders>
                  <w:shd w:val="clear" w:color="auto" w:fill="auto"/>
                  <w:noWrap/>
                  <w:vAlign w:val="bottom"/>
                  <w:hideMark/>
                </w:tcPr>
                <w:p w14:paraId="36004E72" w14:textId="4626540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44CE4B19" w14:textId="7F44E14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+25</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2D8430F6" w14:textId="77777777" w:rsidTr="00E551F6">
              <w:trPr>
                <w:trHeight w:val="255"/>
              </w:trPr>
              <w:tc>
                <w:tcPr>
                  <w:tcW w:w="3362" w:type="dxa"/>
                  <w:tcBorders>
                    <w:top w:val="nil"/>
                    <w:left w:val="nil"/>
                    <w:bottom w:val="nil"/>
                    <w:right w:val="nil"/>
                  </w:tcBorders>
                  <w:shd w:val="clear" w:color="auto" w:fill="auto"/>
                  <w:noWrap/>
                  <w:vAlign w:val="bottom"/>
                  <w:hideMark/>
                </w:tcPr>
                <w:p w14:paraId="2EDD2D6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Spain</w:t>
                  </w:r>
                </w:p>
              </w:tc>
              <w:tc>
                <w:tcPr>
                  <w:tcW w:w="700" w:type="dxa"/>
                  <w:tcBorders>
                    <w:top w:val="nil"/>
                    <w:left w:val="nil"/>
                    <w:bottom w:val="nil"/>
                    <w:right w:val="nil"/>
                  </w:tcBorders>
                  <w:shd w:val="clear" w:color="auto" w:fill="auto"/>
                  <w:noWrap/>
                  <w:vAlign w:val="bottom"/>
                  <w:hideMark/>
                </w:tcPr>
                <w:p w14:paraId="7622CDAF" w14:textId="5B0D406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30399E8C" w14:textId="62FDB61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5</w:t>
                  </w:r>
                </w:p>
              </w:tc>
            </w:tr>
            <w:tr w:rsidR="00E551F6" w:rsidRPr="001A0A01" w14:paraId="1718E205" w14:textId="77777777" w:rsidTr="00E551F6">
              <w:trPr>
                <w:trHeight w:val="255"/>
              </w:trPr>
              <w:tc>
                <w:tcPr>
                  <w:tcW w:w="3362" w:type="dxa"/>
                  <w:tcBorders>
                    <w:top w:val="nil"/>
                    <w:left w:val="nil"/>
                    <w:bottom w:val="nil"/>
                    <w:right w:val="nil"/>
                  </w:tcBorders>
                  <w:shd w:val="clear" w:color="auto" w:fill="auto"/>
                  <w:noWrap/>
                  <w:vAlign w:val="bottom"/>
                  <w:hideMark/>
                </w:tcPr>
                <w:p w14:paraId="4357078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Singapore</w:t>
                  </w:r>
                </w:p>
              </w:tc>
              <w:tc>
                <w:tcPr>
                  <w:tcW w:w="700" w:type="dxa"/>
                  <w:tcBorders>
                    <w:top w:val="nil"/>
                    <w:left w:val="nil"/>
                    <w:bottom w:val="nil"/>
                    <w:right w:val="nil"/>
                  </w:tcBorders>
                  <w:shd w:val="clear" w:color="auto" w:fill="auto"/>
                  <w:noWrap/>
                  <w:vAlign w:val="bottom"/>
                  <w:hideMark/>
                </w:tcPr>
                <w:p w14:paraId="7CC804A1" w14:textId="4B9E13D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20667EBD" w14:textId="32F4B2E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+76</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630AB404" w14:textId="77777777" w:rsidTr="00E551F6">
              <w:trPr>
                <w:trHeight w:val="255"/>
              </w:trPr>
              <w:tc>
                <w:tcPr>
                  <w:tcW w:w="3362" w:type="dxa"/>
                  <w:tcBorders>
                    <w:top w:val="nil"/>
                    <w:left w:val="nil"/>
                    <w:bottom w:val="nil"/>
                    <w:right w:val="nil"/>
                  </w:tcBorders>
                  <w:shd w:val="clear" w:color="auto" w:fill="auto"/>
                  <w:noWrap/>
                  <w:vAlign w:val="bottom"/>
                  <w:hideMark/>
                </w:tcPr>
                <w:p w14:paraId="30A386A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Romania</w:t>
                  </w:r>
                </w:p>
              </w:tc>
              <w:tc>
                <w:tcPr>
                  <w:tcW w:w="700" w:type="dxa"/>
                  <w:tcBorders>
                    <w:top w:val="nil"/>
                    <w:left w:val="nil"/>
                    <w:bottom w:val="nil"/>
                    <w:right w:val="nil"/>
                  </w:tcBorders>
                  <w:shd w:val="clear" w:color="auto" w:fill="auto"/>
                  <w:noWrap/>
                  <w:vAlign w:val="bottom"/>
                  <w:hideMark/>
                </w:tcPr>
                <w:p w14:paraId="0C70736E" w14:textId="245D40E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1090B7E" w14:textId="335F962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001CB66" w14:textId="77777777" w:rsidTr="00E551F6">
              <w:trPr>
                <w:trHeight w:val="255"/>
              </w:trPr>
              <w:tc>
                <w:tcPr>
                  <w:tcW w:w="3362" w:type="dxa"/>
                  <w:tcBorders>
                    <w:top w:val="nil"/>
                    <w:left w:val="nil"/>
                    <w:bottom w:val="nil"/>
                    <w:right w:val="nil"/>
                  </w:tcBorders>
                  <w:shd w:val="clear" w:color="auto" w:fill="auto"/>
                  <w:noWrap/>
                  <w:vAlign w:val="bottom"/>
                  <w:hideMark/>
                </w:tcPr>
                <w:p w14:paraId="2CA8F61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Sweden</w:t>
                  </w:r>
                </w:p>
              </w:tc>
              <w:tc>
                <w:tcPr>
                  <w:tcW w:w="700" w:type="dxa"/>
                  <w:tcBorders>
                    <w:top w:val="nil"/>
                    <w:left w:val="nil"/>
                    <w:bottom w:val="nil"/>
                    <w:right w:val="nil"/>
                  </w:tcBorders>
                  <w:shd w:val="clear" w:color="auto" w:fill="auto"/>
                  <w:noWrap/>
                  <w:vAlign w:val="bottom"/>
                  <w:hideMark/>
                </w:tcPr>
                <w:p w14:paraId="68F594C3" w14:textId="2FF733B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058F6D3" w14:textId="75BA50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48E49AF4" w14:textId="77777777" w:rsidTr="00E551F6">
              <w:trPr>
                <w:trHeight w:val="255"/>
              </w:trPr>
              <w:tc>
                <w:tcPr>
                  <w:tcW w:w="3362" w:type="dxa"/>
                  <w:tcBorders>
                    <w:top w:val="nil"/>
                    <w:left w:val="nil"/>
                    <w:bottom w:val="nil"/>
                    <w:right w:val="nil"/>
                  </w:tcBorders>
                  <w:shd w:val="clear" w:color="auto" w:fill="auto"/>
                  <w:noWrap/>
                  <w:vAlign w:val="bottom"/>
                  <w:hideMark/>
                </w:tcPr>
                <w:p w14:paraId="3FE5049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Austria</w:t>
                  </w:r>
                </w:p>
              </w:tc>
              <w:tc>
                <w:tcPr>
                  <w:tcW w:w="700" w:type="dxa"/>
                  <w:tcBorders>
                    <w:top w:val="nil"/>
                    <w:left w:val="nil"/>
                    <w:bottom w:val="nil"/>
                    <w:right w:val="nil"/>
                  </w:tcBorders>
                  <w:shd w:val="clear" w:color="auto" w:fill="auto"/>
                  <w:noWrap/>
                  <w:vAlign w:val="bottom"/>
                  <w:hideMark/>
                </w:tcPr>
                <w:p w14:paraId="4FEDC3FC" w14:textId="487C104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6F847E0D" w14:textId="6ABA61A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1D926FCB" w14:textId="77777777" w:rsidTr="00E551F6">
              <w:trPr>
                <w:trHeight w:val="255"/>
              </w:trPr>
              <w:tc>
                <w:tcPr>
                  <w:tcW w:w="3362" w:type="dxa"/>
                  <w:tcBorders>
                    <w:top w:val="nil"/>
                    <w:left w:val="nil"/>
                    <w:bottom w:val="nil"/>
                    <w:right w:val="nil"/>
                  </w:tcBorders>
                  <w:shd w:val="clear" w:color="auto" w:fill="auto"/>
                  <w:noWrap/>
                  <w:vAlign w:val="bottom"/>
                  <w:hideMark/>
                </w:tcPr>
                <w:p w14:paraId="0519619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39C12390" w14:textId="15E8838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417E1903" w14:textId="6BB0AE8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938A743" w14:textId="77777777" w:rsidTr="00E551F6">
              <w:trPr>
                <w:trHeight w:val="255"/>
              </w:trPr>
              <w:tc>
                <w:tcPr>
                  <w:tcW w:w="3362" w:type="dxa"/>
                  <w:tcBorders>
                    <w:top w:val="nil"/>
                    <w:left w:val="nil"/>
                    <w:bottom w:val="nil"/>
                    <w:right w:val="nil"/>
                  </w:tcBorders>
                  <w:shd w:val="clear" w:color="auto" w:fill="auto"/>
                  <w:noWrap/>
                  <w:vAlign w:val="bottom"/>
                  <w:hideMark/>
                </w:tcPr>
                <w:p w14:paraId="15D7813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0784AC84" w14:textId="5186F2F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07DB0AC4" w14:textId="71C5FE2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−12</w:t>
                  </w:r>
                  <w:r w:rsidR="004350ED">
                    <w:rPr>
                      <w:rFonts w:cs="Arial"/>
                      <w:color w:val="000000"/>
                      <w:sz w:val="16"/>
                      <w:szCs w:val="16"/>
                      <w:lang w:val="en-GB"/>
                    </w:rPr>
                    <w:t>.</w:t>
                  </w:r>
                  <w:r w:rsidRPr="001A0A01">
                    <w:rPr>
                      <w:rFonts w:cs="Arial"/>
                      <w:color w:val="000000"/>
                      <w:sz w:val="16"/>
                      <w:szCs w:val="16"/>
                      <w:lang w:val="en-GB"/>
                    </w:rPr>
                    <w:t>8</w:t>
                  </w:r>
                </w:p>
              </w:tc>
            </w:tr>
          </w:tbl>
          <w:p w14:paraId="0D75C009" w14:textId="77777777" w:rsidR="00E551F6" w:rsidRPr="001A0A01" w:rsidRDefault="00E551F6" w:rsidP="00E551F6">
            <w:pPr>
              <w:spacing w:after="0"/>
              <w:rPr>
                <w:spacing w:val="-4"/>
                <w:lang w:val="en-GB" w:eastAsia="en-US"/>
              </w:rPr>
            </w:pPr>
          </w:p>
        </w:tc>
      </w:tr>
      <w:tr w:rsidR="00E551F6" w:rsidRPr="001A0A01" w14:paraId="6F3B5CE3" w14:textId="77777777" w:rsidTr="00E551F6">
        <w:trPr>
          <w:trHeight w:val="170"/>
        </w:trPr>
        <w:tc>
          <w:tcPr>
            <w:tcW w:w="4811" w:type="dxa"/>
            <w:gridSpan w:val="3"/>
            <w:hideMark/>
          </w:tcPr>
          <w:p w14:paraId="46817E93" w14:textId="77777777" w:rsidR="00E551F6" w:rsidRPr="001A0A01" w:rsidRDefault="00E551F6" w:rsidP="00E551F6">
            <w:pPr>
              <w:jc w:val="right"/>
              <w:rPr>
                <w:spacing w:val="-4"/>
                <w:sz w:val="16"/>
                <w:szCs w:val="16"/>
                <w:lang w:val="en-GB" w:eastAsia="en-US"/>
              </w:rPr>
            </w:pPr>
            <w:r w:rsidRPr="001A0A01">
              <w:rPr>
                <w:spacing w:val="-4"/>
                <w:sz w:val="16"/>
                <w:szCs w:val="16"/>
                <w:lang w:val="en-GB" w:eastAsia="en-US"/>
              </w:rPr>
              <w:t>Source: CZSO</w:t>
            </w:r>
          </w:p>
        </w:tc>
        <w:tc>
          <w:tcPr>
            <w:tcW w:w="57" w:type="dxa"/>
          </w:tcPr>
          <w:p w14:paraId="70E1A5BD" w14:textId="77777777" w:rsidR="00E551F6" w:rsidRPr="001A0A01" w:rsidRDefault="00E551F6" w:rsidP="00E551F6">
            <w:pPr>
              <w:spacing w:after="0"/>
              <w:rPr>
                <w:spacing w:val="-4"/>
                <w:lang w:val="en-GB" w:eastAsia="en-US"/>
              </w:rPr>
            </w:pPr>
          </w:p>
        </w:tc>
        <w:tc>
          <w:tcPr>
            <w:tcW w:w="4809" w:type="dxa"/>
            <w:hideMark/>
          </w:tcPr>
          <w:p w14:paraId="1BA049C9" w14:textId="77777777" w:rsidR="00E551F6" w:rsidRPr="001A0A01" w:rsidRDefault="00E551F6" w:rsidP="00E551F6">
            <w:pPr>
              <w:spacing w:after="0"/>
              <w:jc w:val="right"/>
              <w:rPr>
                <w:spacing w:val="-4"/>
                <w:lang w:val="en-GB" w:eastAsia="en-US"/>
              </w:rPr>
            </w:pPr>
            <w:r w:rsidRPr="001A0A01">
              <w:rPr>
                <w:spacing w:val="-4"/>
                <w:sz w:val="16"/>
                <w:szCs w:val="16"/>
                <w:lang w:val="en-GB" w:eastAsia="en-US"/>
              </w:rPr>
              <w:t>Source: CZSO</w:t>
            </w:r>
          </w:p>
        </w:tc>
      </w:tr>
      <w:tr w:rsidR="00E551F6" w:rsidRPr="001A0A01" w14:paraId="063AAB41" w14:textId="77777777" w:rsidTr="00E551F6">
        <w:trPr>
          <w:trHeight w:val="145"/>
        </w:trPr>
        <w:tc>
          <w:tcPr>
            <w:tcW w:w="1748" w:type="dxa"/>
            <w:hideMark/>
          </w:tcPr>
          <w:p w14:paraId="53676B7F" w14:textId="77777777" w:rsidR="00E551F6" w:rsidRPr="001A0A01" w:rsidRDefault="00E551F6" w:rsidP="00E551F6">
            <w:pPr>
              <w:pStyle w:val="Marginlie"/>
              <w:rPr>
                <w:lang w:val="en-GB" w:eastAsia="en-US"/>
              </w:rPr>
            </w:pPr>
            <w:r w:rsidRPr="001A0A01">
              <w:rPr>
                <w:lang w:val="en-GB" w:eastAsia="en-US"/>
              </w:rPr>
              <w:t>Import strongly grew, year-on-year, in Q2.</w:t>
            </w:r>
          </w:p>
        </w:tc>
        <w:tc>
          <w:tcPr>
            <w:tcW w:w="252" w:type="dxa"/>
          </w:tcPr>
          <w:p w14:paraId="4193CADE" w14:textId="77777777" w:rsidR="00E551F6" w:rsidRPr="001A0A01" w:rsidRDefault="00E551F6" w:rsidP="00E551F6">
            <w:pPr>
              <w:pStyle w:val="Textpoznpodarou"/>
              <w:jc w:val="both"/>
              <w:rPr>
                <w:spacing w:val="-4"/>
                <w:lang w:val="en-GB" w:eastAsia="en-US"/>
              </w:rPr>
            </w:pPr>
          </w:p>
        </w:tc>
        <w:tc>
          <w:tcPr>
            <w:tcW w:w="7677" w:type="dxa"/>
            <w:gridSpan w:val="3"/>
            <w:hideMark/>
          </w:tcPr>
          <w:p w14:paraId="21243CBC" w14:textId="107D2AA8" w:rsidR="00E551F6" w:rsidRPr="001A0A01" w:rsidRDefault="00E551F6" w:rsidP="004350ED">
            <w:pPr>
              <w:rPr>
                <w:lang w:val="en-GB" w:eastAsia="en-US"/>
              </w:rPr>
            </w:pPr>
            <w:bookmarkStart w:id="69" w:name="_Hlk178547794"/>
            <w:r w:rsidRPr="001A0A01">
              <w:rPr>
                <w:lang w:val="en-GB" w:eastAsia="en-US"/>
              </w:rPr>
              <w:t xml:space="preserve">The value of imports of goods totalled 2,182.6 </w:t>
            </w:r>
            <w:proofErr w:type="spellStart"/>
            <w:r w:rsidRPr="001A0A01">
              <w:rPr>
                <w:lang w:val="en-GB" w:eastAsia="en-US"/>
              </w:rPr>
              <w:t>bn</w:t>
            </w:r>
            <w:proofErr w:type="spellEnd"/>
            <w:r w:rsidRPr="001A0A01">
              <w:rPr>
                <w:lang w:val="en-GB" w:eastAsia="en-US"/>
              </w:rPr>
              <w:t xml:space="preserve"> CZK in H1 2024 and it was lower by 30.0 </w:t>
            </w:r>
            <w:proofErr w:type="spellStart"/>
            <w:r w:rsidRPr="001A0A01">
              <w:rPr>
                <w:lang w:val="en-GB" w:eastAsia="en-US"/>
              </w:rPr>
              <w:t>bn</w:t>
            </w:r>
            <w:proofErr w:type="spellEnd"/>
            <w:r w:rsidRPr="001A0A01">
              <w:rPr>
                <w:lang w:val="en-GB" w:eastAsia="en-US"/>
              </w:rPr>
              <w:t xml:space="preserve"> CZK (1.4%), year-on-year. The decline mainly resulted from a strong plunge</w:t>
            </w:r>
            <w:r w:rsidR="004350ED">
              <w:rPr>
                <w:lang w:val="en-GB" w:eastAsia="en-US"/>
              </w:rPr>
              <w:t xml:space="preserve"> </w:t>
            </w:r>
            <w:r w:rsidRPr="001A0A01">
              <w:rPr>
                <w:lang w:val="en-GB" w:eastAsia="en-US"/>
              </w:rPr>
              <w:t xml:space="preserve">that occurred in Q1. The value of imports already increased by CZK 13.8 billion (1.3%), year-on-year, in Q2 2024 and thus reached 1,110.8 </w:t>
            </w:r>
            <w:proofErr w:type="spellStart"/>
            <w:r w:rsidRPr="001A0A01">
              <w:rPr>
                <w:lang w:val="en-GB" w:eastAsia="en-US"/>
              </w:rPr>
              <w:t>bn</w:t>
            </w:r>
            <w:proofErr w:type="spellEnd"/>
            <w:r w:rsidRPr="001A0A01">
              <w:rPr>
                <w:lang w:val="en-GB" w:eastAsia="en-US"/>
              </w:rPr>
              <w:t xml:space="preserve"> CZK. Nevertheless, the increase in import prices was higher than the given nominal increase of its value</w:t>
            </w:r>
            <w:r w:rsidRPr="001A0A01">
              <w:rPr>
                <w:rStyle w:val="Znakapoznpodarou"/>
                <w:spacing w:val="-4"/>
                <w:lang w:val="en-GB" w:eastAsia="en-US"/>
              </w:rPr>
              <w:footnoteReference w:id="53"/>
            </w:r>
            <w:r w:rsidRPr="001A0A01">
              <w:rPr>
                <w:lang w:val="en-GB" w:eastAsia="en-US"/>
              </w:rPr>
              <w:t xml:space="preserve">. According to the seasonally adjusted data, the value of exports decreased by 0.4%, quarter-on-quarter. Imports from the EU (−13.5 </w:t>
            </w:r>
            <w:proofErr w:type="spellStart"/>
            <w:r w:rsidRPr="001A0A01">
              <w:rPr>
                <w:lang w:val="en-GB" w:eastAsia="en-US"/>
              </w:rPr>
              <w:t>bn</w:t>
            </w:r>
            <w:proofErr w:type="spellEnd"/>
            <w:r w:rsidRPr="001A0A01">
              <w:rPr>
                <w:lang w:val="en-GB" w:eastAsia="en-US"/>
              </w:rPr>
              <w:t xml:space="preserve"> CZK, −1.0%) as well as from non-EU countries (−17.4 </w:t>
            </w:r>
            <w:proofErr w:type="spellStart"/>
            <w:r w:rsidRPr="001A0A01">
              <w:rPr>
                <w:lang w:val="en-GB" w:eastAsia="en-US"/>
              </w:rPr>
              <w:t>bn</w:t>
            </w:r>
            <w:proofErr w:type="spellEnd"/>
            <w:r w:rsidRPr="001A0A01">
              <w:rPr>
                <w:lang w:val="en-GB" w:eastAsia="en-US"/>
              </w:rPr>
              <w:t xml:space="preserve">, −2.2%) were lower, year-on-year, in H1. Imports from China (−23.6 </w:t>
            </w:r>
            <w:proofErr w:type="spellStart"/>
            <w:r w:rsidRPr="001A0A01">
              <w:rPr>
                <w:lang w:val="en-GB" w:eastAsia="en-US"/>
              </w:rPr>
              <w:t>bn</w:t>
            </w:r>
            <w:proofErr w:type="spellEnd"/>
            <w:r w:rsidRPr="001A0A01">
              <w:rPr>
                <w:lang w:val="en-GB" w:eastAsia="en-US"/>
              </w:rPr>
              <w:t xml:space="preserve">, −8.7%) and Norway (−20.8 </w:t>
            </w:r>
            <w:proofErr w:type="spellStart"/>
            <w:r w:rsidRPr="001A0A01">
              <w:rPr>
                <w:lang w:val="en-GB" w:eastAsia="en-US"/>
              </w:rPr>
              <w:t>bn</w:t>
            </w:r>
            <w:proofErr w:type="spellEnd"/>
            <w:r w:rsidRPr="001A0A01">
              <w:rPr>
                <w:lang w:val="en-GB" w:eastAsia="en-US"/>
              </w:rPr>
              <w:t xml:space="preserve">, −41.3%) shrank notably, while imports from Taiwan (+11.3 </w:t>
            </w:r>
            <w:proofErr w:type="spellStart"/>
            <w:r w:rsidRPr="001A0A01">
              <w:rPr>
                <w:lang w:val="en-GB" w:eastAsia="en-US"/>
              </w:rPr>
              <w:t>bn</w:t>
            </w:r>
            <w:proofErr w:type="spellEnd"/>
            <w:r w:rsidRPr="001A0A01">
              <w:rPr>
                <w:lang w:val="en-GB" w:eastAsia="en-US"/>
              </w:rPr>
              <w:t xml:space="preserve">, 76.3%) had a strong increase. Imports from the EU grew slightly (+2.6 </w:t>
            </w:r>
            <w:proofErr w:type="spellStart"/>
            <w:r w:rsidRPr="001A0A01">
              <w:rPr>
                <w:lang w:val="en-GB" w:eastAsia="en-US"/>
              </w:rPr>
              <w:t>bn</w:t>
            </w:r>
            <w:proofErr w:type="spellEnd"/>
            <w:r w:rsidRPr="001A0A01">
              <w:rPr>
                <w:lang w:val="en-GB" w:eastAsia="en-US"/>
              </w:rPr>
              <w:t xml:space="preserve"> CZK, 0.4%) already in Q2, as did imports from countries outside the EU (+12.6 </w:t>
            </w:r>
            <w:proofErr w:type="spellStart"/>
            <w:r w:rsidRPr="001A0A01">
              <w:rPr>
                <w:lang w:val="en-GB" w:eastAsia="en-US"/>
              </w:rPr>
              <w:t>bn</w:t>
            </w:r>
            <w:proofErr w:type="spellEnd"/>
            <w:r w:rsidRPr="001A0A01">
              <w:rPr>
                <w:lang w:val="en-GB" w:eastAsia="en-US"/>
              </w:rPr>
              <w:t xml:space="preserve"> CZK, 3.2%). </w:t>
            </w:r>
            <w:bookmarkStart w:id="70" w:name="_Hlk178549643"/>
            <w:r w:rsidRPr="001A0A01">
              <w:rPr>
                <w:lang w:val="en-GB" w:eastAsia="en-US"/>
              </w:rPr>
              <w:t>Taiwan also contributed the most to the increase in imports in Q2 (see Table 4) and the sharp surge of dynamics evident also in the previous quarter continued</w:t>
            </w:r>
            <w:r w:rsidRPr="001A0A01">
              <w:rPr>
                <w:rStyle w:val="Znakapoznpodarou"/>
                <w:spacing w:val="-4"/>
                <w:lang w:val="en-GB" w:eastAsia="en-US"/>
              </w:rPr>
              <w:footnoteReference w:id="54"/>
            </w:r>
            <w:r w:rsidRPr="001A0A01">
              <w:rPr>
                <w:lang w:val="en-GB" w:eastAsia="en-US"/>
              </w:rPr>
              <w:t xml:space="preserve">. Trade with Azerbaijan, Germany or Poland also contributed significantly to the growth of imports. On the contrary, imports from Norway, Hungary or Slovakia fell significantly. </w:t>
            </w:r>
            <w:bookmarkEnd w:id="69"/>
            <w:bookmarkEnd w:id="70"/>
          </w:p>
        </w:tc>
      </w:tr>
      <w:tr w:rsidR="00E551F6" w:rsidRPr="001A0A01" w14:paraId="0EB151C4" w14:textId="77777777" w:rsidTr="00E551F6">
        <w:trPr>
          <w:trHeight w:val="145"/>
        </w:trPr>
        <w:tc>
          <w:tcPr>
            <w:tcW w:w="1748" w:type="dxa"/>
          </w:tcPr>
          <w:p w14:paraId="13C87D83" w14:textId="77777777" w:rsidR="00E551F6" w:rsidRPr="001A0A01" w:rsidRDefault="00E551F6" w:rsidP="00E551F6">
            <w:pPr>
              <w:pStyle w:val="Marginlie"/>
              <w:rPr>
                <w:lang w:val="en-GB" w:eastAsia="en-US"/>
              </w:rPr>
            </w:pPr>
            <w:r w:rsidRPr="001A0A01">
              <w:rPr>
                <w:lang w:val="en-GB" w:eastAsia="en-US"/>
              </w:rPr>
              <w:t xml:space="preserve">Import of electrical equipment was falling. </w:t>
            </w:r>
          </w:p>
        </w:tc>
        <w:tc>
          <w:tcPr>
            <w:tcW w:w="252" w:type="dxa"/>
          </w:tcPr>
          <w:p w14:paraId="0D83B41B" w14:textId="77777777" w:rsidR="00E551F6" w:rsidRPr="001A0A01" w:rsidRDefault="00E551F6" w:rsidP="00E551F6">
            <w:pPr>
              <w:pStyle w:val="Textpoznpodarou"/>
              <w:jc w:val="both"/>
              <w:rPr>
                <w:spacing w:val="-4"/>
                <w:lang w:val="en-GB" w:eastAsia="en-US"/>
              </w:rPr>
            </w:pPr>
          </w:p>
        </w:tc>
        <w:tc>
          <w:tcPr>
            <w:tcW w:w="7677" w:type="dxa"/>
            <w:gridSpan w:val="3"/>
          </w:tcPr>
          <w:p w14:paraId="10A1150D" w14:textId="77777777" w:rsidR="00E551F6" w:rsidRPr="001A0A01" w:rsidRDefault="00E551F6" w:rsidP="00E551F6">
            <w:pPr>
              <w:spacing w:after="180"/>
              <w:rPr>
                <w:spacing w:val="-4"/>
                <w:lang w:val="en-GB" w:eastAsia="en-US"/>
              </w:rPr>
            </w:pPr>
            <w:r w:rsidRPr="001A0A01">
              <w:rPr>
                <w:spacing w:val="-4"/>
                <w:lang w:val="en-GB" w:eastAsia="en-US"/>
              </w:rPr>
              <w:t xml:space="preserve">The largest increase in imports was recorded for computers, electronic and optical appliances (+25.1 </w:t>
            </w:r>
            <w:proofErr w:type="spellStart"/>
            <w:r w:rsidRPr="001A0A01">
              <w:rPr>
                <w:spacing w:val="-4"/>
                <w:lang w:val="en-GB" w:eastAsia="en-US"/>
              </w:rPr>
              <w:t>bn</w:t>
            </w:r>
            <w:proofErr w:type="spellEnd"/>
            <w:r w:rsidRPr="001A0A01">
              <w:rPr>
                <w:spacing w:val="-4"/>
                <w:lang w:val="en-GB" w:eastAsia="en-US"/>
              </w:rPr>
              <w:t xml:space="preserve"> CZK, 11.2%), food products (+11.1 </w:t>
            </w:r>
            <w:proofErr w:type="spellStart"/>
            <w:r w:rsidRPr="001A0A01">
              <w:rPr>
                <w:spacing w:val="-4"/>
                <w:lang w:val="en-GB" w:eastAsia="en-US"/>
              </w:rPr>
              <w:t>bn</w:t>
            </w:r>
            <w:proofErr w:type="spellEnd"/>
            <w:r w:rsidRPr="001A0A01">
              <w:rPr>
                <w:spacing w:val="-4"/>
                <w:lang w:val="en-GB" w:eastAsia="en-US"/>
              </w:rPr>
              <w:t xml:space="preserve">, 10.4%) and coke and refined </w:t>
            </w:r>
            <w:r w:rsidRPr="001A0A01">
              <w:rPr>
                <w:spacing w:val="-4"/>
                <w:lang w:val="en-GB" w:eastAsia="en-US"/>
              </w:rPr>
              <w:lastRenderedPageBreak/>
              <w:t xml:space="preserve">petroleum products (+10.8 </w:t>
            </w:r>
            <w:proofErr w:type="spellStart"/>
            <w:r w:rsidRPr="001A0A01">
              <w:rPr>
                <w:spacing w:val="-4"/>
                <w:lang w:val="en-GB" w:eastAsia="en-US"/>
              </w:rPr>
              <w:t>bn</w:t>
            </w:r>
            <w:proofErr w:type="spellEnd"/>
            <w:r w:rsidRPr="001A0A01">
              <w:rPr>
                <w:spacing w:val="-4"/>
                <w:lang w:val="en-GB" w:eastAsia="en-US"/>
              </w:rPr>
              <w:t xml:space="preserve">, 25.8%) in the </w:t>
            </w:r>
            <w:proofErr w:type="spellStart"/>
            <w:r w:rsidRPr="001A0A01">
              <w:rPr>
                <w:spacing w:val="-4"/>
                <w:lang w:val="en-GB" w:eastAsia="en-US"/>
              </w:rPr>
              <w:t>cumulation</w:t>
            </w:r>
            <w:proofErr w:type="spellEnd"/>
            <w:r w:rsidRPr="001A0A01">
              <w:rPr>
                <w:spacing w:val="-4"/>
                <w:lang w:val="en-GB" w:eastAsia="en-US"/>
              </w:rPr>
              <w:t xml:space="preserve"> for the whole H1. On the contrary, the value of imports of electrical equipment</w:t>
            </w:r>
            <w:r w:rsidRPr="001A0A01">
              <w:rPr>
                <w:rStyle w:val="Znakapoznpodarou"/>
                <w:spacing w:val="-4"/>
                <w:lang w:val="en-GB" w:eastAsia="en-US"/>
              </w:rPr>
              <w:footnoteReference w:id="55"/>
            </w:r>
            <w:r w:rsidRPr="001A0A01">
              <w:rPr>
                <w:spacing w:val="-4"/>
                <w:lang w:val="en-GB" w:eastAsia="en-US"/>
              </w:rPr>
              <w:t xml:space="preserve"> (−36.3 </w:t>
            </w:r>
            <w:proofErr w:type="spellStart"/>
            <w:r w:rsidRPr="001A0A01">
              <w:rPr>
                <w:spacing w:val="-4"/>
                <w:lang w:val="en-GB" w:eastAsia="en-US"/>
              </w:rPr>
              <w:t>bn</w:t>
            </w:r>
            <w:proofErr w:type="spellEnd"/>
            <w:r w:rsidRPr="001A0A01">
              <w:rPr>
                <w:spacing w:val="-4"/>
                <w:lang w:val="en-GB" w:eastAsia="en-US"/>
              </w:rPr>
              <w:t xml:space="preserve"> CZK, −15.0%), machinery and equipment (−17.4 </w:t>
            </w:r>
            <w:proofErr w:type="spellStart"/>
            <w:r w:rsidRPr="001A0A01">
              <w:rPr>
                <w:spacing w:val="-4"/>
                <w:lang w:val="en-GB" w:eastAsia="en-US"/>
              </w:rPr>
              <w:t>bn</w:t>
            </w:r>
            <w:proofErr w:type="spellEnd"/>
            <w:r w:rsidRPr="001A0A01">
              <w:rPr>
                <w:spacing w:val="-4"/>
                <w:lang w:val="en-GB" w:eastAsia="en-US"/>
              </w:rPr>
              <w:t xml:space="preserve">, −8.3%) and oil and natural gas (−11.3 </w:t>
            </w:r>
            <w:proofErr w:type="spellStart"/>
            <w:r w:rsidRPr="001A0A01">
              <w:rPr>
                <w:spacing w:val="-4"/>
                <w:lang w:val="en-GB" w:eastAsia="en-US"/>
              </w:rPr>
              <w:t>bn</w:t>
            </w:r>
            <w:proofErr w:type="spellEnd"/>
            <w:r w:rsidRPr="001A0A01">
              <w:rPr>
                <w:spacing w:val="-4"/>
                <w:lang w:val="en-GB" w:eastAsia="en-US"/>
              </w:rPr>
              <w:t xml:space="preserve">, −12.8%) fell significantly. The imports of computers, electronic and optical appliances grew the most in Q2 alone (see Table 3) and further the value of imports of coke and refined petroleum products, food products and chemical products increased significantly. On the contrary, considerable declines were recorded for imports of electrical equipment, oil and natural gas, as well as machinery and equipment. </w:t>
            </w:r>
          </w:p>
        </w:tc>
      </w:tr>
      <w:tr w:rsidR="00E551F6" w:rsidRPr="001A0A01" w14:paraId="612B935C" w14:textId="77777777" w:rsidTr="00E551F6">
        <w:trPr>
          <w:trHeight w:val="170"/>
        </w:trPr>
        <w:tc>
          <w:tcPr>
            <w:tcW w:w="4811" w:type="dxa"/>
            <w:gridSpan w:val="3"/>
            <w:hideMark/>
          </w:tcPr>
          <w:p w14:paraId="439A8EF7" w14:textId="77777777" w:rsidR="00E551F6" w:rsidRPr="001A0A01" w:rsidRDefault="00E551F6" w:rsidP="00E551F6">
            <w:pPr>
              <w:spacing w:after="0"/>
              <w:jc w:val="left"/>
              <w:rPr>
                <w:spacing w:val="-4"/>
                <w:lang w:val="en-GB" w:eastAsia="en-US"/>
              </w:rPr>
            </w:pPr>
            <w:r w:rsidRPr="001A0A01">
              <w:rPr>
                <w:rFonts w:cs="Arial"/>
                <w:b/>
                <w:bCs/>
                <w:color w:val="000000"/>
                <w:sz w:val="18"/>
                <w:szCs w:val="18"/>
                <w:lang w:val="en-GB" w:eastAsia="en-US"/>
              </w:rPr>
              <w:lastRenderedPageBreak/>
              <w:t xml:space="preserve">Table 3 Sections of CPA classification with highest impact on goods imports development in Q2 </w:t>
            </w:r>
            <w:r w:rsidRPr="001A0A01">
              <w:rPr>
                <w:rFonts w:cs="Arial"/>
                <w:bCs/>
                <w:color w:val="000000"/>
                <w:sz w:val="18"/>
                <w:szCs w:val="18"/>
                <w:lang w:val="en-GB" w:eastAsia="en-US"/>
              </w:rPr>
              <w:t xml:space="preserve">(year-on-year) </w:t>
            </w:r>
          </w:p>
        </w:tc>
        <w:tc>
          <w:tcPr>
            <w:tcW w:w="57" w:type="dxa"/>
          </w:tcPr>
          <w:p w14:paraId="1B6B6D81" w14:textId="77777777" w:rsidR="00E551F6" w:rsidRPr="001A0A01" w:rsidRDefault="00E551F6" w:rsidP="00E551F6">
            <w:pPr>
              <w:spacing w:after="0"/>
              <w:rPr>
                <w:spacing w:val="-4"/>
                <w:lang w:val="en-GB" w:eastAsia="en-US"/>
              </w:rPr>
            </w:pPr>
          </w:p>
        </w:tc>
        <w:tc>
          <w:tcPr>
            <w:tcW w:w="4809" w:type="dxa"/>
            <w:hideMark/>
          </w:tcPr>
          <w:p w14:paraId="0354A431" w14:textId="77777777" w:rsidR="00E551F6" w:rsidRPr="001A0A01" w:rsidRDefault="00E551F6" w:rsidP="00E551F6">
            <w:pPr>
              <w:spacing w:after="0"/>
              <w:jc w:val="left"/>
              <w:rPr>
                <w:spacing w:val="-4"/>
                <w:sz w:val="18"/>
                <w:szCs w:val="18"/>
                <w:lang w:val="en-GB" w:eastAsia="en-US"/>
              </w:rPr>
            </w:pPr>
            <w:r w:rsidRPr="001A0A01">
              <w:rPr>
                <w:rFonts w:cs="Arial"/>
                <w:b/>
                <w:bCs/>
                <w:color w:val="000000"/>
                <w:sz w:val="18"/>
                <w:szCs w:val="18"/>
                <w:lang w:val="en-GB" w:eastAsia="en-US"/>
              </w:rPr>
              <w:t xml:space="preserve">Table 4 Countries with largest impact on imports of goods in Q2 2024 </w:t>
            </w:r>
            <w:r w:rsidRPr="001A0A01">
              <w:rPr>
                <w:rFonts w:cs="Arial"/>
                <w:bCs/>
                <w:color w:val="000000"/>
                <w:sz w:val="18"/>
                <w:szCs w:val="18"/>
                <w:lang w:val="en-GB" w:eastAsia="en-US"/>
              </w:rPr>
              <w:t xml:space="preserve">(year-on-year) </w:t>
            </w:r>
          </w:p>
        </w:tc>
      </w:tr>
      <w:tr w:rsidR="00E551F6" w:rsidRPr="001A0A01" w14:paraId="658B55EF" w14:textId="77777777" w:rsidTr="00E551F6">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E551F6" w:rsidRPr="001A0A01" w14:paraId="56F2216D" w14:textId="77777777" w:rsidTr="00E551F6">
              <w:trPr>
                <w:trHeight w:val="255"/>
              </w:trPr>
              <w:tc>
                <w:tcPr>
                  <w:tcW w:w="3417" w:type="dxa"/>
                  <w:tcBorders>
                    <w:top w:val="nil"/>
                    <w:left w:val="nil"/>
                    <w:bottom w:val="single" w:sz="4" w:space="0" w:color="auto"/>
                    <w:right w:val="nil"/>
                  </w:tcBorders>
                  <w:shd w:val="clear" w:color="auto" w:fill="auto"/>
                  <w:noWrap/>
                  <w:vAlign w:val="bottom"/>
                  <w:hideMark/>
                </w:tcPr>
                <w:p w14:paraId="5FC12D0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10E95903" w14:textId="77777777" w:rsidR="00E551F6" w:rsidRPr="001A0A01" w:rsidRDefault="00E551F6" w:rsidP="00E551F6">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c>
                <w:tcPr>
                  <w:tcW w:w="700" w:type="dxa"/>
                  <w:tcBorders>
                    <w:top w:val="nil"/>
                    <w:left w:val="nil"/>
                    <w:bottom w:val="single" w:sz="4" w:space="0" w:color="auto"/>
                    <w:right w:val="nil"/>
                  </w:tcBorders>
                  <w:shd w:val="clear" w:color="auto" w:fill="auto"/>
                  <w:noWrap/>
                  <w:vAlign w:val="bottom"/>
                  <w:hideMark/>
                </w:tcPr>
                <w:p w14:paraId="6308780B"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49BC8DA4" w14:textId="77777777" w:rsidTr="00E551F6">
              <w:trPr>
                <w:trHeight w:val="255"/>
              </w:trPr>
              <w:tc>
                <w:tcPr>
                  <w:tcW w:w="3417" w:type="dxa"/>
                  <w:tcBorders>
                    <w:top w:val="nil"/>
                    <w:left w:val="nil"/>
                    <w:bottom w:val="nil"/>
                    <w:right w:val="nil"/>
                  </w:tcBorders>
                  <w:shd w:val="clear" w:color="auto" w:fill="auto"/>
                  <w:noWrap/>
                  <w:vAlign w:val="bottom"/>
                  <w:hideMark/>
                </w:tcPr>
                <w:p w14:paraId="21F92DDD"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xml:space="preserve">Computers, </w:t>
                  </w:r>
                  <w:proofErr w:type="spellStart"/>
                  <w:r w:rsidRPr="001A0A01">
                    <w:rPr>
                      <w:rFonts w:cs="Arial"/>
                      <w:color w:val="000000"/>
                      <w:sz w:val="16"/>
                      <w:szCs w:val="16"/>
                      <w:lang w:val="en-GB"/>
                    </w:rPr>
                    <w:t>electr</w:t>
                  </w:r>
                  <w:proofErr w:type="spellEnd"/>
                  <w:r w:rsidRPr="001A0A01">
                    <w:rPr>
                      <w:rFonts w:cs="Arial"/>
                      <w:color w:val="000000"/>
                      <w:sz w:val="16"/>
                      <w:szCs w:val="16"/>
                      <w:lang w:val="en-GB"/>
                    </w:rPr>
                    <w:t>. and opt. appliances and equipment</w:t>
                  </w:r>
                </w:p>
              </w:tc>
              <w:tc>
                <w:tcPr>
                  <w:tcW w:w="700" w:type="dxa"/>
                  <w:tcBorders>
                    <w:top w:val="nil"/>
                    <w:left w:val="nil"/>
                    <w:bottom w:val="nil"/>
                    <w:right w:val="nil"/>
                  </w:tcBorders>
                  <w:shd w:val="clear" w:color="auto" w:fill="auto"/>
                  <w:noWrap/>
                  <w:vAlign w:val="bottom"/>
                  <w:hideMark/>
                </w:tcPr>
                <w:p w14:paraId="6F6133E6" w14:textId="1F389B8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+20</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7F10FCBB" w14:textId="672AB5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+18</w:t>
                  </w:r>
                  <w:r w:rsidR="004350ED">
                    <w:rPr>
                      <w:rFonts w:cs="Arial"/>
                      <w:color w:val="000000"/>
                      <w:sz w:val="16"/>
                      <w:szCs w:val="16"/>
                      <w:lang w:val="en-GB"/>
                    </w:rPr>
                    <w:t>.</w:t>
                  </w:r>
                  <w:r w:rsidRPr="001A0A01">
                    <w:rPr>
                      <w:rFonts w:cs="Arial"/>
                      <w:color w:val="000000"/>
                      <w:sz w:val="16"/>
                      <w:szCs w:val="16"/>
                      <w:lang w:val="en-GB"/>
                    </w:rPr>
                    <w:t>6</w:t>
                  </w:r>
                </w:p>
              </w:tc>
            </w:tr>
            <w:tr w:rsidR="00E551F6" w:rsidRPr="001A0A01" w14:paraId="458D8856" w14:textId="77777777" w:rsidTr="00E551F6">
              <w:trPr>
                <w:trHeight w:val="255"/>
              </w:trPr>
              <w:tc>
                <w:tcPr>
                  <w:tcW w:w="3417" w:type="dxa"/>
                  <w:tcBorders>
                    <w:top w:val="nil"/>
                    <w:left w:val="nil"/>
                    <w:bottom w:val="nil"/>
                    <w:right w:val="nil"/>
                  </w:tcBorders>
                  <w:shd w:val="clear" w:color="auto" w:fill="auto"/>
                  <w:noWrap/>
                  <w:vAlign w:val="bottom"/>
                  <w:hideMark/>
                </w:tcPr>
                <w:p w14:paraId="6192A23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51662FC9" w14:textId="012C7C6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8440C02" w14:textId="4E59F65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+42</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0965057E" w14:textId="77777777" w:rsidTr="00E551F6">
              <w:trPr>
                <w:trHeight w:val="255"/>
              </w:trPr>
              <w:tc>
                <w:tcPr>
                  <w:tcW w:w="3417" w:type="dxa"/>
                  <w:tcBorders>
                    <w:top w:val="nil"/>
                    <w:left w:val="nil"/>
                    <w:bottom w:val="nil"/>
                    <w:right w:val="nil"/>
                  </w:tcBorders>
                  <w:shd w:val="clear" w:color="auto" w:fill="auto"/>
                  <w:noWrap/>
                  <w:vAlign w:val="bottom"/>
                  <w:hideMark/>
                </w:tcPr>
                <w:p w14:paraId="61B41C6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55B1F74D" w14:textId="2776FF7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2769300C" w14:textId="661D7B3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598E580C" w14:textId="77777777" w:rsidTr="00E551F6">
              <w:trPr>
                <w:trHeight w:val="255"/>
              </w:trPr>
              <w:tc>
                <w:tcPr>
                  <w:tcW w:w="3417" w:type="dxa"/>
                  <w:tcBorders>
                    <w:top w:val="nil"/>
                    <w:left w:val="nil"/>
                    <w:bottom w:val="nil"/>
                    <w:right w:val="nil"/>
                  </w:tcBorders>
                  <w:shd w:val="clear" w:color="auto" w:fill="auto"/>
                  <w:noWrap/>
                  <w:vAlign w:val="bottom"/>
                  <w:hideMark/>
                </w:tcPr>
                <w:p w14:paraId="0390710B"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574D644C" w14:textId="652DA67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4F0DA561" w14:textId="4FC5FF6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4D279595" w14:textId="77777777" w:rsidTr="00E551F6">
              <w:trPr>
                <w:trHeight w:val="255"/>
              </w:trPr>
              <w:tc>
                <w:tcPr>
                  <w:tcW w:w="3417" w:type="dxa"/>
                  <w:tcBorders>
                    <w:top w:val="nil"/>
                    <w:left w:val="nil"/>
                    <w:bottom w:val="nil"/>
                    <w:right w:val="nil"/>
                  </w:tcBorders>
                  <w:shd w:val="clear" w:color="auto" w:fill="auto"/>
                  <w:noWrap/>
                  <w:vAlign w:val="bottom"/>
                  <w:hideMark/>
                </w:tcPr>
                <w:p w14:paraId="44D4AE1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2E2740C9" w14:textId="2F5B144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9</w:t>
                  </w:r>
                </w:p>
              </w:tc>
              <w:tc>
                <w:tcPr>
                  <w:tcW w:w="700" w:type="dxa"/>
                  <w:tcBorders>
                    <w:top w:val="nil"/>
                    <w:left w:val="nil"/>
                    <w:bottom w:val="nil"/>
                    <w:right w:val="nil"/>
                  </w:tcBorders>
                  <w:shd w:val="clear" w:color="auto" w:fill="auto"/>
                  <w:noWrap/>
                  <w:vAlign w:val="bottom"/>
                  <w:hideMark/>
                </w:tcPr>
                <w:p w14:paraId="32ED1ABD" w14:textId="32AECB2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09AE2F4B" w14:textId="77777777" w:rsidTr="00E551F6">
              <w:trPr>
                <w:trHeight w:val="255"/>
              </w:trPr>
              <w:tc>
                <w:tcPr>
                  <w:tcW w:w="3417" w:type="dxa"/>
                  <w:tcBorders>
                    <w:top w:val="nil"/>
                    <w:left w:val="nil"/>
                    <w:bottom w:val="nil"/>
                    <w:right w:val="nil"/>
                  </w:tcBorders>
                  <w:shd w:val="clear" w:color="auto" w:fill="auto"/>
                  <w:noWrap/>
                  <w:vAlign w:val="bottom"/>
                  <w:hideMark/>
                </w:tcPr>
                <w:p w14:paraId="02A25591"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Basic pharmaceutical products</w:t>
                  </w:r>
                </w:p>
              </w:tc>
              <w:tc>
                <w:tcPr>
                  <w:tcW w:w="700" w:type="dxa"/>
                  <w:tcBorders>
                    <w:top w:val="nil"/>
                    <w:left w:val="nil"/>
                    <w:bottom w:val="nil"/>
                    <w:right w:val="nil"/>
                  </w:tcBorders>
                  <w:shd w:val="clear" w:color="auto" w:fill="auto"/>
                  <w:noWrap/>
                  <w:vAlign w:val="bottom"/>
                  <w:hideMark/>
                </w:tcPr>
                <w:p w14:paraId="28B94663" w14:textId="151B0E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6CE0BF9" w14:textId="1D1B964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1BE7C723" w14:textId="77777777" w:rsidTr="00E551F6">
              <w:trPr>
                <w:trHeight w:val="255"/>
              </w:trPr>
              <w:tc>
                <w:tcPr>
                  <w:tcW w:w="3417" w:type="dxa"/>
                  <w:tcBorders>
                    <w:top w:val="nil"/>
                    <w:left w:val="nil"/>
                    <w:bottom w:val="nil"/>
                    <w:right w:val="nil"/>
                  </w:tcBorders>
                  <w:shd w:val="clear" w:color="auto" w:fill="auto"/>
                  <w:noWrap/>
                  <w:vAlign w:val="bottom"/>
                  <w:hideMark/>
                </w:tcPr>
                <w:p w14:paraId="7A590FE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45C52CCC" w14:textId="7C4C10A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8547A62" w14:textId="19A4D61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C44EFF4" w14:textId="77777777" w:rsidTr="00E551F6">
              <w:trPr>
                <w:trHeight w:val="255"/>
              </w:trPr>
              <w:tc>
                <w:tcPr>
                  <w:tcW w:w="3417" w:type="dxa"/>
                  <w:tcBorders>
                    <w:top w:val="nil"/>
                    <w:left w:val="nil"/>
                    <w:bottom w:val="nil"/>
                    <w:right w:val="nil"/>
                  </w:tcBorders>
                  <w:shd w:val="clear" w:color="auto" w:fill="auto"/>
                  <w:noWrap/>
                  <w:vAlign w:val="bottom"/>
                  <w:hideMark/>
                </w:tcPr>
                <w:p w14:paraId="25CF52C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Furniture</w:t>
                  </w:r>
                </w:p>
              </w:tc>
              <w:tc>
                <w:tcPr>
                  <w:tcW w:w="700" w:type="dxa"/>
                  <w:tcBorders>
                    <w:top w:val="nil"/>
                    <w:left w:val="nil"/>
                    <w:bottom w:val="nil"/>
                    <w:right w:val="nil"/>
                  </w:tcBorders>
                  <w:shd w:val="clear" w:color="auto" w:fill="auto"/>
                  <w:noWrap/>
                  <w:vAlign w:val="bottom"/>
                  <w:hideMark/>
                </w:tcPr>
                <w:p w14:paraId="1DA72D3B" w14:textId="0940DC8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2</w:t>
                  </w:r>
                </w:p>
              </w:tc>
              <w:tc>
                <w:tcPr>
                  <w:tcW w:w="700" w:type="dxa"/>
                  <w:tcBorders>
                    <w:top w:val="nil"/>
                    <w:left w:val="nil"/>
                    <w:bottom w:val="nil"/>
                    <w:right w:val="nil"/>
                  </w:tcBorders>
                  <w:shd w:val="clear" w:color="auto" w:fill="auto"/>
                  <w:noWrap/>
                  <w:vAlign w:val="bottom"/>
                  <w:hideMark/>
                </w:tcPr>
                <w:p w14:paraId="317EE5DC" w14:textId="2043540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+17</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393B452C" w14:textId="77777777" w:rsidTr="00E551F6">
              <w:trPr>
                <w:trHeight w:val="255"/>
              </w:trPr>
              <w:tc>
                <w:tcPr>
                  <w:tcW w:w="3417" w:type="dxa"/>
                  <w:tcBorders>
                    <w:top w:val="nil"/>
                    <w:left w:val="nil"/>
                    <w:bottom w:val="nil"/>
                    <w:right w:val="nil"/>
                  </w:tcBorders>
                  <w:shd w:val="clear" w:color="auto" w:fill="auto"/>
                  <w:noWrap/>
                  <w:vAlign w:val="bottom"/>
                  <w:hideMark/>
                </w:tcPr>
                <w:p w14:paraId="2BB644F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Other transport equipment</w:t>
                  </w:r>
                </w:p>
              </w:tc>
              <w:tc>
                <w:tcPr>
                  <w:tcW w:w="700" w:type="dxa"/>
                  <w:tcBorders>
                    <w:top w:val="nil"/>
                    <w:left w:val="nil"/>
                    <w:bottom w:val="nil"/>
                    <w:right w:val="nil"/>
                  </w:tcBorders>
                  <w:shd w:val="clear" w:color="auto" w:fill="auto"/>
                  <w:noWrap/>
                  <w:vAlign w:val="bottom"/>
                  <w:hideMark/>
                </w:tcPr>
                <w:p w14:paraId="0A80DC80" w14:textId="5111789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0C97DE63" w14:textId="7F6348E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6A907A1C" w14:textId="77777777" w:rsidTr="00E551F6">
              <w:trPr>
                <w:trHeight w:val="255"/>
              </w:trPr>
              <w:tc>
                <w:tcPr>
                  <w:tcW w:w="3417" w:type="dxa"/>
                  <w:tcBorders>
                    <w:top w:val="nil"/>
                    <w:left w:val="nil"/>
                    <w:bottom w:val="nil"/>
                    <w:right w:val="nil"/>
                  </w:tcBorders>
                  <w:shd w:val="clear" w:color="auto" w:fill="auto"/>
                  <w:noWrap/>
                  <w:vAlign w:val="bottom"/>
                  <w:hideMark/>
                </w:tcPr>
                <w:p w14:paraId="31D96E38"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7D662DE3" w14:textId="161B02C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53FB4B9C" w14:textId="5FF9525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3011F29A" w14:textId="77777777" w:rsidTr="00E551F6">
              <w:trPr>
                <w:trHeight w:val="255"/>
              </w:trPr>
              <w:tc>
                <w:tcPr>
                  <w:tcW w:w="3417" w:type="dxa"/>
                  <w:tcBorders>
                    <w:top w:val="nil"/>
                    <w:left w:val="nil"/>
                    <w:bottom w:val="nil"/>
                    <w:right w:val="nil"/>
                  </w:tcBorders>
                  <w:shd w:val="clear" w:color="auto" w:fill="auto"/>
                  <w:noWrap/>
                  <w:vAlign w:val="bottom"/>
                  <w:hideMark/>
                </w:tcPr>
                <w:p w14:paraId="43A9673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54E9FADB" w14:textId="629631D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2F4974C8" w14:textId="3A2EF79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−40</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37DFE632" w14:textId="77777777" w:rsidTr="00E551F6">
              <w:trPr>
                <w:trHeight w:val="255"/>
              </w:trPr>
              <w:tc>
                <w:tcPr>
                  <w:tcW w:w="3417" w:type="dxa"/>
                  <w:tcBorders>
                    <w:top w:val="nil"/>
                    <w:left w:val="nil"/>
                    <w:bottom w:val="nil"/>
                    <w:right w:val="nil"/>
                  </w:tcBorders>
                  <w:shd w:val="clear" w:color="auto" w:fill="auto"/>
                  <w:noWrap/>
                  <w:vAlign w:val="bottom"/>
                  <w:hideMark/>
                </w:tcPr>
                <w:p w14:paraId="3B94BE8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Black and brown coal and lignite</w:t>
                  </w:r>
                </w:p>
              </w:tc>
              <w:tc>
                <w:tcPr>
                  <w:tcW w:w="700" w:type="dxa"/>
                  <w:tcBorders>
                    <w:top w:val="nil"/>
                    <w:left w:val="nil"/>
                    <w:bottom w:val="nil"/>
                    <w:right w:val="nil"/>
                  </w:tcBorders>
                  <w:shd w:val="clear" w:color="auto" w:fill="auto"/>
                  <w:noWrap/>
                  <w:vAlign w:val="bottom"/>
                  <w:hideMark/>
                </w:tcPr>
                <w:p w14:paraId="545E5746" w14:textId="4BAFFD0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4246F989" w14:textId="5067C49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−43</w:t>
                  </w:r>
                  <w:r w:rsidR="004350ED">
                    <w:rPr>
                      <w:rFonts w:cs="Arial"/>
                      <w:color w:val="000000"/>
                      <w:sz w:val="16"/>
                      <w:szCs w:val="16"/>
                      <w:lang w:val="en-GB"/>
                    </w:rPr>
                    <w:t>.</w:t>
                  </w:r>
                  <w:r w:rsidRPr="001A0A01">
                    <w:rPr>
                      <w:rFonts w:cs="Arial"/>
                      <w:color w:val="000000"/>
                      <w:sz w:val="16"/>
                      <w:szCs w:val="16"/>
                      <w:lang w:val="en-GB"/>
                    </w:rPr>
                    <w:t>8</w:t>
                  </w:r>
                </w:p>
              </w:tc>
            </w:tr>
            <w:tr w:rsidR="00E551F6" w:rsidRPr="001A0A01" w14:paraId="719A44CE" w14:textId="77777777" w:rsidTr="00E551F6">
              <w:trPr>
                <w:trHeight w:val="255"/>
              </w:trPr>
              <w:tc>
                <w:tcPr>
                  <w:tcW w:w="3417" w:type="dxa"/>
                  <w:tcBorders>
                    <w:top w:val="nil"/>
                    <w:left w:val="nil"/>
                    <w:bottom w:val="nil"/>
                    <w:right w:val="nil"/>
                  </w:tcBorders>
                  <w:shd w:val="clear" w:color="auto" w:fill="auto"/>
                  <w:noWrap/>
                  <w:vAlign w:val="bottom"/>
                  <w:hideMark/>
                </w:tcPr>
                <w:p w14:paraId="238ED57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xml:space="preserve">Machinery and equipment, </w:t>
                  </w:r>
                  <w:proofErr w:type="spellStart"/>
                  <w:r w:rsidRPr="001A0A01">
                    <w:rPr>
                      <w:rFonts w:cs="Arial"/>
                      <w:color w:val="000000"/>
                      <w:sz w:val="16"/>
                      <w:szCs w:val="16"/>
                      <w:lang w:val="en-GB"/>
                    </w:rPr>
                    <w:t>n.c.e</w:t>
                  </w:r>
                  <w:proofErr w:type="spellEnd"/>
                  <w:r w:rsidRPr="001A0A01">
                    <w:rPr>
                      <w:rFonts w:cs="Arial"/>
                      <w:color w:val="000000"/>
                      <w:sz w:val="16"/>
                      <w:szCs w:val="16"/>
                      <w:lang w:val="en-GB"/>
                    </w:rPr>
                    <w:t>.</w:t>
                  </w:r>
                </w:p>
              </w:tc>
              <w:tc>
                <w:tcPr>
                  <w:tcW w:w="700" w:type="dxa"/>
                  <w:tcBorders>
                    <w:top w:val="nil"/>
                    <w:left w:val="nil"/>
                    <w:bottom w:val="nil"/>
                    <w:right w:val="nil"/>
                  </w:tcBorders>
                  <w:shd w:val="clear" w:color="auto" w:fill="auto"/>
                  <w:noWrap/>
                  <w:vAlign w:val="bottom"/>
                  <w:hideMark/>
                </w:tcPr>
                <w:p w14:paraId="399F429E" w14:textId="549F50FC"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2DCB76D3" w14:textId="58ADA89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1727E644" w14:textId="77777777" w:rsidTr="00E551F6">
              <w:trPr>
                <w:trHeight w:val="255"/>
              </w:trPr>
              <w:tc>
                <w:tcPr>
                  <w:tcW w:w="3417" w:type="dxa"/>
                  <w:tcBorders>
                    <w:top w:val="nil"/>
                    <w:left w:val="nil"/>
                    <w:bottom w:val="nil"/>
                    <w:right w:val="nil"/>
                  </w:tcBorders>
                  <w:shd w:val="clear" w:color="auto" w:fill="auto"/>
                  <w:noWrap/>
                  <w:vAlign w:val="bottom"/>
                  <w:hideMark/>
                </w:tcPr>
                <w:p w14:paraId="464E8FF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4EF5DDC2" w14:textId="41FECAC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49492BF3" w14:textId="6466A8B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6D6C018E" w14:textId="77777777" w:rsidTr="00E551F6">
              <w:trPr>
                <w:trHeight w:val="255"/>
              </w:trPr>
              <w:tc>
                <w:tcPr>
                  <w:tcW w:w="3417" w:type="dxa"/>
                  <w:tcBorders>
                    <w:top w:val="nil"/>
                    <w:left w:val="nil"/>
                    <w:bottom w:val="nil"/>
                    <w:right w:val="nil"/>
                  </w:tcBorders>
                  <w:shd w:val="clear" w:color="auto" w:fill="auto"/>
                  <w:noWrap/>
                  <w:vAlign w:val="bottom"/>
                  <w:hideMark/>
                </w:tcPr>
                <w:p w14:paraId="70B9822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17C264D7" w14:textId="440BF11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0</w:t>
                  </w:r>
                </w:p>
              </w:tc>
              <w:tc>
                <w:tcPr>
                  <w:tcW w:w="700" w:type="dxa"/>
                  <w:tcBorders>
                    <w:top w:val="nil"/>
                    <w:left w:val="nil"/>
                    <w:bottom w:val="nil"/>
                    <w:right w:val="nil"/>
                  </w:tcBorders>
                  <w:shd w:val="clear" w:color="auto" w:fill="auto"/>
                  <w:noWrap/>
                  <w:vAlign w:val="bottom"/>
                  <w:hideMark/>
                </w:tcPr>
                <w:p w14:paraId="17A343C8" w14:textId="02BB3853"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8</w:t>
                  </w:r>
                </w:p>
              </w:tc>
            </w:tr>
          </w:tbl>
          <w:p w14:paraId="6384A3BD" w14:textId="77777777" w:rsidR="00E551F6" w:rsidRPr="001A0A01" w:rsidRDefault="00E551F6" w:rsidP="00E551F6">
            <w:pPr>
              <w:spacing w:after="0"/>
              <w:rPr>
                <w:spacing w:val="-4"/>
                <w:lang w:val="en-GB" w:eastAsia="en-US"/>
              </w:rPr>
            </w:pPr>
          </w:p>
        </w:tc>
        <w:tc>
          <w:tcPr>
            <w:tcW w:w="57" w:type="dxa"/>
          </w:tcPr>
          <w:p w14:paraId="728A6CF0" w14:textId="77777777" w:rsidR="00E551F6" w:rsidRPr="001A0A01" w:rsidRDefault="00E551F6" w:rsidP="00E551F6">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E551F6" w:rsidRPr="001A0A01" w14:paraId="44820AD7" w14:textId="77777777" w:rsidTr="00E551F6">
              <w:trPr>
                <w:trHeight w:val="255"/>
              </w:trPr>
              <w:tc>
                <w:tcPr>
                  <w:tcW w:w="3362" w:type="dxa"/>
                  <w:tcBorders>
                    <w:top w:val="nil"/>
                    <w:left w:val="nil"/>
                    <w:bottom w:val="single" w:sz="4" w:space="0" w:color="auto"/>
                    <w:right w:val="nil"/>
                  </w:tcBorders>
                  <w:shd w:val="clear" w:color="auto" w:fill="auto"/>
                  <w:noWrap/>
                  <w:vAlign w:val="bottom"/>
                  <w:hideMark/>
                </w:tcPr>
                <w:p w14:paraId="438226E0" w14:textId="77777777" w:rsidR="00E551F6" w:rsidRPr="001A0A01" w:rsidRDefault="00E551F6" w:rsidP="00E551F6">
                  <w:pPr>
                    <w:spacing w:after="0" w:line="240" w:lineRule="auto"/>
                    <w:jc w:val="left"/>
                    <w:rPr>
                      <w:rFonts w:cs="Arial"/>
                      <w:color w:val="000000"/>
                      <w:szCs w:val="20"/>
                      <w:lang w:val="en-GB"/>
                    </w:rPr>
                  </w:pPr>
                </w:p>
              </w:tc>
              <w:tc>
                <w:tcPr>
                  <w:tcW w:w="700" w:type="dxa"/>
                  <w:tcBorders>
                    <w:top w:val="nil"/>
                    <w:left w:val="nil"/>
                    <w:bottom w:val="single" w:sz="4" w:space="0" w:color="auto"/>
                    <w:right w:val="nil"/>
                  </w:tcBorders>
                  <w:shd w:val="clear" w:color="auto" w:fill="auto"/>
                  <w:noWrap/>
                  <w:vAlign w:val="bottom"/>
                  <w:hideMark/>
                </w:tcPr>
                <w:p w14:paraId="731A4A98" w14:textId="77777777" w:rsidR="00E551F6" w:rsidRPr="001A0A01" w:rsidRDefault="00E551F6" w:rsidP="00E551F6">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c>
                <w:tcPr>
                  <w:tcW w:w="700" w:type="dxa"/>
                  <w:tcBorders>
                    <w:top w:val="nil"/>
                    <w:left w:val="nil"/>
                    <w:bottom w:val="single" w:sz="4" w:space="0" w:color="auto"/>
                    <w:right w:val="nil"/>
                  </w:tcBorders>
                  <w:shd w:val="clear" w:color="auto" w:fill="auto"/>
                  <w:noWrap/>
                  <w:vAlign w:val="bottom"/>
                  <w:hideMark/>
                </w:tcPr>
                <w:p w14:paraId="52ACA6A6" w14:textId="7777777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w:t>
                  </w:r>
                </w:p>
              </w:tc>
            </w:tr>
            <w:tr w:rsidR="00E551F6" w:rsidRPr="001A0A01" w14:paraId="5D822130" w14:textId="77777777" w:rsidTr="00E551F6">
              <w:trPr>
                <w:trHeight w:val="255"/>
              </w:trPr>
              <w:tc>
                <w:tcPr>
                  <w:tcW w:w="3362" w:type="dxa"/>
                  <w:tcBorders>
                    <w:top w:val="nil"/>
                    <w:left w:val="nil"/>
                    <w:bottom w:val="nil"/>
                    <w:right w:val="nil"/>
                  </w:tcBorders>
                  <w:shd w:val="clear" w:color="auto" w:fill="auto"/>
                  <w:noWrap/>
                  <w:vAlign w:val="bottom"/>
                  <w:hideMark/>
                </w:tcPr>
                <w:p w14:paraId="4BE6C07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 xml:space="preserve">Taiwan </w:t>
                  </w:r>
                </w:p>
              </w:tc>
              <w:tc>
                <w:tcPr>
                  <w:tcW w:w="700" w:type="dxa"/>
                  <w:tcBorders>
                    <w:top w:val="nil"/>
                    <w:left w:val="nil"/>
                    <w:bottom w:val="nil"/>
                    <w:right w:val="nil"/>
                  </w:tcBorders>
                  <w:shd w:val="clear" w:color="auto" w:fill="auto"/>
                  <w:noWrap/>
                  <w:vAlign w:val="bottom"/>
                  <w:hideMark/>
                </w:tcPr>
                <w:p w14:paraId="6E7226FC" w14:textId="3AB6EA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2C4E93A0" w14:textId="1209282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+96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79E6C6A" w14:textId="77777777" w:rsidTr="00E551F6">
              <w:trPr>
                <w:trHeight w:val="255"/>
              </w:trPr>
              <w:tc>
                <w:tcPr>
                  <w:tcW w:w="3362" w:type="dxa"/>
                  <w:tcBorders>
                    <w:top w:val="nil"/>
                    <w:left w:val="nil"/>
                    <w:bottom w:val="nil"/>
                    <w:right w:val="nil"/>
                  </w:tcBorders>
                  <w:shd w:val="clear" w:color="auto" w:fill="auto"/>
                  <w:noWrap/>
                  <w:vAlign w:val="bottom"/>
                  <w:hideMark/>
                </w:tcPr>
                <w:p w14:paraId="644013E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Azerbaijan</w:t>
                  </w:r>
                </w:p>
              </w:tc>
              <w:tc>
                <w:tcPr>
                  <w:tcW w:w="700" w:type="dxa"/>
                  <w:tcBorders>
                    <w:top w:val="nil"/>
                    <w:left w:val="nil"/>
                    <w:bottom w:val="nil"/>
                    <w:right w:val="nil"/>
                  </w:tcBorders>
                  <w:shd w:val="clear" w:color="auto" w:fill="auto"/>
                  <w:noWrap/>
                  <w:vAlign w:val="bottom"/>
                  <w:hideMark/>
                </w:tcPr>
                <w:p w14:paraId="0947E96C" w14:textId="42DA70F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26D294AD" w14:textId="13C2504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+77</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27494B18" w14:textId="77777777" w:rsidTr="00E551F6">
              <w:trPr>
                <w:trHeight w:val="255"/>
              </w:trPr>
              <w:tc>
                <w:tcPr>
                  <w:tcW w:w="3362" w:type="dxa"/>
                  <w:tcBorders>
                    <w:top w:val="nil"/>
                    <w:left w:val="nil"/>
                    <w:bottom w:val="nil"/>
                    <w:right w:val="nil"/>
                  </w:tcBorders>
                  <w:shd w:val="clear" w:color="auto" w:fill="auto"/>
                  <w:noWrap/>
                  <w:vAlign w:val="bottom"/>
                  <w:hideMark/>
                </w:tcPr>
                <w:p w14:paraId="13B207DC"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2FE44562" w14:textId="716232C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63469EDC" w14:textId="4093F40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78835718" w14:textId="77777777" w:rsidTr="00E551F6">
              <w:trPr>
                <w:trHeight w:val="255"/>
              </w:trPr>
              <w:tc>
                <w:tcPr>
                  <w:tcW w:w="3362" w:type="dxa"/>
                  <w:tcBorders>
                    <w:top w:val="nil"/>
                    <w:left w:val="nil"/>
                    <w:bottom w:val="nil"/>
                    <w:right w:val="nil"/>
                  </w:tcBorders>
                  <w:shd w:val="clear" w:color="auto" w:fill="auto"/>
                  <w:noWrap/>
                  <w:vAlign w:val="bottom"/>
                  <w:hideMark/>
                </w:tcPr>
                <w:p w14:paraId="41D2A42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48F003C5" w14:textId="4E9A429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3ACD7EB9" w14:textId="591FAEBE"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4</w:t>
                  </w:r>
                </w:p>
              </w:tc>
            </w:tr>
            <w:tr w:rsidR="00E551F6" w:rsidRPr="001A0A01" w14:paraId="778DF5E6" w14:textId="77777777" w:rsidTr="00E551F6">
              <w:trPr>
                <w:trHeight w:val="255"/>
              </w:trPr>
              <w:tc>
                <w:tcPr>
                  <w:tcW w:w="3362" w:type="dxa"/>
                  <w:tcBorders>
                    <w:top w:val="nil"/>
                    <w:left w:val="nil"/>
                    <w:bottom w:val="nil"/>
                    <w:right w:val="nil"/>
                  </w:tcBorders>
                  <w:shd w:val="clear" w:color="auto" w:fill="auto"/>
                  <w:noWrap/>
                  <w:vAlign w:val="bottom"/>
                  <w:hideMark/>
                </w:tcPr>
                <w:p w14:paraId="61B13664"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66809223" w14:textId="373BD27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6</w:t>
                  </w:r>
                </w:p>
              </w:tc>
              <w:tc>
                <w:tcPr>
                  <w:tcW w:w="700" w:type="dxa"/>
                  <w:tcBorders>
                    <w:top w:val="nil"/>
                    <w:left w:val="nil"/>
                    <w:bottom w:val="nil"/>
                    <w:right w:val="nil"/>
                  </w:tcBorders>
                  <w:shd w:val="clear" w:color="auto" w:fill="auto"/>
                  <w:noWrap/>
                  <w:vAlign w:val="bottom"/>
                  <w:hideMark/>
                </w:tcPr>
                <w:p w14:paraId="6D73338F" w14:textId="2FD21448"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6D174852" w14:textId="77777777" w:rsidTr="00E551F6">
              <w:trPr>
                <w:trHeight w:val="255"/>
              </w:trPr>
              <w:tc>
                <w:tcPr>
                  <w:tcW w:w="3362" w:type="dxa"/>
                  <w:tcBorders>
                    <w:top w:val="nil"/>
                    <w:left w:val="nil"/>
                    <w:bottom w:val="nil"/>
                    <w:right w:val="nil"/>
                  </w:tcBorders>
                  <w:shd w:val="clear" w:color="auto" w:fill="auto"/>
                  <w:noWrap/>
                  <w:vAlign w:val="bottom"/>
                  <w:hideMark/>
                </w:tcPr>
                <w:p w14:paraId="1C1F69A0"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7C23D658" w14:textId="52F3A17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05E2E928" w14:textId="73612EF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6F0C14C9" w14:textId="77777777" w:rsidTr="00E551F6">
              <w:trPr>
                <w:trHeight w:val="255"/>
              </w:trPr>
              <w:tc>
                <w:tcPr>
                  <w:tcW w:w="3362" w:type="dxa"/>
                  <w:tcBorders>
                    <w:top w:val="nil"/>
                    <w:left w:val="nil"/>
                    <w:bottom w:val="nil"/>
                    <w:right w:val="nil"/>
                  </w:tcBorders>
                  <w:shd w:val="clear" w:color="auto" w:fill="auto"/>
                  <w:noWrap/>
                  <w:vAlign w:val="bottom"/>
                  <w:hideMark/>
                </w:tcPr>
                <w:p w14:paraId="313E52BF"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Spain</w:t>
                  </w:r>
                </w:p>
              </w:tc>
              <w:tc>
                <w:tcPr>
                  <w:tcW w:w="700" w:type="dxa"/>
                  <w:tcBorders>
                    <w:top w:val="nil"/>
                    <w:left w:val="nil"/>
                    <w:bottom w:val="nil"/>
                    <w:right w:val="nil"/>
                  </w:tcBorders>
                  <w:shd w:val="clear" w:color="auto" w:fill="auto"/>
                  <w:noWrap/>
                  <w:vAlign w:val="bottom"/>
                  <w:hideMark/>
                </w:tcPr>
                <w:p w14:paraId="3EF94506" w14:textId="10CF720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7BD9D6A3" w14:textId="7A2C16E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797076B5" w14:textId="77777777" w:rsidTr="00E551F6">
              <w:trPr>
                <w:trHeight w:val="255"/>
              </w:trPr>
              <w:tc>
                <w:tcPr>
                  <w:tcW w:w="3362" w:type="dxa"/>
                  <w:tcBorders>
                    <w:top w:val="nil"/>
                    <w:left w:val="nil"/>
                    <w:bottom w:val="nil"/>
                    <w:right w:val="nil"/>
                  </w:tcBorders>
                  <w:shd w:val="clear" w:color="auto" w:fill="auto"/>
                  <w:noWrap/>
                  <w:vAlign w:val="bottom"/>
                  <w:hideMark/>
                </w:tcPr>
                <w:p w14:paraId="3D8660AD"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India</w:t>
                  </w:r>
                </w:p>
              </w:tc>
              <w:tc>
                <w:tcPr>
                  <w:tcW w:w="700" w:type="dxa"/>
                  <w:tcBorders>
                    <w:top w:val="nil"/>
                    <w:left w:val="nil"/>
                    <w:bottom w:val="nil"/>
                    <w:right w:val="nil"/>
                  </w:tcBorders>
                  <w:shd w:val="clear" w:color="auto" w:fill="auto"/>
                  <w:noWrap/>
                  <w:vAlign w:val="bottom"/>
                  <w:hideMark/>
                </w:tcPr>
                <w:p w14:paraId="673797D9" w14:textId="3FFDD2F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5AC95937" w14:textId="374FE2C6"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+15</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7BA184A1" w14:textId="77777777" w:rsidTr="00E551F6">
              <w:trPr>
                <w:trHeight w:val="255"/>
              </w:trPr>
              <w:tc>
                <w:tcPr>
                  <w:tcW w:w="3362" w:type="dxa"/>
                  <w:tcBorders>
                    <w:top w:val="nil"/>
                    <w:left w:val="nil"/>
                    <w:bottom w:val="nil"/>
                    <w:right w:val="nil"/>
                  </w:tcBorders>
                  <w:shd w:val="clear" w:color="auto" w:fill="auto"/>
                  <w:noWrap/>
                  <w:vAlign w:val="bottom"/>
                  <w:hideMark/>
                </w:tcPr>
                <w:p w14:paraId="6A86F4E3"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Kazakhstan</w:t>
                  </w:r>
                </w:p>
              </w:tc>
              <w:tc>
                <w:tcPr>
                  <w:tcW w:w="700" w:type="dxa"/>
                  <w:tcBorders>
                    <w:top w:val="nil"/>
                    <w:left w:val="nil"/>
                    <w:bottom w:val="nil"/>
                    <w:right w:val="nil"/>
                  </w:tcBorders>
                  <w:shd w:val="clear" w:color="auto" w:fill="auto"/>
                  <w:noWrap/>
                  <w:vAlign w:val="bottom"/>
                  <w:hideMark/>
                </w:tcPr>
                <w:p w14:paraId="566DA179" w14:textId="35BEEDA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3</w:t>
                  </w:r>
                </w:p>
              </w:tc>
              <w:tc>
                <w:tcPr>
                  <w:tcW w:w="700" w:type="dxa"/>
                  <w:tcBorders>
                    <w:top w:val="nil"/>
                    <w:left w:val="nil"/>
                    <w:bottom w:val="nil"/>
                    <w:right w:val="nil"/>
                  </w:tcBorders>
                  <w:shd w:val="clear" w:color="auto" w:fill="auto"/>
                  <w:noWrap/>
                  <w:vAlign w:val="bottom"/>
                  <w:hideMark/>
                </w:tcPr>
                <w:p w14:paraId="46D88635" w14:textId="70CF0F5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+61</w:t>
                  </w:r>
                  <w:r w:rsidR="004350ED">
                    <w:rPr>
                      <w:rFonts w:cs="Arial"/>
                      <w:color w:val="000000"/>
                      <w:sz w:val="16"/>
                      <w:szCs w:val="16"/>
                      <w:lang w:val="en-GB"/>
                    </w:rPr>
                    <w:t>.</w:t>
                  </w:r>
                  <w:r w:rsidRPr="001A0A01">
                    <w:rPr>
                      <w:rFonts w:cs="Arial"/>
                      <w:color w:val="000000"/>
                      <w:sz w:val="16"/>
                      <w:szCs w:val="16"/>
                      <w:lang w:val="en-GB"/>
                    </w:rPr>
                    <w:t>1</w:t>
                  </w:r>
                </w:p>
              </w:tc>
            </w:tr>
            <w:tr w:rsidR="00E551F6" w:rsidRPr="001A0A01" w14:paraId="72A541FC" w14:textId="77777777" w:rsidTr="00E551F6">
              <w:trPr>
                <w:trHeight w:val="255"/>
              </w:trPr>
              <w:tc>
                <w:tcPr>
                  <w:tcW w:w="3362" w:type="dxa"/>
                  <w:tcBorders>
                    <w:top w:val="nil"/>
                    <w:left w:val="nil"/>
                    <w:bottom w:val="nil"/>
                    <w:right w:val="nil"/>
                  </w:tcBorders>
                  <w:shd w:val="clear" w:color="auto" w:fill="auto"/>
                  <w:noWrap/>
                  <w:vAlign w:val="bottom"/>
                  <w:hideMark/>
                </w:tcPr>
                <w:p w14:paraId="7E6A0B79"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France</w:t>
                  </w:r>
                </w:p>
              </w:tc>
              <w:tc>
                <w:tcPr>
                  <w:tcW w:w="700" w:type="dxa"/>
                  <w:tcBorders>
                    <w:top w:val="nil"/>
                    <w:left w:val="nil"/>
                    <w:bottom w:val="nil"/>
                    <w:right w:val="nil"/>
                  </w:tcBorders>
                  <w:shd w:val="clear" w:color="auto" w:fill="auto"/>
                  <w:noWrap/>
                  <w:vAlign w:val="bottom"/>
                  <w:hideMark/>
                </w:tcPr>
                <w:p w14:paraId="45470BE1" w14:textId="7D570C1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5</w:t>
                  </w:r>
                </w:p>
              </w:tc>
              <w:tc>
                <w:tcPr>
                  <w:tcW w:w="700" w:type="dxa"/>
                  <w:tcBorders>
                    <w:top w:val="nil"/>
                    <w:left w:val="nil"/>
                    <w:bottom w:val="nil"/>
                    <w:right w:val="nil"/>
                  </w:tcBorders>
                  <w:shd w:val="clear" w:color="auto" w:fill="auto"/>
                  <w:noWrap/>
                  <w:vAlign w:val="bottom"/>
                  <w:hideMark/>
                </w:tcPr>
                <w:p w14:paraId="519F985E" w14:textId="54FF44DD"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3</w:t>
                  </w:r>
                </w:p>
              </w:tc>
            </w:tr>
            <w:tr w:rsidR="00E551F6" w:rsidRPr="001A0A01" w14:paraId="4CAB162E" w14:textId="77777777" w:rsidTr="00E551F6">
              <w:trPr>
                <w:trHeight w:val="255"/>
              </w:trPr>
              <w:tc>
                <w:tcPr>
                  <w:tcW w:w="3362" w:type="dxa"/>
                  <w:tcBorders>
                    <w:top w:val="nil"/>
                    <w:left w:val="nil"/>
                    <w:bottom w:val="nil"/>
                    <w:right w:val="nil"/>
                  </w:tcBorders>
                  <w:shd w:val="clear" w:color="auto" w:fill="auto"/>
                  <w:noWrap/>
                  <w:vAlign w:val="bottom"/>
                  <w:hideMark/>
                </w:tcPr>
                <w:p w14:paraId="48E159B5"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083B43A8" w14:textId="3ADD3E30"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w:t>
                  </w:r>
                  <w:r w:rsidR="004350ED">
                    <w:rPr>
                      <w:rFonts w:cs="Arial"/>
                      <w:color w:val="000000"/>
                      <w:sz w:val="16"/>
                      <w:szCs w:val="16"/>
                      <w:lang w:val="en-GB"/>
                    </w:rPr>
                    <w:t>.</w:t>
                  </w:r>
                  <w:r w:rsidRPr="001A0A01">
                    <w:rPr>
                      <w:rFonts w:cs="Arial"/>
                      <w:color w:val="000000"/>
                      <w:sz w:val="16"/>
                      <w:szCs w:val="16"/>
                      <w:lang w:val="en-GB"/>
                    </w:rPr>
                    <w:t>7</w:t>
                  </w:r>
                </w:p>
              </w:tc>
              <w:tc>
                <w:tcPr>
                  <w:tcW w:w="700" w:type="dxa"/>
                  <w:tcBorders>
                    <w:top w:val="nil"/>
                    <w:left w:val="nil"/>
                    <w:bottom w:val="nil"/>
                    <w:right w:val="nil"/>
                  </w:tcBorders>
                  <w:shd w:val="clear" w:color="auto" w:fill="auto"/>
                  <w:noWrap/>
                  <w:vAlign w:val="bottom"/>
                  <w:hideMark/>
                </w:tcPr>
                <w:p w14:paraId="649F41C5" w14:textId="02798E8F"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−8</w:t>
                  </w:r>
                  <w:r w:rsidR="004350ED">
                    <w:rPr>
                      <w:rFonts w:cs="Arial"/>
                      <w:color w:val="000000"/>
                      <w:sz w:val="16"/>
                      <w:szCs w:val="16"/>
                      <w:lang w:val="en-GB"/>
                    </w:rPr>
                    <w:t>.</w:t>
                  </w:r>
                  <w:r w:rsidRPr="001A0A01">
                    <w:rPr>
                      <w:rFonts w:cs="Arial"/>
                      <w:color w:val="000000"/>
                      <w:sz w:val="16"/>
                      <w:szCs w:val="16"/>
                      <w:lang w:val="en-GB"/>
                    </w:rPr>
                    <w:t>9</w:t>
                  </w:r>
                </w:p>
              </w:tc>
            </w:tr>
            <w:tr w:rsidR="00E551F6" w:rsidRPr="001A0A01" w14:paraId="6C9B9E89" w14:textId="77777777" w:rsidTr="00E551F6">
              <w:trPr>
                <w:trHeight w:val="255"/>
              </w:trPr>
              <w:tc>
                <w:tcPr>
                  <w:tcW w:w="3362" w:type="dxa"/>
                  <w:tcBorders>
                    <w:top w:val="nil"/>
                    <w:left w:val="nil"/>
                    <w:bottom w:val="nil"/>
                    <w:right w:val="nil"/>
                  </w:tcBorders>
                  <w:shd w:val="clear" w:color="auto" w:fill="auto"/>
                  <w:noWrap/>
                  <w:vAlign w:val="bottom"/>
                  <w:hideMark/>
                </w:tcPr>
                <w:p w14:paraId="5A7EC6F7"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4CA3CCEB" w14:textId="23029049"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−2</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42F92F62" w14:textId="0C2658C5"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−13</w:t>
                  </w:r>
                  <w:r w:rsidR="004350ED">
                    <w:rPr>
                      <w:rFonts w:cs="Arial"/>
                      <w:color w:val="000000"/>
                      <w:sz w:val="16"/>
                      <w:szCs w:val="16"/>
                      <w:lang w:val="en-GB"/>
                    </w:rPr>
                    <w:t>.</w:t>
                  </w:r>
                  <w:r w:rsidRPr="001A0A01">
                    <w:rPr>
                      <w:rFonts w:cs="Arial"/>
                      <w:color w:val="000000"/>
                      <w:sz w:val="16"/>
                      <w:szCs w:val="16"/>
                      <w:lang w:val="en-GB"/>
                    </w:rPr>
                    <w:t>7</w:t>
                  </w:r>
                </w:p>
              </w:tc>
            </w:tr>
            <w:tr w:rsidR="00E551F6" w:rsidRPr="001A0A01" w14:paraId="5C14E037" w14:textId="77777777" w:rsidTr="00E551F6">
              <w:trPr>
                <w:trHeight w:val="255"/>
              </w:trPr>
              <w:tc>
                <w:tcPr>
                  <w:tcW w:w="3362" w:type="dxa"/>
                  <w:tcBorders>
                    <w:top w:val="nil"/>
                    <w:left w:val="nil"/>
                    <w:bottom w:val="nil"/>
                    <w:right w:val="nil"/>
                  </w:tcBorders>
                  <w:shd w:val="clear" w:color="auto" w:fill="auto"/>
                  <w:noWrap/>
                  <w:vAlign w:val="bottom"/>
                  <w:hideMark/>
                </w:tcPr>
                <w:p w14:paraId="291DE91A"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7B8463AE" w14:textId="0985A682"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w:t>
                  </w:r>
                  <w:r w:rsidR="004350ED">
                    <w:rPr>
                      <w:rFonts w:cs="Arial"/>
                      <w:color w:val="000000"/>
                      <w:sz w:val="16"/>
                      <w:szCs w:val="16"/>
                      <w:lang w:val="en-GB"/>
                    </w:rPr>
                    <w:t>.</w:t>
                  </w:r>
                  <w:r w:rsidRPr="001A0A01">
                    <w:rPr>
                      <w:rFonts w:cs="Arial"/>
                      <w:color w:val="000000"/>
                      <w:sz w:val="16"/>
                      <w:szCs w:val="16"/>
                      <w:lang w:val="en-GB"/>
                    </w:rPr>
                    <w:t>1</w:t>
                  </w:r>
                </w:p>
              </w:tc>
              <w:tc>
                <w:tcPr>
                  <w:tcW w:w="700" w:type="dxa"/>
                  <w:tcBorders>
                    <w:top w:val="nil"/>
                    <w:left w:val="nil"/>
                    <w:bottom w:val="nil"/>
                    <w:right w:val="nil"/>
                  </w:tcBorders>
                  <w:shd w:val="clear" w:color="auto" w:fill="auto"/>
                  <w:noWrap/>
                  <w:vAlign w:val="bottom"/>
                  <w:hideMark/>
                </w:tcPr>
                <w:p w14:paraId="20F1173A" w14:textId="0ECE9984"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−5</w:t>
                  </w:r>
                  <w:r w:rsidR="004350ED">
                    <w:rPr>
                      <w:rFonts w:cs="Arial"/>
                      <w:color w:val="000000"/>
                      <w:sz w:val="16"/>
                      <w:szCs w:val="16"/>
                      <w:lang w:val="en-GB"/>
                    </w:rPr>
                    <w:t>.</w:t>
                  </w:r>
                  <w:r w:rsidRPr="001A0A01">
                    <w:rPr>
                      <w:rFonts w:cs="Arial"/>
                      <w:color w:val="000000"/>
                      <w:sz w:val="16"/>
                      <w:szCs w:val="16"/>
                      <w:lang w:val="en-GB"/>
                    </w:rPr>
                    <w:t>0</w:t>
                  </w:r>
                </w:p>
              </w:tc>
            </w:tr>
            <w:tr w:rsidR="00E551F6" w:rsidRPr="001A0A01" w14:paraId="47C4D0E0" w14:textId="77777777" w:rsidTr="00E551F6">
              <w:trPr>
                <w:trHeight w:val="255"/>
              </w:trPr>
              <w:tc>
                <w:tcPr>
                  <w:tcW w:w="3362" w:type="dxa"/>
                  <w:tcBorders>
                    <w:top w:val="nil"/>
                    <w:left w:val="nil"/>
                    <w:bottom w:val="nil"/>
                    <w:right w:val="nil"/>
                  </w:tcBorders>
                  <w:shd w:val="clear" w:color="auto" w:fill="auto"/>
                  <w:noWrap/>
                  <w:vAlign w:val="bottom"/>
                  <w:hideMark/>
                </w:tcPr>
                <w:p w14:paraId="27EA7726"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Hungary</w:t>
                  </w:r>
                </w:p>
              </w:tc>
              <w:tc>
                <w:tcPr>
                  <w:tcW w:w="700" w:type="dxa"/>
                  <w:tcBorders>
                    <w:top w:val="nil"/>
                    <w:left w:val="nil"/>
                    <w:bottom w:val="nil"/>
                    <w:right w:val="nil"/>
                  </w:tcBorders>
                  <w:shd w:val="clear" w:color="auto" w:fill="auto"/>
                  <w:noWrap/>
                  <w:vAlign w:val="bottom"/>
                  <w:hideMark/>
                </w:tcPr>
                <w:p w14:paraId="68E9A61F" w14:textId="509864D1"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−4</w:t>
                  </w:r>
                  <w:r w:rsidR="004350ED">
                    <w:rPr>
                      <w:rFonts w:cs="Arial"/>
                      <w:color w:val="000000"/>
                      <w:sz w:val="16"/>
                      <w:szCs w:val="16"/>
                      <w:lang w:val="en-GB"/>
                    </w:rPr>
                    <w:t>.</w:t>
                  </w:r>
                  <w:r w:rsidRPr="001A0A01">
                    <w:rPr>
                      <w:rFonts w:cs="Arial"/>
                      <w:color w:val="000000"/>
                      <w:sz w:val="16"/>
                      <w:szCs w:val="16"/>
                      <w:lang w:val="en-GB"/>
                    </w:rPr>
                    <w:t>4</w:t>
                  </w:r>
                </w:p>
              </w:tc>
              <w:tc>
                <w:tcPr>
                  <w:tcW w:w="700" w:type="dxa"/>
                  <w:tcBorders>
                    <w:top w:val="nil"/>
                    <w:left w:val="nil"/>
                    <w:bottom w:val="nil"/>
                    <w:right w:val="nil"/>
                  </w:tcBorders>
                  <w:shd w:val="clear" w:color="auto" w:fill="auto"/>
                  <w:noWrap/>
                  <w:vAlign w:val="bottom"/>
                  <w:hideMark/>
                </w:tcPr>
                <w:p w14:paraId="6696F1BD" w14:textId="231174AB"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−15</w:t>
                  </w:r>
                  <w:r w:rsidR="004350ED">
                    <w:rPr>
                      <w:rFonts w:cs="Arial"/>
                      <w:color w:val="000000"/>
                      <w:sz w:val="16"/>
                      <w:szCs w:val="16"/>
                      <w:lang w:val="en-GB"/>
                    </w:rPr>
                    <w:t>.</w:t>
                  </w:r>
                  <w:r w:rsidRPr="001A0A01">
                    <w:rPr>
                      <w:rFonts w:cs="Arial"/>
                      <w:color w:val="000000"/>
                      <w:sz w:val="16"/>
                      <w:szCs w:val="16"/>
                      <w:lang w:val="en-GB"/>
                    </w:rPr>
                    <w:t>2</w:t>
                  </w:r>
                </w:p>
              </w:tc>
            </w:tr>
            <w:tr w:rsidR="00E551F6" w:rsidRPr="001A0A01" w14:paraId="6298BB53" w14:textId="77777777" w:rsidTr="00E551F6">
              <w:trPr>
                <w:trHeight w:val="255"/>
              </w:trPr>
              <w:tc>
                <w:tcPr>
                  <w:tcW w:w="3362" w:type="dxa"/>
                  <w:tcBorders>
                    <w:top w:val="nil"/>
                    <w:left w:val="nil"/>
                    <w:bottom w:val="nil"/>
                    <w:right w:val="nil"/>
                  </w:tcBorders>
                  <w:shd w:val="clear" w:color="auto" w:fill="auto"/>
                  <w:noWrap/>
                  <w:vAlign w:val="bottom"/>
                  <w:hideMark/>
                </w:tcPr>
                <w:p w14:paraId="648E0CD2" w14:textId="77777777" w:rsidR="00E551F6" w:rsidRPr="001A0A01" w:rsidRDefault="00E551F6" w:rsidP="00E551F6">
                  <w:pPr>
                    <w:spacing w:after="0" w:line="240" w:lineRule="auto"/>
                    <w:jc w:val="left"/>
                    <w:rPr>
                      <w:rFonts w:cs="Arial"/>
                      <w:color w:val="000000"/>
                      <w:sz w:val="16"/>
                      <w:szCs w:val="16"/>
                      <w:lang w:val="en-GB"/>
                    </w:rPr>
                  </w:pPr>
                  <w:r w:rsidRPr="001A0A01">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388EC043" w14:textId="62B24A47"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−10</w:t>
                  </w:r>
                  <w:r w:rsidR="004350ED">
                    <w:rPr>
                      <w:rFonts w:cs="Arial"/>
                      <w:color w:val="000000"/>
                      <w:sz w:val="16"/>
                      <w:szCs w:val="16"/>
                      <w:lang w:val="en-GB"/>
                    </w:rPr>
                    <w:t>.</w:t>
                  </w:r>
                  <w:r w:rsidRPr="001A0A01">
                    <w:rPr>
                      <w:rFonts w:cs="Arial"/>
                      <w:color w:val="000000"/>
                      <w:sz w:val="16"/>
                      <w:szCs w:val="16"/>
                      <w:lang w:val="en-GB"/>
                    </w:rPr>
                    <w:t>8</w:t>
                  </w:r>
                </w:p>
              </w:tc>
              <w:tc>
                <w:tcPr>
                  <w:tcW w:w="700" w:type="dxa"/>
                  <w:tcBorders>
                    <w:top w:val="nil"/>
                    <w:left w:val="nil"/>
                    <w:bottom w:val="nil"/>
                    <w:right w:val="nil"/>
                  </w:tcBorders>
                  <w:shd w:val="clear" w:color="auto" w:fill="auto"/>
                  <w:noWrap/>
                  <w:vAlign w:val="bottom"/>
                  <w:hideMark/>
                </w:tcPr>
                <w:p w14:paraId="57729A5D" w14:textId="08BC6EFA" w:rsidR="00E551F6" w:rsidRPr="001A0A01" w:rsidRDefault="00E551F6" w:rsidP="00E551F6">
                  <w:pPr>
                    <w:spacing w:after="0" w:line="240" w:lineRule="auto"/>
                    <w:jc w:val="right"/>
                    <w:rPr>
                      <w:rFonts w:cs="Arial"/>
                      <w:color w:val="000000"/>
                      <w:sz w:val="16"/>
                      <w:szCs w:val="16"/>
                      <w:lang w:val="en-GB"/>
                    </w:rPr>
                  </w:pPr>
                  <w:r w:rsidRPr="001A0A01">
                    <w:rPr>
                      <w:rFonts w:cs="Arial"/>
                      <w:color w:val="000000"/>
                      <w:sz w:val="16"/>
                      <w:szCs w:val="16"/>
                      <w:lang w:val="en-GB"/>
                    </w:rPr>
                    <w:t>−39</w:t>
                  </w:r>
                  <w:r w:rsidR="004350ED">
                    <w:rPr>
                      <w:rFonts w:cs="Arial"/>
                      <w:color w:val="000000"/>
                      <w:sz w:val="16"/>
                      <w:szCs w:val="16"/>
                      <w:lang w:val="en-GB"/>
                    </w:rPr>
                    <w:t>.</w:t>
                  </w:r>
                  <w:r w:rsidRPr="001A0A01">
                    <w:rPr>
                      <w:rFonts w:cs="Arial"/>
                      <w:color w:val="000000"/>
                      <w:sz w:val="16"/>
                      <w:szCs w:val="16"/>
                      <w:lang w:val="en-GB"/>
                    </w:rPr>
                    <w:t>8</w:t>
                  </w:r>
                </w:p>
              </w:tc>
            </w:tr>
          </w:tbl>
          <w:p w14:paraId="18573B51" w14:textId="77777777" w:rsidR="00E551F6" w:rsidRPr="001A0A01" w:rsidRDefault="00E551F6" w:rsidP="00E551F6">
            <w:pPr>
              <w:spacing w:after="0"/>
              <w:rPr>
                <w:spacing w:val="-4"/>
                <w:lang w:val="en-GB" w:eastAsia="en-US"/>
              </w:rPr>
            </w:pPr>
          </w:p>
        </w:tc>
      </w:tr>
      <w:tr w:rsidR="00E551F6" w:rsidRPr="001A0A01" w14:paraId="72FC5A40" w14:textId="77777777" w:rsidTr="00E551F6">
        <w:trPr>
          <w:trHeight w:val="170"/>
        </w:trPr>
        <w:tc>
          <w:tcPr>
            <w:tcW w:w="4811" w:type="dxa"/>
            <w:gridSpan w:val="3"/>
            <w:hideMark/>
          </w:tcPr>
          <w:p w14:paraId="2D6CA4EA" w14:textId="77777777" w:rsidR="00E551F6" w:rsidRPr="001A0A01" w:rsidRDefault="00E551F6" w:rsidP="00E551F6">
            <w:pPr>
              <w:jc w:val="right"/>
              <w:rPr>
                <w:spacing w:val="-4"/>
                <w:sz w:val="16"/>
                <w:szCs w:val="16"/>
                <w:lang w:val="en-GB" w:eastAsia="en-US"/>
              </w:rPr>
            </w:pPr>
            <w:r w:rsidRPr="001A0A01">
              <w:rPr>
                <w:spacing w:val="-4"/>
                <w:sz w:val="16"/>
                <w:szCs w:val="16"/>
                <w:lang w:val="en-GB" w:eastAsia="en-US"/>
              </w:rPr>
              <w:t>Source: CZSO</w:t>
            </w:r>
          </w:p>
        </w:tc>
        <w:tc>
          <w:tcPr>
            <w:tcW w:w="57" w:type="dxa"/>
          </w:tcPr>
          <w:p w14:paraId="3BFF7ED9" w14:textId="77777777" w:rsidR="00E551F6" w:rsidRPr="001A0A01" w:rsidRDefault="00E551F6" w:rsidP="00E551F6">
            <w:pPr>
              <w:spacing w:after="0"/>
              <w:rPr>
                <w:spacing w:val="-4"/>
                <w:lang w:val="en-GB" w:eastAsia="en-US"/>
              </w:rPr>
            </w:pPr>
          </w:p>
        </w:tc>
        <w:tc>
          <w:tcPr>
            <w:tcW w:w="4809" w:type="dxa"/>
            <w:hideMark/>
          </w:tcPr>
          <w:p w14:paraId="53B21C81" w14:textId="77777777" w:rsidR="00E551F6" w:rsidRPr="001A0A01" w:rsidRDefault="00E551F6" w:rsidP="00E551F6">
            <w:pPr>
              <w:spacing w:after="0"/>
              <w:jc w:val="right"/>
              <w:rPr>
                <w:spacing w:val="-4"/>
                <w:lang w:val="en-GB" w:eastAsia="en-US"/>
              </w:rPr>
            </w:pPr>
            <w:r w:rsidRPr="001A0A01">
              <w:rPr>
                <w:spacing w:val="-4"/>
                <w:sz w:val="16"/>
                <w:szCs w:val="16"/>
                <w:lang w:val="en-GB" w:eastAsia="en-US"/>
              </w:rPr>
              <w:t>Source: CZSO</w:t>
            </w:r>
          </w:p>
        </w:tc>
      </w:tr>
      <w:tr w:rsidR="00E551F6" w:rsidRPr="001A0A01" w14:paraId="7193BB6F" w14:textId="77777777" w:rsidTr="00E551F6">
        <w:trPr>
          <w:trHeight w:val="145"/>
        </w:trPr>
        <w:tc>
          <w:tcPr>
            <w:tcW w:w="1748" w:type="dxa"/>
            <w:hideMark/>
          </w:tcPr>
          <w:p w14:paraId="561F3DD6" w14:textId="77777777" w:rsidR="00E551F6" w:rsidRPr="001A0A01" w:rsidRDefault="00E551F6" w:rsidP="00E551F6">
            <w:pPr>
              <w:jc w:val="left"/>
              <w:rPr>
                <w:lang w:val="en-GB" w:eastAsia="en-US"/>
              </w:rPr>
            </w:pPr>
            <w:r w:rsidRPr="001A0A01">
              <w:rPr>
                <w:spacing w:val="-2"/>
                <w:sz w:val="16"/>
                <w:szCs w:val="16"/>
                <w:lang w:val="en-GB" w:eastAsia="en-US"/>
              </w:rPr>
              <w:t>Surplus of the balance of international trade with goods jumped to historical maximum in H1.</w:t>
            </w:r>
            <w:r w:rsidRPr="001A0A01">
              <w:rPr>
                <w:lang w:val="en-GB" w:eastAsia="en-US"/>
              </w:rPr>
              <w:t xml:space="preserve"> </w:t>
            </w:r>
          </w:p>
        </w:tc>
        <w:tc>
          <w:tcPr>
            <w:tcW w:w="252" w:type="dxa"/>
          </w:tcPr>
          <w:p w14:paraId="07942CDD" w14:textId="77777777" w:rsidR="00E551F6" w:rsidRPr="001A0A01" w:rsidRDefault="00E551F6" w:rsidP="00E551F6">
            <w:pPr>
              <w:pStyle w:val="Textpoznpodarou"/>
              <w:jc w:val="both"/>
              <w:rPr>
                <w:spacing w:val="-4"/>
                <w:lang w:val="en-GB" w:eastAsia="en-US"/>
              </w:rPr>
            </w:pPr>
          </w:p>
        </w:tc>
        <w:tc>
          <w:tcPr>
            <w:tcW w:w="7677" w:type="dxa"/>
            <w:gridSpan w:val="3"/>
            <w:hideMark/>
          </w:tcPr>
          <w:p w14:paraId="5A89BFE6" w14:textId="77777777" w:rsidR="00E551F6" w:rsidRPr="001A0A01" w:rsidRDefault="00E551F6" w:rsidP="00E551F6">
            <w:pPr>
              <w:spacing w:after="180"/>
              <w:rPr>
                <w:spacing w:val="-4"/>
                <w:lang w:val="en-GB" w:eastAsia="en-US"/>
              </w:rPr>
            </w:pPr>
            <w:r w:rsidRPr="001A0A01">
              <w:rPr>
                <w:spacing w:val="-4"/>
                <w:lang w:val="en-GB" w:eastAsia="en-US"/>
              </w:rPr>
              <w:t xml:space="preserve">The balance of international trade with goods reached a surplus of 159.2 </w:t>
            </w:r>
            <w:proofErr w:type="spellStart"/>
            <w:r w:rsidRPr="001A0A01">
              <w:rPr>
                <w:spacing w:val="-4"/>
                <w:lang w:val="en-GB" w:eastAsia="en-US"/>
              </w:rPr>
              <w:t>bn</w:t>
            </w:r>
            <w:proofErr w:type="spellEnd"/>
            <w:r w:rsidRPr="001A0A01">
              <w:rPr>
                <w:spacing w:val="-4"/>
                <w:lang w:val="en-GB" w:eastAsia="en-US"/>
              </w:rPr>
              <w:t xml:space="preserve"> CZK for the whole H1 2024, which is according to the available data the highest recorded value in the given period of the year. The positive balance improved markedly, year-on-year, in both quarters of the year. The international trade surplus attained 74.7 </w:t>
            </w:r>
            <w:proofErr w:type="spellStart"/>
            <w:r w:rsidRPr="001A0A01">
              <w:rPr>
                <w:spacing w:val="-4"/>
                <w:lang w:val="en-GB" w:eastAsia="en-US"/>
              </w:rPr>
              <w:t>bn</w:t>
            </w:r>
            <w:proofErr w:type="spellEnd"/>
            <w:r w:rsidRPr="001A0A01">
              <w:rPr>
                <w:spacing w:val="-4"/>
                <w:lang w:val="en-GB" w:eastAsia="en-US"/>
              </w:rPr>
              <w:t xml:space="preserve"> CZK in Q2, up by 38.5 </w:t>
            </w:r>
            <w:proofErr w:type="spellStart"/>
            <w:r w:rsidRPr="001A0A01">
              <w:rPr>
                <w:spacing w:val="-4"/>
                <w:lang w:val="en-GB" w:eastAsia="en-US"/>
              </w:rPr>
              <w:t>bn</w:t>
            </w:r>
            <w:proofErr w:type="spellEnd"/>
            <w:r w:rsidRPr="001A0A01">
              <w:rPr>
                <w:spacing w:val="-4"/>
                <w:lang w:val="en-GB" w:eastAsia="en-US"/>
              </w:rPr>
              <w:t xml:space="preserve"> CZK, year-on-year. Surplus of the seasonally adjusted balance also improved quarter-on-quarter. </w:t>
            </w:r>
          </w:p>
        </w:tc>
      </w:tr>
      <w:tr w:rsidR="004350ED" w:rsidRPr="001A0A01" w14:paraId="0EBF25B1" w14:textId="77777777" w:rsidTr="00E551F6">
        <w:trPr>
          <w:trHeight w:val="145"/>
        </w:trPr>
        <w:tc>
          <w:tcPr>
            <w:tcW w:w="1748" w:type="dxa"/>
          </w:tcPr>
          <w:p w14:paraId="3241DD4E" w14:textId="7E021CDE" w:rsidR="004350ED" w:rsidRPr="001A0A01" w:rsidRDefault="004350ED" w:rsidP="004350ED">
            <w:pPr>
              <w:jc w:val="left"/>
              <w:rPr>
                <w:spacing w:val="-2"/>
                <w:sz w:val="16"/>
                <w:szCs w:val="16"/>
                <w:lang w:val="en-GB" w:eastAsia="en-US"/>
              </w:rPr>
            </w:pPr>
            <w:r w:rsidRPr="001A0A01">
              <w:rPr>
                <w:lang w:val="en-GB" w:eastAsia="en-US"/>
              </w:rPr>
              <w:t xml:space="preserve">Especially the balance of trade with countries outside the EU was improving. </w:t>
            </w:r>
          </w:p>
        </w:tc>
        <w:tc>
          <w:tcPr>
            <w:tcW w:w="252" w:type="dxa"/>
          </w:tcPr>
          <w:p w14:paraId="23D3CB4F" w14:textId="77777777" w:rsidR="004350ED" w:rsidRPr="001A0A01" w:rsidRDefault="004350ED" w:rsidP="004350ED">
            <w:pPr>
              <w:pStyle w:val="Textpoznpodarou"/>
              <w:jc w:val="both"/>
              <w:rPr>
                <w:spacing w:val="-4"/>
                <w:lang w:val="en-GB" w:eastAsia="en-US"/>
              </w:rPr>
            </w:pPr>
          </w:p>
        </w:tc>
        <w:tc>
          <w:tcPr>
            <w:tcW w:w="7677" w:type="dxa"/>
            <w:gridSpan w:val="3"/>
          </w:tcPr>
          <w:p w14:paraId="0F2B649A" w14:textId="053C868A" w:rsidR="004350ED" w:rsidRPr="001A0A01" w:rsidRDefault="004350ED" w:rsidP="005C159F">
            <w:pPr>
              <w:spacing w:after="0"/>
              <w:rPr>
                <w:spacing w:val="-4"/>
                <w:lang w:val="en-GB" w:eastAsia="en-US"/>
              </w:rPr>
            </w:pPr>
            <w:r w:rsidRPr="001A0A01">
              <w:rPr>
                <w:spacing w:val="-4"/>
                <w:lang w:val="en-GB" w:eastAsia="en-US"/>
              </w:rPr>
              <w:t xml:space="preserve">The year-on-year balance improvement can be ascribed completely to the trade with the non-EU countries in H1, where the traditional deficit narrowed by 74.8 </w:t>
            </w:r>
            <w:proofErr w:type="spellStart"/>
            <w:r w:rsidRPr="001A0A01">
              <w:rPr>
                <w:spacing w:val="-4"/>
                <w:lang w:val="en-GB" w:eastAsia="en-US"/>
              </w:rPr>
              <w:t>bn</w:t>
            </w:r>
            <w:proofErr w:type="spellEnd"/>
            <w:r w:rsidRPr="001A0A01">
              <w:rPr>
                <w:spacing w:val="-4"/>
                <w:lang w:val="en-GB" w:eastAsia="en-US"/>
              </w:rPr>
              <w:t xml:space="preserve"> CZK. The surplus of trade with EU countries improved only by 8.1 </w:t>
            </w:r>
            <w:proofErr w:type="spellStart"/>
            <w:r w:rsidRPr="001A0A01">
              <w:rPr>
                <w:spacing w:val="-4"/>
                <w:lang w:val="en-GB" w:eastAsia="en-US"/>
              </w:rPr>
              <w:t>bn</w:t>
            </w:r>
            <w:proofErr w:type="spellEnd"/>
            <w:r w:rsidRPr="001A0A01">
              <w:rPr>
                <w:spacing w:val="-4"/>
                <w:lang w:val="en-GB" w:eastAsia="en-US"/>
              </w:rPr>
              <w:t xml:space="preserve"> CZK, year-on-year. The balance of international trade with goods with China (+29.2 </w:t>
            </w:r>
            <w:proofErr w:type="spellStart"/>
            <w:r w:rsidRPr="001A0A01">
              <w:rPr>
                <w:spacing w:val="-4"/>
                <w:lang w:val="en-GB" w:eastAsia="en-US"/>
              </w:rPr>
              <w:t>bn</w:t>
            </w:r>
            <w:proofErr w:type="spellEnd"/>
            <w:r w:rsidRPr="001A0A01">
              <w:rPr>
                <w:spacing w:val="-4"/>
                <w:lang w:val="en-GB" w:eastAsia="en-US"/>
              </w:rPr>
              <w:t xml:space="preserve"> CZK), Great Britain (+24.6 </w:t>
            </w:r>
            <w:proofErr w:type="spellStart"/>
            <w:r w:rsidRPr="001A0A01">
              <w:rPr>
                <w:spacing w:val="-4"/>
                <w:lang w:val="en-GB" w:eastAsia="en-US"/>
              </w:rPr>
              <w:t>bn</w:t>
            </w:r>
            <w:proofErr w:type="spellEnd"/>
            <w:r w:rsidRPr="001A0A01">
              <w:rPr>
                <w:spacing w:val="-4"/>
                <w:lang w:val="en-GB" w:eastAsia="en-US"/>
              </w:rPr>
              <w:t xml:space="preserve"> CZK) and Norway (+22.9 </w:t>
            </w:r>
            <w:proofErr w:type="spellStart"/>
            <w:r w:rsidRPr="001A0A01">
              <w:rPr>
                <w:spacing w:val="-4"/>
                <w:lang w:val="en-GB" w:eastAsia="en-US"/>
              </w:rPr>
              <w:t>bn</w:t>
            </w:r>
            <w:proofErr w:type="spellEnd"/>
            <w:r w:rsidRPr="001A0A01">
              <w:rPr>
                <w:spacing w:val="-4"/>
                <w:lang w:val="en-GB" w:eastAsia="en-US"/>
              </w:rPr>
              <w:t xml:space="preserve"> CZK) improved the most, year-on-year, in H1. In contrast, a significant drop in the surplus was recorded for trade with Taiwan (−10.5 </w:t>
            </w:r>
            <w:proofErr w:type="spellStart"/>
            <w:r w:rsidRPr="001A0A01">
              <w:rPr>
                <w:spacing w:val="-4"/>
                <w:lang w:val="en-GB" w:eastAsia="en-US"/>
              </w:rPr>
              <w:t>bn</w:t>
            </w:r>
            <w:proofErr w:type="spellEnd"/>
            <w:r w:rsidRPr="001A0A01">
              <w:rPr>
                <w:spacing w:val="-4"/>
                <w:lang w:val="en-GB" w:eastAsia="en-US"/>
              </w:rPr>
              <w:t xml:space="preserve"> CZK), the Netherlands (−5.7 </w:t>
            </w:r>
            <w:proofErr w:type="spellStart"/>
            <w:r w:rsidRPr="001A0A01">
              <w:rPr>
                <w:spacing w:val="-4"/>
                <w:lang w:val="en-GB" w:eastAsia="en-US"/>
              </w:rPr>
              <w:t>bn</w:t>
            </w:r>
            <w:proofErr w:type="spellEnd"/>
            <w:r w:rsidRPr="001A0A01">
              <w:rPr>
                <w:spacing w:val="-4"/>
                <w:lang w:val="en-GB" w:eastAsia="en-US"/>
              </w:rPr>
              <w:t xml:space="preserve">), Azerbaijan (−5.7 </w:t>
            </w:r>
            <w:proofErr w:type="spellStart"/>
            <w:r w:rsidRPr="001A0A01">
              <w:rPr>
                <w:spacing w:val="-4"/>
                <w:lang w:val="en-GB" w:eastAsia="en-US"/>
              </w:rPr>
              <w:t>bn</w:t>
            </w:r>
            <w:proofErr w:type="spellEnd"/>
            <w:r w:rsidRPr="001A0A01">
              <w:rPr>
                <w:spacing w:val="-4"/>
                <w:lang w:val="en-GB" w:eastAsia="en-US"/>
              </w:rPr>
              <w:t xml:space="preserve">) and Germany (−5.2 </w:t>
            </w:r>
            <w:proofErr w:type="spellStart"/>
            <w:r w:rsidRPr="001A0A01">
              <w:rPr>
                <w:spacing w:val="-4"/>
                <w:lang w:val="en-GB" w:eastAsia="en-US"/>
              </w:rPr>
              <w:t>bn</w:t>
            </w:r>
            <w:proofErr w:type="spellEnd"/>
            <w:r w:rsidRPr="001A0A01">
              <w:rPr>
                <w:spacing w:val="-4"/>
                <w:lang w:val="en-GB" w:eastAsia="en-US"/>
              </w:rPr>
              <w:t xml:space="preserve">). In Q2 alone, the balance of trade with EU countries improved by 12.7 </w:t>
            </w:r>
            <w:proofErr w:type="spellStart"/>
            <w:r w:rsidRPr="001A0A01">
              <w:rPr>
                <w:spacing w:val="-4"/>
                <w:lang w:val="en-GB" w:eastAsia="en-US"/>
              </w:rPr>
              <w:t>bn</w:t>
            </w:r>
            <w:proofErr w:type="spellEnd"/>
            <w:r w:rsidRPr="001A0A01">
              <w:rPr>
                <w:spacing w:val="-4"/>
                <w:lang w:val="en-GB" w:eastAsia="en-US"/>
              </w:rPr>
              <w:t xml:space="preserve"> CZK, year-on-year, and with non-EU countries by 24.4 </w:t>
            </w:r>
            <w:proofErr w:type="spellStart"/>
            <w:r w:rsidRPr="001A0A01">
              <w:rPr>
                <w:spacing w:val="-4"/>
                <w:lang w:val="en-GB" w:eastAsia="en-US"/>
              </w:rPr>
              <w:t>bn</w:t>
            </w:r>
            <w:proofErr w:type="spellEnd"/>
            <w:r w:rsidRPr="001A0A01">
              <w:rPr>
                <w:spacing w:val="-4"/>
                <w:lang w:val="en-GB" w:eastAsia="en-US"/>
              </w:rPr>
              <w:t xml:space="preserve"> CZK. Trade with Great Britain (see Table 6) and Norway contributed the most significantly to the year-on-year improvement of the balance and the trade balance with Germany, Slovakia, Hungary, Turkey or China also improved. Trade with the United Kingdom (see Table 6) and Norway contributed most significantly to the year-on-year improvement of the balance, and the trade balance with Germany, Slovakia, Hungary, Turkey and China also improved. Trade with Taiwan, Azerbaijan, Belgium and Italy acted the most in the direction of the year-on-year deterioration of the balance.      </w:t>
            </w:r>
          </w:p>
        </w:tc>
      </w:tr>
      <w:tr w:rsidR="004350ED" w:rsidRPr="001A0A01" w14:paraId="6DAE4CD7" w14:textId="77777777" w:rsidTr="00E551F6">
        <w:trPr>
          <w:trHeight w:val="170"/>
        </w:trPr>
        <w:tc>
          <w:tcPr>
            <w:tcW w:w="4811" w:type="dxa"/>
            <w:gridSpan w:val="3"/>
            <w:hideMark/>
          </w:tcPr>
          <w:p w14:paraId="4B8A8C35" w14:textId="77777777" w:rsidR="004350ED" w:rsidRPr="001A0A01" w:rsidRDefault="004350ED" w:rsidP="004350ED">
            <w:pPr>
              <w:spacing w:after="0"/>
              <w:rPr>
                <w:rFonts w:cs="Arial"/>
                <w:b/>
                <w:bCs/>
                <w:color w:val="000000"/>
                <w:sz w:val="18"/>
                <w:szCs w:val="18"/>
                <w:lang w:val="en-GB" w:eastAsia="en-US"/>
              </w:rPr>
            </w:pPr>
            <w:r w:rsidRPr="001A0A01">
              <w:rPr>
                <w:rFonts w:cs="Arial"/>
                <w:b/>
                <w:bCs/>
                <w:color w:val="000000"/>
                <w:sz w:val="18"/>
                <w:szCs w:val="18"/>
                <w:lang w:val="en-GB" w:eastAsia="en-US"/>
              </w:rPr>
              <w:lastRenderedPageBreak/>
              <w:t xml:space="preserve">Table 5 Sections of CPA classification with highest impact on international trade with goods balance development in Q2 2024 </w:t>
            </w:r>
            <w:r w:rsidRPr="001A0A01">
              <w:rPr>
                <w:rFonts w:cs="Arial"/>
                <w:bCs/>
                <w:color w:val="000000"/>
                <w:sz w:val="18"/>
                <w:szCs w:val="18"/>
                <w:lang w:val="en-GB" w:eastAsia="en-US"/>
              </w:rPr>
              <w:t>(year-on-year)</w:t>
            </w:r>
          </w:p>
        </w:tc>
        <w:tc>
          <w:tcPr>
            <w:tcW w:w="57" w:type="dxa"/>
          </w:tcPr>
          <w:p w14:paraId="1D31A2E6" w14:textId="77777777" w:rsidR="004350ED" w:rsidRPr="001A0A01" w:rsidRDefault="004350ED" w:rsidP="004350ED">
            <w:pPr>
              <w:spacing w:after="0"/>
              <w:rPr>
                <w:spacing w:val="-4"/>
                <w:lang w:val="en-GB" w:eastAsia="en-US"/>
              </w:rPr>
            </w:pPr>
          </w:p>
        </w:tc>
        <w:tc>
          <w:tcPr>
            <w:tcW w:w="4809" w:type="dxa"/>
            <w:hideMark/>
          </w:tcPr>
          <w:p w14:paraId="14431CA3" w14:textId="77777777" w:rsidR="004350ED" w:rsidRPr="001A0A01" w:rsidRDefault="004350ED" w:rsidP="004350ED">
            <w:pPr>
              <w:spacing w:after="0"/>
              <w:jc w:val="left"/>
              <w:rPr>
                <w:spacing w:val="-4"/>
                <w:sz w:val="18"/>
                <w:szCs w:val="18"/>
                <w:lang w:val="en-GB" w:eastAsia="en-US"/>
              </w:rPr>
            </w:pPr>
            <w:r w:rsidRPr="001A0A01">
              <w:rPr>
                <w:rFonts w:cs="Arial"/>
                <w:b/>
                <w:bCs/>
                <w:color w:val="000000"/>
                <w:sz w:val="18"/>
                <w:szCs w:val="18"/>
                <w:lang w:val="en-GB" w:eastAsia="en-US"/>
              </w:rPr>
              <w:t xml:space="preserve">Table 6 Countries with largest impact on international trade with goods development in Q2 2024 </w:t>
            </w:r>
            <w:r w:rsidRPr="001A0A01">
              <w:rPr>
                <w:rFonts w:cs="Arial"/>
                <w:bCs/>
                <w:color w:val="000000"/>
                <w:sz w:val="18"/>
                <w:szCs w:val="18"/>
                <w:lang w:val="en-GB" w:eastAsia="en-US"/>
              </w:rPr>
              <w:t>(year-on-year)</w:t>
            </w:r>
          </w:p>
        </w:tc>
      </w:tr>
      <w:tr w:rsidR="004350ED" w:rsidRPr="001A0A01" w14:paraId="116C7E58" w14:textId="77777777" w:rsidTr="00E551F6">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4350ED" w:rsidRPr="001A0A01" w14:paraId="2EFAA377" w14:textId="77777777" w:rsidTr="00E551F6">
              <w:trPr>
                <w:trHeight w:val="255"/>
              </w:trPr>
              <w:tc>
                <w:tcPr>
                  <w:tcW w:w="4126" w:type="dxa"/>
                  <w:tcBorders>
                    <w:top w:val="nil"/>
                    <w:left w:val="nil"/>
                    <w:bottom w:val="single" w:sz="4" w:space="0" w:color="auto"/>
                    <w:right w:val="nil"/>
                  </w:tcBorders>
                  <w:shd w:val="clear" w:color="auto" w:fill="auto"/>
                  <w:noWrap/>
                  <w:vAlign w:val="bottom"/>
                  <w:hideMark/>
                </w:tcPr>
                <w:p w14:paraId="52C6B3B7"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2BE944A1" w14:textId="77777777" w:rsidR="004350ED" w:rsidRPr="001A0A01" w:rsidRDefault="004350ED" w:rsidP="004350ED">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r>
            <w:tr w:rsidR="004350ED" w:rsidRPr="001A0A01" w14:paraId="5A46D5D7" w14:textId="77777777" w:rsidTr="00E551F6">
              <w:trPr>
                <w:trHeight w:val="255"/>
              </w:trPr>
              <w:tc>
                <w:tcPr>
                  <w:tcW w:w="4126" w:type="dxa"/>
                  <w:tcBorders>
                    <w:top w:val="nil"/>
                    <w:left w:val="nil"/>
                    <w:bottom w:val="nil"/>
                    <w:right w:val="nil"/>
                  </w:tcBorders>
                  <w:shd w:val="clear" w:color="auto" w:fill="auto"/>
                  <w:noWrap/>
                  <w:vAlign w:val="bottom"/>
                  <w:hideMark/>
                </w:tcPr>
                <w:p w14:paraId="605DD0F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Motor vehicles (except for motorcycles) and parts</w:t>
                  </w:r>
                </w:p>
              </w:tc>
              <w:tc>
                <w:tcPr>
                  <w:tcW w:w="700" w:type="dxa"/>
                  <w:tcBorders>
                    <w:top w:val="nil"/>
                    <w:left w:val="nil"/>
                    <w:bottom w:val="nil"/>
                    <w:right w:val="nil"/>
                  </w:tcBorders>
                  <w:shd w:val="clear" w:color="auto" w:fill="auto"/>
                  <w:noWrap/>
                  <w:vAlign w:val="bottom"/>
                  <w:hideMark/>
                </w:tcPr>
                <w:p w14:paraId="0A2576AF" w14:textId="5CAB9E3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+20</w:t>
                  </w:r>
                  <w:r>
                    <w:rPr>
                      <w:rFonts w:cs="Arial"/>
                      <w:color w:val="000000"/>
                      <w:sz w:val="16"/>
                      <w:szCs w:val="16"/>
                      <w:lang w:val="en-GB"/>
                    </w:rPr>
                    <w:t>.</w:t>
                  </w:r>
                  <w:r w:rsidRPr="001A0A01">
                    <w:rPr>
                      <w:rFonts w:cs="Arial"/>
                      <w:color w:val="000000"/>
                      <w:sz w:val="16"/>
                      <w:szCs w:val="16"/>
                      <w:lang w:val="en-GB"/>
                    </w:rPr>
                    <w:t>4</w:t>
                  </w:r>
                </w:p>
              </w:tc>
            </w:tr>
            <w:tr w:rsidR="004350ED" w:rsidRPr="001A0A01" w14:paraId="3AD5780E" w14:textId="77777777" w:rsidTr="00E551F6">
              <w:trPr>
                <w:trHeight w:val="255"/>
              </w:trPr>
              <w:tc>
                <w:tcPr>
                  <w:tcW w:w="4126" w:type="dxa"/>
                  <w:tcBorders>
                    <w:top w:val="nil"/>
                    <w:left w:val="nil"/>
                    <w:bottom w:val="nil"/>
                    <w:right w:val="nil"/>
                  </w:tcBorders>
                  <w:shd w:val="clear" w:color="auto" w:fill="auto"/>
                  <w:noWrap/>
                  <w:vAlign w:val="bottom"/>
                  <w:hideMark/>
                </w:tcPr>
                <w:p w14:paraId="6A8670C5"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42A12356" w14:textId="19F9A27E"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+15</w:t>
                  </w:r>
                  <w:r>
                    <w:rPr>
                      <w:rFonts w:cs="Arial"/>
                      <w:color w:val="000000"/>
                      <w:sz w:val="16"/>
                      <w:szCs w:val="16"/>
                      <w:lang w:val="en-GB"/>
                    </w:rPr>
                    <w:t>.</w:t>
                  </w:r>
                  <w:r w:rsidRPr="001A0A01">
                    <w:rPr>
                      <w:rFonts w:cs="Arial"/>
                      <w:color w:val="000000"/>
                      <w:sz w:val="16"/>
                      <w:szCs w:val="16"/>
                      <w:lang w:val="en-GB"/>
                    </w:rPr>
                    <w:t>6</w:t>
                  </w:r>
                </w:p>
              </w:tc>
            </w:tr>
            <w:tr w:rsidR="004350ED" w:rsidRPr="001A0A01" w14:paraId="172482C2" w14:textId="77777777" w:rsidTr="00E551F6">
              <w:trPr>
                <w:trHeight w:val="255"/>
              </w:trPr>
              <w:tc>
                <w:tcPr>
                  <w:tcW w:w="4126" w:type="dxa"/>
                  <w:tcBorders>
                    <w:top w:val="nil"/>
                    <w:left w:val="nil"/>
                    <w:bottom w:val="nil"/>
                    <w:right w:val="nil"/>
                  </w:tcBorders>
                  <w:shd w:val="clear" w:color="auto" w:fill="auto"/>
                  <w:noWrap/>
                  <w:vAlign w:val="bottom"/>
                  <w:hideMark/>
                </w:tcPr>
                <w:p w14:paraId="2A6B747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775F1E90" w14:textId="18C232B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+10</w:t>
                  </w:r>
                  <w:r>
                    <w:rPr>
                      <w:rFonts w:cs="Arial"/>
                      <w:color w:val="000000"/>
                      <w:sz w:val="16"/>
                      <w:szCs w:val="16"/>
                      <w:lang w:val="en-GB"/>
                    </w:rPr>
                    <w:t>.</w:t>
                  </w:r>
                  <w:r w:rsidRPr="001A0A01">
                    <w:rPr>
                      <w:rFonts w:cs="Arial"/>
                      <w:color w:val="000000"/>
                      <w:sz w:val="16"/>
                      <w:szCs w:val="16"/>
                      <w:lang w:val="en-GB"/>
                    </w:rPr>
                    <w:t>7</w:t>
                  </w:r>
                </w:p>
              </w:tc>
            </w:tr>
            <w:tr w:rsidR="004350ED" w:rsidRPr="001A0A01" w14:paraId="4D77A05F" w14:textId="77777777" w:rsidTr="00E551F6">
              <w:trPr>
                <w:trHeight w:val="255"/>
              </w:trPr>
              <w:tc>
                <w:tcPr>
                  <w:tcW w:w="4126" w:type="dxa"/>
                  <w:tcBorders>
                    <w:top w:val="nil"/>
                    <w:left w:val="nil"/>
                    <w:bottom w:val="nil"/>
                    <w:right w:val="nil"/>
                  </w:tcBorders>
                  <w:shd w:val="clear" w:color="auto" w:fill="auto"/>
                  <w:noWrap/>
                  <w:vAlign w:val="bottom"/>
                  <w:hideMark/>
                </w:tcPr>
                <w:p w14:paraId="6EB91D79"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4EAC925C" w14:textId="77F9563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8</w:t>
                  </w:r>
                </w:p>
              </w:tc>
            </w:tr>
            <w:tr w:rsidR="004350ED" w:rsidRPr="001A0A01" w14:paraId="13D31309" w14:textId="77777777" w:rsidTr="00E551F6">
              <w:trPr>
                <w:trHeight w:val="255"/>
              </w:trPr>
              <w:tc>
                <w:tcPr>
                  <w:tcW w:w="4126" w:type="dxa"/>
                  <w:tcBorders>
                    <w:top w:val="nil"/>
                    <w:left w:val="nil"/>
                    <w:bottom w:val="nil"/>
                    <w:right w:val="nil"/>
                  </w:tcBorders>
                  <w:shd w:val="clear" w:color="auto" w:fill="auto"/>
                  <w:noWrap/>
                  <w:vAlign w:val="bottom"/>
                  <w:hideMark/>
                </w:tcPr>
                <w:p w14:paraId="01504B4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Black and brown coal and lignite</w:t>
                  </w:r>
                </w:p>
              </w:tc>
              <w:tc>
                <w:tcPr>
                  <w:tcW w:w="700" w:type="dxa"/>
                  <w:tcBorders>
                    <w:top w:val="nil"/>
                    <w:left w:val="nil"/>
                    <w:bottom w:val="nil"/>
                    <w:right w:val="nil"/>
                  </w:tcBorders>
                  <w:shd w:val="clear" w:color="auto" w:fill="auto"/>
                  <w:noWrap/>
                  <w:vAlign w:val="bottom"/>
                  <w:hideMark/>
                </w:tcPr>
                <w:p w14:paraId="0063E84A" w14:textId="6C20AC6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0</w:t>
                  </w:r>
                </w:p>
              </w:tc>
            </w:tr>
            <w:tr w:rsidR="004350ED" w:rsidRPr="001A0A01" w14:paraId="4B5BFA2A" w14:textId="77777777" w:rsidTr="00E551F6">
              <w:trPr>
                <w:trHeight w:val="255"/>
              </w:trPr>
              <w:tc>
                <w:tcPr>
                  <w:tcW w:w="4126" w:type="dxa"/>
                  <w:tcBorders>
                    <w:top w:val="nil"/>
                    <w:left w:val="nil"/>
                    <w:bottom w:val="nil"/>
                    <w:right w:val="nil"/>
                  </w:tcBorders>
                  <w:shd w:val="clear" w:color="auto" w:fill="auto"/>
                  <w:noWrap/>
                  <w:vAlign w:val="bottom"/>
                  <w:hideMark/>
                </w:tcPr>
                <w:p w14:paraId="238E0F6E"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Other transport equipment</w:t>
                  </w:r>
                </w:p>
              </w:tc>
              <w:tc>
                <w:tcPr>
                  <w:tcW w:w="700" w:type="dxa"/>
                  <w:tcBorders>
                    <w:top w:val="nil"/>
                    <w:left w:val="nil"/>
                    <w:bottom w:val="nil"/>
                    <w:right w:val="nil"/>
                  </w:tcBorders>
                  <w:shd w:val="clear" w:color="auto" w:fill="auto"/>
                  <w:noWrap/>
                  <w:vAlign w:val="bottom"/>
                  <w:hideMark/>
                </w:tcPr>
                <w:p w14:paraId="1BF2C428" w14:textId="3BFF744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7</w:t>
                  </w:r>
                </w:p>
              </w:tc>
            </w:tr>
            <w:tr w:rsidR="004350ED" w:rsidRPr="001A0A01" w14:paraId="3D80902F" w14:textId="77777777" w:rsidTr="00E551F6">
              <w:trPr>
                <w:trHeight w:val="255"/>
              </w:trPr>
              <w:tc>
                <w:tcPr>
                  <w:tcW w:w="4126" w:type="dxa"/>
                  <w:tcBorders>
                    <w:top w:val="nil"/>
                    <w:left w:val="nil"/>
                    <w:bottom w:val="nil"/>
                    <w:right w:val="nil"/>
                  </w:tcBorders>
                  <w:shd w:val="clear" w:color="auto" w:fill="auto"/>
                  <w:noWrap/>
                  <w:vAlign w:val="bottom"/>
                  <w:hideMark/>
                </w:tcPr>
                <w:p w14:paraId="2298E99D"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5F46E308" w14:textId="50BE509C"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1E8607FE" w14:textId="77777777" w:rsidTr="00E551F6">
              <w:trPr>
                <w:trHeight w:val="255"/>
              </w:trPr>
              <w:tc>
                <w:tcPr>
                  <w:tcW w:w="4126" w:type="dxa"/>
                  <w:tcBorders>
                    <w:top w:val="nil"/>
                    <w:left w:val="nil"/>
                    <w:bottom w:val="nil"/>
                    <w:right w:val="nil"/>
                  </w:tcBorders>
                  <w:shd w:val="clear" w:color="auto" w:fill="auto"/>
                  <w:noWrap/>
                  <w:vAlign w:val="bottom"/>
                  <w:hideMark/>
                </w:tcPr>
                <w:p w14:paraId="08283298"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Collection, treatment, management and disposal of waste</w:t>
                  </w:r>
                </w:p>
              </w:tc>
              <w:tc>
                <w:tcPr>
                  <w:tcW w:w="700" w:type="dxa"/>
                  <w:tcBorders>
                    <w:top w:val="nil"/>
                    <w:left w:val="nil"/>
                    <w:bottom w:val="nil"/>
                    <w:right w:val="nil"/>
                  </w:tcBorders>
                  <w:shd w:val="clear" w:color="auto" w:fill="auto"/>
                  <w:noWrap/>
                  <w:vAlign w:val="bottom"/>
                  <w:hideMark/>
                </w:tcPr>
                <w:p w14:paraId="0929AAB1" w14:textId="1F629179"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1</w:t>
                  </w:r>
                </w:p>
              </w:tc>
            </w:tr>
            <w:tr w:rsidR="004350ED" w:rsidRPr="001A0A01" w14:paraId="0E1AAF8B" w14:textId="77777777" w:rsidTr="00E551F6">
              <w:trPr>
                <w:trHeight w:val="255"/>
              </w:trPr>
              <w:tc>
                <w:tcPr>
                  <w:tcW w:w="4126" w:type="dxa"/>
                  <w:tcBorders>
                    <w:top w:val="nil"/>
                    <w:left w:val="nil"/>
                    <w:bottom w:val="nil"/>
                    <w:right w:val="nil"/>
                  </w:tcBorders>
                  <w:shd w:val="clear" w:color="auto" w:fill="auto"/>
                  <w:noWrap/>
                  <w:vAlign w:val="bottom"/>
                  <w:hideMark/>
                </w:tcPr>
                <w:p w14:paraId="16ED5DE3"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 xml:space="preserve">Machinery and equipment </w:t>
                  </w:r>
                  <w:proofErr w:type="spellStart"/>
                  <w:r w:rsidRPr="001A0A01">
                    <w:rPr>
                      <w:rFonts w:cs="Arial"/>
                      <w:color w:val="000000"/>
                      <w:sz w:val="16"/>
                      <w:szCs w:val="16"/>
                      <w:lang w:val="en-GB"/>
                    </w:rPr>
                    <w:t>n.c.e</w:t>
                  </w:r>
                  <w:proofErr w:type="spellEnd"/>
                  <w:r w:rsidRPr="001A0A01">
                    <w:rPr>
                      <w:rFonts w:cs="Arial"/>
                      <w:color w:val="000000"/>
                      <w:sz w:val="16"/>
                      <w:szCs w:val="16"/>
                      <w:lang w:val="en-GB"/>
                    </w:rPr>
                    <w:t>.</w:t>
                  </w:r>
                </w:p>
              </w:tc>
              <w:tc>
                <w:tcPr>
                  <w:tcW w:w="700" w:type="dxa"/>
                  <w:tcBorders>
                    <w:top w:val="nil"/>
                    <w:left w:val="nil"/>
                    <w:bottom w:val="nil"/>
                    <w:right w:val="nil"/>
                  </w:tcBorders>
                  <w:shd w:val="clear" w:color="auto" w:fill="auto"/>
                  <w:noWrap/>
                  <w:vAlign w:val="bottom"/>
                  <w:hideMark/>
                </w:tcPr>
                <w:p w14:paraId="2B37934D" w14:textId="00E82111"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1</w:t>
                  </w:r>
                </w:p>
              </w:tc>
            </w:tr>
            <w:tr w:rsidR="004350ED" w:rsidRPr="001A0A01" w14:paraId="4413A7DB" w14:textId="77777777" w:rsidTr="00E551F6">
              <w:trPr>
                <w:trHeight w:val="255"/>
              </w:trPr>
              <w:tc>
                <w:tcPr>
                  <w:tcW w:w="4126" w:type="dxa"/>
                  <w:tcBorders>
                    <w:top w:val="nil"/>
                    <w:left w:val="nil"/>
                    <w:bottom w:val="nil"/>
                    <w:right w:val="nil"/>
                  </w:tcBorders>
                  <w:shd w:val="clear" w:color="auto" w:fill="auto"/>
                  <w:noWrap/>
                  <w:vAlign w:val="bottom"/>
                  <w:hideMark/>
                </w:tcPr>
                <w:p w14:paraId="30CD0E4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45AAC9FC" w14:textId="645F655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1</w:t>
                  </w:r>
                </w:p>
              </w:tc>
            </w:tr>
            <w:tr w:rsidR="004350ED" w:rsidRPr="001A0A01" w14:paraId="6DC89E55" w14:textId="77777777" w:rsidTr="00E551F6">
              <w:trPr>
                <w:trHeight w:val="255"/>
              </w:trPr>
              <w:tc>
                <w:tcPr>
                  <w:tcW w:w="4126" w:type="dxa"/>
                  <w:tcBorders>
                    <w:top w:val="nil"/>
                    <w:left w:val="nil"/>
                    <w:bottom w:val="nil"/>
                    <w:right w:val="nil"/>
                  </w:tcBorders>
                  <w:shd w:val="clear" w:color="auto" w:fill="auto"/>
                  <w:noWrap/>
                  <w:vAlign w:val="bottom"/>
                  <w:hideMark/>
                </w:tcPr>
                <w:p w14:paraId="411B583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5113559F" w14:textId="36CC07BB"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3</w:t>
                  </w:r>
                </w:p>
              </w:tc>
            </w:tr>
            <w:tr w:rsidR="004350ED" w:rsidRPr="001A0A01" w14:paraId="20081F31" w14:textId="77777777" w:rsidTr="00E551F6">
              <w:trPr>
                <w:trHeight w:val="255"/>
              </w:trPr>
              <w:tc>
                <w:tcPr>
                  <w:tcW w:w="4126" w:type="dxa"/>
                  <w:tcBorders>
                    <w:top w:val="nil"/>
                    <w:left w:val="nil"/>
                    <w:bottom w:val="nil"/>
                    <w:right w:val="nil"/>
                  </w:tcBorders>
                  <w:shd w:val="clear" w:color="auto" w:fill="auto"/>
                  <w:noWrap/>
                  <w:vAlign w:val="bottom"/>
                  <w:hideMark/>
                </w:tcPr>
                <w:p w14:paraId="446F2075"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Furniture</w:t>
                  </w:r>
                </w:p>
              </w:tc>
              <w:tc>
                <w:tcPr>
                  <w:tcW w:w="700" w:type="dxa"/>
                  <w:tcBorders>
                    <w:top w:val="nil"/>
                    <w:left w:val="nil"/>
                    <w:bottom w:val="nil"/>
                    <w:right w:val="nil"/>
                  </w:tcBorders>
                  <w:shd w:val="clear" w:color="auto" w:fill="auto"/>
                  <w:noWrap/>
                  <w:vAlign w:val="bottom"/>
                  <w:hideMark/>
                </w:tcPr>
                <w:p w14:paraId="763D12D3" w14:textId="0C3C9F7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w:t>
                  </w:r>
                  <w:r>
                    <w:rPr>
                      <w:rFonts w:cs="Arial"/>
                      <w:color w:val="000000"/>
                      <w:sz w:val="16"/>
                      <w:szCs w:val="16"/>
                      <w:lang w:val="en-GB"/>
                    </w:rPr>
                    <w:t>.</w:t>
                  </w:r>
                  <w:r w:rsidRPr="001A0A01">
                    <w:rPr>
                      <w:rFonts w:cs="Arial"/>
                      <w:color w:val="000000"/>
                      <w:sz w:val="16"/>
                      <w:szCs w:val="16"/>
                      <w:lang w:val="en-GB"/>
                    </w:rPr>
                    <w:t>6</w:t>
                  </w:r>
                </w:p>
              </w:tc>
            </w:tr>
            <w:tr w:rsidR="004350ED" w:rsidRPr="001A0A01" w14:paraId="79DA89A6" w14:textId="77777777" w:rsidTr="00E551F6">
              <w:trPr>
                <w:trHeight w:val="255"/>
              </w:trPr>
              <w:tc>
                <w:tcPr>
                  <w:tcW w:w="4126" w:type="dxa"/>
                  <w:tcBorders>
                    <w:top w:val="nil"/>
                    <w:left w:val="nil"/>
                    <w:bottom w:val="nil"/>
                    <w:right w:val="nil"/>
                  </w:tcBorders>
                  <w:shd w:val="clear" w:color="auto" w:fill="auto"/>
                  <w:noWrap/>
                  <w:vAlign w:val="bottom"/>
                  <w:hideMark/>
                </w:tcPr>
                <w:p w14:paraId="72A15C1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3355B3AC" w14:textId="5DDDE76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7</w:t>
                  </w:r>
                </w:p>
              </w:tc>
            </w:tr>
            <w:tr w:rsidR="004350ED" w:rsidRPr="001A0A01" w14:paraId="3D8E07AB" w14:textId="77777777" w:rsidTr="00E551F6">
              <w:trPr>
                <w:trHeight w:val="255"/>
              </w:trPr>
              <w:tc>
                <w:tcPr>
                  <w:tcW w:w="4126" w:type="dxa"/>
                  <w:tcBorders>
                    <w:top w:val="nil"/>
                    <w:left w:val="nil"/>
                    <w:bottom w:val="nil"/>
                    <w:right w:val="nil"/>
                  </w:tcBorders>
                  <w:shd w:val="clear" w:color="auto" w:fill="auto"/>
                  <w:noWrap/>
                  <w:vAlign w:val="bottom"/>
                  <w:hideMark/>
                </w:tcPr>
                <w:p w14:paraId="4FDFA009"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 xml:space="preserve">Computers, </w:t>
                  </w:r>
                  <w:proofErr w:type="spellStart"/>
                  <w:r w:rsidRPr="001A0A01">
                    <w:rPr>
                      <w:rFonts w:cs="Arial"/>
                      <w:color w:val="000000"/>
                      <w:sz w:val="16"/>
                      <w:szCs w:val="16"/>
                      <w:lang w:val="en-GB"/>
                    </w:rPr>
                    <w:t>electr</w:t>
                  </w:r>
                  <w:proofErr w:type="spellEnd"/>
                  <w:r w:rsidRPr="001A0A01">
                    <w:rPr>
                      <w:rFonts w:cs="Arial"/>
                      <w:color w:val="000000"/>
                      <w:sz w:val="16"/>
                      <w:szCs w:val="16"/>
                      <w:lang w:val="en-GB"/>
                    </w:rPr>
                    <w:t>. and opt. appliances and equipment</w:t>
                  </w:r>
                </w:p>
              </w:tc>
              <w:tc>
                <w:tcPr>
                  <w:tcW w:w="700" w:type="dxa"/>
                  <w:tcBorders>
                    <w:top w:val="nil"/>
                    <w:left w:val="nil"/>
                    <w:bottom w:val="nil"/>
                    <w:right w:val="nil"/>
                  </w:tcBorders>
                  <w:shd w:val="clear" w:color="auto" w:fill="auto"/>
                  <w:noWrap/>
                  <w:vAlign w:val="bottom"/>
                  <w:hideMark/>
                </w:tcPr>
                <w:p w14:paraId="510B677D" w14:textId="539F6115"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−8</w:t>
                  </w:r>
                  <w:r>
                    <w:rPr>
                      <w:rFonts w:cs="Arial"/>
                      <w:color w:val="000000"/>
                      <w:sz w:val="16"/>
                      <w:szCs w:val="16"/>
                      <w:lang w:val="en-GB"/>
                    </w:rPr>
                    <w:t>.</w:t>
                  </w:r>
                  <w:r w:rsidRPr="001A0A01">
                    <w:rPr>
                      <w:rFonts w:cs="Arial"/>
                      <w:color w:val="000000"/>
                      <w:sz w:val="16"/>
                      <w:szCs w:val="16"/>
                      <w:lang w:val="en-GB"/>
                    </w:rPr>
                    <w:t>5</w:t>
                  </w:r>
                </w:p>
              </w:tc>
            </w:tr>
            <w:tr w:rsidR="004350ED" w:rsidRPr="001A0A01" w14:paraId="756840EC" w14:textId="77777777" w:rsidTr="00E551F6">
              <w:trPr>
                <w:trHeight w:val="255"/>
              </w:trPr>
              <w:tc>
                <w:tcPr>
                  <w:tcW w:w="4126" w:type="dxa"/>
                  <w:tcBorders>
                    <w:top w:val="nil"/>
                    <w:left w:val="nil"/>
                    <w:bottom w:val="nil"/>
                    <w:right w:val="nil"/>
                  </w:tcBorders>
                  <w:shd w:val="clear" w:color="auto" w:fill="auto"/>
                  <w:noWrap/>
                  <w:vAlign w:val="bottom"/>
                  <w:hideMark/>
                </w:tcPr>
                <w:p w14:paraId="0CC8FC1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Coke and refined petroleum products</w:t>
                  </w:r>
                </w:p>
              </w:tc>
              <w:tc>
                <w:tcPr>
                  <w:tcW w:w="700" w:type="dxa"/>
                  <w:tcBorders>
                    <w:top w:val="nil"/>
                    <w:left w:val="nil"/>
                    <w:bottom w:val="nil"/>
                    <w:right w:val="nil"/>
                  </w:tcBorders>
                  <w:shd w:val="clear" w:color="auto" w:fill="auto"/>
                  <w:noWrap/>
                  <w:vAlign w:val="bottom"/>
                  <w:hideMark/>
                </w:tcPr>
                <w:p w14:paraId="157CF24D" w14:textId="37504A3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−11</w:t>
                  </w:r>
                  <w:r>
                    <w:rPr>
                      <w:rFonts w:cs="Arial"/>
                      <w:color w:val="000000"/>
                      <w:sz w:val="16"/>
                      <w:szCs w:val="16"/>
                      <w:lang w:val="en-GB"/>
                    </w:rPr>
                    <w:t>.</w:t>
                  </w:r>
                  <w:r w:rsidRPr="001A0A01">
                    <w:rPr>
                      <w:rFonts w:cs="Arial"/>
                      <w:color w:val="000000"/>
                      <w:sz w:val="16"/>
                      <w:szCs w:val="16"/>
                      <w:lang w:val="en-GB"/>
                    </w:rPr>
                    <w:t>5</w:t>
                  </w:r>
                </w:p>
              </w:tc>
            </w:tr>
          </w:tbl>
          <w:p w14:paraId="3B8F8C7B" w14:textId="77777777" w:rsidR="004350ED" w:rsidRPr="001A0A01" w:rsidRDefault="004350ED" w:rsidP="004350ED">
            <w:pPr>
              <w:spacing w:after="0"/>
              <w:rPr>
                <w:spacing w:val="-4"/>
                <w:lang w:val="en-GB" w:eastAsia="en-US"/>
              </w:rPr>
            </w:pPr>
          </w:p>
        </w:tc>
        <w:tc>
          <w:tcPr>
            <w:tcW w:w="57" w:type="dxa"/>
          </w:tcPr>
          <w:p w14:paraId="0D0D1025" w14:textId="77777777" w:rsidR="004350ED" w:rsidRPr="001A0A01" w:rsidRDefault="004350ED" w:rsidP="004350ED">
            <w:pPr>
              <w:spacing w:after="0"/>
              <w:rPr>
                <w:spacing w:val="-4"/>
                <w:lang w:val="en-GB"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4350ED" w:rsidRPr="001A0A01" w14:paraId="3D546B11" w14:textId="77777777" w:rsidTr="00E551F6">
              <w:trPr>
                <w:trHeight w:val="255"/>
              </w:trPr>
              <w:tc>
                <w:tcPr>
                  <w:tcW w:w="4071" w:type="dxa"/>
                  <w:tcBorders>
                    <w:top w:val="nil"/>
                    <w:left w:val="nil"/>
                    <w:bottom w:val="single" w:sz="4" w:space="0" w:color="auto"/>
                    <w:right w:val="nil"/>
                  </w:tcBorders>
                  <w:shd w:val="clear" w:color="auto" w:fill="auto"/>
                  <w:noWrap/>
                  <w:vAlign w:val="bottom"/>
                  <w:hideMark/>
                </w:tcPr>
                <w:p w14:paraId="49311D87" w14:textId="77777777" w:rsidR="004350ED" w:rsidRPr="001A0A01" w:rsidRDefault="004350ED" w:rsidP="004350ED">
                  <w:pPr>
                    <w:spacing w:after="0" w:line="240" w:lineRule="auto"/>
                    <w:jc w:val="left"/>
                    <w:rPr>
                      <w:rFonts w:cs="Arial"/>
                      <w:color w:val="000000"/>
                      <w:szCs w:val="20"/>
                      <w:lang w:val="en-GB"/>
                    </w:rPr>
                  </w:pPr>
                </w:p>
              </w:tc>
              <w:tc>
                <w:tcPr>
                  <w:tcW w:w="700" w:type="dxa"/>
                  <w:tcBorders>
                    <w:top w:val="nil"/>
                    <w:left w:val="nil"/>
                    <w:bottom w:val="single" w:sz="4" w:space="0" w:color="auto"/>
                    <w:right w:val="nil"/>
                  </w:tcBorders>
                  <w:shd w:val="clear" w:color="auto" w:fill="auto"/>
                  <w:noWrap/>
                  <w:vAlign w:val="bottom"/>
                  <w:hideMark/>
                </w:tcPr>
                <w:p w14:paraId="7C46A5D2" w14:textId="77777777" w:rsidR="004350ED" w:rsidRPr="001A0A01" w:rsidRDefault="004350ED" w:rsidP="004350ED">
                  <w:pPr>
                    <w:spacing w:after="0" w:line="240" w:lineRule="auto"/>
                    <w:jc w:val="right"/>
                    <w:rPr>
                      <w:rFonts w:cs="Arial"/>
                      <w:color w:val="000000"/>
                      <w:sz w:val="16"/>
                      <w:szCs w:val="16"/>
                      <w:lang w:val="en-GB"/>
                    </w:rPr>
                  </w:pPr>
                  <w:proofErr w:type="spellStart"/>
                  <w:r w:rsidRPr="001A0A01">
                    <w:rPr>
                      <w:rFonts w:cs="Arial"/>
                      <w:color w:val="000000"/>
                      <w:sz w:val="16"/>
                      <w:szCs w:val="16"/>
                      <w:lang w:val="en-GB"/>
                    </w:rPr>
                    <w:t>bn</w:t>
                  </w:r>
                  <w:proofErr w:type="spellEnd"/>
                  <w:r w:rsidRPr="001A0A01">
                    <w:rPr>
                      <w:rFonts w:cs="Arial"/>
                      <w:color w:val="000000"/>
                      <w:sz w:val="16"/>
                      <w:szCs w:val="16"/>
                      <w:lang w:val="en-GB"/>
                    </w:rPr>
                    <w:t xml:space="preserve"> CZK</w:t>
                  </w:r>
                </w:p>
              </w:tc>
            </w:tr>
            <w:tr w:rsidR="004350ED" w:rsidRPr="001A0A01" w14:paraId="1B5A4F52" w14:textId="77777777" w:rsidTr="00E551F6">
              <w:trPr>
                <w:trHeight w:val="255"/>
              </w:trPr>
              <w:tc>
                <w:tcPr>
                  <w:tcW w:w="4071" w:type="dxa"/>
                  <w:tcBorders>
                    <w:top w:val="nil"/>
                    <w:left w:val="nil"/>
                    <w:bottom w:val="nil"/>
                    <w:right w:val="nil"/>
                  </w:tcBorders>
                  <w:shd w:val="clear" w:color="auto" w:fill="auto"/>
                  <w:noWrap/>
                  <w:vAlign w:val="bottom"/>
                  <w:hideMark/>
                </w:tcPr>
                <w:p w14:paraId="6A9C35BA"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05C61683" w14:textId="68DC911A"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+14</w:t>
                  </w:r>
                  <w:r>
                    <w:rPr>
                      <w:rFonts w:cs="Arial"/>
                      <w:color w:val="000000"/>
                      <w:sz w:val="16"/>
                      <w:szCs w:val="16"/>
                      <w:lang w:val="en-GB"/>
                    </w:rPr>
                    <w:t>.</w:t>
                  </w:r>
                  <w:r w:rsidRPr="001A0A01">
                    <w:rPr>
                      <w:rFonts w:cs="Arial"/>
                      <w:color w:val="000000"/>
                      <w:sz w:val="16"/>
                      <w:szCs w:val="16"/>
                      <w:lang w:val="en-GB"/>
                    </w:rPr>
                    <w:t>5</w:t>
                  </w:r>
                </w:p>
              </w:tc>
            </w:tr>
            <w:tr w:rsidR="004350ED" w:rsidRPr="001A0A01" w14:paraId="0DF178DF" w14:textId="77777777" w:rsidTr="00E551F6">
              <w:trPr>
                <w:trHeight w:val="255"/>
              </w:trPr>
              <w:tc>
                <w:tcPr>
                  <w:tcW w:w="4071" w:type="dxa"/>
                  <w:tcBorders>
                    <w:top w:val="nil"/>
                    <w:left w:val="nil"/>
                    <w:bottom w:val="nil"/>
                    <w:right w:val="nil"/>
                  </w:tcBorders>
                  <w:shd w:val="clear" w:color="auto" w:fill="auto"/>
                  <w:noWrap/>
                  <w:vAlign w:val="bottom"/>
                  <w:hideMark/>
                </w:tcPr>
                <w:p w14:paraId="72A1CB5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4401A3B0" w14:textId="5AB98252"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+11</w:t>
                  </w:r>
                  <w:r>
                    <w:rPr>
                      <w:rFonts w:cs="Arial"/>
                      <w:color w:val="000000"/>
                      <w:sz w:val="16"/>
                      <w:szCs w:val="16"/>
                      <w:lang w:val="en-GB"/>
                    </w:rPr>
                    <w:t>.</w:t>
                  </w:r>
                  <w:r w:rsidRPr="001A0A01">
                    <w:rPr>
                      <w:rFonts w:cs="Arial"/>
                      <w:color w:val="000000"/>
                      <w:sz w:val="16"/>
                      <w:szCs w:val="16"/>
                      <w:lang w:val="en-GB"/>
                    </w:rPr>
                    <w:t>9</w:t>
                  </w:r>
                </w:p>
              </w:tc>
            </w:tr>
            <w:tr w:rsidR="004350ED" w:rsidRPr="001A0A01" w14:paraId="6836BD62" w14:textId="77777777" w:rsidTr="00E551F6">
              <w:trPr>
                <w:trHeight w:val="255"/>
              </w:trPr>
              <w:tc>
                <w:tcPr>
                  <w:tcW w:w="4071" w:type="dxa"/>
                  <w:tcBorders>
                    <w:top w:val="nil"/>
                    <w:left w:val="nil"/>
                    <w:bottom w:val="nil"/>
                    <w:right w:val="nil"/>
                  </w:tcBorders>
                  <w:shd w:val="clear" w:color="auto" w:fill="auto"/>
                  <w:noWrap/>
                  <w:vAlign w:val="bottom"/>
                  <w:hideMark/>
                </w:tcPr>
                <w:p w14:paraId="03B6C600"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15D6B050" w14:textId="16ECBA3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+8</w:t>
                  </w:r>
                  <w:r>
                    <w:rPr>
                      <w:rFonts w:cs="Arial"/>
                      <w:color w:val="000000"/>
                      <w:sz w:val="16"/>
                      <w:szCs w:val="16"/>
                      <w:lang w:val="en-GB"/>
                    </w:rPr>
                    <w:t>.</w:t>
                  </w:r>
                  <w:r w:rsidRPr="001A0A01">
                    <w:rPr>
                      <w:rFonts w:cs="Arial"/>
                      <w:color w:val="000000"/>
                      <w:sz w:val="16"/>
                      <w:szCs w:val="16"/>
                      <w:lang w:val="en-GB"/>
                    </w:rPr>
                    <w:t>9</w:t>
                  </w:r>
                </w:p>
              </w:tc>
            </w:tr>
            <w:tr w:rsidR="004350ED" w:rsidRPr="001A0A01" w14:paraId="4C2CCC5C" w14:textId="77777777" w:rsidTr="00E551F6">
              <w:trPr>
                <w:trHeight w:val="255"/>
              </w:trPr>
              <w:tc>
                <w:tcPr>
                  <w:tcW w:w="4071" w:type="dxa"/>
                  <w:tcBorders>
                    <w:top w:val="nil"/>
                    <w:left w:val="nil"/>
                    <w:bottom w:val="nil"/>
                    <w:right w:val="nil"/>
                  </w:tcBorders>
                  <w:shd w:val="clear" w:color="auto" w:fill="auto"/>
                  <w:noWrap/>
                  <w:vAlign w:val="bottom"/>
                  <w:hideMark/>
                </w:tcPr>
                <w:p w14:paraId="170C4E04"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4E19BB21" w14:textId="71B580C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+6</w:t>
                  </w:r>
                  <w:r>
                    <w:rPr>
                      <w:rFonts w:cs="Arial"/>
                      <w:color w:val="000000"/>
                      <w:sz w:val="16"/>
                      <w:szCs w:val="16"/>
                      <w:lang w:val="en-GB"/>
                    </w:rPr>
                    <w:t>.</w:t>
                  </w:r>
                  <w:r w:rsidRPr="001A0A01">
                    <w:rPr>
                      <w:rFonts w:cs="Arial"/>
                      <w:color w:val="000000"/>
                      <w:sz w:val="16"/>
                      <w:szCs w:val="16"/>
                      <w:lang w:val="en-GB"/>
                    </w:rPr>
                    <w:t>4</w:t>
                  </w:r>
                </w:p>
              </w:tc>
            </w:tr>
            <w:tr w:rsidR="004350ED" w:rsidRPr="001A0A01" w14:paraId="357FD144" w14:textId="77777777" w:rsidTr="00E551F6">
              <w:trPr>
                <w:trHeight w:val="255"/>
              </w:trPr>
              <w:tc>
                <w:tcPr>
                  <w:tcW w:w="4071" w:type="dxa"/>
                  <w:tcBorders>
                    <w:top w:val="nil"/>
                    <w:left w:val="nil"/>
                    <w:bottom w:val="nil"/>
                    <w:right w:val="nil"/>
                  </w:tcBorders>
                  <w:shd w:val="clear" w:color="auto" w:fill="auto"/>
                  <w:noWrap/>
                  <w:vAlign w:val="bottom"/>
                  <w:hideMark/>
                </w:tcPr>
                <w:p w14:paraId="6DA8CA6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Hungary</w:t>
                  </w:r>
                </w:p>
              </w:tc>
              <w:tc>
                <w:tcPr>
                  <w:tcW w:w="700" w:type="dxa"/>
                  <w:tcBorders>
                    <w:top w:val="nil"/>
                    <w:left w:val="nil"/>
                    <w:bottom w:val="nil"/>
                    <w:right w:val="nil"/>
                  </w:tcBorders>
                  <w:shd w:val="clear" w:color="auto" w:fill="auto"/>
                  <w:noWrap/>
                  <w:vAlign w:val="bottom"/>
                  <w:hideMark/>
                </w:tcPr>
                <w:p w14:paraId="7F6A8BBD" w14:textId="5022C5E6"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9</w:t>
                  </w:r>
                </w:p>
              </w:tc>
            </w:tr>
            <w:tr w:rsidR="004350ED" w:rsidRPr="001A0A01" w14:paraId="66ABE52F" w14:textId="77777777" w:rsidTr="00E551F6">
              <w:trPr>
                <w:trHeight w:val="255"/>
              </w:trPr>
              <w:tc>
                <w:tcPr>
                  <w:tcW w:w="4071" w:type="dxa"/>
                  <w:tcBorders>
                    <w:top w:val="nil"/>
                    <w:left w:val="nil"/>
                    <w:bottom w:val="nil"/>
                    <w:right w:val="nil"/>
                  </w:tcBorders>
                  <w:shd w:val="clear" w:color="auto" w:fill="auto"/>
                  <w:noWrap/>
                  <w:vAlign w:val="bottom"/>
                  <w:hideMark/>
                </w:tcPr>
                <w:p w14:paraId="038BDE1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27D30D24" w14:textId="1DF6733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4</w:t>
                  </w:r>
                </w:p>
              </w:tc>
            </w:tr>
            <w:tr w:rsidR="004350ED" w:rsidRPr="001A0A01" w14:paraId="53635893" w14:textId="77777777" w:rsidTr="00E551F6">
              <w:trPr>
                <w:trHeight w:val="255"/>
              </w:trPr>
              <w:tc>
                <w:tcPr>
                  <w:tcW w:w="4071" w:type="dxa"/>
                  <w:tcBorders>
                    <w:top w:val="nil"/>
                    <w:left w:val="nil"/>
                    <w:bottom w:val="nil"/>
                    <w:right w:val="nil"/>
                  </w:tcBorders>
                  <w:shd w:val="clear" w:color="auto" w:fill="auto"/>
                  <w:noWrap/>
                  <w:vAlign w:val="bottom"/>
                  <w:hideMark/>
                </w:tcPr>
                <w:p w14:paraId="6B84245F"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47744AB8" w14:textId="154E70C7"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3</w:t>
                  </w:r>
                </w:p>
              </w:tc>
            </w:tr>
            <w:tr w:rsidR="004350ED" w:rsidRPr="001A0A01" w14:paraId="4E2CD7C8" w14:textId="77777777" w:rsidTr="00E551F6">
              <w:trPr>
                <w:trHeight w:val="255"/>
              </w:trPr>
              <w:tc>
                <w:tcPr>
                  <w:tcW w:w="4071" w:type="dxa"/>
                  <w:tcBorders>
                    <w:top w:val="nil"/>
                    <w:left w:val="nil"/>
                    <w:bottom w:val="nil"/>
                    <w:right w:val="nil"/>
                  </w:tcBorders>
                  <w:shd w:val="clear" w:color="auto" w:fill="auto"/>
                  <w:noWrap/>
                  <w:vAlign w:val="bottom"/>
                  <w:hideMark/>
                </w:tcPr>
                <w:p w14:paraId="2549D02D"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1BC420D9" w14:textId="1EDAFBE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7</w:t>
                  </w:r>
                </w:p>
              </w:tc>
            </w:tr>
            <w:tr w:rsidR="004350ED" w:rsidRPr="001A0A01" w14:paraId="4C11FBB9" w14:textId="77777777" w:rsidTr="00E551F6">
              <w:trPr>
                <w:trHeight w:val="255"/>
              </w:trPr>
              <w:tc>
                <w:tcPr>
                  <w:tcW w:w="4071" w:type="dxa"/>
                  <w:tcBorders>
                    <w:top w:val="nil"/>
                    <w:left w:val="nil"/>
                    <w:bottom w:val="nil"/>
                    <w:right w:val="nil"/>
                  </w:tcBorders>
                  <w:shd w:val="clear" w:color="auto" w:fill="auto"/>
                  <w:noWrap/>
                  <w:vAlign w:val="bottom"/>
                  <w:hideMark/>
                </w:tcPr>
                <w:p w14:paraId="295F0147"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3CC0D0AB" w14:textId="66CB083C"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356E16E1" w14:textId="77777777" w:rsidTr="00E551F6">
              <w:trPr>
                <w:trHeight w:val="255"/>
              </w:trPr>
              <w:tc>
                <w:tcPr>
                  <w:tcW w:w="4071" w:type="dxa"/>
                  <w:tcBorders>
                    <w:top w:val="nil"/>
                    <w:left w:val="nil"/>
                    <w:bottom w:val="nil"/>
                    <w:right w:val="nil"/>
                  </w:tcBorders>
                  <w:shd w:val="clear" w:color="auto" w:fill="auto"/>
                  <w:noWrap/>
                  <w:vAlign w:val="bottom"/>
                  <w:hideMark/>
                </w:tcPr>
                <w:p w14:paraId="68F2CC9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France</w:t>
                  </w:r>
                </w:p>
              </w:tc>
              <w:tc>
                <w:tcPr>
                  <w:tcW w:w="700" w:type="dxa"/>
                  <w:tcBorders>
                    <w:top w:val="nil"/>
                    <w:left w:val="nil"/>
                    <w:bottom w:val="nil"/>
                    <w:right w:val="nil"/>
                  </w:tcBorders>
                  <w:shd w:val="clear" w:color="auto" w:fill="auto"/>
                  <w:noWrap/>
                  <w:vAlign w:val="bottom"/>
                  <w:hideMark/>
                </w:tcPr>
                <w:p w14:paraId="45A065CC" w14:textId="05F0A94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5</w:t>
                  </w:r>
                </w:p>
              </w:tc>
            </w:tr>
            <w:tr w:rsidR="004350ED" w:rsidRPr="001A0A01" w14:paraId="1D1543ED" w14:textId="77777777" w:rsidTr="00E551F6">
              <w:trPr>
                <w:trHeight w:val="255"/>
              </w:trPr>
              <w:tc>
                <w:tcPr>
                  <w:tcW w:w="4071" w:type="dxa"/>
                  <w:tcBorders>
                    <w:top w:val="nil"/>
                    <w:left w:val="nil"/>
                    <w:bottom w:val="nil"/>
                    <w:right w:val="nil"/>
                  </w:tcBorders>
                  <w:shd w:val="clear" w:color="auto" w:fill="auto"/>
                  <w:noWrap/>
                  <w:vAlign w:val="bottom"/>
                  <w:hideMark/>
                </w:tcPr>
                <w:p w14:paraId="5B70926C"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08AE2D87" w14:textId="0433AC38"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−2</w:t>
                  </w:r>
                  <w:r>
                    <w:rPr>
                      <w:rFonts w:cs="Arial"/>
                      <w:color w:val="000000"/>
                      <w:sz w:val="16"/>
                      <w:szCs w:val="16"/>
                      <w:lang w:val="en-GB"/>
                    </w:rPr>
                    <w:t>.</w:t>
                  </w:r>
                  <w:r w:rsidRPr="001A0A01">
                    <w:rPr>
                      <w:rFonts w:cs="Arial"/>
                      <w:color w:val="000000"/>
                      <w:sz w:val="16"/>
                      <w:szCs w:val="16"/>
                      <w:lang w:val="en-GB"/>
                    </w:rPr>
                    <w:t>4</w:t>
                  </w:r>
                </w:p>
              </w:tc>
            </w:tr>
            <w:tr w:rsidR="004350ED" w:rsidRPr="001A0A01" w14:paraId="17C77F78" w14:textId="77777777" w:rsidTr="00E551F6">
              <w:trPr>
                <w:trHeight w:val="255"/>
              </w:trPr>
              <w:tc>
                <w:tcPr>
                  <w:tcW w:w="4071" w:type="dxa"/>
                  <w:tcBorders>
                    <w:top w:val="nil"/>
                    <w:left w:val="nil"/>
                    <w:bottom w:val="nil"/>
                    <w:right w:val="nil"/>
                  </w:tcBorders>
                  <w:shd w:val="clear" w:color="auto" w:fill="auto"/>
                  <w:noWrap/>
                  <w:vAlign w:val="bottom"/>
                  <w:hideMark/>
                </w:tcPr>
                <w:p w14:paraId="53DB913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295E0A8D" w14:textId="254337B3"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3</w:t>
                  </w:r>
                </w:p>
              </w:tc>
            </w:tr>
            <w:tr w:rsidR="004350ED" w:rsidRPr="001A0A01" w14:paraId="5D380CD2" w14:textId="77777777" w:rsidTr="00E551F6">
              <w:trPr>
                <w:trHeight w:val="255"/>
              </w:trPr>
              <w:tc>
                <w:tcPr>
                  <w:tcW w:w="4071" w:type="dxa"/>
                  <w:tcBorders>
                    <w:top w:val="nil"/>
                    <w:left w:val="nil"/>
                    <w:bottom w:val="nil"/>
                    <w:right w:val="nil"/>
                  </w:tcBorders>
                  <w:shd w:val="clear" w:color="auto" w:fill="auto"/>
                  <w:noWrap/>
                  <w:vAlign w:val="bottom"/>
                  <w:hideMark/>
                </w:tcPr>
                <w:p w14:paraId="5B71D391"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38CE4BA0" w14:textId="44B603D0"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−3</w:t>
                  </w:r>
                  <w:r>
                    <w:rPr>
                      <w:rFonts w:cs="Arial"/>
                      <w:color w:val="000000"/>
                      <w:sz w:val="16"/>
                      <w:szCs w:val="16"/>
                      <w:lang w:val="en-GB"/>
                    </w:rPr>
                    <w:t>.</w:t>
                  </w:r>
                  <w:r w:rsidRPr="001A0A01">
                    <w:rPr>
                      <w:rFonts w:cs="Arial"/>
                      <w:color w:val="000000"/>
                      <w:sz w:val="16"/>
                      <w:szCs w:val="16"/>
                      <w:lang w:val="en-GB"/>
                    </w:rPr>
                    <w:t>5</w:t>
                  </w:r>
                </w:p>
              </w:tc>
            </w:tr>
            <w:tr w:rsidR="004350ED" w:rsidRPr="001A0A01" w14:paraId="1E39E1CD" w14:textId="77777777" w:rsidTr="00E551F6">
              <w:trPr>
                <w:trHeight w:val="255"/>
              </w:trPr>
              <w:tc>
                <w:tcPr>
                  <w:tcW w:w="4071" w:type="dxa"/>
                  <w:tcBorders>
                    <w:top w:val="nil"/>
                    <w:left w:val="nil"/>
                    <w:bottom w:val="nil"/>
                    <w:right w:val="nil"/>
                  </w:tcBorders>
                  <w:shd w:val="clear" w:color="auto" w:fill="auto"/>
                  <w:noWrap/>
                  <w:vAlign w:val="bottom"/>
                  <w:hideMark/>
                </w:tcPr>
                <w:p w14:paraId="4A50AA02"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Azerbaijan</w:t>
                  </w:r>
                </w:p>
              </w:tc>
              <w:tc>
                <w:tcPr>
                  <w:tcW w:w="700" w:type="dxa"/>
                  <w:tcBorders>
                    <w:top w:val="nil"/>
                    <w:left w:val="nil"/>
                    <w:bottom w:val="nil"/>
                    <w:right w:val="nil"/>
                  </w:tcBorders>
                  <w:shd w:val="clear" w:color="auto" w:fill="auto"/>
                  <w:noWrap/>
                  <w:vAlign w:val="bottom"/>
                  <w:hideMark/>
                </w:tcPr>
                <w:p w14:paraId="1396E0C7" w14:textId="24F128D8"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−4</w:t>
                  </w:r>
                  <w:r>
                    <w:rPr>
                      <w:rFonts w:cs="Arial"/>
                      <w:color w:val="000000"/>
                      <w:sz w:val="16"/>
                      <w:szCs w:val="16"/>
                      <w:lang w:val="en-GB"/>
                    </w:rPr>
                    <w:t>.</w:t>
                  </w:r>
                  <w:r w:rsidRPr="001A0A01">
                    <w:rPr>
                      <w:rFonts w:cs="Arial"/>
                      <w:color w:val="000000"/>
                      <w:sz w:val="16"/>
                      <w:szCs w:val="16"/>
                      <w:lang w:val="en-GB"/>
                    </w:rPr>
                    <w:t>5</w:t>
                  </w:r>
                </w:p>
              </w:tc>
            </w:tr>
            <w:tr w:rsidR="004350ED" w:rsidRPr="001A0A01" w14:paraId="176305B4" w14:textId="77777777" w:rsidTr="00E551F6">
              <w:trPr>
                <w:trHeight w:val="255"/>
              </w:trPr>
              <w:tc>
                <w:tcPr>
                  <w:tcW w:w="4071" w:type="dxa"/>
                  <w:tcBorders>
                    <w:top w:val="nil"/>
                    <w:left w:val="nil"/>
                    <w:bottom w:val="nil"/>
                    <w:right w:val="nil"/>
                  </w:tcBorders>
                  <w:shd w:val="clear" w:color="auto" w:fill="auto"/>
                  <w:noWrap/>
                  <w:vAlign w:val="bottom"/>
                  <w:hideMark/>
                </w:tcPr>
                <w:p w14:paraId="2D982F18" w14:textId="77777777" w:rsidR="004350ED" w:rsidRPr="001A0A01" w:rsidRDefault="004350ED" w:rsidP="004350ED">
                  <w:pPr>
                    <w:spacing w:after="0" w:line="240" w:lineRule="auto"/>
                    <w:jc w:val="left"/>
                    <w:rPr>
                      <w:rFonts w:cs="Arial"/>
                      <w:color w:val="000000"/>
                      <w:sz w:val="16"/>
                      <w:szCs w:val="16"/>
                      <w:lang w:val="en-GB"/>
                    </w:rPr>
                  </w:pPr>
                  <w:r w:rsidRPr="001A0A01">
                    <w:rPr>
                      <w:rFonts w:cs="Arial"/>
                      <w:color w:val="000000"/>
                      <w:sz w:val="16"/>
                      <w:szCs w:val="16"/>
                      <w:lang w:val="en-GB"/>
                    </w:rPr>
                    <w:t>Taiwan</w:t>
                  </w:r>
                </w:p>
              </w:tc>
              <w:tc>
                <w:tcPr>
                  <w:tcW w:w="700" w:type="dxa"/>
                  <w:tcBorders>
                    <w:top w:val="nil"/>
                    <w:left w:val="nil"/>
                    <w:bottom w:val="nil"/>
                    <w:right w:val="nil"/>
                  </w:tcBorders>
                  <w:shd w:val="clear" w:color="auto" w:fill="auto"/>
                  <w:noWrap/>
                  <w:vAlign w:val="bottom"/>
                  <w:hideMark/>
                </w:tcPr>
                <w:p w14:paraId="42537958" w14:textId="22B1C5AD" w:rsidR="004350ED" w:rsidRPr="001A0A01" w:rsidRDefault="004350ED" w:rsidP="004350ED">
                  <w:pPr>
                    <w:spacing w:after="0" w:line="240" w:lineRule="auto"/>
                    <w:jc w:val="right"/>
                    <w:rPr>
                      <w:rFonts w:cs="Arial"/>
                      <w:color w:val="000000"/>
                      <w:sz w:val="16"/>
                      <w:szCs w:val="16"/>
                      <w:lang w:val="en-GB"/>
                    </w:rPr>
                  </w:pPr>
                  <w:r w:rsidRPr="001A0A01">
                    <w:rPr>
                      <w:rFonts w:cs="Arial"/>
                      <w:color w:val="000000"/>
                      <w:sz w:val="16"/>
                      <w:szCs w:val="16"/>
                      <w:lang w:val="en-GB"/>
                    </w:rPr>
                    <w:t>−7</w:t>
                  </w:r>
                  <w:r>
                    <w:rPr>
                      <w:rFonts w:cs="Arial"/>
                      <w:color w:val="000000"/>
                      <w:sz w:val="16"/>
                      <w:szCs w:val="16"/>
                      <w:lang w:val="en-GB"/>
                    </w:rPr>
                    <w:t>.</w:t>
                  </w:r>
                  <w:r w:rsidRPr="001A0A01">
                    <w:rPr>
                      <w:rFonts w:cs="Arial"/>
                      <w:color w:val="000000"/>
                      <w:sz w:val="16"/>
                      <w:szCs w:val="16"/>
                      <w:lang w:val="en-GB"/>
                    </w:rPr>
                    <w:t>3</w:t>
                  </w:r>
                </w:p>
              </w:tc>
            </w:tr>
          </w:tbl>
          <w:p w14:paraId="4CDE90F9" w14:textId="77777777" w:rsidR="004350ED" w:rsidRPr="001A0A01" w:rsidRDefault="004350ED" w:rsidP="004350ED">
            <w:pPr>
              <w:spacing w:after="0"/>
              <w:rPr>
                <w:spacing w:val="-4"/>
                <w:lang w:val="en-GB" w:eastAsia="en-US"/>
              </w:rPr>
            </w:pPr>
          </w:p>
        </w:tc>
      </w:tr>
      <w:tr w:rsidR="004350ED" w:rsidRPr="001A0A01" w14:paraId="748628AB" w14:textId="77777777" w:rsidTr="00E551F6">
        <w:trPr>
          <w:trHeight w:val="170"/>
        </w:trPr>
        <w:tc>
          <w:tcPr>
            <w:tcW w:w="4811" w:type="dxa"/>
            <w:gridSpan w:val="3"/>
            <w:hideMark/>
          </w:tcPr>
          <w:p w14:paraId="0A37C04D" w14:textId="77777777" w:rsidR="004350ED" w:rsidRPr="001A0A01" w:rsidRDefault="004350ED" w:rsidP="004350ED">
            <w:pPr>
              <w:jc w:val="right"/>
              <w:rPr>
                <w:spacing w:val="-4"/>
                <w:sz w:val="16"/>
                <w:szCs w:val="16"/>
                <w:lang w:val="en-GB" w:eastAsia="en-US"/>
              </w:rPr>
            </w:pPr>
            <w:r w:rsidRPr="001A0A01">
              <w:rPr>
                <w:spacing w:val="-4"/>
                <w:sz w:val="16"/>
                <w:szCs w:val="16"/>
                <w:lang w:val="en-GB" w:eastAsia="en-US"/>
              </w:rPr>
              <w:t>Source: CZSO</w:t>
            </w:r>
          </w:p>
        </w:tc>
        <w:tc>
          <w:tcPr>
            <w:tcW w:w="57" w:type="dxa"/>
          </w:tcPr>
          <w:p w14:paraId="17D904A5" w14:textId="77777777" w:rsidR="004350ED" w:rsidRPr="001A0A01" w:rsidRDefault="004350ED" w:rsidP="004350ED">
            <w:pPr>
              <w:spacing w:after="0"/>
              <w:rPr>
                <w:spacing w:val="-4"/>
                <w:lang w:val="en-GB" w:eastAsia="en-US"/>
              </w:rPr>
            </w:pPr>
          </w:p>
        </w:tc>
        <w:tc>
          <w:tcPr>
            <w:tcW w:w="4809" w:type="dxa"/>
            <w:hideMark/>
          </w:tcPr>
          <w:p w14:paraId="7B93EA08" w14:textId="77777777" w:rsidR="004350ED" w:rsidRPr="001A0A01" w:rsidRDefault="004350ED" w:rsidP="004350ED">
            <w:pPr>
              <w:spacing w:after="0"/>
              <w:jc w:val="right"/>
              <w:rPr>
                <w:spacing w:val="-4"/>
                <w:lang w:val="en-GB" w:eastAsia="en-US"/>
              </w:rPr>
            </w:pPr>
            <w:r w:rsidRPr="001A0A01">
              <w:rPr>
                <w:spacing w:val="-4"/>
                <w:sz w:val="16"/>
                <w:szCs w:val="16"/>
                <w:lang w:val="en-GB" w:eastAsia="en-US"/>
              </w:rPr>
              <w:t>Source: CZSO</w:t>
            </w:r>
          </w:p>
        </w:tc>
      </w:tr>
      <w:tr w:rsidR="004350ED" w:rsidRPr="001A0A01" w14:paraId="47E535AC" w14:textId="77777777" w:rsidTr="00E551F6">
        <w:trPr>
          <w:trHeight w:val="150"/>
        </w:trPr>
        <w:tc>
          <w:tcPr>
            <w:tcW w:w="1748" w:type="dxa"/>
          </w:tcPr>
          <w:p w14:paraId="19417508" w14:textId="77777777" w:rsidR="004350ED" w:rsidRPr="001A0A01" w:rsidRDefault="004350ED" w:rsidP="004350ED">
            <w:pPr>
              <w:pStyle w:val="Marginlie"/>
              <w:rPr>
                <w:lang w:val="en-GB" w:eastAsia="en-US"/>
              </w:rPr>
            </w:pPr>
            <w:r w:rsidRPr="001A0A01">
              <w:rPr>
                <w:lang w:val="en-GB" w:eastAsia="en-US"/>
              </w:rPr>
              <w:t xml:space="preserve">Trade with motor vehicles contributed the most to the balance improvement. </w:t>
            </w:r>
          </w:p>
        </w:tc>
        <w:tc>
          <w:tcPr>
            <w:tcW w:w="252" w:type="dxa"/>
          </w:tcPr>
          <w:p w14:paraId="7F33789D" w14:textId="77777777" w:rsidR="004350ED" w:rsidRPr="001A0A01" w:rsidRDefault="004350ED" w:rsidP="004350ED">
            <w:pPr>
              <w:pStyle w:val="Textpoznpodarou"/>
              <w:jc w:val="both"/>
              <w:rPr>
                <w:spacing w:val="-4"/>
                <w:lang w:val="en-GB" w:eastAsia="en-US"/>
              </w:rPr>
            </w:pPr>
          </w:p>
        </w:tc>
        <w:tc>
          <w:tcPr>
            <w:tcW w:w="7677" w:type="dxa"/>
            <w:gridSpan w:val="3"/>
          </w:tcPr>
          <w:p w14:paraId="74A70E87" w14:textId="77777777" w:rsidR="004350ED" w:rsidRPr="001A0A01" w:rsidRDefault="004350ED" w:rsidP="004350ED">
            <w:pPr>
              <w:rPr>
                <w:spacing w:val="-4"/>
                <w:lang w:val="en-GB" w:eastAsia="en-US"/>
              </w:rPr>
            </w:pPr>
            <w:r w:rsidRPr="001A0A01">
              <w:rPr>
                <w:lang w:val="en-GB" w:eastAsia="en-US"/>
              </w:rPr>
              <w:t xml:space="preserve">Trade with motor vehicles (+37.3 </w:t>
            </w:r>
            <w:proofErr w:type="spellStart"/>
            <w:r w:rsidRPr="001A0A01">
              <w:rPr>
                <w:lang w:val="en-GB" w:eastAsia="en-US"/>
              </w:rPr>
              <w:t>bn</w:t>
            </w:r>
            <w:proofErr w:type="spellEnd"/>
            <w:r w:rsidRPr="001A0A01">
              <w:rPr>
                <w:lang w:val="en-GB" w:eastAsia="en-US"/>
              </w:rPr>
              <w:t xml:space="preserve"> CZK), electrical equipment (+32.0 </w:t>
            </w:r>
            <w:proofErr w:type="spellStart"/>
            <w:r w:rsidRPr="001A0A01">
              <w:rPr>
                <w:lang w:val="en-GB" w:eastAsia="en-US"/>
              </w:rPr>
              <w:t>bn</w:t>
            </w:r>
            <w:proofErr w:type="spellEnd"/>
            <w:r w:rsidRPr="001A0A01">
              <w:rPr>
                <w:lang w:val="en-GB" w:eastAsia="en-US"/>
              </w:rPr>
              <w:t xml:space="preserve">) and oil and natural gas (+11.7 </w:t>
            </w:r>
            <w:proofErr w:type="spellStart"/>
            <w:r w:rsidRPr="001A0A01">
              <w:rPr>
                <w:lang w:val="en-GB" w:eastAsia="en-US"/>
              </w:rPr>
              <w:t>bn</w:t>
            </w:r>
            <w:proofErr w:type="spellEnd"/>
            <w:r w:rsidRPr="001A0A01">
              <w:rPr>
                <w:lang w:val="en-GB" w:eastAsia="en-US"/>
              </w:rPr>
              <w:t xml:space="preserve">) influenced the most the year-on-year improvement of the international trade balance in H1. The most significant balance deterioration was recorded for coke and refined petroleum products (−14.4 </w:t>
            </w:r>
            <w:proofErr w:type="spellStart"/>
            <w:r w:rsidRPr="001A0A01">
              <w:rPr>
                <w:lang w:val="en-GB" w:eastAsia="en-US"/>
              </w:rPr>
              <w:t>bn</w:t>
            </w:r>
            <w:proofErr w:type="spellEnd"/>
            <w:r w:rsidRPr="001A0A01">
              <w:rPr>
                <w:lang w:val="en-GB" w:eastAsia="en-US"/>
              </w:rPr>
              <w:t xml:space="preserve"> CZK) in H1. In Q2 alone, the balance of trade with motor vehicles (see Table 5), electrical equipment and oil and natural gas improved the most, by a significant margin. A significant improvement also played out in trade with rubber and plastic products, black and brown coal and lignite, other transport equipment and fabricated metal products. The balance of trade with coke and refined petroleum products, computers, electronic and optical appliances and basic metals deteriorated the most, year-on-year, in Q2. </w:t>
            </w:r>
          </w:p>
        </w:tc>
      </w:tr>
      <w:bookmarkEnd w:id="61"/>
      <w:bookmarkEnd w:id="62"/>
      <w:bookmarkEnd w:id="63"/>
    </w:tbl>
    <w:p w14:paraId="3F48DF3A" w14:textId="77777777" w:rsidR="00E551F6" w:rsidRPr="001A0A01" w:rsidRDefault="00E551F6" w:rsidP="00E551F6">
      <w:pPr>
        <w:spacing w:after="0" w:line="240" w:lineRule="auto"/>
        <w:jc w:val="left"/>
        <w:rPr>
          <w:rFonts w:eastAsia="MS Gothic"/>
          <w:bCs/>
          <w:color w:val="71818C"/>
          <w:sz w:val="2"/>
          <w:szCs w:val="2"/>
          <w:lang w:val="en-GB"/>
        </w:rPr>
      </w:pPr>
    </w:p>
    <w:p w14:paraId="69A88271" w14:textId="77777777" w:rsidR="00E551F6" w:rsidRPr="001A0A01" w:rsidRDefault="00E551F6" w:rsidP="00E551F6">
      <w:pPr>
        <w:spacing w:after="0" w:line="240" w:lineRule="auto"/>
        <w:jc w:val="left"/>
        <w:rPr>
          <w:rFonts w:eastAsia="MS Gothic"/>
          <w:b/>
          <w:bCs/>
          <w:color w:val="86BF5E"/>
          <w:sz w:val="32"/>
          <w:szCs w:val="28"/>
          <w:lang w:val="en-GB"/>
        </w:rPr>
      </w:pPr>
      <w:r w:rsidRPr="001A0A01">
        <w:rPr>
          <w:lang w:val="en-GB"/>
        </w:rPr>
        <w:br w:type="page"/>
      </w:r>
    </w:p>
    <w:p w14:paraId="00A1291B" w14:textId="77777777" w:rsidR="00E551F6" w:rsidRPr="001A0A01" w:rsidRDefault="00E551F6" w:rsidP="00E551F6">
      <w:pPr>
        <w:pStyle w:val="Nadpis1"/>
        <w:rPr>
          <w:lang w:val="en-GB"/>
        </w:rPr>
      </w:pPr>
      <w:bookmarkStart w:id="72" w:name="_Toc179774109"/>
      <w:r w:rsidRPr="001A0A01">
        <w:rPr>
          <w:lang w:val="en-GB"/>
        </w:rPr>
        <w:lastRenderedPageBreak/>
        <w:t>5. Prices</w:t>
      </w:r>
      <w:bookmarkEnd w:id="72"/>
    </w:p>
    <w:tbl>
      <w:tblPr>
        <w:tblW w:w="9639" w:type="dxa"/>
        <w:tblInd w:w="-15" w:type="dxa"/>
        <w:tblCellMar>
          <w:left w:w="0" w:type="dxa"/>
          <w:right w:w="0" w:type="dxa"/>
        </w:tblCellMar>
        <w:tblLook w:val="00A0" w:firstRow="1" w:lastRow="0" w:firstColumn="1" w:lastColumn="0" w:noHBand="0" w:noVBand="0"/>
      </w:tblPr>
      <w:tblGrid>
        <w:gridCol w:w="1733"/>
        <w:gridCol w:w="217"/>
        <w:gridCol w:w="7624"/>
        <w:gridCol w:w="65"/>
      </w:tblGrid>
      <w:tr w:rsidR="00E551F6" w:rsidRPr="001A0A01" w14:paraId="50964150" w14:textId="77777777" w:rsidTr="00E551F6">
        <w:trPr>
          <w:trHeight w:val="145"/>
        </w:trPr>
        <w:tc>
          <w:tcPr>
            <w:tcW w:w="1791" w:type="dxa"/>
            <w:hideMark/>
          </w:tcPr>
          <w:p w14:paraId="41B2B48B" w14:textId="77777777" w:rsidR="00E551F6" w:rsidRPr="001A0A01" w:rsidRDefault="00E551F6" w:rsidP="00E551F6">
            <w:pPr>
              <w:pStyle w:val="Marginlie"/>
              <w:rPr>
                <w:spacing w:val="0"/>
                <w:lang w:val="en-GB" w:eastAsia="en-US"/>
              </w:rPr>
            </w:pPr>
            <w:r w:rsidRPr="001A0A01">
              <w:rPr>
                <w:spacing w:val="0"/>
                <w:lang w:val="en-GB" w:eastAsia="en-US"/>
              </w:rPr>
              <w:t xml:space="preserve">Year-on-year growth of the price level remained stable in Q2. </w:t>
            </w:r>
          </w:p>
        </w:tc>
        <w:tc>
          <w:tcPr>
            <w:tcW w:w="223" w:type="dxa"/>
          </w:tcPr>
          <w:p w14:paraId="7FC51A20" w14:textId="77777777" w:rsidR="00E551F6" w:rsidRPr="001A0A01" w:rsidRDefault="00E551F6" w:rsidP="00E551F6">
            <w:pPr>
              <w:pStyle w:val="Textpoznpodarou1"/>
              <w:jc w:val="both"/>
              <w:rPr>
                <w:lang w:val="en-GB" w:eastAsia="en-US"/>
              </w:rPr>
            </w:pPr>
          </w:p>
        </w:tc>
        <w:tc>
          <w:tcPr>
            <w:tcW w:w="7625" w:type="dxa"/>
            <w:gridSpan w:val="2"/>
            <w:hideMark/>
          </w:tcPr>
          <w:p w14:paraId="47883CEE" w14:textId="4128937C" w:rsidR="00E551F6" w:rsidRPr="001A0A01" w:rsidRDefault="00E551F6" w:rsidP="00E551F6">
            <w:pPr>
              <w:rPr>
                <w:szCs w:val="20"/>
                <w:lang w:val="en-GB" w:eastAsia="en-US"/>
              </w:rPr>
            </w:pPr>
            <w:r w:rsidRPr="001A0A01">
              <w:rPr>
                <w:szCs w:val="20"/>
                <w:lang w:val="en-GB" w:eastAsia="en-US"/>
              </w:rPr>
              <w:t xml:space="preserve">Total year-on-year growth of the price level gauged by the </w:t>
            </w:r>
            <w:r w:rsidR="00EF3741">
              <w:rPr>
                <w:szCs w:val="20"/>
                <w:lang w:val="en-GB" w:eastAsia="en-US"/>
              </w:rPr>
              <w:t>implicit</w:t>
            </w:r>
            <w:r w:rsidRPr="001A0A01">
              <w:rPr>
                <w:szCs w:val="20"/>
                <w:lang w:val="en-GB" w:eastAsia="en-US"/>
              </w:rPr>
              <w:t xml:space="preserve"> deflator amounted to 4.2% in Q2. It thus did not change much compared to the previous quarter. Year-on-year growth of consumption prices remained solid (3.2%), while the increase of household consumption prices (3.3%) as well as of general government (3.0%) was similar. The price level of capital outlays increased, year-on-year, by 3.5%, in that the increase for gross fixed capital formation was only 0.4%. The year-on-year terms of trade of the international trade with goods and services weakened to 101.3% in Q2. Of this, the terms of trade with goods and services attained 101.0% and 102.9% respectively. The quarter-on-quarter increase of the price level weakened slightly to 1.4% in Q2. The quarter-on-quarter growth of consumer prices slowed markedly (0.2%) compared to the previous quarter, in contrast the increase for capital expenditure strengthened to 3.7% (in that the investment price level rose by 2.9%). Quarter-on-quarter terms of international trade with goods and services weakened to 100.4%. </w:t>
            </w:r>
          </w:p>
        </w:tc>
      </w:tr>
      <w:tr w:rsidR="00E551F6" w:rsidRPr="001A0A01" w14:paraId="1FD296C4" w14:textId="77777777" w:rsidTr="00E551F6">
        <w:trPr>
          <w:trHeight w:val="145"/>
        </w:trPr>
        <w:tc>
          <w:tcPr>
            <w:tcW w:w="1791" w:type="dxa"/>
            <w:hideMark/>
          </w:tcPr>
          <w:p w14:paraId="2F548583" w14:textId="77777777" w:rsidR="00E551F6" w:rsidRPr="001A0A01" w:rsidRDefault="00E551F6" w:rsidP="00E551F6">
            <w:pPr>
              <w:pStyle w:val="Marginlie"/>
              <w:rPr>
                <w:spacing w:val="0"/>
                <w:lang w:val="en-GB" w:eastAsia="en-US"/>
              </w:rPr>
            </w:pPr>
            <w:r w:rsidRPr="001A0A01">
              <w:rPr>
                <w:spacing w:val="0"/>
                <w:lang w:val="en-GB" w:eastAsia="en-US"/>
              </w:rPr>
              <w:t>Year-on-year growth of consumer prices slightly strengthened in Q2.</w:t>
            </w:r>
          </w:p>
        </w:tc>
        <w:tc>
          <w:tcPr>
            <w:tcW w:w="223" w:type="dxa"/>
          </w:tcPr>
          <w:p w14:paraId="5892B832" w14:textId="77777777" w:rsidR="00E551F6" w:rsidRPr="001A0A01" w:rsidRDefault="00E551F6" w:rsidP="00E551F6">
            <w:pPr>
              <w:pStyle w:val="Textpoznpodarou1"/>
              <w:jc w:val="both"/>
              <w:rPr>
                <w:lang w:val="en-GB" w:eastAsia="en-US"/>
              </w:rPr>
            </w:pPr>
          </w:p>
        </w:tc>
        <w:tc>
          <w:tcPr>
            <w:tcW w:w="7625" w:type="dxa"/>
            <w:gridSpan w:val="2"/>
            <w:hideMark/>
          </w:tcPr>
          <w:p w14:paraId="0FB14C8E" w14:textId="09FEE48D" w:rsidR="00E551F6" w:rsidRPr="001A0A01" w:rsidRDefault="00E551F6" w:rsidP="00E551F6">
            <w:pPr>
              <w:rPr>
                <w:lang w:val="en-GB" w:eastAsia="en-US"/>
              </w:rPr>
            </w:pPr>
            <w:r w:rsidRPr="001A0A01">
              <w:rPr>
                <w:lang w:val="en-GB" w:eastAsia="en-US"/>
              </w:rPr>
              <w:t xml:space="preserve">The year-on-year growth of consumer prices following a significant slowdown in Q1 (2.1%) again slightly strengthened in Q2 to reach 2.5%. The strengthening of year-on-year dynamics was mainly caused by faster growth of transport prices and further a moderation of the decline of prices of food and non-alcoholic beverages. The increase of prices of housing and energies, alcoholic beverages and tobacco, transport and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contributed the most to the total year-on-year growth of consumer prices. Only prices of food and non-alcoholic beverages and home furnishings and household equipment decreased, year-on-year. Consumer prices rose by 0.8%, quarter on quarter, in Q2, owing to prices in all divisions of the consumer basket except for prices of housing and energies and recreation and arts. </w:t>
            </w:r>
          </w:p>
        </w:tc>
      </w:tr>
      <w:tr w:rsidR="00E551F6" w:rsidRPr="001A0A01" w14:paraId="25889528" w14:textId="77777777" w:rsidTr="00E551F6">
        <w:trPr>
          <w:trHeight w:val="145"/>
        </w:trPr>
        <w:tc>
          <w:tcPr>
            <w:tcW w:w="1791" w:type="dxa"/>
          </w:tcPr>
          <w:p w14:paraId="6CEE9300" w14:textId="77777777" w:rsidR="00E551F6" w:rsidRPr="001A0A01" w:rsidRDefault="00E551F6" w:rsidP="00E551F6">
            <w:pPr>
              <w:pStyle w:val="Marginlie"/>
              <w:rPr>
                <w:spacing w:val="0"/>
                <w:lang w:val="en-GB" w:eastAsia="en-US"/>
              </w:rPr>
            </w:pPr>
          </w:p>
        </w:tc>
        <w:tc>
          <w:tcPr>
            <w:tcW w:w="223" w:type="dxa"/>
          </w:tcPr>
          <w:p w14:paraId="178A50E0" w14:textId="77777777" w:rsidR="00E551F6" w:rsidRPr="001A0A01" w:rsidRDefault="00E551F6" w:rsidP="00E551F6">
            <w:pPr>
              <w:pStyle w:val="Textpoznpodarou1"/>
              <w:jc w:val="both"/>
              <w:rPr>
                <w:lang w:val="en-GB" w:eastAsia="en-US"/>
              </w:rPr>
            </w:pPr>
          </w:p>
        </w:tc>
        <w:tc>
          <w:tcPr>
            <w:tcW w:w="7625" w:type="dxa"/>
            <w:gridSpan w:val="2"/>
            <w:hideMark/>
          </w:tcPr>
          <w:p w14:paraId="304D6E2E" w14:textId="77777777" w:rsidR="00E551F6" w:rsidRPr="001A0A01" w:rsidRDefault="00E551F6" w:rsidP="00E551F6">
            <w:pPr>
              <w:spacing w:after="0"/>
              <w:rPr>
                <w:lang w:val="en-GB" w:eastAsia="en-US"/>
              </w:rPr>
            </w:pPr>
            <w:r w:rsidRPr="001A0A01">
              <w:rPr>
                <w:rFonts w:cs="Arial"/>
                <w:b/>
                <w:bCs/>
                <w:color w:val="000000"/>
                <w:sz w:val="18"/>
                <w:szCs w:val="18"/>
                <w:lang w:val="en-GB"/>
              </w:rPr>
              <w:t xml:space="preserve">Chart 10 Prices in the selected divisions of the consumer price index </w:t>
            </w:r>
            <w:r w:rsidRPr="001A0A01">
              <w:rPr>
                <w:rFonts w:cs="Arial"/>
                <w:color w:val="000000"/>
                <w:sz w:val="18"/>
                <w:szCs w:val="18"/>
                <w:lang w:val="en-GB"/>
              </w:rPr>
              <w:t>(year-on-year in %)</w:t>
            </w:r>
          </w:p>
        </w:tc>
      </w:tr>
      <w:tr w:rsidR="00E551F6" w:rsidRPr="001A0A01" w14:paraId="7C73F133" w14:textId="77777777" w:rsidTr="00EF3741">
        <w:tblPrEx>
          <w:tblCellMar>
            <w:left w:w="70" w:type="dxa"/>
            <w:right w:w="70" w:type="dxa"/>
          </w:tblCellMar>
        </w:tblPrEx>
        <w:trPr>
          <w:gridAfter w:val="1"/>
          <w:wAfter w:w="70" w:type="dxa"/>
          <w:trHeight w:val="145"/>
        </w:trPr>
        <w:tc>
          <w:tcPr>
            <w:tcW w:w="1791" w:type="dxa"/>
          </w:tcPr>
          <w:p w14:paraId="03CEED16" w14:textId="77777777" w:rsidR="00E551F6" w:rsidRPr="001A0A01" w:rsidRDefault="00E551F6" w:rsidP="00E551F6">
            <w:pPr>
              <w:pStyle w:val="Marginlie"/>
              <w:rPr>
                <w:spacing w:val="0"/>
                <w:lang w:val="en-GB" w:eastAsia="en-US"/>
              </w:rPr>
            </w:pPr>
          </w:p>
        </w:tc>
        <w:tc>
          <w:tcPr>
            <w:tcW w:w="223" w:type="dxa"/>
          </w:tcPr>
          <w:p w14:paraId="346A1865" w14:textId="77777777" w:rsidR="00E551F6" w:rsidRPr="001A0A01" w:rsidRDefault="00E551F6" w:rsidP="00E551F6">
            <w:pPr>
              <w:pStyle w:val="Textpoznpodarou1"/>
              <w:jc w:val="both"/>
              <w:rPr>
                <w:lang w:val="en-GB" w:eastAsia="en-US"/>
              </w:rPr>
            </w:pPr>
          </w:p>
        </w:tc>
        <w:tc>
          <w:tcPr>
            <w:tcW w:w="7625" w:type="dxa"/>
            <w:hideMark/>
          </w:tcPr>
          <w:p w14:paraId="6536A565" w14:textId="4C3686F8" w:rsidR="00E551F6" w:rsidRPr="001A0A01" w:rsidRDefault="00EF3741" w:rsidP="00E551F6">
            <w:pPr>
              <w:spacing w:after="0"/>
              <w:jc w:val="center"/>
              <w:rPr>
                <w:lang w:val="en-GB" w:eastAsia="en-US"/>
              </w:rPr>
            </w:pPr>
            <w:r>
              <w:rPr>
                <w:noProof/>
              </w:rPr>
              <w:drawing>
                <wp:inline distT="0" distB="0" distL="0" distR="0" wp14:anchorId="2586570B" wp14:editId="43BDF5FD">
                  <wp:extent cx="4737600" cy="3556375"/>
                  <wp:effectExtent l="0" t="0" r="6350" b="6350"/>
                  <wp:docPr id="10" name="Graf 10">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E551F6" w:rsidRPr="001A0A01" w14:paraId="724E40DF" w14:textId="77777777" w:rsidTr="00E551F6">
        <w:trPr>
          <w:trHeight w:val="145"/>
        </w:trPr>
        <w:tc>
          <w:tcPr>
            <w:tcW w:w="1791" w:type="dxa"/>
          </w:tcPr>
          <w:p w14:paraId="06F925BF" w14:textId="77777777" w:rsidR="00E551F6" w:rsidRPr="001A0A01" w:rsidRDefault="00E551F6" w:rsidP="00E551F6">
            <w:pPr>
              <w:pStyle w:val="Marginlie"/>
              <w:rPr>
                <w:spacing w:val="0"/>
                <w:lang w:val="en-GB" w:eastAsia="en-US"/>
              </w:rPr>
            </w:pPr>
          </w:p>
        </w:tc>
        <w:tc>
          <w:tcPr>
            <w:tcW w:w="223" w:type="dxa"/>
          </w:tcPr>
          <w:p w14:paraId="1F29B960" w14:textId="77777777" w:rsidR="00E551F6" w:rsidRPr="001A0A01" w:rsidRDefault="00E551F6" w:rsidP="00E551F6">
            <w:pPr>
              <w:pStyle w:val="Textpoznpodarou1"/>
              <w:jc w:val="both"/>
              <w:rPr>
                <w:lang w:val="en-GB" w:eastAsia="en-US"/>
              </w:rPr>
            </w:pPr>
          </w:p>
        </w:tc>
        <w:tc>
          <w:tcPr>
            <w:tcW w:w="7625" w:type="dxa"/>
            <w:gridSpan w:val="2"/>
            <w:hideMark/>
          </w:tcPr>
          <w:p w14:paraId="1FD2BAA0" w14:textId="5BE4ABC6" w:rsidR="00E551F6" w:rsidRPr="005C159F" w:rsidRDefault="00E551F6" w:rsidP="005C159F">
            <w:pPr>
              <w:jc w:val="left"/>
              <w:rPr>
                <w:b/>
                <w:bCs/>
                <w:sz w:val="14"/>
                <w:szCs w:val="14"/>
                <w:lang w:val="en-GB" w:eastAsia="en-US"/>
              </w:rPr>
            </w:pPr>
            <w:r w:rsidRPr="005C159F">
              <w:rPr>
                <w:sz w:val="14"/>
                <w:szCs w:val="14"/>
                <w:lang w:val="en-GB" w:eastAsia="en-US"/>
              </w:rPr>
              <w:t>Source: CZSO</w:t>
            </w:r>
          </w:p>
        </w:tc>
      </w:tr>
      <w:tr w:rsidR="00E551F6" w:rsidRPr="001A0A01" w14:paraId="7D01E896" w14:textId="77777777" w:rsidTr="00E551F6">
        <w:trPr>
          <w:trHeight w:val="145"/>
        </w:trPr>
        <w:tc>
          <w:tcPr>
            <w:tcW w:w="1791" w:type="dxa"/>
            <w:hideMark/>
          </w:tcPr>
          <w:p w14:paraId="3F1BA66B" w14:textId="77777777" w:rsidR="00E551F6" w:rsidRPr="001A0A01" w:rsidRDefault="00E551F6" w:rsidP="00E551F6">
            <w:pPr>
              <w:pStyle w:val="Marginlie"/>
              <w:rPr>
                <w:spacing w:val="0"/>
                <w:lang w:val="en-GB" w:eastAsia="en-US"/>
              </w:rPr>
            </w:pPr>
            <w:r w:rsidRPr="001A0A01">
              <w:rPr>
                <w:spacing w:val="0"/>
                <w:lang w:val="en-GB" w:eastAsia="en-US"/>
              </w:rPr>
              <w:t xml:space="preserve">Costs of housing continued to contribute the most to the total </w:t>
            </w:r>
            <w:r w:rsidRPr="001A0A01">
              <w:rPr>
                <w:spacing w:val="0"/>
                <w:lang w:val="en-GB" w:eastAsia="en-US"/>
              </w:rPr>
              <w:lastRenderedPageBreak/>
              <w:t xml:space="preserve">increase of consumer prices. </w:t>
            </w:r>
          </w:p>
        </w:tc>
        <w:tc>
          <w:tcPr>
            <w:tcW w:w="223" w:type="dxa"/>
          </w:tcPr>
          <w:p w14:paraId="22CC3702" w14:textId="77777777" w:rsidR="00E551F6" w:rsidRPr="001A0A01" w:rsidRDefault="00E551F6" w:rsidP="00E551F6">
            <w:pPr>
              <w:pStyle w:val="Textpoznpodarou1"/>
              <w:jc w:val="both"/>
              <w:rPr>
                <w:lang w:val="en-GB" w:eastAsia="en-US"/>
              </w:rPr>
            </w:pPr>
          </w:p>
        </w:tc>
        <w:tc>
          <w:tcPr>
            <w:tcW w:w="7625" w:type="dxa"/>
            <w:gridSpan w:val="2"/>
            <w:hideMark/>
          </w:tcPr>
          <w:p w14:paraId="0F66FCEE" w14:textId="77777777" w:rsidR="00E551F6" w:rsidRPr="001A0A01" w:rsidRDefault="00E551F6" w:rsidP="00E551F6">
            <w:pPr>
              <w:rPr>
                <w:lang w:val="en-GB" w:eastAsia="en-US"/>
              </w:rPr>
            </w:pPr>
            <w:r w:rsidRPr="001A0A01">
              <w:rPr>
                <w:lang w:val="en-GB" w:eastAsia="en-US"/>
              </w:rPr>
              <w:t xml:space="preserve">Prices of housing and energies rose by 3.1%, year-on-year, in Q2 and the increase thus slightly weakened to Q1. Nevertheless, housing retained the largest contribution to the total growth of consumer prices thanks to its weight in the consumer basket. Prices of </w:t>
            </w:r>
            <w:r w:rsidRPr="001A0A01">
              <w:rPr>
                <w:lang w:val="en-GB" w:eastAsia="en-US"/>
              </w:rPr>
              <w:lastRenderedPageBreak/>
              <w:t>other housing-related services (8.2%) and rented dwellings (7.1%) grew the most, year-on-year, in Q2. At the same time, their relatively strong pace in comparison to the previous quarter did not change. Prices of maintenance and minor repairs of dwellings increased by 4.6%, year-on-year, and the increase of prices of electricity, heat, gas and other fuels weakened to 3.8%. The imputed rentals (0.9%) grew the slowest</w:t>
            </w:r>
            <w:r w:rsidRPr="001A0A01">
              <w:rPr>
                <w:rStyle w:val="Znakapoznpodarou"/>
                <w:lang w:val="en-GB" w:eastAsia="en-US"/>
              </w:rPr>
              <w:footnoteReference w:id="56"/>
            </w:r>
            <w:r w:rsidRPr="001A0A01">
              <w:rPr>
                <w:lang w:val="en-GB" w:eastAsia="en-US"/>
              </w:rPr>
              <w:t xml:space="preserve">. Prices of housing and energies were essentially stagnating (−0.1%), quarter-on-quarter. </w:t>
            </w:r>
          </w:p>
        </w:tc>
      </w:tr>
      <w:tr w:rsidR="00E551F6" w:rsidRPr="001A0A01" w14:paraId="32B4B6FF" w14:textId="77777777" w:rsidTr="00E551F6">
        <w:trPr>
          <w:trHeight w:val="145"/>
        </w:trPr>
        <w:tc>
          <w:tcPr>
            <w:tcW w:w="1791" w:type="dxa"/>
            <w:hideMark/>
          </w:tcPr>
          <w:p w14:paraId="4D44B030" w14:textId="77777777" w:rsidR="00E551F6" w:rsidRPr="001A0A01" w:rsidRDefault="00E551F6" w:rsidP="00E551F6">
            <w:pPr>
              <w:pStyle w:val="Marginlie"/>
              <w:rPr>
                <w:spacing w:val="0"/>
                <w:lang w:val="en-GB" w:eastAsia="en-US"/>
              </w:rPr>
            </w:pPr>
            <w:r w:rsidRPr="001A0A01">
              <w:rPr>
                <w:spacing w:val="0"/>
                <w:lang w:val="en-GB" w:eastAsia="en-US"/>
              </w:rPr>
              <w:lastRenderedPageBreak/>
              <w:t xml:space="preserve">Growth of transport prices accelerated. </w:t>
            </w:r>
          </w:p>
        </w:tc>
        <w:tc>
          <w:tcPr>
            <w:tcW w:w="223" w:type="dxa"/>
          </w:tcPr>
          <w:p w14:paraId="5F27F847" w14:textId="77777777" w:rsidR="00E551F6" w:rsidRPr="001A0A01" w:rsidRDefault="00E551F6" w:rsidP="00E551F6">
            <w:pPr>
              <w:pStyle w:val="Textpoznpodarou1"/>
              <w:jc w:val="both"/>
              <w:rPr>
                <w:lang w:val="en-GB" w:eastAsia="en-US"/>
              </w:rPr>
            </w:pPr>
          </w:p>
        </w:tc>
        <w:tc>
          <w:tcPr>
            <w:tcW w:w="7625" w:type="dxa"/>
            <w:gridSpan w:val="2"/>
            <w:hideMark/>
          </w:tcPr>
          <w:p w14:paraId="1B6CA9A4" w14:textId="5EEAFAE8" w:rsidR="00E551F6" w:rsidRPr="001A0A01" w:rsidRDefault="00E551F6" w:rsidP="00E551F6">
            <w:pPr>
              <w:rPr>
                <w:lang w:val="en-GB" w:eastAsia="en-US"/>
              </w:rPr>
            </w:pPr>
            <w:r w:rsidRPr="001A0A01">
              <w:rPr>
                <w:lang w:val="en-GB" w:eastAsia="en-US"/>
              </w:rPr>
              <w:t xml:space="preserve">The year-on-year growth of transport prices strengthened to 4.6% in Q2. This change was mainly driven by the cost of operating a personal transport equipment, which increased by 9.5%, year-on-year. In that, prices of fuels and oils were higher by 8.4%. Prices of transport services went up by 4.7%, year-on-year. Prices of </w:t>
            </w:r>
            <w:proofErr w:type="spellStart"/>
            <w:r w:rsidR="00040A98">
              <w:rPr>
                <w:lang w:val="en-GB" w:eastAsia="en-US"/>
              </w:rPr>
              <w:t>purchse</w:t>
            </w:r>
            <w:proofErr w:type="spellEnd"/>
            <w:r w:rsidR="00040A98">
              <w:rPr>
                <w:lang w:val="en-GB" w:eastAsia="en-US"/>
              </w:rPr>
              <w:t xml:space="preserve"> of </w:t>
            </w:r>
            <w:r w:rsidRPr="001A0A01">
              <w:rPr>
                <w:lang w:val="en-GB" w:eastAsia="en-US"/>
              </w:rPr>
              <w:t>vehicle</w:t>
            </w:r>
            <w:r w:rsidR="00040A98">
              <w:rPr>
                <w:lang w:val="en-GB" w:eastAsia="en-US"/>
              </w:rPr>
              <w:t>s</w:t>
            </w:r>
            <w:r w:rsidRPr="001A0A01">
              <w:rPr>
                <w:lang w:val="en-GB" w:eastAsia="en-US"/>
              </w:rPr>
              <w:t xml:space="preserve"> themselves continued to decline (−1.4%). Transport prices rose by 2.0%, quarter-on-quarter, which represents a significant increase compared to the pace in the first quarter of the year. </w:t>
            </w:r>
          </w:p>
        </w:tc>
      </w:tr>
      <w:tr w:rsidR="00E551F6" w:rsidRPr="001A0A01" w14:paraId="57893C00" w14:textId="77777777" w:rsidTr="00E551F6">
        <w:trPr>
          <w:trHeight w:val="145"/>
        </w:trPr>
        <w:tc>
          <w:tcPr>
            <w:tcW w:w="1791" w:type="dxa"/>
            <w:hideMark/>
          </w:tcPr>
          <w:p w14:paraId="59DD13E0" w14:textId="6AC3BA66" w:rsidR="00E551F6" w:rsidRPr="001A0A01" w:rsidRDefault="00E551F6" w:rsidP="00E551F6">
            <w:pPr>
              <w:pStyle w:val="Marginlie"/>
              <w:rPr>
                <w:spacing w:val="0"/>
                <w:lang w:val="en-GB" w:eastAsia="en-US"/>
              </w:rPr>
            </w:pPr>
            <w:r w:rsidRPr="001A0A01">
              <w:rPr>
                <w:spacing w:val="0"/>
                <w:lang w:val="en-GB" w:eastAsia="en-US"/>
              </w:rPr>
              <w:t xml:space="preserve">Prices of </w:t>
            </w:r>
            <w:r w:rsidR="00074573">
              <w:rPr>
                <w:spacing w:val="0"/>
                <w:lang w:val="en-GB" w:eastAsia="en-US"/>
              </w:rPr>
              <w:t>restaurants</w:t>
            </w:r>
            <w:r w:rsidRPr="001A0A01">
              <w:rPr>
                <w:spacing w:val="0"/>
                <w:lang w:val="en-GB" w:eastAsia="en-US"/>
              </w:rPr>
              <w:t xml:space="preserve"> and </w:t>
            </w:r>
            <w:proofErr w:type="spellStart"/>
            <w:r w:rsidR="00074573">
              <w:rPr>
                <w:spacing w:val="0"/>
                <w:lang w:val="en-GB" w:eastAsia="en-US"/>
              </w:rPr>
              <w:t>hotels</w:t>
            </w:r>
            <w:r w:rsidRPr="001A0A01">
              <w:rPr>
                <w:spacing w:val="0"/>
                <w:lang w:val="en-GB" w:eastAsia="en-US"/>
              </w:rPr>
              <w:t>retained</w:t>
            </w:r>
            <w:proofErr w:type="spellEnd"/>
            <w:r w:rsidRPr="001A0A01">
              <w:rPr>
                <w:spacing w:val="0"/>
                <w:lang w:val="en-GB" w:eastAsia="en-US"/>
              </w:rPr>
              <w:t xml:space="preserve"> a considerable year-on-year increase. </w:t>
            </w:r>
          </w:p>
        </w:tc>
        <w:tc>
          <w:tcPr>
            <w:tcW w:w="223" w:type="dxa"/>
          </w:tcPr>
          <w:p w14:paraId="11505DE8" w14:textId="77777777" w:rsidR="00E551F6" w:rsidRPr="001A0A01" w:rsidRDefault="00E551F6" w:rsidP="00E551F6">
            <w:pPr>
              <w:pStyle w:val="Textpoznpodarou1"/>
              <w:jc w:val="both"/>
              <w:rPr>
                <w:lang w:val="en-GB" w:eastAsia="en-US"/>
              </w:rPr>
            </w:pPr>
          </w:p>
        </w:tc>
        <w:tc>
          <w:tcPr>
            <w:tcW w:w="7625" w:type="dxa"/>
            <w:gridSpan w:val="2"/>
            <w:hideMark/>
          </w:tcPr>
          <w:p w14:paraId="532F457A" w14:textId="75620F60" w:rsidR="00E551F6" w:rsidRPr="001A0A01" w:rsidRDefault="00E551F6" w:rsidP="00E551F6">
            <w:pPr>
              <w:rPr>
                <w:lang w:val="en-GB" w:eastAsia="en-US"/>
              </w:rPr>
            </w:pPr>
            <w:r w:rsidRPr="001A0A01">
              <w:rPr>
                <w:lang w:val="en-GB" w:eastAsia="en-US"/>
              </w:rPr>
              <w:t xml:space="preserve">The substantial effect of prices of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on the year-on-year growth of consumer prices persisted in Q2. Their year-on-year increase slightly weakened to 7.8%. Prices of accommodation services rose more markedly (9.2%) than the prices of </w:t>
            </w:r>
            <w:r w:rsidR="00040A98">
              <w:rPr>
                <w:lang w:val="en-GB" w:eastAsia="en-US"/>
              </w:rPr>
              <w:t>catering</w:t>
            </w:r>
            <w:r w:rsidRPr="001A0A01">
              <w:rPr>
                <w:lang w:val="en-GB" w:eastAsia="en-US"/>
              </w:rPr>
              <w:t xml:space="preserve"> service (7.6%). The quarter-on-quarter increase of prices of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remained strong in Q2 (1.9%). Prices of alcoholic beverages and tobacco increased by 6.2%, year-on-year, in Q2, which represented a significant strengthening compared to the previous quarter. Prices of alcohol and tobacco went up by 1.9%, quarter-on-quarter. </w:t>
            </w:r>
          </w:p>
        </w:tc>
      </w:tr>
      <w:tr w:rsidR="00E551F6" w:rsidRPr="001A0A01" w14:paraId="2AAFD7B7" w14:textId="77777777" w:rsidTr="00E551F6">
        <w:trPr>
          <w:trHeight w:val="145"/>
        </w:trPr>
        <w:tc>
          <w:tcPr>
            <w:tcW w:w="1791" w:type="dxa"/>
            <w:hideMark/>
          </w:tcPr>
          <w:p w14:paraId="46CFAE4E" w14:textId="77777777" w:rsidR="00E551F6" w:rsidRPr="001A0A01" w:rsidRDefault="00E551F6" w:rsidP="00E551F6">
            <w:pPr>
              <w:pStyle w:val="Marginlie"/>
              <w:rPr>
                <w:spacing w:val="0"/>
                <w:lang w:val="en-GB" w:eastAsia="en-US"/>
              </w:rPr>
            </w:pPr>
            <w:r w:rsidRPr="001A0A01">
              <w:rPr>
                <w:spacing w:val="0"/>
                <w:lang w:val="en-GB" w:eastAsia="en-US"/>
              </w:rPr>
              <w:t xml:space="preserve">Prices of recreation and arts dropped, quarter-on-quarter. </w:t>
            </w:r>
          </w:p>
        </w:tc>
        <w:tc>
          <w:tcPr>
            <w:tcW w:w="223" w:type="dxa"/>
          </w:tcPr>
          <w:p w14:paraId="285ECC2A" w14:textId="77777777" w:rsidR="00E551F6" w:rsidRPr="001A0A01" w:rsidRDefault="00E551F6" w:rsidP="00E551F6">
            <w:pPr>
              <w:pStyle w:val="Textpoznpodarou1"/>
              <w:jc w:val="both"/>
              <w:rPr>
                <w:lang w:val="en-GB" w:eastAsia="en-US"/>
              </w:rPr>
            </w:pPr>
          </w:p>
        </w:tc>
        <w:tc>
          <w:tcPr>
            <w:tcW w:w="7625" w:type="dxa"/>
            <w:gridSpan w:val="2"/>
            <w:hideMark/>
          </w:tcPr>
          <w:p w14:paraId="57CB3B54" w14:textId="4AD25352" w:rsidR="00E551F6" w:rsidRPr="001A0A01" w:rsidRDefault="00E551F6" w:rsidP="00E551F6">
            <w:pPr>
              <w:rPr>
                <w:lang w:val="en-GB" w:eastAsia="en-US"/>
              </w:rPr>
            </w:pPr>
            <w:r w:rsidRPr="001A0A01">
              <w:rPr>
                <w:lang w:val="en-GB" w:eastAsia="en-US"/>
              </w:rPr>
              <w:t xml:space="preserve">Prices of recreation and </w:t>
            </w:r>
            <w:r w:rsidR="00042F74">
              <w:rPr>
                <w:lang w:val="en-GB" w:eastAsia="en-US"/>
              </w:rPr>
              <w:t>culture</w:t>
            </w:r>
            <w:r w:rsidRPr="001A0A01">
              <w:rPr>
                <w:lang w:val="en-GB" w:eastAsia="en-US"/>
              </w:rPr>
              <w:t xml:space="preserve"> rose by 3.8%, year-on-year, and the increase thus moderated. The price growth of newspapers, books and paper goods slowed down the most (2.3%) and the pace for recreation and </w:t>
            </w:r>
            <w:r w:rsidR="00042F74">
              <w:rPr>
                <w:lang w:val="en-GB" w:eastAsia="en-US"/>
              </w:rPr>
              <w:t>cultural</w:t>
            </w:r>
            <w:r w:rsidRPr="001A0A01">
              <w:rPr>
                <w:lang w:val="en-GB" w:eastAsia="en-US"/>
              </w:rPr>
              <w:t xml:space="preserve"> services was also more moderate (6.3%). On the contrary, prices of package holidays increased more sharply, year-on-year (5.1%). The prices of recreation and </w:t>
            </w:r>
            <w:r w:rsidR="00042F74">
              <w:rPr>
                <w:lang w:val="en-GB" w:eastAsia="en-US"/>
              </w:rPr>
              <w:t>culture</w:t>
            </w:r>
            <w:r w:rsidRPr="001A0A01">
              <w:rPr>
                <w:lang w:val="en-GB" w:eastAsia="en-US"/>
              </w:rPr>
              <w:t xml:space="preserve"> followed the strong quarter-on-quarter increase from Q1 with a drop of 0.8%. The year-on-year growth of prices of </w:t>
            </w:r>
            <w:r w:rsidR="00042F74">
              <w:rPr>
                <w:lang w:val="en-GB" w:eastAsia="en-US"/>
              </w:rPr>
              <w:t>clothing</w:t>
            </w:r>
            <w:r w:rsidRPr="001A0A01">
              <w:rPr>
                <w:lang w:val="en-GB" w:eastAsia="en-US"/>
              </w:rPr>
              <w:t xml:space="preserve"> and footwear moderated to 3.3% and stagnated, quarter-on-quarter. Prices of other goods and services</w:t>
            </w:r>
            <w:r w:rsidRPr="001A0A01">
              <w:rPr>
                <w:rStyle w:val="Znakapoznpodarou"/>
                <w:lang w:val="en-GB" w:eastAsia="en-US"/>
              </w:rPr>
              <w:footnoteReference w:id="57"/>
            </w:r>
            <w:r w:rsidRPr="001A0A01">
              <w:rPr>
                <w:lang w:val="en-GB" w:eastAsia="en-US"/>
              </w:rPr>
              <w:t xml:space="preserve"> went up by 3.0%, year-on-year, and by 1.0%, quarter-on-quarter. Prices of health were higher by 4.0%, year-on-year, and by 2.2%, quarter-on-quarter, which was the largest increase in the whole consumer basket. Prices of education rose by 6.5%, year-on-year, in Q2 and increased by 0.1%, quarter-on-quarter.   </w:t>
            </w:r>
          </w:p>
        </w:tc>
      </w:tr>
      <w:tr w:rsidR="00E551F6" w:rsidRPr="001A0A01" w14:paraId="3991755B" w14:textId="77777777" w:rsidTr="00E551F6">
        <w:trPr>
          <w:trHeight w:val="145"/>
        </w:trPr>
        <w:tc>
          <w:tcPr>
            <w:tcW w:w="1791" w:type="dxa"/>
            <w:hideMark/>
          </w:tcPr>
          <w:p w14:paraId="36F344EC" w14:textId="77777777" w:rsidR="00E551F6" w:rsidRPr="001A0A01" w:rsidRDefault="00E551F6" w:rsidP="00E551F6">
            <w:pPr>
              <w:pStyle w:val="Marginlie"/>
              <w:rPr>
                <w:spacing w:val="0"/>
                <w:lang w:val="en-GB" w:eastAsia="en-US"/>
              </w:rPr>
            </w:pPr>
            <w:r w:rsidRPr="001A0A01">
              <w:rPr>
                <w:spacing w:val="0"/>
                <w:lang w:val="en-GB" w:eastAsia="en-US"/>
              </w:rPr>
              <w:t xml:space="preserve">The year-on-year decline of prices of food and non-alcoholic beverages moderated. </w:t>
            </w:r>
          </w:p>
        </w:tc>
        <w:tc>
          <w:tcPr>
            <w:tcW w:w="223" w:type="dxa"/>
          </w:tcPr>
          <w:p w14:paraId="2DA7E97A" w14:textId="77777777" w:rsidR="00E551F6" w:rsidRPr="001A0A01" w:rsidRDefault="00E551F6" w:rsidP="00E551F6">
            <w:pPr>
              <w:pStyle w:val="Textpoznpodarou1"/>
              <w:jc w:val="both"/>
              <w:rPr>
                <w:lang w:val="en-GB" w:eastAsia="en-US"/>
              </w:rPr>
            </w:pPr>
          </w:p>
        </w:tc>
        <w:tc>
          <w:tcPr>
            <w:tcW w:w="7625" w:type="dxa"/>
            <w:gridSpan w:val="2"/>
            <w:hideMark/>
          </w:tcPr>
          <w:p w14:paraId="1DB4BBB3" w14:textId="768E4008" w:rsidR="00E551F6" w:rsidRPr="001A0A01" w:rsidRDefault="00E551F6" w:rsidP="00042F74">
            <w:pPr>
              <w:spacing w:after="0"/>
              <w:rPr>
                <w:lang w:val="en-GB" w:eastAsia="en-US"/>
              </w:rPr>
            </w:pPr>
            <w:r w:rsidRPr="001A0A01">
              <w:rPr>
                <w:lang w:val="en-GB" w:eastAsia="en-US"/>
              </w:rPr>
              <w:t xml:space="preserve">Only prices of food and non-alcoholic beverages, which were lower by 3.6%, worked in the direction of total year-on-year consumer price decrease. Their plunge however moderated compared to Q1. This was mainly due to a strengthening growth of prices of non-alcoholic beverages (3.6%) and a moderation of the fall of prices of milk, cheese and eggs (−9.0%). The decrease of prices of meat and fish (both −4.9%) and sugar and related products (−0.5%) was also less pronounced and prices of oils and fats (1.0%) turned from decline to growth. By contrast, the decrease of prices of </w:t>
            </w:r>
            <w:r w:rsidR="00042F74">
              <w:rPr>
                <w:lang w:val="en-GB" w:eastAsia="en-US"/>
              </w:rPr>
              <w:t>bread and cereals</w:t>
            </w:r>
            <w:r w:rsidRPr="001A0A01">
              <w:rPr>
                <w:lang w:val="en-GB" w:eastAsia="en-US"/>
              </w:rPr>
              <w:t xml:space="preserve"> remained unchanged (−4.5%), the decline of prices of fruit deepened (−5.3%) and the rise of prices of vegetables diminished (1.0%). Prices of food and non-alcoholic beverages went up by 0.8%, quarter-on-quarter. Prices of home furnishings and household equipment decreased by 0.1%, year-on-year, mainly under the influence of goods and services for household maintenance, where the drop deepened to −6.9%. However, prices of home equipment and furnishings were by 0.8% higher, quarter-on-quarter.    </w:t>
            </w:r>
          </w:p>
        </w:tc>
      </w:tr>
      <w:tr w:rsidR="00E551F6" w:rsidRPr="001A0A01" w14:paraId="21BA7547" w14:textId="77777777" w:rsidTr="00E551F6">
        <w:trPr>
          <w:trHeight w:val="145"/>
        </w:trPr>
        <w:tc>
          <w:tcPr>
            <w:tcW w:w="1791" w:type="dxa"/>
            <w:hideMark/>
          </w:tcPr>
          <w:p w14:paraId="1C4FE7CC" w14:textId="77777777" w:rsidR="00E551F6" w:rsidRPr="001A0A01" w:rsidRDefault="00E551F6" w:rsidP="00E551F6">
            <w:pPr>
              <w:pStyle w:val="Marginlie"/>
              <w:rPr>
                <w:spacing w:val="0"/>
                <w:lang w:val="en-GB" w:eastAsia="en-US"/>
              </w:rPr>
            </w:pPr>
            <w:r w:rsidRPr="001A0A01">
              <w:rPr>
                <w:spacing w:val="0"/>
                <w:lang w:val="en-GB" w:eastAsia="en-US"/>
              </w:rPr>
              <w:lastRenderedPageBreak/>
              <w:t>Year-on-year growth of consumer prices slightly slowed down in the EU.</w:t>
            </w:r>
          </w:p>
        </w:tc>
        <w:tc>
          <w:tcPr>
            <w:tcW w:w="223" w:type="dxa"/>
          </w:tcPr>
          <w:p w14:paraId="407C3861" w14:textId="77777777" w:rsidR="00E551F6" w:rsidRPr="001A0A01" w:rsidRDefault="00E551F6" w:rsidP="00E551F6">
            <w:pPr>
              <w:pStyle w:val="Textpoznpodarou1"/>
              <w:jc w:val="both"/>
              <w:rPr>
                <w:lang w:val="en-GB" w:eastAsia="en-US"/>
              </w:rPr>
            </w:pPr>
          </w:p>
        </w:tc>
        <w:tc>
          <w:tcPr>
            <w:tcW w:w="7625" w:type="dxa"/>
            <w:gridSpan w:val="2"/>
            <w:hideMark/>
          </w:tcPr>
          <w:p w14:paraId="788BAEB6" w14:textId="46F26BCA" w:rsidR="00E551F6" w:rsidRPr="001A0A01" w:rsidRDefault="00E551F6" w:rsidP="00E551F6">
            <w:pPr>
              <w:rPr>
                <w:lang w:val="en-GB" w:eastAsia="en-US"/>
              </w:rPr>
            </w:pPr>
            <w:r w:rsidRPr="001A0A01">
              <w:rPr>
                <w:lang w:val="en-GB" w:eastAsia="en-US"/>
              </w:rPr>
              <w:t>Harmonized index of consumer prices (HICP)</w:t>
            </w:r>
            <w:r w:rsidRPr="001A0A01">
              <w:rPr>
                <w:rStyle w:val="Znakapoznpodarou"/>
                <w:lang w:val="en-GB" w:eastAsia="en-US"/>
              </w:rPr>
              <w:footnoteReference w:id="58"/>
            </w:r>
            <w:r w:rsidRPr="001A0A01">
              <w:rPr>
                <w:lang w:val="en-GB" w:eastAsia="en-US"/>
              </w:rPr>
              <w:t xml:space="preserve"> rose by 2.6% in the EU, year-on-year, and by 1.4%, quarter-on-quarter, in Q2. The year-on-year increase of the HICP slowed slightly compared to Q1. Prices of alcoholic beverages and tobacco (5.2%) and </w:t>
            </w:r>
            <w:r w:rsidR="00074573">
              <w:rPr>
                <w:lang w:val="en-GB" w:eastAsia="en-US"/>
              </w:rPr>
              <w:t>restaurants</w:t>
            </w:r>
            <w:r w:rsidRPr="001A0A01">
              <w:rPr>
                <w:lang w:val="en-GB" w:eastAsia="en-US"/>
              </w:rPr>
              <w:t xml:space="preserve"> and </w:t>
            </w:r>
            <w:r w:rsidR="00074573">
              <w:rPr>
                <w:lang w:val="en-GB" w:eastAsia="en-US"/>
              </w:rPr>
              <w:t>hotels</w:t>
            </w:r>
            <w:r w:rsidRPr="001A0A01">
              <w:rPr>
                <w:lang w:val="en-GB" w:eastAsia="en-US"/>
              </w:rPr>
              <w:t xml:space="preserve"> (5.3%) rose strongly, year-on-year. Growth of transport prices (2.2%) and housing and energy prices (1.4%) strengthened. Growth of prices of food and non-alcoholic beverages weakened (1.7%). Only telecommunications prices were lower in the EU (−1.1%), year-on-year. The highest year-on-year HICP increase was recorded in Romania (5.8%), Belgium (5.1%) and Croatia (4.2%). In Q2, the year-on-year price increase was below 1% in Finland (0.5%), Lithuania (0.8%), Latvia (0.9%) and Italy (0.9%). The highest quarter-on-quarter increase of consumer prices was recorded in Malta (5.1%), Portugal (3.3%) and Cyprus (3.1%) in Q2. Prices similarly rose by only 0.2%, quarter-on-quarter, in Finland, Denmark and Bulgaria.     </w:t>
            </w:r>
          </w:p>
        </w:tc>
      </w:tr>
      <w:tr w:rsidR="00E551F6" w:rsidRPr="001A0A01" w14:paraId="29160729" w14:textId="77777777" w:rsidTr="00E551F6">
        <w:trPr>
          <w:trHeight w:val="145"/>
        </w:trPr>
        <w:tc>
          <w:tcPr>
            <w:tcW w:w="1791" w:type="dxa"/>
          </w:tcPr>
          <w:p w14:paraId="0931F3B2" w14:textId="77777777" w:rsidR="00E551F6" w:rsidRPr="001A0A01" w:rsidRDefault="00E551F6" w:rsidP="00E551F6">
            <w:pPr>
              <w:pStyle w:val="Marginlie"/>
              <w:rPr>
                <w:spacing w:val="0"/>
                <w:lang w:val="en-GB" w:eastAsia="en-US"/>
              </w:rPr>
            </w:pPr>
          </w:p>
        </w:tc>
        <w:tc>
          <w:tcPr>
            <w:tcW w:w="223" w:type="dxa"/>
          </w:tcPr>
          <w:p w14:paraId="5C5EB167" w14:textId="77777777" w:rsidR="00E551F6" w:rsidRPr="001A0A01" w:rsidRDefault="00E551F6" w:rsidP="00E551F6">
            <w:pPr>
              <w:pStyle w:val="Textpoznpodarou1"/>
              <w:jc w:val="both"/>
              <w:rPr>
                <w:lang w:val="en-GB" w:eastAsia="en-US"/>
              </w:rPr>
            </w:pPr>
          </w:p>
        </w:tc>
        <w:tc>
          <w:tcPr>
            <w:tcW w:w="7625" w:type="dxa"/>
            <w:gridSpan w:val="2"/>
            <w:hideMark/>
          </w:tcPr>
          <w:p w14:paraId="37C8B008" w14:textId="77777777" w:rsidR="00E551F6" w:rsidRPr="001A0A01" w:rsidRDefault="00E551F6" w:rsidP="00E551F6">
            <w:pPr>
              <w:spacing w:after="0"/>
              <w:rPr>
                <w:rStyle w:val="Znakapoznpodarou"/>
                <w:lang w:val="en-GB"/>
              </w:rPr>
            </w:pPr>
            <w:r w:rsidRPr="001A0A01">
              <w:rPr>
                <w:b/>
                <w:sz w:val="18"/>
                <w:szCs w:val="18"/>
                <w:lang w:val="en-GB" w:eastAsia="en-US"/>
              </w:rPr>
              <w:t xml:space="preserve">Chart 11 Prices of real estate </w:t>
            </w:r>
            <w:r w:rsidRPr="001A0A01">
              <w:rPr>
                <w:sz w:val="18"/>
                <w:szCs w:val="18"/>
                <w:lang w:val="en-GB" w:eastAsia="en-US"/>
              </w:rPr>
              <w:t>(year-on-year change, in %)</w:t>
            </w:r>
          </w:p>
        </w:tc>
      </w:tr>
      <w:tr w:rsidR="00E551F6" w:rsidRPr="001A0A01" w14:paraId="7CAD6FEB" w14:textId="77777777" w:rsidTr="00EF3741">
        <w:tblPrEx>
          <w:tblCellMar>
            <w:left w:w="70" w:type="dxa"/>
            <w:right w:w="70" w:type="dxa"/>
          </w:tblCellMar>
        </w:tblPrEx>
        <w:trPr>
          <w:gridAfter w:val="1"/>
          <w:wAfter w:w="70" w:type="dxa"/>
          <w:trHeight w:val="145"/>
        </w:trPr>
        <w:tc>
          <w:tcPr>
            <w:tcW w:w="1791" w:type="dxa"/>
          </w:tcPr>
          <w:p w14:paraId="4D1D8B15" w14:textId="77777777" w:rsidR="00E551F6" w:rsidRPr="001A0A01" w:rsidRDefault="00E551F6" w:rsidP="00E551F6">
            <w:pPr>
              <w:pStyle w:val="Marginlie"/>
              <w:rPr>
                <w:spacing w:val="0"/>
                <w:lang w:val="en-GB"/>
              </w:rPr>
            </w:pPr>
          </w:p>
        </w:tc>
        <w:tc>
          <w:tcPr>
            <w:tcW w:w="223" w:type="dxa"/>
          </w:tcPr>
          <w:p w14:paraId="016D80A5" w14:textId="77777777" w:rsidR="00E551F6" w:rsidRPr="001A0A01" w:rsidRDefault="00E551F6" w:rsidP="00E551F6">
            <w:pPr>
              <w:pStyle w:val="Textpoznpodarou1"/>
              <w:jc w:val="both"/>
              <w:rPr>
                <w:lang w:val="en-GB" w:eastAsia="en-US"/>
              </w:rPr>
            </w:pPr>
          </w:p>
        </w:tc>
        <w:tc>
          <w:tcPr>
            <w:tcW w:w="7625" w:type="dxa"/>
            <w:hideMark/>
          </w:tcPr>
          <w:p w14:paraId="60ECEF83" w14:textId="10CAF86C" w:rsidR="00E551F6" w:rsidRPr="001A0A01" w:rsidRDefault="00EF3741" w:rsidP="00E551F6">
            <w:pPr>
              <w:spacing w:after="0"/>
              <w:rPr>
                <w:rStyle w:val="Znakapoznpodarou"/>
                <w:lang w:val="en-GB"/>
              </w:rPr>
            </w:pPr>
            <w:r>
              <w:rPr>
                <w:noProof/>
              </w:rPr>
              <w:drawing>
                <wp:inline distT="0" distB="0" distL="0" distR="0" wp14:anchorId="39E30BFF" wp14:editId="2172B280">
                  <wp:extent cx="4737600" cy="3553200"/>
                  <wp:effectExtent l="0" t="0" r="6350" b="0"/>
                  <wp:docPr id="12" name="Graf 12">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E551F6" w:rsidRPr="001A0A01" w14:paraId="66F7A9CF" w14:textId="77777777" w:rsidTr="00E551F6">
        <w:trPr>
          <w:trHeight w:val="145"/>
        </w:trPr>
        <w:tc>
          <w:tcPr>
            <w:tcW w:w="1791" w:type="dxa"/>
          </w:tcPr>
          <w:p w14:paraId="24AB954A" w14:textId="77777777" w:rsidR="00E551F6" w:rsidRPr="001A0A01" w:rsidRDefault="00E551F6" w:rsidP="00E551F6">
            <w:pPr>
              <w:pStyle w:val="Marginlie"/>
              <w:rPr>
                <w:spacing w:val="0"/>
                <w:lang w:val="en-GB"/>
              </w:rPr>
            </w:pPr>
          </w:p>
        </w:tc>
        <w:tc>
          <w:tcPr>
            <w:tcW w:w="223" w:type="dxa"/>
          </w:tcPr>
          <w:p w14:paraId="658B08BA" w14:textId="77777777" w:rsidR="00E551F6" w:rsidRPr="001A0A01" w:rsidRDefault="00E551F6" w:rsidP="00E551F6">
            <w:pPr>
              <w:pStyle w:val="Textpoznpodarou1"/>
              <w:jc w:val="both"/>
              <w:rPr>
                <w:lang w:val="en-GB" w:eastAsia="en-US"/>
              </w:rPr>
            </w:pPr>
          </w:p>
        </w:tc>
        <w:tc>
          <w:tcPr>
            <w:tcW w:w="7625" w:type="dxa"/>
            <w:gridSpan w:val="2"/>
            <w:hideMark/>
          </w:tcPr>
          <w:p w14:paraId="043100C8" w14:textId="3DF32F22" w:rsidR="00E551F6" w:rsidRPr="005C159F" w:rsidRDefault="00E551F6" w:rsidP="005C159F">
            <w:pPr>
              <w:jc w:val="left"/>
              <w:rPr>
                <w:rStyle w:val="Znakapoznpodarou"/>
                <w:b/>
                <w:bCs/>
                <w:sz w:val="14"/>
                <w:szCs w:val="14"/>
                <w:lang w:val="en-GB"/>
              </w:rPr>
            </w:pPr>
            <w:r w:rsidRPr="005C159F">
              <w:rPr>
                <w:sz w:val="14"/>
                <w:szCs w:val="14"/>
                <w:lang w:val="en-GB" w:eastAsia="en-US"/>
              </w:rPr>
              <w:t>Source: CZSO</w:t>
            </w:r>
          </w:p>
        </w:tc>
      </w:tr>
      <w:tr w:rsidR="00E551F6" w:rsidRPr="001A0A01" w14:paraId="4E8F7004" w14:textId="77777777" w:rsidTr="00E551F6">
        <w:trPr>
          <w:trHeight w:val="145"/>
        </w:trPr>
        <w:tc>
          <w:tcPr>
            <w:tcW w:w="1791" w:type="dxa"/>
            <w:hideMark/>
          </w:tcPr>
          <w:p w14:paraId="463A4A08" w14:textId="4BA97F3B" w:rsidR="00E551F6" w:rsidRPr="001A0A01" w:rsidRDefault="00E551F6" w:rsidP="00E551F6">
            <w:pPr>
              <w:pStyle w:val="Marginlie"/>
              <w:rPr>
                <w:spacing w:val="0"/>
                <w:lang w:val="en-GB"/>
              </w:rPr>
            </w:pPr>
            <w:r w:rsidRPr="001A0A01">
              <w:rPr>
                <w:spacing w:val="0"/>
                <w:lang w:val="en-GB" w:eastAsia="en-US"/>
              </w:rPr>
              <w:t xml:space="preserve">Prices of </w:t>
            </w:r>
            <w:r w:rsidR="00042F74">
              <w:rPr>
                <w:spacing w:val="0"/>
                <w:lang w:val="en-GB" w:eastAsia="en-US"/>
              </w:rPr>
              <w:t>flats</w:t>
            </w:r>
            <w:r w:rsidRPr="001A0A01">
              <w:rPr>
                <w:spacing w:val="0"/>
                <w:lang w:val="en-GB" w:eastAsia="en-US"/>
              </w:rPr>
              <w:t xml:space="preserve"> again grew. </w:t>
            </w:r>
          </w:p>
        </w:tc>
        <w:tc>
          <w:tcPr>
            <w:tcW w:w="223" w:type="dxa"/>
          </w:tcPr>
          <w:p w14:paraId="4536FAF5" w14:textId="77777777" w:rsidR="00E551F6" w:rsidRPr="001A0A01" w:rsidRDefault="00E551F6" w:rsidP="00E551F6">
            <w:pPr>
              <w:pStyle w:val="Textpoznpodarou1"/>
              <w:jc w:val="both"/>
              <w:rPr>
                <w:lang w:val="en-GB" w:eastAsia="en-US"/>
              </w:rPr>
            </w:pPr>
          </w:p>
        </w:tc>
        <w:tc>
          <w:tcPr>
            <w:tcW w:w="7625" w:type="dxa"/>
            <w:gridSpan w:val="2"/>
            <w:hideMark/>
          </w:tcPr>
          <w:p w14:paraId="694671FA" w14:textId="7191D6B2" w:rsidR="00E551F6" w:rsidRPr="001A0A01" w:rsidRDefault="00E551F6" w:rsidP="00E551F6">
            <w:pPr>
              <w:rPr>
                <w:lang w:val="en-GB" w:eastAsia="en-US"/>
              </w:rPr>
            </w:pPr>
            <w:r w:rsidRPr="001A0A01">
              <w:rPr>
                <w:lang w:val="en-GB" w:eastAsia="en-US"/>
              </w:rPr>
              <w:t xml:space="preserve">Catalogue prices of </w:t>
            </w:r>
            <w:r w:rsidR="00042F74">
              <w:rPr>
                <w:lang w:val="en-GB" w:eastAsia="en-US"/>
              </w:rPr>
              <w:t>flats</w:t>
            </w:r>
            <w:r w:rsidRPr="001A0A01">
              <w:rPr>
                <w:lang w:val="en-GB" w:eastAsia="en-US"/>
              </w:rPr>
              <w:t xml:space="preserve"> in the Czech Republic increased by 2.3%, quarter-on-quarter in Q2, building on the increase from Q1 by strengthening the dynamics. The value of the index shows that catalogue prices have practically erased the decline that occurred last year and are at the level of the end of year 2022. The year-on-year decline did not continue either and the catalogue prices of </w:t>
            </w:r>
            <w:r w:rsidR="00042F74">
              <w:rPr>
                <w:lang w:val="en-GB" w:eastAsia="en-US"/>
              </w:rPr>
              <w:t>flats</w:t>
            </w:r>
            <w:r w:rsidRPr="001A0A01">
              <w:rPr>
                <w:lang w:val="en-GB" w:eastAsia="en-US"/>
              </w:rPr>
              <w:t xml:space="preserve"> rose by 3.4% in Q2. The catalogue prices of </w:t>
            </w:r>
            <w:r w:rsidR="00042F74">
              <w:rPr>
                <w:lang w:val="en-GB" w:eastAsia="en-US"/>
              </w:rPr>
              <w:t>flats</w:t>
            </w:r>
            <w:r w:rsidRPr="001A0A01">
              <w:rPr>
                <w:lang w:val="en-GB" w:eastAsia="en-US"/>
              </w:rPr>
              <w:t xml:space="preserve"> increased by 4.0%, year-on-year, in Prague, while the prices of </w:t>
            </w:r>
            <w:r w:rsidR="00042F74">
              <w:rPr>
                <w:lang w:val="en-GB" w:eastAsia="en-US"/>
              </w:rPr>
              <w:t>flats</w:t>
            </w:r>
            <w:r w:rsidRPr="001A0A01">
              <w:rPr>
                <w:lang w:val="en-GB" w:eastAsia="en-US"/>
              </w:rPr>
              <w:t xml:space="preserve"> outside Prague were higher by 2.7%. In the case of realized prices of older </w:t>
            </w:r>
            <w:r w:rsidR="00042F74">
              <w:rPr>
                <w:lang w:val="en-GB" w:eastAsia="en-US"/>
              </w:rPr>
              <w:t>flats</w:t>
            </w:r>
            <w:r w:rsidRPr="001A0A01">
              <w:rPr>
                <w:lang w:val="en-GB" w:eastAsia="en-US"/>
              </w:rPr>
              <w:t xml:space="preserve">, the acceleration of dynamics is even more pronounced. The realised prices of older </w:t>
            </w:r>
            <w:r w:rsidR="00042F74">
              <w:rPr>
                <w:lang w:val="en-GB" w:eastAsia="en-US"/>
              </w:rPr>
              <w:t>flats</w:t>
            </w:r>
            <w:r w:rsidRPr="001A0A01">
              <w:rPr>
                <w:lang w:val="en-GB" w:eastAsia="en-US"/>
              </w:rPr>
              <w:t xml:space="preserve"> in the Czech Republic increased by 3.3%, quarter-on-quarter (by -4.2% in Prague). The year-on-year increase of the realized prices of older </w:t>
            </w:r>
            <w:r w:rsidR="00042F74">
              <w:rPr>
                <w:lang w:val="en-GB" w:eastAsia="en-US"/>
              </w:rPr>
              <w:t>flats</w:t>
            </w:r>
            <w:r w:rsidRPr="001A0A01">
              <w:rPr>
                <w:lang w:val="en-GB" w:eastAsia="en-US"/>
              </w:rPr>
              <w:t xml:space="preserve"> in the Czech Republic reached 6.1% in Q2, 8.6% in Prague and 5.5% outside Prague. Realised prices of new </w:t>
            </w:r>
            <w:r w:rsidR="00042F74">
              <w:rPr>
                <w:lang w:val="en-GB" w:eastAsia="en-US"/>
              </w:rPr>
              <w:t>flats</w:t>
            </w:r>
            <w:r w:rsidRPr="001A0A01">
              <w:rPr>
                <w:lang w:val="en-GB" w:eastAsia="en-US"/>
              </w:rPr>
              <w:t xml:space="preserve"> in Prague increased by 3.7%, quarter-on-quarter, and after five decreases also increased year-on-year, specifically by 1.0%. The fact that the dynamics of realised dwelling prices </w:t>
            </w:r>
            <w:r w:rsidRPr="001A0A01">
              <w:rPr>
                <w:lang w:val="en-GB" w:eastAsia="en-US"/>
              </w:rPr>
              <w:lastRenderedPageBreak/>
              <w:t xml:space="preserve">are ahead of catalogue prices indicates a renewed tightening of the real estate market and excess of demand over supply.  </w:t>
            </w:r>
          </w:p>
        </w:tc>
      </w:tr>
      <w:tr w:rsidR="00E551F6" w:rsidRPr="001A0A01" w14:paraId="2BA2A1D1" w14:textId="77777777" w:rsidTr="00E551F6">
        <w:trPr>
          <w:trHeight w:val="145"/>
        </w:trPr>
        <w:tc>
          <w:tcPr>
            <w:tcW w:w="1791" w:type="dxa"/>
            <w:hideMark/>
          </w:tcPr>
          <w:p w14:paraId="6FC92E61" w14:textId="77777777" w:rsidR="00E551F6" w:rsidRPr="001A0A01" w:rsidRDefault="00E551F6" w:rsidP="00E551F6">
            <w:pPr>
              <w:pStyle w:val="Marginlie"/>
              <w:rPr>
                <w:spacing w:val="0"/>
                <w:lang w:val="en-GB" w:eastAsia="en-US"/>
              </w:rPr>
            </w:pPr>
            <w:r w:rsidRPr="001A0A01">
              <w:rPr>
                <w:spacing w:val="0"/>
                <w:lang w:val="en-GB" w:eastAsia="en-US"/>
              </w:rPr>
              <w:lastRenderedPageBreak/>
              <w:t xml:space="preserve">Industrial producer prices again increased, year-on-year. </w:t>
            </w:r>
          </w:p>
        </w:tc>
        <w:tc>
          <w:tcPr>
            <w:tcW w:w="223" w:type="dxa"/>
          </w:tcPr>
          <w:p w14:paraId="140532C8" w14:textId="77777777" w:rsidR="00E551F6" w:rsidRPr="001A0A01" w:rsidRDefault="00E551F6" w:rsidP="00E551F6">
            <w:pPr>
              <w:pStyle w:val="Textpoznpodarou1"/>
              <w:jc w:val="both"/>
              <w:rPr>
                <w:lang w:val="en-GB" w:eastAsia="en-US"/>
              </w:rPr>
            </w:pPr>
          </w:p>
        </w:tc>
        <w:tc>
          <w:tcPr>
            <w:tcW w:w="7625" w:type="dxa"/>
            <w:gridSpan w:val="2"/>
            <w:hideMark/>
          </w:tcPr>
          <w:p w14:paraId="2679D9BB" w14:textId="77777777" w:rsidR="00E551F6" w:rsidRPr="001A0A01" w:rsidRDefault="00E551F6" w:rsidP="00E551F6">
            <w:pPr>
              <w:rPr>
                <w:lang w:val="en-GB" w:eastAsia="en-US"/>
              </w:rPr>
            </w:pPr>
            <w:r w:rsidRPr="001A0A01">
              <w:rPr>
                <w:lang w:val="en-GB" w:eastAsia="en-US"/>
              </w:rPr>
              <w:t xml:space="preserve">Industrial producer prices followed the year-on-year decline (−0.9%) from Q1 with an increase of 1.1% in Q2. Quarter-on-quarter, the industrial producer prices decreased by 0.5%. Prices of electricity, gas, steam and air conditioning, whose year-on-year increase strengthened to 4.5% in Q2, mainly participated on this increase, nevertheless there was also a quarter-on-quarter decrease of 2.9%. Prices of goods and services in manufacturing turned from a year-on-year decline to a small increase (0.1%) and were 0.2% higher, quarter-on-quarter. The year-on-year decrease of prices of mining and quarrying on the contrary deepened to 1.7%, but prices were higher here by 1.2%, quarter-on-quarter. Prices of water distribution and services associated with wastewaters were higher by 9.2%, year-on-year. </w:t>
            </w:r>
          </w:p>
        </w:tc>
      </w:tr>
      <w:tr w:rsidR="00E551F6" w:rsidRPr="001A0A01" w14:paraId="35B0B611" w14:textId="77777777" w:rsidTr="00E551F6">
        <w:trPr>
          <w:trHeight w:val="145"/>
        </w:trPr>
        <w:tc>
          <w:tcPr>
            <w:tcW w:w="1791" w:type="dxa"/>
            <w:hideMark/>
          </w:tcPr>
          <w:p w14:paraId="1926A253" w14:textId="77777777" w:rsidR="00E551F6" w:rsidRPr="001A0A01" w:rsidRDefault="00E551F6" w:rsidP="00E551F6">
            <w:pPr>
              <w:pStyle w:val="Marginlie"/>
              <w:rPr>
                <w:spacing w:val="0"/>
                <w:lang w:val="en-GB" w:eastAsia="en-US"/>
              </w:rPr>
            </w:pPr>
            <w:r w:rsidRPr="001A0A01">
              <w:rPr>
                <w:spacing w:val="0"/>
                <w:lang w:val="en-GB" w:eastAsia="en-US"/>
              </w:rPr>
              <w:t>Moderation of the decline of prices of various raw materials was apparent in manufacturing.</w:t>
            </w:r>
          </w:p>
        </w:tc>
        <w:tc>
          <w:tcPr>
            <w:tcW w:w="223" w:type="dxa"/>
          </w:tcPr>
          <w:p w14:paraId="7A2E03FE" w14:textId="77777777" w:rsidR="00E551F6" w:rsidRPr="001A0A01" w:rsidRDefault="00E551F6" w:rsidP="00E551F6">
            <w:pPr>
              <w:pStyle w:val="Textpoznpodarou1"/>
              <w:jc w:val="both"/>
              <w:rPr>
                <w:lang w:val="en-GB" w:eastAsia="en-US"/>
              </w:rPr>
            </w:pPr>
          </w:p>
        </w:tc>
        <w:tc>
          <w:tcPr>
            <w:tcW w:w="7625" w:type="dxa"/>
            <w:gridSpan w:val="2"/>
            <w:hideMark/>
          </w:tcPr>
          <w:p w14:paraId="525C302B" w14:textId="77777777" w:rsidR="00E551F6" w:rsidRPr="001A0A01" w:rsidRDefault="00E551F6" w:rsidP="00E551F6">
            <w:pPr>
              <w:rPr>
                <w:lang w:val="en-GB" w:eastAsia="en-US"/>
              </w:rPr>
            </w:pPr>
            <w:r w:rsidRPr="001A0A01">
              <w:rPr>
                <w:lang w:val="en-GB" w:eastAsia="en-US"/>
              </w:rPr>
              <w:t xml:space="preserve">Strengthening of year-on-year price dynamics in manufacturing was related, besides other things, to a moderation of declines in several divisions, often those processing basic raw materials. Prices of basic metals (−7.9%), wood and wood products (−7.9%), paper and paper products (−7.4%), food products (−4.0%) or textiles (−1.6%) thus decreased slower. Prices of chemicals and chemical products rose slightly (0.3%) and the growth of prices of motor vehicles strengthened (3.9%). On the contrary, the growth of prices of wearing apparel (5.1%), computers, electronic and optical appliances (4.5%), beverages (3.5%), machinery and equipment (3.2%), other products of manufacturing (2.2%) or basic pharmaceutical products (1.5%) moderated in Q2. The year-on-year decline for fabricated metal products deepened (−1.8%) and prices of electrical equipment started to fall (−0.3%). </w:t>
            </w:r>
          </w:p>
        </w:tc>
      </w:tr>
      <w:tr w:rsidR="00E551F6" w:rsidRPr="001A0A01" w14:paraId="6D8D4177" w14:textId="77777777" w:rsidTr="00E551F6">
        <w:trPr>
          <w:trHeight w:val="145"/>
        </w:trPr>
        <w:tc>
          <w:tcPr>
            <w:tcW w:w="1791" w:type="dxa"/>
          </w:tcPr>
          <w:p w14:paraId="574578D9" w14:textId="77777777" w:rsidR="00E551F6" w:rsidRPr="001A0A01" w:rsidRDefault="00E551F6" w:rsidP="00E551F6">
            <w:pPr>
              <w:pStyle w:val="Marginlie"/>
              <w:rPr>
                <w:spacing w:val="0"/>
                <w:lang w:val="en-GB" w:eastAsia="en-US"/>
              </w:rPr>
            </w:pPr>
          </w:p>
        </w:tc>
        <w:tc>
          <w:tcPr>
            <w:tcW w:w="223" w:type="dxa"/>
          </w:tcPr>
          <w:p w14:paraId="1F3A1266" w14:textId="77777777" w:rsidR="00E551F6" w:rsidRPr="001A0A01" w:rsidRDefault="00E551F6" w:rsidP="00E551F6">
            <w:pPr>
              <w:pStyle w:val="Textpoznpodarou1"/>
              <w:jc w:val="both"/>
              <w:rPr>
                <w:lang w:val="en-GB" w:eastAsia="en-US"/>
              </w:rPr>
            </w:pPr>
          </w:p>
        </w:tc>
        <w:tc>
          <w:tcPr>
            <w:tcW w:w="7625" w:type="dxa"/>
            <w:gridSpan w:val="2"/>
            <w:hideMark/>
          </w:tcPr>
          <w:p w14:paraId="11E0864F" w14:textId="77777777" w:rsidR="00E551F6" w:rsidRPr="001A0A01" w:rsidRDefault="00E551F6" w:rsidP="00E551F6">
            <w:pPr>
              <w:spacing w:after="0"/>
              <w:rPr>
                <w:lang w:val="en-GB" w:eastAsia="en-US"/>
              </w:rPr>
            </w:pPr>
            <w:r w:rsidRPr="001A0A01">
              <w:rPr>
                <w:b/>
                <w:sz w:val="18"/>
                <w:szCs w:val="18"/>
                <w:lang w:val="en-GB" w:eastAsia="en-US"/>
              </w:rPr>
              <w:t xml:space="preserve">Chart 12    Prices of main groups of industrial producers </w:t>
            </w:r>
            <w:r w:rsidRPr="001A0A01">
              <w:rPr>
                <w:bCs/>
                <w:sz w:val="18"/>
                <w:szCs w:val="18"/>
                <w:lang w:val="en-GB" w:eastAsia="en-US"/>
              </w:rPr>
              <w:t>(year-on-year change, in %, based on CPA classification)</w:t>
            </w:r>
            <w:r w:rsidRPr="001A0A01">
              <w:rPr>
                <w:b/>
                <w:sz w:val="18"/>
                <w:szCs w:val="18"/>
                <w:lang w:val="en-GB" w:eastAsia="en-US"/>
              </w:rPr>
              <w:t xml:space="preserve"> </w:t>
            </w:r>
          </w:p>
        </w:tc>
      </w:tr>
      <w:tr w:rsidR="00E551F6" w:rsidRPr="001A0A01" w14:paraId="48CE6BF9" w14:textId="77777777" w:rsidTr="00EF3741">
        <w:tblPrEx>
          <w:tblCellMar>
            <w:left w:w="70" w:type="dxa"/>
            <w:right w:w="70" w:type="dxa"/>
          </w:tblCellMar>
        </w:tblPrEx>
        <w:trPr>
          <w:gridAfter w:val="1"/>
          <w:wAfter w:w="70" w:type="dxa"/>
          <w:trHeight w:val="145"/>
        </w:trPr>
        <w:tc>
          <w:tcPr>
            <w:tcW w:w="1791" w:type="dxa"/>
          </w:tcPr>
          <w:p w14:paraId="5F1557FB" w14:textId="77777777" w:rsidR="00E551F6" w:rsidRPr="001A0A01" w:rsidRDefault="00E551F6" w:rsidP="00E551F6">
            <w:pPr>
              <w:pStyle w:val="Marginlie"/>
              <w:rPr>
                <w:spacing w:val="0"/>
                <w:lang w:val="en-GB" w:eastAsia="en-US"/>
              </w:rPr>
            </w:pPr>
          </w:p>
        </w:tc>
        <w:tc>
          <w:tcPr>
            <w:tcW w:w="223" w:type="dxa"/>
          </w:tcPr>
          <w:p w14:paraId="50DD2BCC" w14:textId="77777777" w:rsidR="00E551F6" w:rsidRPr="001A0A01" w:rsidRDefault="00E551F6" w:rsidP="00E551F6">
            <w:pPr>
              <w:pStyle w:val="Textpoznpodarou1"/>
              <w:jc w:val="both"/>
              <w:rPr>
                <w:lang w:val="en-GB" w:eastAsia="en-US"/>
              </w:rPr>
            </w:pPr>
          </w:p>
        </w:tc>
        <w:tc>
          <w:tcPr>
            <w:tcW w:w="7625" w:type="dxa"/>
            <w:hideMark/>
          </w:tcPr>
          <w:p w14:paraId="4FE6155D" w14:textId="7986D53E" w:rsidR="00E551F6" w:rsidRPr="001A0A01" w:rsidRDefault="00EF3741" w:rsidP="00E551F6">
            <w:pPr>
              <w:spacing w:after="0"/>
              <w:jc w:val="center"/>
              <w:rPr>
                <w:lang w:val="en-GB" w:eastAsia="en-US"/>
              </w:rPr>
            </w:pPr>
            <w:r>
              <w:rPr>
                <w:noProof/>
              </w:rPr>
              <w:drawing>
                <wp:inline distT="0" distB="0" distL="0" distR="0" wp14:anchorId="74E49A84" wp14:editId="3269D73B">
                  <wp:extent cx="4722350" cy="3564975"/>
                  <wp:effectExtent l="0" t="0" r="2540" b="0"/>
                  <wp:docPr id="13" name="Graf 13">
                    <a:extLst xmlns:a="http://schemas.openxmlformats.org/drawingml/2006/main">
                      <a:ext uri="{FF2B5EF4-FFF2-40B4-BE49-F238E27FC236}">
                        <a16:creationId xmlns:a16="http://schemas.microsoft.com/office/drawing/2014/main" id="{A96326AA-2E19-A591-4C15-9F538FA2AF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E551F6" w:rsidRPr="001A0A01" w14:paraId="191F2893" w14:textId="77777777" w:rsidTr="00E551F6">
        <w:trPr>
          <w:trHeight w:val="145"/>
        </w:trPr>
        <w:tc>
          <w:tcPr>
            <w:tcW w:w="1791" w:type="dxa"/>
          </w:tcPr>
          <w:p w14:paraId="32110B78" w14:textId="77777777" w:rsidR="00E551F6" w:rsidRPr="001A0A01" w:rsidRDefault="00E551F6" w:rsidP="00E551F6">
            <w:pPr>
              <w:pStyle w:val="Marginlie"/>
              <w:rPr>
                <w:spacing w:val="0"/>
                <w:lang w:val="en-GB" w:eastAsia="en-US"/>
              </w:rPr>
            </w:pPr>
          </w:p>
        </w:tc>
        <w:tc>
          <w:tcPr>
            <w:tcW w:w="223" w:type="dxa"/>
          </w:tcPr>
          <w:p w14:paraId="52F1D688" w14:textId="77777777" w:rsidR="00E551F6" w:rsidRPr="001A0A01" w:rsidRDefault="00E551F6" w:rsidP="00E551F6">
            <w:pPr>
              <w:pStyle w:val="Textpoznpodarou1"/>
              <w:jc w:val="both"/>
              <w:rPr>
                <w:lang w:val="en-GB" w:eastAsia="en-US"/>
              </w:rPr>
            </w:pPr>
          </w:p>
        </w:tc>
        <w:tc>
          <w:tcPr>
            <w:tcW w:w="7625" w:type="dxa"/>
            <w:gridSpan w:val="2"/>
            <w:hideMark/>
          </w:tcPr>
          <w:p w14:paraId="7C8BC55B" w14:textId="2BCCED99" w:rsidR="00E551F6" w:rsidRPr="005C159F" w:rsidRDefault="00E551F6" w:rsidP="005C159F">
            <w:pPr>
              <w:jc w:val="left"/>
              <w:rPr>
                <w:b/>
                <w:bCs/>
                <w:sz w:val="14"/>
                <w:szCs w:val="14"/>
                <w:lang w:val="en-GB" w:eastAsia="en-US"/>
              </w:rPr>
            </w:pPr>
            <w:r w:rsidRPr="005C159F">
              <w:rPr>
                <w:sz w:val="14"/>
                <w:szCs w:val="14"/>
                <w:lang w:val="en-GB" w:eastAsia="en-US"/>
              </w:rPr>
              <w:t>Source: CZSO</w:t>
            </w:r>
          </w:p>
        </w:tc>
      </w:tr>
      <w:tr w:rsidR="00E551F6" w:rsidRPr="001A0A01" w14:paraId="1BFE010A" w14:textId="77777777" w:rsidTr="00E551F6">
        <w:trPr>
          <w:trHeight w:val="145"/>
        </w:trPr>
        <w:tc>
          <w:tcPr>
            <w:tcW w:w="1791" w:type="dxa"/>
            <w:hideMark/>
          </w:tcPr>
          <w:p w14:paraId="5B645443" w14:textId="77777777" w:rsidR="00E551F6" w:rsidRPr="001A0A01" w:rsidRDefault="00E551F6" w:rsidP="00E551F6">
            <w:pPr>
              <w:pStyle w:val="Marginlie"/>
              <w:rPr>
                <w:spacing w:val="0"/>
                <w:lang w:val="en-GB" w:eastAsia="en-US"/>
              </w:rPr>
            </w:pPr>
            <w:r w:rsidRPr="001A0A01">
              <w:rPr>
                <w:spacing w:val="0"/>
                <w:lang w:val="en-GB" w:eastAsia="en-US"/>
              </w:rPr>
              <w:lastRenderedPageBreak/>
              <w:t xml:space="preserve">Industrial producer prices remained in the year-on-year slump in the EU. </w:t>
            </w:r>
          </w:p>
        </w:tc>
        <w:tc>
          <w:tcPr>
            <w:tcW w:w="223" w:type="dxa"/>
          </w:tcPr>
          <w:p w14:paraId="33016568" w14:textId="77777777" w:rsidR="00E551F6" w:rsidRPr="001A0A01" w:rsidRDefault="00E551F6" w:rsidP="00E551F6">
            <w:pPr>
              <w:pStyle w:val="Textpoznpodarou1"/>
              <w:jc w:val="both"/>
              <w:rPr>
                <w:lang w:val="en-GB" w:eastAsia="en-US"/>
              </w:rPr>
            </w:pPr>
          </w:p>
        </w:tc>
        <w:tc>
          <w:tcPr>
            <w:tcW w:w="7625" w:type="dxa"/>
            <w:gridSpan w:val="2"/>
            <w:hideMark/>
          </w:tcPr>
          <w:p w14:paraId="579C232B" w14:textId="77777777" w:rsidR="00E551F6" w:rsidRPr="001A0A01" w:rsidRDefault="00E551F6" w:rsidP="00E551F6">
            <w:pPr>
              <w:rPr>
                <w:lang w:val="en-GB" w:eastAsia="en-US"/>
              </w:rPr>
            </w:pPr>
            <w:bookmarkStart w:id="73" w:name="_Hlk178800117"/>
            <w:r w:rsidRPr="001A0A01">
              <w:rPr>
                <w:lang w:val="en-GB" w:eastAsia="en-US"/>
              </w:rPr>
              <w:t>Industrial producer prices in the EU</w:t>
            </w:r>
            <w:r w:rsidRPr="001A0A01">
              <w:rPr>
                <w:rStyle w:val="Znakapoznpodarou"/>
                <w:lang w:val="en-GB" w:eastAsia="en-US"/>
              </w:rPr>
              <w:footnoteReference w:id="59"/>
            </w:r>
            <w:r w:rsidRPr="001A0A01">
              <w:rPr>
                <w:lang w:val="en-GB" w:eastAsia="en-US"/>
              </w:rPr>
              <w:t xml:space="preserve"> decreased by 4.1%, year-on-year, in Q2. The increase reduced compared to the previous quarter. The year-on-year decrease of prices of electricity, gas, steam and air conditioning (−14.3%), as well as prices of mining and quarrying (−1.3%) and manufacturing products and services (−0.4%) was less deep. The industrial producer prices increased the most, year-on-year, in the Czech Republic (1.1%) in Q2, followed by Portugal (0.6%), Sweden (0.6%) and Malta (0.5%). The industrial producer prices were falling, year-on-year, in other EU countries, the most in Slovakia (−20.8%), Luxembourg (−10.8%) and Poland (−6.9%). Industrial producer prices in the EU fell by 1.4%, quarter-on-quarter. This was caused solely by a decrease in prices of electricity, gas, steam and air conditioning (−7.0%). Prices of mining and quarrying were raised by 1.4%, quarter-on-quarter, and prices of manufacturing products and services by 0.3%.   </w:t>
            </w:r>
            <w:bookmarkEnd w:id="73"/>
          </w:p>
        </w:tc>
      </w:tr>
      <w:tr w:rsidR="00E551F6" w:rsidRPr="001A0A01" w14:paraId="24A0A449" w14:textId="77777777" w:rsidTr="00E551F6">
        <w:trPr>
          <w:trHeight w:val="145"/>
        </w:trPr>
        <w:tc>
          <w:tcPr>
            <w:tcW w:w="1791" w:type="dxa"/>
            <w:hideMark/>
          </w:tcPr>
          <w:p w14:paraId="7A7A9CFE" w14:textId="77777777" w:rsidR="00E551F6" w:rsidRPr="001A0A01" w:rsidRDefault="00E551F6" w:rsidP="00E551F6">
            <w:pPr>
              <w:pStyle w:val="Marginlie"/>
              <w:rPr>
                <w:spacing w:val="0"/>
                <w:lang w:val="en-GB" w:eastAsia="en-US"/>
              </w:rPr>
            </w:pPr>
            <w:r w:rsidRPr="001A0A01">
              <w:rPr>
                <w:spacing w:val="0"/>
                <w:lang w:val="en-GB" w:eastAsia="en-US"/>
              </w:rPr>
              <w:t>Prices of construction works went up.</w:t>
            </w:r>
          </w:p>
        </w:tc>
        <w:tc>
          <w:tcPr>
            <w:tcW w:w="223" w:type="dxa"/>
          </w:tcPr>
          <w:p w14:paraId="4CE5BD99" w14:textId="77777777" w:rsidR="00E551F6" w:rsidRPr="001A0A01" w:rsidRDefault="00E551F6" w:rsidP="00E551F6">
            <w:pPr>
              <w:pStyle w:val="Textpoznpodarou1"/>
              <w:jc w:val="both"/>
              <w:rPr>
                <w:lang w:val="en-GB" w:eastAsia="en-US"/>
              </w:rPr>
            </w:pPr>
          </w:p>
        </w:tc>
        <w:tc>
          <w:tcPr>
            <w:tcW w:w="7625" w:type="dxa"/>
            <w:gridSpan w:val="2"/>
            <w:hideMark/>
          </w:tcPr>
          <w:p w14:paraId="7CFD833D" w14:textId="6BDE84D1" w:rsidR="00E551F6" w:rsidRPr="001A0A01" w:rsidRDefault="00E551F6" w:rsidP="003E0A6F">
            <w:pPr>
              <w:rPr>
                <w:lang w:val="en-GB" w:eastAsia="en-US"/>
              </w:rPr>
            </w:pPr>
            <w:bookmarkStart w:id="74" w:name="_Hlk178802541"/>
            <w:r w:rsidRPr="001A0A01">
              <w:rPr>
                <w:lang w:val="en-GB" w:eastAsia="en-US"/>
              </w:rPr>
              <w:t xml:space="preserve">Prices of construction work were, based on estimates, by 2.1% higher, year-on-year, in Q2 2024, while the prices of materials and products used in construction fell by 1.2%. Quarter-on-quarter, the prices of construction work were estimated to have risen by 0.8% and prices of materials and products used in construction went up by 0.3%. Prices of construction work were, based on estimates, by 2.1% higher, year-on-year, in Q2 2024, while prices of materials and products used in construction fell by 1.2%. Quarter-on-quarter, the prices of construction work were estimated to have risen by 0.8% and prices of materials and products used in construction went up by 0.3%. </w:t>
            </w:r>
            <w:bookmarkEnd w:id="74"/>
          </w:p>
        </w:tc>
      </w:tr>
      <w:tr w:rsidR="00E551F6" w:rsidRPr="001A0A01" w14:paraId="0ED8E32E" w14:textId="77777777" w:rsidTr="00E551F6">
        <w:trPr>
          <w:trHeight w:val="145"/>
        </w:trPr>
        <w:tc>
          <w:tcPr>
            <w:tcW w:w="1791" w:type="dxa"/>
            <w:hideMark/>
          </w:tcPr>
          <w:p w14:paraId="41CB585D" w14:textId="77777777" w:rsidR="00E551F6" w:rsidRPr="001A0A01" w:rsidRDefault="00E551F6" w:rsidP="00E551F6">
            <w:pPr>
              <w:pStyle w:val="Marginlie"/>
              <w:rPr>
                <w:spacing w:val="0"/>
                <w:lang w:val="en-GB" w:eastAsia="en-US"/>
              </w:rPr>
            </w:pPr>
            <w:r w:rsidRPr="001A0A01">
              <w:rPr>
                <w:spacing w:val="0"/>
                <w:lang w:val="en-GB" w:eastAsia="en-US"/>
              </w:rPr>
              <w:t xml:space="preserve">Year-on-year growth of market services slowed down markedly. </w:t>
            </w:r>
          </w:p>
        </w:tc>
        <w:tc>
          <w:tcPr>
            <w:tcW w:w="223" w:type="dxa"/>
          </w:tcPr>
          <w:p w14:paraId="3109CB71" w14:textId="77777777" w:rsidR="00E551F6" w:rsidRPr="001A0A01" w:rsidRDefault="00E551F6" w:rsidP="00E551F6">
            <w:pPr>
              <w:pStyle w:val="Textpoznpodarou1"/>
              <w:jc w:val="both"/>
              <w:rPr>
                <w:lang w:val="en-GB" w:eastAsia="en-US"/>
              </w:rPr>
            </w:pPr>
          </w:p>
        </w:tc>
        <w:tc>
          <w:tcPr>
            <w:tcW w:w="7625" w:type="dxa"/>
            <w:gridSpan w:val="2"/>
            <w:hideMark/>
          </w:tcPr>
          <w:p w14:paraId="5FCE77DB" w14:textId="77777777" w:rsidR="00E551F6" w:rsidRPr="001A0A01" w:rsidRDefault="00E551F6" w:rsidP="00E551F6">
            <w:pPr>
              <w:rPr>
                <w:lang w:val="en-GB" w:eastAsia="en-US"/>
              </w:rPr>
            </w:pPr>
            <w:bookmarkStart w:id="75" w:name="_Hlk178803350"/>
            <w:r w:rsidRPr="001A0A01">
              <w:rPr>
                <w:lang w:val="en-GB" w:eastAsia="en-US"/>
              </w:rPr>
              <w:t xml:space="preserve">Prices of market services increased by 3.4%, year-on-year, in Q2. The growth thus slowed down significantly compared to the previous quarter and was the slowest since Q4 2021. The development of prices of programming, consultancy and related activities (pace slowed to 3.2%), prices of land transport and transport via pipelines (0.6%) and prices of advertising and market research (6.7%) affected the most the pace deceleration. The prices of real estate services (7.6%) contributed the most to the total year-on-year increase of prices of market services. Prices of security and investigation activities (8.9%), postal and courier activities (7.7%), employment placement activities (6.8%), legal and accounting services (6.0%) or services to buildings and landscape activities (5.4%) also featured a solid growth. Only prices of warehousing and support activities for transportation decreased, year-on-year (−0.3%). Prices of market services were higher by 1.6%, quarter-on-quarter, in Q2. </w:t>
            </w:r>
            <w:bookmarkEnd w:id="75"/>
          </w:p>
        </w:tc>
      </w:tr>
      <w:tr w:rsidR="00E551F6" w:rsidRPr="001A0A01" w14:paraId="76D7452D" w14:textId="77777777" w:rsidTr="00E551F6">
        <w:trPr>
          <w:trHeight w:val="145"/>
        </w:trPr>
        <w:tc>
          <w:tcPr>
            <w:tcW w:w="1791" w:type="dxa"/>
            <w:hideMark/>
          </w:tcPr>
          <w:p w14:paraId="31900E4A" w14:textId="77777777" w:rsidR="00E551F6" w:rsidRPr="001A0A01" w:rsidRDefault="00E551F6" w:rsidP="00E551F6">
            <w:pPr>
              <w:pStyle w:val="Marginlie"/>
              <w:rPr>
                <w:spacing w:val="0"/>
                <w:lang w:val="en-GB" w:eastAsia="en-US"/>
              </w:rPr>
            </w:pPr>
            <w:bookmarkStart w:id="76" w:name="_Hlk178805048"/>
            <w:r w:rsidRPr="001A0A01">
              <w:rPr>
                <w:spacing w:val="0"/>
                <w:lang w:val="en-GB" w:eastAsia="en-US"/>
              </w:rPr>
              <w:t>Prices of agricultural production continued to fall, year-on-year, but the decline moderated.</w:t>
            </w:r>
            <w:bookmarkEnd w:id="76"/>
          </w:p>
        </w:tc>
        <w:tc>
          <w:tcPr>
            <w:tcW w:w="223" w:type="dxa"/>
          </w:tcPr>
          <w:p w14:paraId="7E80F7A8" w14:textId="77777777" w:rsidR="00E551F6" w:rsidRPr="001A0A01" w:rsidRDefault="00E551F6" w:rsidP="00E551F6">
            <w:pPr>
              <w:pStyle w:val="Textpoznpodarou1"/>
              <w:jc w:val="both"/>
              <w:rPr>
                <w:lang w:val="en-GB" w:eastAsia="en-US"/>
              </w:rPr>
            </w:pPr>
          </w:p>
        </w:tc>
        <w:tc>
          <w:tcPr>
            <w:tcW w:w="7625" w:type="dxa"/>
            <w:gridSpan w:val="2"/>
            <w:hideMark/>
          </w:tcPr>
          <w:p w14:paraId="34A9F2E0" w14:textId="12024F6D" w:rsidR="00E551F6" w:rsidRPr="001A0A01" w:rsidRDefault="00E551F6" w:rsidP="00E551F6">
            <w:pPr>
              <w:rPr>
                <w:lang w:val="en-GB" w:eastAsia="en-US"/>
              </w:rPr>
            </w:pPr>
            <w:r w:rsidRPr="001A0A01">
              <w:rPr>
                <w:lang w:val="en-GB" w:eastAsia="en-US"/>
              </w:rPr>
              <w:t>The year-on-year plunge of the agricultural produc</w:t>
            </w:r>
            <w:r w:rsidR="007750EE">
              <w:rPr>
                <w:lang w:val="en-GB" w:eastAsia="en-US"/>
              </w:rPr>
              <w:t>er</w:t>
            </w:r>
            <w:r w:rsidRPr="001A0A01">
              <w:rPr>
                <w:lang w:val="en-GB" w:eastAsia="en-US"/>
              </w:rPr>
              <w:t xml:space="preserve"> prices (including fish) moderated to −10.4% in Q2. The decrease of prices of both </w:t>
            </w:r>
            <w:r w:rsidR="007750EE">
              <w:rPr>
                <w:lang w:val="en-GB" w:eastAsia="en-US"/>
              </w:rPr>
              <w:t>crop</w:t>
            </w:r>
            <w:r w:rsidRPr="001A0A01">
              <w:rPr>
                <w:lang w:val="en-GB" w:eastAsia="en-US"/>
              </w:rPr>
              <w:t xml:space="preserve"> and animal product</w:t>
            </w:r>
            <w:r w:rsidR="007750EE">
              <w:rPr>
                <w:lang w:val="en-GB" w:eastAsia="en-US"/>
              </w:rPr>
              <w:t xml:space="preserve">s </w:t>
            </w:r>
            <w:r w:rsidRPr="001A0A01">
              <w:rPr>
                <w:lang w:val="en-GB" w:eastAsia="en-US"/>
              </w:rPr>
              <w:t xml:space="preserve">was less pronounced. Prices of </w:t>
            </w:r>
            <w:r w:rsidR="007750EE">
              <w:rPr>
                <w:lang w:val="en-GB" w:eastAsia="en-US"/>
              </w:rPr>
              <w:t>crop</w:t>
            </w:r>
            <w:r w:rsidRPr="001A0A01">
              <w:rPr>
                <w:lang w:val="en-GB" w:eastAsia="en-US"/>
              </w:rPr>
              <w:t xml:space="preserve"> production were by 15.7% lower, year-on-year. The drop of prices of cereals was smaller, nevertheless still deep (−23.8%, in that prices of wheat went down by 24.4%, rye by 17.1%, barley by 20.4%, oats by 7.4% and maize by 30.2%). Prices of industrial crops lagged by 8.3%, year-on-year, and prices of oil seeds (−7.9%) as well as </w:t>
            </w:r>
            <w:r w:rsidR="007750EE">
              <w:rPr>
                <w:lang w:val="en-GB" w:eastAsia="en-US"/>
              </w:rPr>
              <w:t>protein crops</w:t>
            </w:r>
            <w:r w:rsidRPr="001A0A01">
              <w:rPr>
                <w:lang w:val="en-GB" w:eastAsia="en-US"/>
              </w:rPr>
              <w:t xml:space="preserve"> (−14.7%) decreased. Prices of vegetables and horticultural products (−7.4%) as well as potatoes (−0.6%) fell into a year-on-year decrease in Q2. On the contrary, the prices of forage plants (12.8%) and fruit (13.0%) were higher, year-on-year. Prices of animal production decelerated their decrease, year-on-year, to −4.4%. The prices of pigs and piglets (−1.3%) and poultry (−8.1%) stood behind the total decrease of prices of live animals by 1.5%. In contrast, the prices of cattle were higher by 5.3%. Prices of milk were lower by 4.7% and eggs by 18.5%, year-on-year, in Q2.  </w:t>
            </w:r>
          </w:p>
        </w:tc>
      </w:tr>
      <w:tr w:rsidR="00E551F6" w:rsidRPr="001A0A01" w14:paraId="2955F8A3" w14:textId="77777777" w:rsidTr="00E551F6">
        <w:trPr>
          <w:trHeight w:val="145"/>
        </w:trPr>
        <w:tc>
          <w:tcPr>
            <w:tcW w:w="1791" w:type="dxa"/>
            <w:hideMark/>
          </w:tcPr>
          <w:p w14:paraId="3B85CC54" w14:textId="77777777" w:rsidR="00E551F6" w:rsidRPr="001A0A01" w:rsidRDefault="00E551F6" w:rsidP="00E551F6">
            <w:pPr>
              <w:pStyle w:val="Marginlie"/>
              <w:rPr>
                <w:spacing w:val="0"/>
                <w:lang w:val="en-GB" w:eastAsia="en-US"/>
              </w:rPr>
            </w:pPr>
            <w:r w:rsidRPr="001A0A01">
              <w:rPr>
                <w:spacing w:val="0"/>
                <w:lang w:val="en-GB" w:eastAsia="en-US"/>
              </w:rPr>
              <w:lastRenderedPageBreak/>
              <w:t xml:space="preserve">Prices of international trade were affected by the foreign exchange changes. </w:t>
            </w:r>
          </w:p>
        </w:tc>
        <w:tc>
          <w:tcPr>
            <w:tcW w:w="223" w:type="dxa"/>
          </w:tcPr>
          <w:p w14:paraId="16FC8B75" w14:textId="77777777" w:rsidR="00E551F6" w:rsidRPr="001A0A01" w:rsidRDefault="00E551F6" w:rsidP="00E551F6">
            <w:pPr>
              <w:pStyle w:val="Textpoznpodarou1"/>
              <w:jc w:val="both"/>
              <w:rPr>
                <w:lang w:val="en-GB" w:eastAsia="en-US"/>
              </w:rPr>
            </w:pPr>
          </w:p>
        </w:tc>
        <w:tc>
          <w:tcPr>
            <w:tcW w:w="7625" w:type="dxa"/>
            <w:gridSpan w:val="2"/>
            <w:hideMark/>
          </w:tcPr>
          <w:p w14:paraId="717ED248" w14:textId="03C9F771" w:rsidR="00E551F6" w:rsidRPr="001A0A01" w:rsidRDefault="00E551F6" w:rsidP="00E551F6">
            <w:pPr>
              <w:rPr>
                <w:lang w:val="en-GB" w:eastAsia="en-US"/>
              </w:rPr>
            </w:pPr>
            <w:r w:rsidRPr="001A0A01">
              <w:rPr>
                <w:lang w:val="en-GB" w:eastAsia="en-US"/>
              </w:rPr>
              <w:t>Prices of exports increased by 3.7%, year-on-year, in Q2. The increase accelerated significantly compared to the previous quarter. Export prices rose by 0.6%, quarter-on-quarter. The koruna foreign exchange per euro as well as the dollar fostered stronger year-on-year dynamics of the international trade prices</w:t>
            </w:r>
            <w:r w:rsidRPr="001A0A01">
              <w:rPr>
                <w:rStyle w:val="Znakapoznpodarou"/>
                <w:lang w:val="en-GB" w:eastAsia="en-US"/>
              </w:rPr>
              <w:footnoteReference w:id="60"/>
            </w:r>
            <w:r w:rsidRPr="001A0A01">
              <w:rPr>
                <w:lang w:val="en-GB" w:eastAsia="en-US"/>
              </w:rPr>
              <w:t xml:space="preserve">. Products of the manufacturing industry, for which the increase accelerated to 4.6% in Q2, had the main share on the total year-on-year growth of export prices. Export prices of other transport equipment (14.9%) and furniture (14.8%) rose the most, year-on-year. The increase was also strong for motor vehicles (7.8%) and prices of exports of coke and refined petroleum products (7.8%) went from a decline to a significant year-on-year growth. Prices of exports of electrical equipment (6.3%), machinery and equipment (5.5%) and computer, electronic and optical appliances (5.2%) strengthened their growth. Only a minority of manufacturing products saw prices fall. The drop of prices of exports of basic metals slowed down (−2.8%), while the prices of exports of textiles (−2.4%), wood and wood products (−2.2%) and leather (−1.7%) were lower. Export prices for water distribution and services associated with wastewaters increased (9.4%). On the contrary, prices of exports of electricity, gas, steam and air conditioning continued to plunge, year-on-year (but slowed to −10.2%). The decline of exports of agriculture, forestry and fishing products also moderated (−4.1%). The year-on-year decrease of export prices of mining and quarrying deepened (−14.5%).   </w:t>
            </w:r>
          </w:p>
        </w:tc>
      </w:tr>
      <w:tr w:rsidR="00E551F6" w:rsidRPr="001A0A01" w14:paraId="4A20FB8E" w14:textId="77777777" w:rsidTr="00E551F6">
        <w:trPr>
          <w:trHeight w:val="145"/>
        </w:trPr>
        <w:tc>
          <w:tcPr>
            <w:tcW w:w="1791" w:type="dxa"/>
            <w:hideMark/>
          </w:tcPr>
          <w:p w14:paraId="62304F04" w14:textId="77777777" w:rsidR="00E551F6" w:rsidRPr="001A0A01" w:rsidRDefault="00E551F6" w:rsidP="00E551F6">
            <w:pPr>
              <w:pStyle w:val="Marginlie"/>
              <w:rPr>
                <w:spacing w:val="0"/>
                <w:lang w:val="en-GB" w:eastAsia="en-US"/>
              </w:rPr>
            </w:pPr>
            <w:r w:rsidRPr="001A0A01">
              <w:rPr>
                <w:spacing w:val="0"/>
                <w:lang w:val="en-GB" w:eastAsia="en-US"/>
              </w:rPr>
              <w:t xml:space="preserve">Terms of trade of the international trade with goods were positive. </w:t>
            </w:r>
          </w:p>
        </w:tc>
        <w:tc>
          <w:tcPr>
            <w:tcW w:w="223" w:type="dxa"/>
          </w:tcPr>
          <w:p w14:paraId="7254496E" w14:textId="77777777" w:rsidR="00E551F6" w:rsidRPr="001A0A01" w:rsidRDefault="00E551F6" w:rsidP="00E551F6">
            <w:pPr>
              <w:pStyle w:val="Textpoznpodarou1"/>
              <w:jc w:val="both"/>
              <w:rPr>
                <w:lang w:val="en-GB" w:eastAsia="en-US"/>
              </w:rPr>
            </w:pPr>
          </w:p>
        </w:tc>
        <w:tc>
          <w:tcPr>
            <w:tcW w:w="7625" w:type="dxa"/>
            <w:gridSpan w:val="2"/>
            <w:hideMark/>
          </w:tcPr>
          <w:p w14:paraId="26920044" w14:textId="77777777" w:rsidR="00E551F6" w:rsidRPr="001A0A01" w:rsidRDefault="00E551F6" w:rsidP="00E551F6">
            <w:pPr>
              <w:rPr>
                <w:lang w:val="en-GB" w:eastAsia="en-US"/>
              </w:rPr>
            </w:pPr>
            <w:r w:rsidRPr="001A0A01">
              <w:rPr>
                <w:lang w:val="en-GB" w:eastAsia="en-US"/>
              </w:rPr>
              <w:t xml:space="preserve">Import prices increased by 3.0%, year-on-year, in Q2 and were by 0.1% higher, quarter-on-quarter. Import prices of mining and quarrying (5.1%) and also in case of manufactured products (3.4%) went up year-on-year. The largest price increase was recorded for imports of other transport equipment (13.3%), followed by beverages (10.7%) and coke and refined petroleum products (8.1%). However, import prices rose for most divisions and the dynamics also strengthened. Nevertheless, the decrease lasted only for imports of wood and products (−3.3%), leather (−1.6%) or other products of the manufacturing industry (−1.7%). Prices of imports of electricity, gas, steam and air conditioning fell by 18.2%, year-on-year, in Q2 and the decrease for agriculture, forestry and fishery products deepened to −13.2%. The year-on-year terms of trade of the international trade with goods reached 100.6% in Q2. The quarter-on-quarter terms of trade reached 100.5%. The year-on-year terms of trade were markedly positive for products of agriculture, forestry and fishing (110.5%) and electricity, gas, steam and air conditioning (109.8%). The terms of trade for manufactured goods reached 101.2%. The total positive result was subdued significantly by negative terms of trade in mining and quarrying products (81.3%).    </w:t>
            </w:r>
          </w:p>
        </w:tc>
      </w:tr>
    </w:tbl>
    <w:p w14:paraId="6E5F6208" w14:textId="77777777" w:rsidR="00E551F6" w:rsidRPr="001A0A01" w:rsidRDefault="00E551F6" w:rsidP="00E551F6">
      <w:pPr>
        <w:pStyle w:val="Nadpis1"/>
        <w:rPr>
          <w:lang w:val="en-GB"/>
        </w:rPr>
      </w:pPr>
    </w:p>
    <w:p w14:paraId="5C40B8E0" w14:textId="77777777" w:rsidR="00E551F6" w:rsidRPr="001A0A01" w:rsidRDefault="00E551F6" w:rsidP="00E551F6">
      <w:pPr>
        <w:spacing w:after="0" w:line="240" w:lineRule="auto"/>
        <w:jc w:val="left"/>
        <w:rPr>
          <w:rFonts w:eastAsia="MS Gothic"/>
          <w:b/>
          <w:bCs/>
          <w:color w:val="86BF5E"/>
          <w:sz w:val="32"/>
          <w:szCs w:val="28"/>
          <w:lang w:val="en-GB"/>
        </w:rPr>
      </w:pPr>
      <w:r w:rsidRPr="001A0A01">
        <w:rPr>
          <w:lang w:val="en-GB"/>
        </w:rPr>
        <w:br w:type="page"/>
      </w:r>
    </w:p>
    <w:p w14:paraId="3A015FD6" w14:textId="77777777" w:rsidR="00E551F6" w:rsidRPr="001A0A01" w:rsidRDefault="00E551F6" w:rsidP="00E551F6">
      <w:pPr>
        <w:pStyle w:val="Nadpis1"/>
        <w:rPr>
          <w:lang w:val="en-GB"/>
        </w:rPr>
      </w:pPr>
      <w:bookmarkStart w:id="77" w:name="_Toc179774110"/>
      <w:bookmarkStart w:id="78" w:name="_Toc161914427"/>
      <w:r w:rsidRPr="001A0A01">
        <w:rPr>
          <w:lang w:val="en-GB"/>
        </w:rPr>
        <w:lastRenderedPageBreak/>
        <w:t>6. Labour Market</w:t>
      </w:r>
      <w:bookmarkEnd w:id="77"/>
    </w:p>
    <w:tbl>
      <w:tblPr>
        <w:tblW w:w="9674" w:type="dxa"/>
        <w:tblInd w:w="-35" w:type="dxa"/>
        <w:tblCellMar>
          <w:left w:w="0" w:type="dxa"/>
          <w:right w:w="0" w:type="dxa"/>
        </w:tblCellMar>
        <w:tblLook w:val="00A0" w:firstRow="1" w:lastRow="0" w:firstColumn="1" w:lastColumn="0" w:noHBand="0" w:noVBand="0"/>
      </w:tblPr>
      <w:tblGrid>
        <w:gridCol w:w="1746"/>
        <w:gridCol w:w="198"/>
        <w:gridCol w:w="7730"/>
      </w:tblGrid>
      <w:tr w:rsidR="00E551F6" w:rsidRPr="001A0A01" w14:paraId="0BC8AE8F" w14:textId="77777777" w:rsidTr="003D1AE0">
        <w:trPr>
          <w:trHeight w:val="155"/>
        </w:trPr>
        <w:tc>
          <w:tcPr>
            <w:tcW w:w="1768" w:type="dxa"/>
            <w:shd w:val="clear" w:color="auto" w:fill="auto"/>
            <w:tcMar>
              <w:left w:w="0" w:type="dxa"/>
            </w:tcMar>
          </w:tcPr>
          <w:p w14:paraId="57F0172C" w14:textId="77777777" w:rsidR="0019301D" w:rsidRDefault="00E551F6" w:rsidP="00E551F6">
            <w:pPr>
              <w:jc w:val="left"/>
              <w:rPr>
                <w:color w:val="0D0D0D" w:themeColor="text1" w:themeTint="F2"/>
                <w:spacing w:val="-4"/>
                <w:sz w:val="16"/>
                <w:szCs w:val="16"/>
                <w:lang w:val="en-GB"/>
              </w:rPr>
            </w:pPr>
            <w:r w:rsidRPr="001A0A01">
              <w:rPr>
                <w:color w:val="0D0D0D" w:themeColor="text1" w:themeTint="F2"/>
                <w:spacing w:val="-4"/>
                <w:sz w:val="16"/>
                <w:szCs w:val="16"/>
                <w:lang w:val="en-GB"/>
              </w:rPr>
              <w:t>The situation on the labour market was stabilis</w:t>
            </w:r>
            <w:r w:rsidR="0019301D">
              <w:rPr>
                <w:color w:val="0D0D0D" w:themeColor="text1" w:themeTint="F2"/>
                <w:spacing w:val="-4"/>
                <w:sz w:val="16"/>
                <w:szCs w:val="16"/>
                <w:lang w:val="en-GB"/>
              </w:rPr>
              <w:t>ed in H1. Especially in case</w:t>
            </w:r>
            <w:r w:rsidRPr="001A0A01">
              <w:rPr>
                <w:color w:val="0D0D0D" w:themeColor="text1" w:themeTint="F2"/>
                <w:spacing w:val="-4"/>
                <w:sz w:val="16"/>
                <w:szCs w:val="16"/>
                <w:lang w:val="en-GB"/>
              </w:rPr>
              <w:t xml:space="preserve"> of employment, the effects of last year's economic stagnation were still reflected retrospectively. </w:t>
            </w:r>
          </w:p>
          <w:p w14:paraId="61C67540" w14:textId="1C1B21E5"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t xml:space="preserve">Growth of the purchasing power of wages has resumed, and wages have thus gradually begun to eliminate their deep losses from 2022 and 2023. </w:t>
            </w:r>
          </w:p>
        </w:tc>
        <w:tc>
          <w:tcPr>
            <w:tcW w:w="200" w:type="dxa"/>
            <w:shd w:val="clear" w:color="auto" w:fill="auto"/>
            <w:tcMar>
              <w:left w:w="0" w:type="dxa"/>
            </w:tcMar>
          </w:tcPr>
          <w:p w14:paraId="158CF04B"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5AEB3121" w14:textId="77777777" w:rsidR="00E551F6" w:rsidRPr="001A0A01" w:rsidRDefault="00E551F6" w:rsidP="00E551F6">
            <w:pPr>
              <w:spacing w:after="200"/>
              <w:rPr>
                <w:color w:val="0D0D0D" w:themeColor="text1" w:themeTint="F2"/>
                <w:spacing w:val="-5"/>
                <w:szCs w:val="20"/>
                <w:lang w:val="en-GB"/>
              </w:rPr>
            </w:pPr>
            <w:r w:rsidRPr="001A0A01">
              <w:rPr>
                <w:color w:val="0D0D0D" w:themeColor="text1" w:themeTint="F2"/>
                <w:spacing w:val="-5"/>
                <w:szCs w:val="20"/>
                <w:lang w:val="en-GB"/>
              </w:rPr>
              <w:t xml:space="preserve">The effects of last year's stagnation of economic performance continued to be reflected on the labour market with a delay this year. Employment growth remained rather weak. Despite the recovery of most services and small and medium businesses in general, the unfavourable situation persisted in industry and construction. Entrepreneurs in most key sectors also remain cautious regarding their short-term expectations of their own employment. However, in spite of the uncertain economic outlook, companies still increasingly demanded a cheaper labour force from abroad, and in addition, the integration of Ukrainian refugees into the labour market in the Czech Republic gradually continued, which partly addressed the longer-term shortage of available labour force in the country. Unemployment, including its long-term component, remained at a very low level without any significant changes. The specific situation in individual economic activities was reflected in heterogeneous wage growth, nevertheless its nominal year-on-year pace overall slightly weakened. This was also due to the fact that wage growth was subdued in most areas of the public sector as a result of the fiscal consolidation efforts. However, thanks to the stabilisation of the price level in the economy, the year-on-year decrease of the purchasing power of wages has stopped in all regions as well as main sectors (except for education). The purchasing power of average wages nevertheless still reached only the 2018 level. </w:t>
            </w:r>
          </w:p>
        </w:tc>
      </w:tr>
      <w:tr w:rsidR="00E551F6" w:rsidRPr="001A0A01" w14:paraId="13894D6F" w14:textId="77777777" w:rsidTr="003D1AE0">
        <w:trPr>
          <w:trHeight w:val="155"/>
        </w:trPr>
        <w:tc>
          <w:tcPr>
            <w:tcW w:w="1768" w:type="dxa"/>
            <w:shd w:val="clear" w:color="auto" w:fill="auto"/>
            <w:tcMar>
              <w:left w:w="0" w:type="dxa"/>
            </w:tcMar>
          </w:tcPr>
          <w:p w14:paraId="2CDD692F"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Total employment slightly increased, quarter-on-quarter, in Q2, mainly due to the development of small businesses. </w:t>
            </w:r>
          </w:p>
          <w:p w14:paraId="4519039F" w14:textId="77777777" w:rsidR="00E551F6" w:rsidRPr="001A0A01" w:rsidRDefault="00E551F6" w:rsidP="00E551F6">
            <w:pPr>
              <w:pStyle w:val="Marginlie"/>
              <w:spacing w:after="120"/>
              <w:rPr>
                <w:color w:val="0D0D0D" w:themeColor="text1" w:themeTint="F2"/>
                <w:spacing w:val="-4"/>
                <w:lang w:val="en-GB"/>
              </w:rPr>
            </w:pPr>
          </w:p>
          <w:p w14:paraId="6BACB28A" w14:textId="77777777" w:rsidR="00E551F6" w:rsidRPr="001A0A01" w:rsidRDefault="00E551F6" w:rsidP="00E551F6">
            <w:pPr>
              <w:pStyle w:val="Marginlie"/>
              <w:spacing w:after="120"/>
              <w:rPr>
                <w:color w:val="0D0D0D" w:themeColor="text1" w:themeTint="F2"/>
                <w:spacing w:val="-4"/>
                <w:lang w:val="en-GB"/>
              </w:rPr>
            </w:pPr>
          </w:p>
          <w:p w14:paraId="5B4A58C9" w14:textId="77777777" w:rsidR="00E551F6" w:rsidRPr="001A0A01" w:rsidRDefault="00E551F6" w:rsidP="00E551F6">
            <w:pPr>
              <w:pStyle w:val="Marginlie"/>
              <w:spacing w:after="120"/>
              <w:rPr>
                <w:color w:val="0D0D0D" w:themeColor="text1" w:themeTint="F2"/>
                <w:spacing w:val="-4"/>
                <w:lang w:val="en-GB"/>
              </w:rPr>
            </w:pPr>
          </w:p>
          <w:p w14:paraId="4E3CEC36" w14:textId="77777777" w:rsidR="00E551F6" w:rsidRPr="001A0A01" w:rsidRDefault="00E551F6" w:rsidP="00E551F6">
            <w:pPr>
              <w:pStyle w:val="Marginlie"/>
              <w:spacing w:after="120"/>
              <w:rPr>
                <w:color w:val="0D0D0D" w:themeColor="text1" w:themeTint="F2"/>
                <w:spacing w:val="-4"/>
                <w:lang w:val="en-GB"/>
              </w:rPr>
            </w:pPr>
          </w:p>
          <w:p w14:paraId="123EC19D"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The year-on-year growth was driven by public services for employees, and by trade and tourism-related activities for the self-employed. </w:t>
            </w:r>
          </w:p>
        </w:tc>
        <w:tc>
          <w:tcPr>
            <w:tcW w:w="200" w:type="dxa"/>
            <w:shd w:val="clear" w:color="auto" w:fill="auto"/>
            <w:tcMar>
              <w:left w:w="0" w:type="dxa"/>
            </w:tcMar>
          </w:tcPr>
          <w:p w14:paraId="0C967064"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02626354" w14:textId="2F91D023" w:rsidR="00E551F6" w:rsidRPr="001A0A01" w:rsidRDefault="00E551F6" w:rsidP="00E551F6">
            <w:pPr>
              <w:rPr>
                <w:spacing w:val="-4"/>
                <w:lang w:val="en-GB"/>
              </w:rPr>
            </w:pPr>
            <w:r w:rsidRPr="001A0A01">
              <w:rPr>
                <w:spacing w:val="-4"/>
                <w:lang w:val="en-GB"/>
              </w:rPr>
              <w:t>While the total employment</w:t>
            </w:r>
            <w:r w:rsidRPr="001A0A01">
              <w:rPr>
                <w:color w:val="0D0D0D" w:themeColor="text1" w:themeTint="F2"/>
                <w:spacing w:val="-4"/>
                <w:vertAlign w:val="superscript"/>
                <w:lang w:val="en-GB"/>
              </w:rPr>
              <w:footnoteReference w:id="61"/>
            </w:r>
            <w:r w:rsidRPr="001A0A01">
              <w:rPr>
                <w:spacing w:val="-4"/>
                <w:lang w:val="en-GB"/>
              </w:rPr>
              <w:t xml:space="preserve"> in </w:t>
            </w:r>
            <w:proofErr w:type="spellStart"/>
            <w:r w:rsidRPr="001A0A01">
              <w:rPr>
                <w:spacing w:val="-4"/>
                <w:lang w:val="en-GB"/>
              </w:rPr>
              <w:t>Czechia</w:t>
            </w:r>
            <w:proofErr w:type="spellEnd"/>
            <w:r w:rsidRPr="001A0A01">
              <w:rPr>
                <w:spacing w:val="-4"/>
                <w:lang w:val="en-GB"/>
              </w:rPr>
              <w:t xml:space="preserve"> was only stagnating, quarter-on-quarter, at the beginning of this year (as in the second half of last year), it increased by 0.5% during Q2 2024. This recovery was mainly driven by some sectors of market services (trade, tourism-related activities, real estate) as well as construction. Rathe</w:t>
            </w:r>
            <w:r w:rsidR="0019301D">
              <w:rPr>
                <w:spacing w:val="-4"/>
                <w:lang w:val="en-GB"/>
              </w:rPr>
              <w:t>r than an increase of employee</w:t>
            </w:r>
            <w:r w:rsidRPr="001A0A01">
              <w:rPr>
                <w:spacing w:val="-4"/>
                <w:lang w:val="en-GB"/>
              </w:rPr>
              <w:t xml:space="preserve"> positions, the development of small businesses man</w:t>
            </w:r>
            <w:r w:rsidR="0019301D">
              <w:rPr>
                <w:spacing w:val="-4"/>
                <w:lang w:val="en-GB"/>
              </w:rPr>
              <w:t>ifested. The number of persons working</w:t>
            </w:r>
            <w:r w:rsidRPr="001A0A01">
              <w:rPr>
                <w:spacing w:val="-4"/>
                <w:lang w:val="en-GB"/>
              </w:rPr>
              <w:t xml:space="preserve"> in the national economy has already reached 5.41 million. Compared to the maximum value from the last boom (Q4 2018), it was higher by 0.7%, mainly due to the development of public services. Total employment has grown, year-on-year, for more than three years in a row, but the current pace in Q2 2024 was the weakest for the entire period (+0.2%</w:t>
            </w:r>
            <w:r w:rsidRPr="001A0A01">
              <w:rPr>
                <w:rStyle w:val="Znakapoznpodarou"/>
                <w:color w:val="0D0D0D" w:themeColor="text1" w:themeTint="F2"/>
                <w:spacing w:val="-4"/>
                <w:lang w:val="en-GB"/>
              </w:rPr>
              <w:footnoteReference w:id="62"/>
            </w:r>
            <w:r w:rsidRPr="001A0A01">
              <w:rPr>
                <w:spacing w:val="-4"/>
                <w:lang w:val="en-GB"/>
              </w:rPr>
              <w:t>). The delayed effect of last year's stagnation of the total economic performance was reflected in this project. The nu</w:t>
            </w:r>
            <w:r w:rsidR="00E2206E">
              <w:rPr>
                <w:spacing w:val="-4"/>
                <w:lang w:val="en-GB"/>
              </w:rPr>
              <w:t>mber of employees grew negligibly</w:t>
            </w:r>
            <w:r w:rsidRPr="001A0A01">
              <w:rPr>
                <w:spacing w:val="-4"/>
                <w:lang w:val="en-GB"/>
              </w:rPr>
              <w:t xml:space="preserve"> (+0.1%), which is related to persistent difficulties in the mining as well as manufacturing industries and the related transport branch. In contrast, most services prospered. Only the financial sector has significantly reduced the number of employees here, where this decline has a longer-term character and is mainly connected to the development of digitization. The number of self-employed persons in the total economy increased by 0.7%. Their numbers have thus grown more rapidly than in the case of employees, specifically for more than two years. The branch trade, transport, accommodation and food serv</w:t>
            </w:r>
            <w:r w:rsidR="00E2206E">
              <w:rPr>
                <w:spacing w:val="-4"/>
                <w:lang w:val="en-GB"/>
              </w:rPr>
              <w:t>ice, and to a lesser extent</w:t>
            </w:r>
            <w:r w:rsidRPr="001A0A01">
              <w:rPr>
                <w:spacing w:val="-4"/>
                <w:lang w:val="en-GB"/>
              </w:rPr>
              <w:t xml:space="preserve"> the public s</w:t>
            </w:r>
            <w:r w:rsidR="00E2206E">
              <w:rPr>
                <w:spacing w:val="-4"/>
                <w:lang w:val="en-GB"/>
              </w:rPr>
              <w:t>ector and also financial activities (</w:t>
            </w:r>
            <w:r w:rsidRPr="001A0A01">
              <w:rPr>
                <w:spacing w:val="-4"/>
                <w:lang w:val="en-GB"/>
              </w:rPr>
              <w:t>w</w:t>
            </w:r>
            <w:r>
              <w:rPr>
                <w:spacing w:val="-4"/>
                <w:lang w:val="en-GB"/>
              </w:rPr>
              <w:t>here there could be “</w:t>
            </w:r>
            <w:proofErr w:type="spellStart"/>
            <w:r>
              <w:rPr>
                <w:spacing w:val="-4"/>
                <w:lang w:val="en-GB"/>
              </w:rPr>
              <w:t>spillovers</w:t>
            </w:r>
            <w:proofErr w:type="spellEnd"/>
            <w:r>
              <w:rPr>
                <w:spacing w:val="-4"/>
                <w:lang w:val="en-GB"/>
              </w:rPr>
              <w:t>”</w:t>
            </w:r>
            <w:r w:rsidR="00E2206E">
              <w:rPr>
                <w:spacing w:val="-4"/>
                <w:lang w:val="en-GB"/>
              </w:rPr>
              <w:t xml:space="preserve"> from employee</w:t>
            </w:r>
            <w:r w:rsidRPr="001A0A01">
              <w:rPr>
                <w:spacing w:val="-4"/>
                <w:lang w:val="en-GB"/>
              </w:rPr>
              <w:t xml:space="preserve"> status</w:t>
            </w:r>
            <w:r w:rsidR="00E2206E">
              <w:rPr>
                <w:spacing w:val="-4"/>
                <w:lang w:val="en-GB"/>
              </w:rPr>
              <w:t>)</w:t>
            </w:r>
            <w:r w:rsidRPr="001A0A01">
              <w:rPr>
                <w:spacing w:val="-4"/>
                <w:lang w:val="en-GB"/>
              </w:rPr>
              <w:t xml:space="preserve"> were behind the growing number of small entrepreneurs currently. The number of self-employed decreased due to the persisting recession and weakened demand in both industry and construction. </w:t>
            </w:r>
            <w:r w:rsidRPr="001A0A01">
              <w:rPr>
                <w:color w:val="0D0D0D" w:themeColor="text1" w:themeTint="F2"/>
                <w:spacing w:val="-4"/>
                <w:lang w:val="en-GB"/>
              </w:rPr>
              <w:t xml:space="preserve"> </w:t>
            </w:r>
          </w:p>
        </w:tc>
      </w:tr>
      <w:tr w:rsidR="00E551F6" w:rsidRPr="001A0A01" w14:paraId="50A218BE" w14:textId="77777777" w:rsidTr="003D1AE0">
        <w:trPr>
          <w:trHeight w:val="155"/>
        </w:trPr>
        <w:tc>
          <w:tcPr>
            <w:tcW w:w="1768" w:type="dxa"/>
            <w:shd w:val="clear" w:color="auto" w:fill="auto"/>
            <w:tcMar>
              <w:left w:w="0" w:type="dxa"/>
            </w:tcMar>
          </w:tcPr>
          <w:p w14:paraId="156C4C7C" w14:textId="77777777" w:rsidR="00E551F6" w:rsidRPr="001A0A01" w:rsidRDefault="00E551F6" w:rsidP="00E551F6">
            <w:pPr>
              <w:pStyle w:val="Marginlie"/>
              <w:spacing w:after="120"/>
              <w:rPr>
                <w:color w:val="0D0D0D" w:themeColor="text1" w:themeTint="F2"/>
                <w:spacing w:val="-4"/>
                <w:lang w:val="en-GB"/>
              </w:rPr>
            </w:pPr>
            <w:r w:rsidRPr="001A0A01">
              <w:rPr>
                <w:color w:val="0D0D0D" w:themeColor="text1" w:themeTint="F2"/>
                <w:spacing w:val="-4"/>
                <w:lang w:val="en-GB"/>
              </w:rPr>
              <w:t xml:space="preserve">Most services sectors contributed to the very </w:t>
            </w:r>
            <w:r w:rsidRPr="001A0A01">
              <w:rPr>
                <w:color w:val="0D0D0D" w:themeColor="text1" w:themeTint="F2"/>
                <w:spacing w:val="-4"/>
                <w:lang w:val="en-GB"/>
              </w:rPr>
              <w:lastRenderedPageBreak/>
              <w:t>modest year-on-year growth of employment, however both industry and construction were losing workers.</w:t>
            </w:r>
          </w:p>
          <w:p w14:paraId="76BEDB27" w14:textId="77777777" w:rsidR="00E551F6" w:rsidRPr="001A0A01" w:rsidRDefault="00E551F6" w:rsidP="00E551F6">
            <w:pPr>
              <w:pStyle w:val="Marginlie"/>
              <w:spacing w:after="120"/>
              <w:rPr>
                <w:color w:val="0D0D0D" w:themeColor="text1" w:themeTint="F2"/>
                <w:spacing w:val="-4"/>
                <w:lang w:val="en-GB"/>
              </w:rPr>
            </w:pPr>
          </w:p>
        </w:tc>
        <w:tc>
          <w:tcPr>
            <w:tcW w:w="200" w:type="dxa"/>
            <w:shd w:val="clear" w:color="auto" w:fill="auto"/>
            <w:tcMar>
              <w:left w:w="0" w:type="dxa"/>
            </w:tcMar>
          </w:tcPr>
          <w:p w14:paraId="12EA6A85"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60533D4" w14:textId="58F73A50" w:rsidR="00E551F6" w:rsidRPr="001A0A01" w:rsidRDefault="00E551F6" w:rsidP="00E551F6">
            <w:pPr>
              <w:rPr>
                <w:spacing w:val="-4"/>
                <w:lang w:val="en-GB"/>
              </w:rPr>
            </w:pPr>
            <w:r w:rsidRPr="001A0A01">
              <w:rPr>
                <w:spacing w:val="-4"/>
                <w:lang w:val="en-GB"/>
              </w:rPr>
              <w:t>The year-on-year growth of total employment (+0.3%) was driven by public services</w:t>
            </w:r>
            <w:r w:rsidRPr="001A0A01">
              <w:rPr>
                <w:rStyle w:val="Znakapoznpodarou"/>
                <w:spacing w:val="-4"/>
                <w:lang w:val="en-GB"/>
              </w:rPr>
              <w:footnoteReference w:id="63"/>
            </w:r>
            <w:r w:rsidRPr="001A0A01">
              <w:rPr>
                <w:spacing w:val="-4"/>
                <w:lang w:val="en-GB"/>
              </w:rPr>
              <w:t xml:space="preserve"> (+1.6%) in H1</w:t>
            </w:r>
            <w:r w:rsidR="00C2492A">
              <w:rPr>
                <w:spacing w:val="-4"/>
                <w:lang w:val="en-GB"/>
              </w:rPr>
              <w:t xml:space="preserve"> 2024</w:t>
            </w:r>
            <w:r w:rsidRPr="001A0A01">
              <w:rPr>
                <w:spacing w:val="-4"/>
                <w:lang w:val="en-GB"/>
              </w:rPr>
              <w:t xml:space="preserve">, which gradually responded to the rising demand related mainly to </w:t>
            </w:r>
            <w:r w:rsidRPr="001A0A01">
              <w:rPr>
                <w:spacing w:val="-4"/>
                <w:lang w:val="en-GB"/>
              </w:rPr>
              <w:lastRenderedPageBreak/>
              <w:t xml:space="preserve">longer-term changes in the age structure of the population (in the area of education, </w:t>
            </w:r>
            <w:r w:rsidR="00C2492A">
              <w:rPr>
                <w:spacing w:val="-4"/>
                <w:lang w:val="en-GB"/>
              </w:rPr>
              <w:t>health and social care). Moreover</w:t>
            </w:r>
            <w:r w:rsidRPr="001A0A01">
              <w:rPr>
                <w:spacing w:val="-4"/>
                <w:lang w:val="en-GB"/>
              </w:rPr>
              <w:t xml:space="preserve"> nearly all major branches of the tertiary sector</w:t>
            </w:r>
            <w:r w:rsidRPr="001A0A01">
              <w:rPr>
                <w:rStyle w:val="Znakapoznpodarou"/>
                <w:spacing w:val="-4"/>
                <w:lang w:val="en-GB"/>
              </w:rPr>
              <w:footnoteReference w:id="64"/>
            </w:r>
            <w:r w:rsidRPr="001A0A01">
              <w:rPr>
                <w:spacing w:val="-4"/>
                <w:lang w:val="en-GB"/>
              </w:rPr>
              <w:t xml:space="preserve"> registered only slightly lower growth. On the contrary, industry, where the employment fell by more than 2% this year </w:t>
            </w:r>
            <w:r w:rsidR="00C2492A">
              <w:rPr>
                <w:spacing w:val="-4"/>
                <w:lang w:val="en-GB"/>
              </w:rPr>
              <w:t>(</w:t>
            </w:r>
            <w:r w:rsidRPr="001A0A01">
              <w:rPr>
                <w:spacing w:val="-4"/>
                <w:lang w:val="en-GB"/>
              </w:rPr>
              <w:t>after stagnating in the previous three years</w:t>
            </w:r>
            <w:r w:rsidR="00C2492A">
              <w:rPr>
                <w:spacing w:val="-4"/>
                <w:lang w:val="en-GB"/>
              </w:rPr>
              <w:t>)</w:t>
            </w:r>
            <w:r w:rsidRPr="001A0A01">
              <w:rPr>
                <w:spacing w:val="-4"/>
                <w:lang w:val="en-GB"/>
              </w:rPr>
              <w:t xml:space="preserve"> did not fare well. It was associated with the recession of the total branch accompanied by the heightened cost pressures as well as weakened demand in a number of traditional export branches</w:t>
            </w:r>
            <w:r w:rsidRPr="001A0A01">
              <w:rPr>
                <w:rStyle w:val="Znakapoznpodarou"/>
                <w:spacing w:val="-4"/>
                <w:lang w:val="en-GB"/>
              </w:rPr>
              <w:footnoteReference w:id="65"/>
            </w:r>
            <w:r w:rsidRPr="001A0A01">
              <w:rPr>
                <w:spacing w:val="-4"/>
                <w:lang w:val="en-GB"/>
              </w:rPr>
              <w:t xml:space="preserve">. The number of workers also decreased (−1.0%) in construction, specifically for the first time after 2020. </w:t>
            </w:r>
          </w:p>
        </w:tc>
      </w:tr>
      <w:tr w:rsidR="00E551F6" w:rsidRPr="001A0A01" w14:paraId="5AE2D9BB" w14:textId="77777777" w:rsidTr="003D1AE0">
        <w:trPr>
          <w:trHeight w:val="155"/>
        </w:trPr>
        <w:tc>
          <w:tcPr>
            <w:tcW w:w="1768" w:type="dxa"/>
            <w:shd w:val="clear" w:color="auto" w:fill="auto"/>
            <w:tcMar>
              <w:left w:w="0" w:type="dxa"/>
            </w:tcMar>
          </w:tcPr>
          <w:p w14:paraId="759C0ADC" w14:textId="77777777"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lastRenderedPageBreak/>
              <w:t xml:space="preserve">The number of hours worked in the economy decreased slightly for the first time in three years. Part-time work has expanded. </w:t>
            </w:r>
          </w:p>
        </w:tc>
        <w:tc>
          <w:tcPr>
            <w:tcW w:w="200" w:type="dxa"/>
            <w:shd w:val="clear" w:color="auto" w:fill="auto"/>
            <w:tcMar>
              <w:left w:w="0" w:type="dxa"/>
            </w:tcMar>
          </w:tcPr>
          <w:p w14:paraId="7E5991F4"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D413D8B" w14:textId="47F2B3BD" w:rsidR="00E551F6" w:rsidRPr="001A0A01" w:rsidRDefault="00E551F6" w:rsidP="00E551F6">
            <w:pPr>
              <w:rPr>
                <w:color w:val="0D0D0D" w:themeColor="text1" w:themeTint="F2"/>
                <w:spacing w:val="-4"/>
                <w:lang w:val="en-GB"/>
              </w:rPr>
            </w:pPr>
            <w:r w:rsidRPr="001A0A01">
              <w:rPr>
                <w:color w:val="0D0D0D" w:themeColor="text1" w:themeTint="F2"/>
                <w:spacing w:val="-4"/>
                <w:lang w:val="en-GB"/>
              </w:rPr>
              <w:t xml:space="preserve">The total number of hours worked in the economy, which returned to the 2019 level for the first-time last year, fell by 1.2%, year-on-year, in Q1 this year (falling for the first time after Q1 2021) and the subsequent quarter confirmed this development. Employment </w:t>
            </w:r>
            <w:r w:rsidR="0076324B">
              <w:rPr>
                <w:color w:val="0D0D0D" w:themeColor="text1" w:themeTint="F2"/>
                <w:spacing w:val="-4"/>
                <w:lang w:val="en-GB"/>
              </w:rPr>
              <w:t>(</w:t>
            </w:r>
            <w:r w:rsidRPr="001A0A01">
              <w:rPr>
                <w:color w:val="0D0D0D" w:themeColor="text1" w:themeTint="F2"/>
                <w:spacing w:val="-4"/>
                <w:lang w:val="en-GB"/>
              </w:rPr>
              <w:t>gauged in number of persons</w:t>
            </w:r>
            <w:r w:rsidR="0076324B">
              <w:rPr>
                <w:color w:val="0D0D0D" w:themeColor="text1" w:themeTint="F2"/>
                <w:spacing w:val="-4"/>
                <w:lang w:val="en-GB"/>
              </w:rPr>
              <w:t>)</w:t>
            </w:r>
            <w:r w:rsidRPr="001A0A01">
              <w:rPr>
                <w:color w:val="0D0D0D" w:themeColor="text1" w:themeTint="F2"/>
                <w:spacing w:val="-4"/>
                <w:lang w:val="en-GB"/>
              </w:rPr>
              <w:t xml:space="preserve"> grew faster than the number of hours worked not only this year, but also for most of the last year. Lower need for overtime work in some sectors affected by the recession, the expansion of part-time work</w:t>
            </w:r>
            <w:r w:rsidRPr="001A0A01">
              <w:rPr>
                <w:rStyle w:val="Znakapoznpodarou"/>
                <w:color w:val="0D0D0D" w:themeColor="text1" w:themeTint="F2"/>
                <w:spacing w:val="-4"/>
                <w:lang w:val="en-GB"/>
              </w:rPr>
              <w:footnoteReference w:id="66"/>
            </w:r>
            <w:r w:rsidRPr="001A0A01">
              <w:rPr>
                <w:color w:val="0D0D0D" w:themeColor="text1" w:themeTint="F2"/>
                <w:spacing w:val="-4"/>
                <w:lang w:val="en-GB"/>
              </w:rPr>
              <w:t xml:space="preserve"> (related to the growing employment of women supported by the refugee wave from Ukraine as well as the tax relief of part-time work introduced last year) or a decrease in the number of persons working on agreements</w:t>
            </w:r>
            <w:r w:rsidRPr="001A0A01">
              <w:rPr>
                <w:rStyle w:val="Znakapoznpodarou"/>
                <w:color w:val="0D0D0D" w:themeColor="text1" w:themeTint="F2"/>
                <w:spacing w:val="-4"/>
                <w:lang w:val="en-GB"/>
              </w:rPr>
              <w:footnoteReference w:id="67"/>
            </w:r>
            <w:r w:rsidRPr="001A0A01">
              <w:rPr>
                <w:color w:val="0D0D0D" w:themeColor="text1" w:themeTint="F2"/>
                <w:spacing w:val="-4"/>
                <w:lang w:val="en-GB"/>
              </w:rPr>
              <w:t xml:space="preserve">  (due to legislative changes reducing the financial benefits of these forms of work for employees and, conversely, increasing administrative burdens for companies) could have been reflected here. The highest decrease of the number of hours worked occurred in manufac</w:t>
            </w:r>
            <w:r w:rsidR="0076324B">
              <w:rPr>
                <w:color w:val="0D0D0D" w:themeColor="text1" w:themeTint="F2"/>
                <w:spacing w:val="-4"/>
                <w:lang w:val="en-GB"/>
              </w:rPr>
              <w:t>turing (−4.3%) in H1 2024 and</w:t>
            </w:r>
            <w:r w:rsidRPr="001A0A01">
              <w:rPr>
                <w:color w:val="0D0D0D" w:themeColor="text1" w:themeTint="F2"/>
                <w:spacing w:val="-4"/>
                <w:lang w:val="en-GB"/>
              </w:rPr>
              <w:t xml:space="preserve"> a significant year-on-year decrease was also recorded e.g. in public services (−1.7%). </w:t>
            </w:r>
          </w:p>
        </w:tc>
      </w:tr>
      <w:tr w:rsidR="00E551F6" w:rsidRPr="001A0A01" w14:paraId="1204A1B8" w14:textId="77777777" w:rsidTr="003D1AE0">
        <w:trPr>
          <w:trHeight w:val="155"/>
        </w:trPr>
        <w:tc>
          <w:tcPr>
            <w:tcW w:w="1768" w:type="dxa"/>
            <w:shd w:val="clear" w:color="auto" w:fill="auto"/>
            <w:tcMar>
              <w:left w:w="0" w:type="dxa"/>
            </w:tcMar>
          </w:tcPr>
          <w:p w14:paraId="4BC7CBC6" w14:textId="77777777" w:rsidR="00E551F6" w:rsidRPr="001A0A01" w:rsidRDefault="00E551F6" w:rsidP="00E551F6">
            <w:pPr>
              <w:jc w:val="left"/>
              <w:rPr>
                <w:color w:val="0D0D0D" w:themeColor="text1" w:themeTint="F2"/>
                <w:spacing w:val="-4"/>
                <w:lang w:val="en-GB"/>
              </w:rPr>
            </w:pPr>
            <w:r w:rsidRPr="001A0A01">
              <w:rPr>
                <w:color w:val="0D0D0D" w:themeColor="text1" w:themeTint="F2"/>
                <w:spacing w:val="-4"/>
                <w:sz w:val="16"/>
                <w:szCs w:val="16"/>
                <w:lang w:val="en-GB"/>
              </w:rPr>
              <w:t xml:space="preserve">The number of foreigners in employment status rose to a record 828 thousand. Ukrainians formed more than half of its year-on-year increase. The influx of workers from some Asian countries has accelerated. </w:t>
            </w:r>
          </w:p>
        </w:tc>
        <w:tc>
          <w:tcPr>
            <w:tcW w:w="200" w:type="dxa"/>
            <w:shd w:val="clear" w:color="auto" w:fill="auto"/>
            <w:tcMar>
              <w:left w:w="0" w:type="dxa"/>
            </w:tcMar>
          </w:tcPr>
          <w:p w14:paraId="4AE159E6" w14:textId="77777777" w:rsidR="00E551F6" w:rsidRPr="001A0A01" w:rsidRDefault="00E551F6" w:rsidP="00E551F6">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4242A6C5" w14:textId="1CC6F3E7" w:rsidR="00E551F6" w:rsidRPr="001A0A01" w:rsidRDefault="00E551F6" w:rsidP="003D1AE0">
            <w:pPr>
              <w:rPr>
                <w:color w:val="0D0D0D" w:themeColor="text1" w:themeTint="F2"/>
                <w:spacing w:val="-6"/>
                <w:lang w:val="en-GB"/>
              </w:rPr>
            </w:pPr>
            <w:r w:rsidRPr="001A0A01">
              <w:rPr>
                <w:color w:val="0D0D0D" w:themeColor="text1" w:themeTint="F2"/>
                <w:spacing w:val="-4"/>
                <w:lang w:val="en-GB"/>
              </w:rPr>
              <w:t>The long-term limited pool of available labour force in the Czech Republic together with the heightened pressure on companies to optimise the production costs stimulated the growing demand of domestic employers for workers from abroad. Legislative changes reducing the administrative burden in this area aid the easier employment of foreigners. This applies both to citizens of Ukraine</w:t>
            </w:r>
            <w:r w:rsidRPr="001A0A01">
              <w:rPr>
                <w:rStyle w:val="Znakapoznpodarou"/>
                <w:color w:val="0D0D0D" w:themeColor="text1" w:themeTint="F2"/>
                <w:spacing w:val="-4"/>
                <w:lang w:val="en-GB"/>
              </w:rPr>
              <w:footnoteReference w:id="68"/>
            </w:r>
            <w:r w:rsidRPr="001A0A01">
              <w:rPr>
                <w:color w:val="0D0D0D" w:themeColor="text1" w:themeTint="F2"/>
                <w:spacing w:val="-4"/>
                <w:lang w:val="en-GB"/>
              </w:rPr>
              <w:t xml:space="preserve"> and foreigners from other, not only economically less developed countries outside the EU</w:t>
            </w:r>
            <w:r w:rsidRPr="001A0A01">
              <w:rPr>
                <w:rStyle w:val="Znakapoznpodarou"/>
                <w:color w:val="0D0D0D" w:themeColor="text1" w:themeTint="F2"/>
                <w:spacing w:val="-4"/>
                <w:lang w:val="en-GB"/>
              </w:rPr>
              <w:footnoteReference w:id="69"/>
            </w:r>
            <w:r w:rsidRPr="001A0A01">
              <w:rPr>
                <w:color w:val="0D0D0D" w:themeColor="text1" w:themeTint="F2"/>
                <w:spacing w:val="-4"/>
                <w:lang w:val="en-GB"/>
              </w:rPr>
              <w:t>. The long-term growth of the influx of foreign workers to the Czech Republic thus continued. The number of working foreigners in the Czech Republic grew at a similar pace as last year, e.g. there were a record 828 thousand persons</w:t>
            </w:r>
            <w:r w:rsidR="003D1AE0">
              <w:rPr>
                <w:color w:val="0D0D0D" w:themeColor="text1" w:themeTint="F2"/>
                <w:spacing w:val="-4"/>
                <w:lang w:val="en-GB"/>
              </w:rPr>
              <w:t xml:space="preserve"> in employee positions</w:t>
            </w:r>
            <w:r w:rsidRPr="001A0A01">
              <w:rPr>
                <w:color w:val="0D0D0D" w:themeColor="text1" w:themeTint="F2"/>
                <w:spacing w:val="-4"/>
                <w:lang w:val="en-GB"/>
              </w:rPr>
              <w:t xml:space="preserve"> (+32 thousand, year-on-year)</w:t>
            </w:r>
            <w:r w:rsidRPr="001A0A01">
              <w:rPr>
                <w:rStyle w:val="Znakapoznpodarou"/>
                <w:color w:val="0D0D0D" w:themeColor="text1" w:themeTint="F2"/>
                <w:spacing w:val="-4"/>
                <w:lang w:val="en-GB"/>
              </w:rPr>
              <w:t xml:space="preserve"> </w:t>
            </w:r>
            <w:r w:rsidRPr="001A0A01">
              <w:rPr>
                <w:rStyle w:val="Znakapoznpodarou"/>
                <w:color w:val="0D0D0D" w:themeColor="text1" w:themeTint="F2"/>
                <w:spacing w:val="-4"/>
                <w:lang w:val="en-GB"/>
              </w:rPr>
              <w:footnoteReference w:id="70"/>
            </w:r>
            <w:r w:rsidRPr="001A0A01">
              <w:rPr>
                <w:color w:val="0D0D0D" w:themeColor="text1" w:themeTint="F2"/>
                <w:spacing w:val="-4"/>
                <w:lang w:val="en-GB"/>
              </w:rPr>
              <w:t xml:space="preserve"> at the end of June this year. Ukrainians, of whom 286 thousand worked as employees in the Czech Republic (their increase was evenly distributed among men and women unlike in the previous years) comprised more than one half of the increase. The percentage share of citizens of India, the Philippines, China and Turkey also increased rapidly. On the other hand, the number of Poles, Hungarians and Bulgarians slightly reduced. From the regional point of view, the year-on-year increase in the number of foreigners in the employment status was highest in Prague (+6.5%) and in the </w:t>
            </w:r>
            <w:proofErr w:type="spellStart"/>
            <w:r w:rsidRPr="001A0A01">
              <w:rPr>
                <w:i/>
                <w:iCs/>
                <w:color w:val="0D0D0D" w:themeColor="text1" w:themeTint="F2"/>
                <w:spacing w:val="-4"/>
                <w:lang w:val="en-GB"/>
              </w:rPr>
              <w:t>Vysočina</w:t>
            </w:r>
            <w:proofErr w:type="spellEnd"/>
            <w:r w:rsidRPr="001A0A01">
              <w:rPr>
                <w:color w:val="0D0D0D" w:themeColor="text1" w:themeTint="F2"/>
                <w:spacing w:val="-4"/>
                <w:lang w:val="en-GB"/>
              </w:rPr>
              <w:t xml:space="preserve"> Region (+6.4%) – i.e. at the same time in the regions currently the least affected </w:t>
            </w:r>
            <w:r w:rsidRPr="001A0A01">
              <w:rPr>
                <w:color w:val="0D0D0D" w:themeColor="text1" w:themeTint="F2"/>
                <w:spacing w:val="-4"/>
                <w:lang w:val="en-GB"/>
              </w:rPr>
              <w:lastRenderedPageBreak/>
              <w:t xml:space="preserve">by unemployment. Labour offices in Prague registered more than 30% of all employed foreigners in the Czech Republic and further 17% then in the Central Bohemia.  </w:t>
            </w:r>
          </w:p>
        </w:tc>
      </w:tr>
      <w:tr w:rsidR="00E551F6" w:rsidRPr="001A0A01" w14:paraId="137B8DE4" w14:textId="77777777" w:rsidTr="003D1AE0">
        <w:trPr>
          <w:trHeight w:val="155"/>
        </w:trPr>
        <w:tc>
          <w:tcPr>
            <w:tcW w:w="1768" w:type="dxa"/>
            <w:vMerge w:val="restart"/>
            <w:shd w:val="clear" w:color="auto" w:fill="auto"/>
            <w:tcMar>
              <w:left w:w="0" w:type="dxa"/>
            </w:tcMar>
          </w:tcPr>
          <w:p w14:paraId="3DD78A5F" w14:textId="77777777" w:rsidR="00E551F6" w:rsidRPr="001A0A01" w:rsidRDefault="00E551F6" w:rsidP="00E551F6">
            <w:pPr>
              <w:pStyle w:val="Marginlie"/>
              <w:spacing w:after="120"/>
              <w:rPr>
                <w:spacing w:val="-4"/>
                <w:lang w:val="en-GB"/>
              </w:rPr>
            </w:pPr>
          </w:p>
        </w:tc>
        <w:tc>
          <w:tcPr>
            <w:tcW w:w="200" w:type="dxa"/>
            <w:vMerge w:val="restart"/>
            <w:shd w:val="clear" w:color="auto" w:fill="auto"/>
            <w:tcMar>
              <w:left w:w="0" w:type="dxa"/>
            </w:tcMar>
          </w:tcPr>
          <w:p w14:paraId="10E4264C" w14:textId="77777777" w:rsidR="00E551F6" w:rsidRPr="001A0A01" w:rsidRDefault="00E551F6" w:rsidP="00E551F6">
            <w:pPr>
              <w:pStyle w:val="Textpoznpodarou"/>
              <w:spacing w:after="120"/>
              <w:jc w:val="both"/>
              <w:rPr>
                <w:spacing w:val="-4"/>
                <w:lang w:val="en-GB"/>
              </w:rPr>
            </w:pPr>
          </w:p>
        </w:tc>
        <w:tc>
          <w:tcPr>
            <w:tcW w:w="7706" w:type="dxa"/>
            <w:shd w:val="clear" w:color="auto" w:fill="auto"/>
            <w:tcMar>
              <w:left w:w="0" w:type="dxa"/>
            </w:tcMar>
          </w:tcPr>
          <w:p w14:paraId="1B9DE58A" w14:textId="7F9EE3A9" w:rsidR="00E551F6" w:rsidRPr="001A0A01" w:rsidRDefault="00E551F6" w:rsidP="00E551F6">
            <w:pPr>
              <w:spacing w:after="0"/>
              <w:rPr>
                <w:spacing w:val="-2"/>
                <w:lang w:val="en-GB"/>
              </w:rPr>
            </w:pPr>
            <w:r w:rsidRPr="001A0A01">
              <w:rPr>
                <w:rFonts w:cs="Arial"/>
                <w:b/>
                <w:bCs/>
                <w:color w:val="000000"/>
                <w:szCs w:val="20"/>
                <w:lang w:val="en-GB"/>
              </w:rPr>
              <w:t>Chart 13</w:t>
            </w:r>
            <w:r w:rsidRPr="001A0A01">
              <w:rPr>
                <w:rFonts w:cs="Arial"/>
                <w:b/>
                <w:bCs/>
                <w:color w:val="000000"/>
                <w:sz w:val="18"/>
                <w:szCs w:val="18"/>
                <w:lang w:val="en-GB"/>
              </w:rPr>
              <w:t xml:space="preserve"> </w:t>
            </w:r>
            <w:r w:rsidRPr="001A0A01">
              <w:rPr>
                <w:rFonts w:cs="Arial"/>
                <w:b/>
                <w:bCs/>
                <w:color w:val="000000"/>
                <w:spacing w:val="-3"/>
                <w:szCs w:val="20"/>
                <w:lang w:val="en-GB"/>
              </w:rPr>
              <w:t xml:space="preserve">Total employment </w:t>
            </w:r>
            <w:r w:rsidRPr="001A0A01">
              <w:rPr>
                <w:rFonts w:cs="Arial"/>
                <w:color w:val="000000"/>
                <w:spacing w:val="-3"/>
                <w:szCs w:val="20"/>
                <w:lang w:val="en-GB"/>
              </w:rPr>
              <w:t>(year-on-year in %),</w:t>
            </w:r>
            <w:r w:rsidRPr="001A0A01">
              <w:rPr>
                <w:rFonts w:cs="Arial"/>
                <w:b/>
                <w:bCs/>
                <w:color w:val="000000"/>
                <w:spacing w:val="-3"/>
                <w:szCs w:val="20"/>
                <w:lang w:val="en-GB"/>
              </w:rPr>
              <w:t xml:space="preserve"> contributions of b</w:t>
            </w:r>
            <w:r w:rsidR="00D01CDA">
              <w:rPr>
                <w:rFonts w:cs="Arial"/>
                <w:b/>
                <w:bCs/>
                <w:color w:val="000000"/>
                <w:spacing w:val="-3"/>
                <w:szCs w:val="20"/>
                <w:lang w:val="en-GB"/>
              </w:rPr>
              <w:t>ranches to year-on-year growth</w:t>
            </w:r>
            <w:r w:rsidRPr="001A0A01">
              <w:rPr>
                <w:rFonts w:cs="Arial"/>
                <w:b/>
                <w:bCs/>
                <w:color w:val="000000"/>
                <w:spacing w:val="-3"/>
                <w:szCs w:val="20"/>
                <w:lang w:val="en-GB"/>
              </w:rPr>
              <w:t xml:space="preserve"> of employment </w:t>
            </w:r>
            <w:r w:rsidRPr="001A0A01">
              <w:rPr>
                <w:rFonts w:cs="Arial"/>
                <w:color w:val="000000"/>
                <w:spacing w:val="-3"/>
                <w:szCs w:val="20"/>
                <w:lang w:val="en-GB"/>
              </w:rPr>
              <w:t>(in p.p.)</w:t>
            </w:r>
            <w:r w:rsidRPr="001A0A01">
              <w:rPr>
                <w:rFonts w:cs="Arial"/>
                <w:b/>
                <w:bCs/>
                <w:color w:val="000000"/>
                <w:spacing w:val="-3"/>
                <w:szCs w:val="20"/>
                <w:lang w:val="en-GB"/>
              </w:rPr>
              <w:t xml:space="preserve"> and expectations of employment</w:t>
            </w:r>
            <w:r w:rsidRPr="001A0A01">
              <w:rPr>
                <w:rFonts w:cs="Arial"/>
                <w:color w:val="000000"/>
                <w:spacing w:val="-3"/>
                <w:szCs w:val="20"/>
                <w:lang w:val="en-GB"/>
              </w:rPr>
              <w:t xml:space="preserve"> (balance in p. p.) </w:t>
            </w:r>
          </w:p>
        </w:tc>
      </w:tr>
      <w:tr w:rsidR="00E551F6" w:rsidRPr="001A0A01" w14:paraId="601EC3CF" w14:textId="77777777" w:rsidTr="003D1AE0">
        <w:tblPrEx>
          <w:tblCellMar>
            <w:left w:w="70" w:type="dxa"/>
            <w:right w:w="70" w:type="dxa"/>
          </w:tblCellMar>
        </w:tblPrEx>
        <w:trPr>
          <w:trHeight w:val="155"/>
        </w:trPr>
        <w:tc>
          <w:tcPr>
            <w:tcW w:w="1768" w:type="dxa"/>
            <w:vMerge/>
          </w:tcPr>
          <w:p w14:paraId="05FF247F" w14:textId="77777777" w:rsidR="00E551F6" w:rsidRPr="001A0A01" w:rsidRDefault="00E551F6" w:rsidP="00E551F6">
            <w:pPr>
              <w:pStyle w:val="Marginlie"/>
              <w:spacing w:after="120"/>
              <w:rPr>
                <w:spacing w:val="-4"/>
                <w:lang w:val="en-GB"/>
              </w:rPr>
            </w:pPr>
          </w:p>
        </w:tc>
        <w:tc>
          <w:tcPr>
            <w:tcW w:w="200" w:type="dxa"/>
            <w:vMerge/>
          </w:tcPr>
          <w:p w14:paraId="2827C640" w14:textId="77777777" w:rsidR="00E551F6" w:rsidRPr="001A0A01" w:rsidRDefault="00E551F6" w:rsidP="00E551F6">
            <w:pPr>
              <w:pStyle w:val="Textpoznpodarou"/>
              <w:spacing w:after="120"/>
              <w:jc w:val="both"/>
              <w:rPr>
                <w:spacing w:val="-4"/>
                <w:lang w:val="en-GB"/>
              </w:rPr>
            </w:pPr>
          </w:p>
        </w:tc>
        <w:tc>
          <w:tcPr>
            <w:tcW w:w="7706" w:type="dxa"/>
            <w:shd w:val="clear" w:color="auto" w:fill="auto"/>
          </w:tcPr>
          <w:p w14:paraId="18ED3BE0" w14:textId="47FB1FE3" w:rsidR="00E551F6" w:rsidRPr="001A0A01" w:rsidRDefault="00D01CDA" w:rsidP="00D01CDA">
            <w:pPr>
              <w:spacing w:before="40" w:after="0"/>
              <w:rPr>
                <w:spacing w:val="-4"/>
                <w:lang w:val="en-GB"/>
              </w:rPr>
            </w:pPr>
            <w:r>
              <w:rPr>
                <w:noProof/>
              </w:rPr>
              <w:drawing>
                <wp:inline distT="0" distB="0" distL="0" distR="0" wp14:anchorId="080321FB" wp14:editId="01CF2FE2">
                  <wp:extent cx="4804410" cy="3736883"/>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E551F6" w:rsidRPr="001A0A01" w14:paraId="6E7D8BCA" w14:textId="77777777" w:rsidTr="003D1AE0">
        <w:trPr>
          <w:trHeight w:val="671"/>
        </w:trPr>
        <w:tc>
          <w:tcPr>
            <w:tcW w:w="1768" w:type="dxa"/>
            <w:vMerge/>
            <w:tcMar>
              <w:left w:w="0" w:type="dxa"/>
            </w:tcMar>
          </w:tcPr>
          <w:p w14:paraId="174AC853" w14:textId="77777777" w:rsidR="00E551F6" w:rsidRPr="001A0A01" w:rsidRDefault="00E551F6" w:rsidP="00E551F6">
            <w:pPr>
              <w:pStyle w:val="Marginlie"/>
              <w:spacing w:after="120"/>
              <w:rPr>
                <w:spacing w:val="-4"/>
                <w:lang w:val="en-GB"/>
              </w:rPr>
            </w:pPr>
          </w:p>
        </w:tc>
        <w:tc>
          <w:tcPr>
            <w:tcW w:w="200" w:type="dxa"/>
            <w:vMerge/>
            <w:tcMar>
              <w:left w:w="0" w:type="dxa"/>
            </w:tcMar>
          </w:tcPr>
          <w:p w14:paraId="2AF3CFC0" w14:textId="77777777" w:rsidR="00E551F6" w:rsidRPr="001A0A01" w:rsidRDefault="00E551F6" w:rsidP="00E551F6">
            <w:pPr>
              <w:pStyle w:val="Textpoznpodarou"/>
              <w:spacing w:after="120"/>
              <w:jc w:val="both"/>
              <w:rPr>
                <w:spacing w:val="-4"/>
                <w:lang w:val="en-GB"/>
              </w:rPr>
            </w:pPr>
          </w:p>
        </w:tc>
        <w:tc>
          <w:tcPr>
            <w:tcW w:w="7706" w:type="dxa"/>
            <w:shd w:val="clear" w:color="auto" w:fill="auto"/>
            <w:tcMar>
              <w:left w:w="0" w:type="dxa"/>
            </w:tcMar>
          </w:tcPr>
          <w:p w14:paraId="6675CA0C" w14:textId="77777777" w:rsidR="00E551F6" w:rsidRPr="001A0A01" w:rsidRDefault="00E551F6" w:rsidP="00E551F6">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 xml:space="preserve">* Mining and energetics; Financial and insurance activities; Real estate activities; Arts, entertainment and recreation activities. </w:t>
            </w:r>
          </w:p>
          <w:p w14:paraId="4FD50B45" w14:textId="77777777" w:rsidR="00E551F6" w:rsidRPr="001A0A01" w:rsidRDefault="00E551F6" w:rsidP="00E551F6">
            <w:pPr>
              <w:spacing w:after="0" w:line="240" w:lineRule="auto"/>
              <w:rPr>
                <w:rFonts w:cs="Arial"/>
                <w:sz w:val="14"/>
                <w:szCs w:val="14"/>
                <w:lang w:val="en-GB"/>
              </w:rPr>
            </w:pPr>
            <w:r w:rsidRPr="001A0A01">
              <w:rPr>
                <w:rFonts w:cs="Arial"/>
                <w:color w:val="0D0D0D" w:themeColor="text1" w:themeTint="F2"/>
                <w:spacing w:val="-2"/>
                <w:sz w:val="14"/>
                <w:szCs w:val="14"/>
                <w:lang w:val="en-GB"/>
              </w:rPr>
              <w:t xml:space="preserve">Note: Balance of expectations expresses the difference in p.p. between categories growth vs. decrease of employment in the nearest three months. Data are seasonally adjusted and relate to the second month of the given quarter. </w:t>
            </w:r>
          </w:p>
          <w:p w14:paraId="64AD7C11" w14:textId="5375539A" w:rsidR="00E551F6" w:rsidRPr="00D01CDA" w:rsidRDefault="00E551F6" w:rsidP="003D1AE0">
            <w:pPr>
              <w:spacing w:after="180" w:line="240" w:lineRule="auto"/>
              <w:rPr>
                <w:rFonts w:cs="Arial"/>
                <w:sz w:val="14"/>
                <w:szCs w:val="14"/>
                <w:lang w:val="en-GB"/>
              </w:rPr>
            </w:pPr>
            <w:r w:rsidRPr="001A0A01">
              <w:rPr>
                <w:rFonts w:cs="Arial"/>
                <w:sz w:val="14"/>
                <w:szCs w:val="14"/>
                <w:lang w:val="en-GB"/>
              </w:rPr>
              <w:t>Source: CZSO (national accounts), Eur</w:t>
            </w:r>
            <w:r w:rsidR="00D01CDA">
              <w:rPr>
                <w:rFonts w:cs="Arial"/>
                <w:sz w:val="14"/>
                <w:szCs w:val="14"/>
                <w:lang w:val="en-GB"/>
              </w:rPr>
              <w:t>ostat (business cycle surveys).</w:t>
            </w:r>
          </w:p>
        </w:tc>
      </w:tr>
      <w:tr w:rsidR="00D01CDA" w:rsidRPr="001A0A01" w14:paraId="776E6693" w14:textId="77777777" w:rsidTr="003D1AE0">
        <w:trPr>
          <w:trHeight w:val="145"/>
        </w:trPr>
        <w:tc>
          <w:tcPr>
            <w:tcW w:w="1768" w:type="dxa"/>
            <w:shd w:val="clear" w:color="auto" w:fill="auto"/>
            <w:tcMar>
              <w:left w:w="0" w:type="dxa"/>
            </w:tcMar>
          </w:tcPr>
          <w:p w14:paraId="64128B20" w14:textId="77777777" w:rsidR="00D01CDA" w:rsidRPr="001A0A01" w:rsidRDefault="00D01CDA" w:rsidP="00D01CDA">
            <w:pPr>
              <w:jc w:val="left"/>
              <w:rPr>
                <w:color w:val="0D0D0D" w:themeColor="text1" w:themeTint="F2"/>
                <w:spacing w:val="-4"/>
                <w:lang w:val="en-GB"/>
              </w:rPr>
            </w:pPr>
            <w:r w:rsidRPr="001A0A01">
              <w:rPr>
                <w:color w:val="0D0D0D" w:themeColor="text1" w:themeTint="F2"/>
                <w:spacing w:val="-4"/>
                <w:sz w:val="16"/>
                <w:szCs w:val="16"/>
                <w:lang w:val="en-GB"/>
              </w:rPr>
              <w:t xml:space="preserve">The mild recovery of the economy has not been accompanied by a reduction in negative outlooks of businesses regarding employment so far this year. </w:t>
            </w:r>
          </w:p>
          <w:p w14:paraId="36703E64" w14:textId="77777777" w:rsidR="00D01CDA" w:rsidRPr="001A0A01" w:rsidRDefault="00D01CDA" w:rsidP="00D01CDA">
            <w:pPr>
              <w:pStyle w:val="Marginlie"/>
              <w:spacing w:after="120"/>
              <w:rPr>
                <w:color w:val="0D0D0D" w:themeColor="text1" w:themeTint="F2"/>
                <w:spacing w:val="-4"/>
                <w:lang w:val="en-GB"/>
              </w:rPr>
            </w:pPr>
          </w:p>
          <w:p w14:paraId="0B164E29" w14:textId="77777777" w:rsidR="00D01CDA" w:rsidRPr="001A0A01" w:rsidRDefault="00D01CDA" w:rsidP="00D01CDA">
            <w:pPr>
              <w:pStyle w:val="Marginlie"/>
              <w:spacing w:after="120"/>
              <w:rPr>
                <w:color w:val="0D0D0D" w:themeColor="text1" w:themeTint="F2"/>
                <w:spacing w:val="-4"/>
                <w:lang w:val="en-GB"/>
              </w:rPr>
            </w:pPr>
          </w:p>
          <w:p w14:paraId="2BAC6230" w14:textId="71C12779" w:rsidR="00D01CDA" w:rsidRPr="001A0A01" w:rsidRDefault="00D01CDA" w:rsidP="00D01CDA">
            <w:pPr>
              <w:pStyle w:val="Marginlie"/>
              <w:rPr>
                <w:color w:val="0D0D0D" w:themeColor="text1" w:themeTint="F2"/>
                <w:spacing w:val="-5"/>
                <w:lang w:val="en-GB"/>
              </w:rPr>
            </w:pPr>
            <w:r w:rsidRPr="001A0A01">
              <w:rPr>
                <w:color w:val="0D0D0D" w:themeColor="text1" w:themeTint="F2"/>
                <w:spacing w:val="-4"/>
                <w:lang w:val="en-GB"/>
              </w:rPr>
              <w:t xml:space="preserve">The role of lack of labour force as a significant growth barrier of businesses is slightly shrinking this year. </w:t>
            </w:r>
          </w:p>
        </w:tc>
        <w:tc>
          <w:tcPr>
            <w:tcW w:w="200" w:type="dxa"/>
            <w:shd w:val="clear" w:color="auto" w:fill="auto"/>
            <w:tcMar>
              <w:left w:w="0" w:type="dxa"/>
            </w:tcMar>
          </w:tcPr>
          <w:p w14:paraId="0F3F90C0" w14:textId="77777777" w:rsidR="00D01CDA" w:rsidRPr="001A0A01" w:rsidRDefault="00D01CDA" w:rsidP="00D01CDA">
            <w:pPr>
              <w:pStyle w:val="Textpoznpodarou"/>
              <w:spacing w:after="120"/>
              <w:jc w:val="both"/>
              <w:rPr>
                <w:color w:val="0D0D0D" w:themeColor="text1" w:themeTint="F2"/>
                <w:spacing w:val="-4"/>
                <w:lang w:val="en-GB"/>
              </w:rPr>
            </w:pPr>
          </w:p>
        </w:tc>
        <w:tc>
          <w:tcPr>
            <w:tcW w:w="7706" w:type="dxa"/>
            <w:shd w:val="clear" w:color="auto" w:fill="auto"/>
            <w:tcMar>
              <w:left w:w="0" w:type="dxa"/>
            </w:tcMar>
          </w:tcPr>
          <w:p w14:paraId="14A0C9E7" w14:textId="00FE1B23" w:rsidR="00D01CDA" w:rsidRPr="001A0A01" w:rsidRDefault="00D01CDA" w:rsidP="003D1AE0">
            <w:pPr>
              <w:spacing w:after="0"/>
              <w:rPr>
                <w:color w:val="0D0D0D" w:themeColor="text1" w:themeTint="F2"/>
                <w:lang w:val="en-GB"/>
              </w:rPr>
            </w:pPr>
            <w:r w:rsidRPr="001A0A01">
              <w:rPr>
                <w:color w:val="0D0D0D" w:themeColor="text1" w:themeTint="F2"/>
                <w:spacing w:val="-4"/>
                <w:lang w:val="en-GB"/>
              </w:rPr>
              <w:t>Short-term expectations of businesses in the area of their own employment remain slightly negative in the domestic economy (the same as throughout the last year). Despite a modest increase of the economic output, they stayed close to a three-year low in August this year. Among the main sectors, optimism persisted only in trade. The proportion of businesses that want to hire people (10%) exceeded those that want to lay off (9%) here. Negative expectations prevailed especially in services, where over 30% of businesses were considering laying off workers in the three-month horizon (but 15% want to on the contrary hire), while it was around 16% in industry as well as construction. The situation at the level of sub-branches within both industry and services naturally differed</w:t>
            </w:r>
            <w:r w:rsidRPr="001A0A01">
              <w:rPr>
                <w:rStyle w:val="Znakapoznpodarou"/>
                <w:color w:val="0D0D0D" w:themeColor="text1" w:themeTint="F2"/>
                <w:spacing w:val="-4"/>
                <w:lang w:val="en-GB"/>
              </w:rPr>
              <w:footnoteReference w:id="71"/>
            </w:r>
            <w:r w:rsidRPr="001A0A01">
              <w:rPr>
                <w:color w:val="0D0D0D" w:themeColor="text1" w:themeTint="F2"/>
                <w:spacing w:val="-4"/>
                <w:lang w:val="en-GB"/>
              </w:rPr>
              <w:t>. Construction was the only major sector in which expectations improved slightly, year-on-year. Since the beginning of this year, the share of companies for which the labour shortages represent one of the significant growth barriers</w:t>
            </w:r>
            <w:r w:rsidRPr="001A0A01">
              <w:rPr>
                <w:rStyle w:val="Znakapoznpodarou"/>
                <w:color w:val="0D0D0D" w:themeColor="text1" w:themeTint="F2"/>
                <w:spacing w:val="-4"/>
                <w:lang w:val="en-GB"/>
              </w:rPr>
              <w:footnoteReference w:id="72"/>
            </w:r>
            <w:r w:rsidRPr="001A0A01">
              <w:rPr>
                <w:color w:val="0D0D0D" w:themeColor="text1" w:themeTint="F2"/>
                <w:spacing w:val="-4"/>
                <w:lang w:val="en-GB"/>
              </w:rPr>
              <w:t xml:space="preserve"> has slightly decreased in industry (to 13% in August), services (8%) and </w:t>
            </w:r>
            <w:r w:rsidR="003D1AE0">
              <w:rPr>
                <w:color w:val="0D0D0D" w:themeColor="text1" w:themeTint="F2"/>
                <w:spacing w:val="-4"/>
                <w:lang w:val="en-GB"/>
              </w:rPr>
              <w:t xml:space="preserve">also in </w:t>
            </w:r>
            <w:r w:rsidRPr="001A0A01">
              <w:rPr>
                <w:color w:val="0D0D0D" w:themeColor="text1" w:themeTint="F2"/>
                <w:spacing w:val="-4"/>
                <w:lang w:val="en-GB"/>
              </w:rPr>
              <w:t xml:space="preserve">construction (42%), where, however, it has been a key barrier for more than five years, with minor interruptions. </w:t>
            </w:r>
          </w:p>
        </w:tc>
      </w:tr>
      <w:tr w:rsidR="00D01CDA" w:rsidRPr="001A0A01" w14:paraId="2FB77E05" w14:textId="77777777" w:rsidTr="003D1AE0">
        <w:trPr>
          <w:trHeight w:val="155"/>
        </w:trPr>
        <w:tc>
          <w:tcPr>
            <w:tcW w:w="1768" w:type="dxa"/>
            <w:vMerge w:val="restart"/>
            <w:shd w:val="clear" w:color="auto" w:fill="auto"/>
            <w:tcMar>
              <w:left w:w="0" w:type="dxa"/>
            </w:tcMar>
          </w:tcPr>
          <w:p w14:paraId="3FEE4E82" w14:textId="77777777" w:rsidR="00D01CDA" w:rsidRPr="001A0A01" w:rsidRDefault="00D01CDA" w:rsidP="00D01CDA">
            <w:pPr>
              <w:pStyle w:val="Marginlie"/>
              <w:spacing w:after="120"/>
              <w:rPr>
                <w:spacing w:val="-4"/>
                <w:lang w:val="en-GB"/>
              </w:rPr>
            </w:pPr>
          </w:p>
        </w:tc>
        <w:tc>
          <w:tcPr>
            <w:tcW w:w="200" w:type="dxa"/>
            <w:vMerge w:val="restart"/>
            <w:shd w:val="clear" w:color="auto" w:fill="auto"/>
            <w:tcMar>
              <w:left w:w="0" w:type="dxa"/>
            </w:tcMar>
          </w:tcPr>
          <w:p w14:paraId="3446A718" w14:textId="77777777" w:rsidR="00D01CDA" w:rsidRPr="001A0A01" w:rsidRDefault="00D01CDA" w:rsidP="00D01CDA">
            <w:pPr>
              <w:pStyle w:val="Textpoznpodarou"/>
              <w:spacing w:after="120"/>
              <w:jc w:val="both"/>
              <w:rPr>
                <w:spacing w:val="-4"/>
                <w:lang w:val="en-GB"/>
              </w:rPr>
            </w:pPr>
          </w:p>
        </w:tc>
        <w:tc>
          <w:tcPr>
            <w:tcW w:w="7706" w:type="dxa"/>
            <w:shd w:val="clear" w:color="auto" w:fill="auto"/>
            <w:tcMar>
              <w:left w:w="0" w:type="dxa"/>
            </w:tcMar>
          </w:tcPr>
          <w:p w14:paraId="158523B4" w14:textId="263B245E" w:rsidR="00D01CDA" w:rsidRPr="003D1AE0" w:rsidRDefault="00D01CDA" w:rsidP="00D01CDA">
            <w:pPr>
              <w:spacing w:after="0"/>
              <w:rPr>
                <w:rFonts w:cs="Arial"/>
                <w:b/>
                <w:bCs/>
                <w:spacing w:val="-2"/>
                <w:lang w:val="en-GB"/>
              </w:rPr>
            </w:pPr>
            <w:r w:rsidRPr="003D1AE0">
              <w:rPr>
                <w:b/>
                <w:spacing w:val="-2"/>
                <w:lang w:val="en-GB"/>
              </w:rPr>
              <w:t xml:space="preserve">Chart 14 </w:t>
            </w:r>
            <w:r w:rsidRPr="003D1AE0">
              <w:rPr>
                <w:rFonts w:cs="Arial"/>
                <w:b/>
                <w:spacing w:val="-2"/>
                <w:lang w:val="en-GB"/>
              </w:rPr>
              <w:t xml:space="preserve">General unemployment rate </w:t>
            </w:r>
            <w:r w:rsidRPr="003D1AE0">
              <w:rPr>
                <w:rFonts w:cs="Arial"/>
                <w:bCs/>
                <w:spacing w:val="-2"/>
                <w:lang w:val="en-GB"/>
              </w:rPr>
              <w:t>(in %, age 15 to 64 years)</w:t>
            </w:r>
            <w:r w:rsidRPr="003D1AE0">
              <w:rPr>
                <w:rFonts w:cs="Arial"/>
                <w:b/>
                <w:spacing w:val="-2"/>
                <w:lang w:val="en-GB"/>
              </w:rPr>
              <w:t>, unemployment expectations of households</w:t>
            </w:r>
            <w:r w:rsidRPr="003D1AE0">
              <w:rPr>
                <w:rFonts w:cs="Arial"/>
                <w:b/>
                <w:bCs/>
                <w:spacing w:val="-2"/>
                <w:lang w:val="en-GB"/>
              </w:rPr>
              <w:t xml:space="preserve">* </w:t>
            </w:r>
            <w:r w:rsidRPr="003D1AE0">
              <w:rPr>
                <w:rFonts w:cs="Arial"/>
                <w:spacing w:val="-2"/>
                <w:lang w:val="en-GB"/>
              </w:rPr>
              <w:t xml:space="preserve">(in p.p.), </w:t>
            </w:r>
            <w:r w:rsidRPr="003D1AE0">
              <w:rPr>
                <w:rFonts w:cs="Arial"/>
                <w:b/>
                <w:spacing w:val="-2"/>
                <w:lang w:val="en-GB"/>
              </w:rPr>
              <w:t>job vacancies and working foreigners in employee positions</w:t>
            </w:r>
            <w:r w:rsidR="002C544F">
              <w:rPr>
                <w:rFonts w:cs="Arial"/>
                <w:b/>
                <w:spacing w:val="-2"/>
                <w:lang w:val="en-GB"/>
              </w:rPr>
              <w:t>**</w:t>
            </w:r>
            <w:r w:rsidRPr="003D1AE0">
              <w:rPr>
                <w:rFonts w:cs="Arial"/>
                <w:b/>
                <w:spacing w:val="-2"/>
                <w:lang w:val="en-GB"/>
              </w:rPr>
              <w:t xml:space="preserve"> </w:t>
            </w:r>
            <w:r w:rsidR="002C544F">
              <w:rPr>
                <w:rFonts w:cs="Arial"/>
                <w:bCs/>
                <w:spacing w:val="-2"/>
                <w:lang w:val="en-GB"/>
              </w:rPr>
              <w:t>(in thousand)</w:t>
            </w:r>
          </w:p>
        </w:tc>
      </w:tr>
      <w:tr w:rsidR="00D01CDA" w:rsidRPr="001A0A01" w14:paraId="2240C4B9" w14:textId="77777777" w:rsidTr="003D1AE0">
        <w:tblPrEx>
          <w:tblCellMar>
            <w:left w:w="70" w:type="dxa"/>
            <w:right w:w="70" w:type="dxa"/>
          </w:tblCellMar>
        </w:tblPrEx>
        <w:trPr>
          <w:trHeight w:val="155"/>
        </w:trPr>
        <w:tc>
          <w:tcPr>
            <w:tcW w:w="1768" w:type="dxa"/>
            <w:vMerge/>
          </w:tcPr>
          <w:p w14:paraId="2D6A4030" w14:textId="77777777" w:rsidR="00D01CDA" w:rsidRPr="001A0A01" w:rsidRDefault="00D01CDA" w:rsidP="00D01CDA">
            <w:pPr>
              <w:pStyle w:val="Marginlie"/>
              <w:spacing w:after="120"/>
              <w:rPr>
                <w:spacing w:val="-4"/>
                <w:lang w:val="en-GB"/>
              </w:rPr>
            </w:pPr>
          </w:p>
        </w:tc>
        <w:tc>
          <w:tcPr>
            <w:tcW w:w="200" w:type="dxa"/>
            <w:vMerge/>
          </w:tcPr>
          <w:p w14:paraId="602D3805" w14:textId="77777777" w:rsidR="00D01CDA" w:rsidRPr="001A0A01" w:rsidRDefault="00D01CDA" w:rsidP="00D01CDA">
            <w:pPr>
              <w:pStyle w:val="Textpoznpodarou"/>
              <w:spacing w:after="120"/>
              <w:jc w:val="both"/>
              <w:rPr>
                <w:spacing w:val="-4"/>
                <w:lang w:val="en-GB"/>
              </w:rPr>
            </w:pPr>
          </w:p>
        </w:tc>
        <w:tc>
          <w:tcPr>
            <w:tcW w:w="7706" w:type="dxa"/>
            <w:shd w:val="clear" w:color="auto" w:fill="auto"/>
          </w:tcPr>
          <w:p w14:paraId="41CAF5B4" w14:textId="54FC6AB4" w:rsidR="00D01CDA" w:rsidRPr="001A0A01" w:rsidRDefault="003D1AE0" w:rsidP="00D01CDA">
            <w:pPr>
              <w:spacing w:after="0"/>
              <w:rPr>
                <w:spacing w:val="-4"/>
                <w:lang w:val="en-GB"/>
              </w:rPr>
            </w:pPr>
            <w:r>
              <w:rPr>
                <w:noProof/>
              </w:rPr>
              <w:drawing>
                <wp:inline distT="0" distB="0" distL="0" distR="0" wp14:anchorId="72966C3B" wp14:editId="3712BEC0">
                  <wp:extent cx="4817660" cy="3505200"/>
                  <wp:effectExtent l="0" t="0" r="254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D01CDA" w:rsidRPr="001A0A01" w14:paraId="48C60823" w14:textId="77777777" w:rsidTr="003D1AE0">
        <w:trPr>
          <w:trHeight w:val="132"/>
        </w:trPr>
        <w:tc>
          <w:tcPr>
            <w:tcW w:w="1768" w:type="dxa"/>
            <w:vMerge/>
            <w:tcMar>
              <w:left w:w="0" w:type="dxa"/>
            </w:tcMar>
          </w:tcPr>
          <w:p w14:paraId="29C7A7E1" w14:textId="77777777" w:rsidR="00D01CDA" w:rsidRPr="001A0A01" w:rsidRDefault="00D01CDA" w:rsidP="00D01CDA">
            <w:pPr>
              <w:pStyle w:val="Marginlie"/>
              <w:rPr>
                <w:spacing w:val="-4"/>
                <w:lang w:val="en-GB"/>
              </w:rPr>
            </w:pPr>
          </w:p>
        </w:tc>
        <w:tc>
          <w:tcPr>
            <w:tcW w:w="200" w:type="dxa"/>
            <w:vMerge/>
            <w:tcMar>
              <w:left w:w="0" w:type="dxa"/>
            </w:tcMar>
          </w:tcPr>
          <w:p w14:paraId="6B801ED4" w14:textId="77777777" w:rsidR="00D01CDA" w:rsidRPr="001A0A01" w:rsidRDefault="00D01CDA" w:rsidP="00D01CDA">
            <w:pPr>
              <w:pStyle w:val="Textpoznpodarou"/>
              <w:jc w:val="both"/>
              <w:rPr>
                <w:spacing w:val="-4"/>
                <w:lang w:val="en-GB"/>
              </w:rPr>
            </w:pPr>
          </w:p>
        </w:tc>
        <w:tc>
          <w:tcPr>
            <w:tcW w:w="7706" w:type="dxa"/>
            <w:shd w:val="clear" w:color="auto" w:fill="auto"/>
            <w:tcMar>
              <w:left w:w="0" w:type="dxa"/>
            </w:tcMar>
          </w:tcPr>
          <w:p w14:paraId="2D2B9EC8" w14:textId="4F8A8E8F" w:rsidR="00D01CDA" w:rsidRPr="001A0A01" w:rsidRDefault="00D01CDA" w:rsidP="00EF089C">
            <w:pPr>
              <w:spacing w:after="0" w:line="240" w:lineRule="auto"/>
              <w:rPr>
                <w:rFonts w:cs="Arial"/>
                <w:color w:val="0D0D0D" w:themeColor="text1" w:themeTint="F2"/>
                <w:sz w:val="14"/>
                <w:szCs w:val="14"/>
                <w:lang w:val="en-GB"/>
              </w:rPr>
            </w:pPr>
            <w:r w:rsidRPr="001A0A01">
              <w:rPr>
                <w:rFonts w:cs="Arial"/>
                <w:color w:val="0D0D0D" w:themeColor="text1" w:themeTint="F2"/>
                <w:sz w:val="14"/>
                <w:szCs w:val="14"/>
                <w:lang w:val="en-GB"/>
              </w:rPr>
              <w:t>Note: Figures regarding the unemployment rate are seasonally adjusted. Job vacancies: balance at the end of quarter</w:t>
            </w:r>
            <w:r w:rsidR="00EF089C">
              <w:rPr>
                <w:rFonts w:cs="Arial"/>
                <w:color w:val="0D0D0D" w:themeColor="text1" w:themeTint="F2"/>
                <w:sz w:val="14"/>
                <w:szCs w:val="14"/>
                <w:lang w:val="en-GB"/>
              </w:rPr>
              <w:t xml:space="preserve">. </w:t>
            </w:r>
            <w:r w:rsidR="00EF089C" w:rsidRPr="00EF089C">
              <w:rPr>
                <w:rFonts w:cs="Arial"/>
                <w:color w:val="0D0D0D" w:themeColor="text1" w:themeTint="F2"/>
                <w:sz w:val="14"/>
                <w:szCs w:val="14"/>
                <w:lang w:val="en-GB"/>
              </w:rPr>
              <w:t>Vacancies for higher qualifications</w:t>
            </w:r>
            <w:r w:rsidR="00EF089C">
              <w:rPr>
                <w:rFonts w:cs="Arial"/>
                <w:color w:val="0D0D0D" w:themeColor="text1" w:themeTint="F2"/>
                <w:sz w:val="14"/>
                <w:szCs w:val="14"/>
                <w:lang w:val="en-GB"/>
              </w:rPr>
              <w:t xml:space="preserve"> include positions requiring at least secondary education</w:t>
            </w:r>
            <w:r w:rsidR="00EF089C" w:rsidRPr="00EF089C">
              <w:rPr>
                <w:rFonts w:cs="Arial"/>
                <w:color w:val="0D0D0D" w:themeColor="text1" w:themeTint="F2"/>
                <w:sz w:val="14"/>
                <w:szCs w:val="14"/>
                <w:lang w:val="en-GB"/>
              </w:rPr>
              <w:t xml:space="preserve"> with A-level</w:t>
            </w:r>
            <w:r w:rsidR="00EF089C">
              <w:rPr>
                <w:rFonts w:cs="Arial"/>
                <w:color w:val="0D0D0D" w:themeColor="text1" w:themeTint="F2"/>
                <w:sz w:val="14"/>
                <w:szCs w:val="14"/>
                <w:lang w:val="en-GB"/>
              </w:rPr>
              <w:t xml:space="preserve"> or h</w:t>
            </w:r>
            <w:r w:rsidR="00EF089C" w:rsidRPr="00EF089C">
              <w:rPr>
                <w:rFonts w:cs="Arial"/>
                <w:color w:val="0D0D0D" w:themeColor="text1" w:themeTint="F2"/>
                <w:sz w:val="14"/>
                <w:szCs w:val="14"/>
                <w:lang w:val="en-GB"/>
              </w:rPr>
              <w:t>igher education</w:t>
            </w:r>
            <w:r w:rsidR="00EF089C">
              <w:rPr>
                <w:rFonts w:cs="Arial"/>
                <w:color w:val="0D0D0D" w:themeColor="text1" w:themeTint="F2"/>
                <w:sz w:val="14"/>
                <w:szCs w:val="14"/>
                <w:lang w:val="en-GB"/>
              </w:rPr>
              <w:t>.</w:t>
            </w:r>
          </w:p>
          <w:p w14:paraId="7D772A8E" w14:textId="77777777" w:rsidR="00D01CDA" w:rsidRPr="001A0A01" w:rsidRDefault="00D01CDA" w:rsidP="00D01CDA">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*Seasonally adjusted balance of expectations of unemployment in the next 12 months (difference between percentage freq</w:t>
            </w:r>
            <w:r>
              <w:rPr>
                <w:rFonts w:cs="Arial"/>
                <w:color w:val="0D0D0D" w:themeColor="text1" w:themeTint="F2"/>
                <w:spacing w:val="-2"/>
                <w:sz w:val="14"/>
                <w:szCs w:val="14"/>
                <w:lang w:val="en-GB"/>
              </w:rPr>
              <w:t>uency of answers of households “growth” and “</w:t>
            </w:r>
            <w:r w:rsidRPr="001A0A01">
              <w:rPr>
                <w:rFonts w:cs="Arial"/>
                <w:color w:val="0D0D0D" w:themeColor="text1" w:themeTint="F2"/>
                <w:spacing w:val="-2"/>
                <w:sz w:val="14"/>
                <w:szCs w:val="14"/>
                <w:lang w:val="en-GB"/>
              </w:rPr>
              <w:t xml:space="preserve">decrease” expressed in percentage points). Data relates to the middle month of the given quarter. </w:t>
            </w:r>
          </w:p>
          <w:p w14:paraId="5FA889DD" w14:textId="77777777" w:rsidR="00D01CDA" w:rsidRPr="001A0A01" w:rsidRDefault="00D01CDA" w:rsidP="00D01CDA">
            <w:pPr>
              <w:spacing w:after="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**Number of foreigners in the employee position registered at labour offices in the CR at the end of relevant quarter.</w:t>
            </w:r>
          </w:p>
          <w:p w14:paraId="18993655" w14:textId="35BBEA3E" w:rsidR="00D01CDA" w:rsidRPr="001A0A01" w:rsidRDefault="00D01CDA" w:rsidP="006233F9">
            <w:pPr>
              <w:spacing w:after="220" w:line="240" w:lineRule="auto"/>
              <w:rPr>
                <w:rFonts w:cs="Arial"/>
                <w:color w:val="0D0D0D" w:themeColor="text1" w:themeTint="F2"/>
                <w:spacing w:val="-2"/>
                <w:sz w:val="14"/>
                <w:szCs w:val="14"/>
                <w:lang w:val="en-GB"/>
              </w:rPr>
            </w:pPr>
            <w:r w:rsidRPr="001A0A01">
              <w:rPr>
                <w:rFonts w:cs="Arial"/>
                <w:color w:val="0D0D0D" w:themeColor="text1" w:themeTint="F2"/>
                <w:spacing w:val="-2"/>
                <w:sz w:val="14"/>
                <w:szCs w:val="14"/>
                <w:lang w:val="en-GB"/>
              </w:rPr>
              <w:t xml:space="preserve">Source: CZSO (LFSS, business cycle survey), MLSA (job vacancies registered at labour offices </w:t>
            </w:r>
            <w:r w:rsidR="006233F9">
              <w:rPr>
                <w:rFonts w:cs="Arial"/>
                <w:color w:val="0D0D0D" w:themeColor="text1" w:themeTint="F2"/>
                <w:spacing w:val="-2"/>
                <w:sz w:val="14"/>
                <w:szCs w:val="14"/>
                <w:lang w:val="en-GB"/>
              </w:rPr>
              <w:t>in the CR, employed foreigners)</w:t>
            </w:r>
          </w:p>
        </w:tc>
      </w:tr>
      <w:tr w:rsidR="006233F9" w:rsidRPr="001A0A01" w14:paraId="263DB1E1" w14:textId="77777777" w:rsidTr="003D1AE0">
        <w:trPr>
          <w:trHeight w:val="132"/>
        </w:trPr>
        <w:tc>
          <w:tcPr>
            <w:tcW w:w="1768" w:type="dxa"/>
            <w:shd w:val="clear" w:color="auto" w:fill="auto"/>
            <w:tcMar>
              <w:left w:w="0" w:type="dxa"/>
            </w:tcMar>
          </w:tcPr>
          <w:p w14:paraId="6825EC87" w14:textId="77777777" w:rsidR="006233F9" w:rsidRPr="001A0A01" w:rsidRDefault="006233F9" w:rsidP="006233F9">
            <w:pPr>
              <w:pStyle w:val="Marginlie"/>
              <w:rPr>
                <w:color w:val="0D0D0D" w:themeColor="text1" w:themeTint="F2"/>
                <w:spacing w:val="-5"/>
                <w:lang w:val="en-GB"/>
              </w:rPr>
            </w:pPr>
            <w:r w:rsidRPr="001A0A01">
              <w:rPr>
                <w:color w:val="0D0D0D" w:themeColor="text1" w:themeTint="F2"/>
                <w:spacing w:val="-5"/>
                <w:lang w:val="en-GB"/>
              </w:rPr>
              <w:t>The general unemployment rate did not increase significantly. From a historical and international perspective, it remains very low.</w:t>
            </w:r>
          </w:p>
          <w:p w14:paraId="3D20C43C" w14:textId="77777777" w:rsidR="006233F9" w:rsidRPr="001A0A01" w:rsidRDefault="006233F9" w:rsidP="006233F9">
            <w:pPr>
              <w:pStyle w:val="Marginlie"/>
              <w:rPr>
                <w:color w:val="0D0D0D" w:themeColor="text1" w:themeTint="F2"/>
                <w:spacing w:val="-5"/>
                <w:lang w:val="en-GB"/>
              </w:rPr>
            </w:pPr>
          </w:p>
        </w:tc>
        <w:tc>
          <w:tcPr>
            <w:tcW w:w="200" w:type="dxa"/>
            <w:shd w:val="clear" w:color="auto" w:fill="auto"/>
            <w:tcMar>
              <w:left w:w="0" w:type="dxa"/>
            </w:tcMar>
          </w:tcPr>
          <w:p w14:paraId="2D1515E7"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1CF60C2C" w14:textId="11EFE963" w:rsidR="006233F9" w:rsidRPr="001A0A01" w:rsidRDefault="006233F9" w:rsidP="006233F9">
            <w:pPr>
              <w:spacing w:after="200"/>
              <w:rPr>
                <w:rStyle w:val="normaltextrun"/>
                <w:rFonts w:eastAsia="MS Gothic" w:cs="Arial"/>
                <w:szCs w:val="20"/>
                <w:lang w:val="en-GB"/>
              </w:rPr>
            </w:pPr>
            <w:r w:rsidRPr="001A0A01">
              <w:rPr>
                <w:color w:val="0D0D0D" w:themeColor="text1" w:themeTint="F2"/>
                <w:lang w:val="en-GB"/>
              </w:rPr>
              <w:t>Despite the ongoing difficulties of some businesses in various industrial branches, the general unemployment rate</w:t>
            </w:r>
            <w:r w:rsidRPr="001A0A01">
              <w:rPr>
                <w:rStyle w:val="Znakapoznpodarou"/>
                <w:color w:val="0D0D0D" w:themeColor="text1" w:themeTint="F2"/>
                <w:spacing w:val="-6"/>
                <w:lang w:val="en-GB"/>
              </w:rPr>
              <w:footnoteReference w:id="73"/>
            </w:r>
            <w:r w:rsidRPr="001A0A01">
              <w:rPr>
                <w:color w:val="0D0D0D" w:themeColor="text1" w:themeTint="F2"/>
                <w:lang w:val="en-GB"/>
              </w:rPr>
              <w:t xml:space="preserve"> has not increased significantly over the past year, rather it can be considered fluctuating – especially for females. The adjusted unemployment rate (persons aged 15–64 years) reached 2.7% in August (2.3% for males, 3.2% for females)</w:t>
            </w:r>
            <w:r w:rsidRPr="001A0A01">
              <w:rPr>
                <w:rStyle w:val="Znakapoznpodarou"/>
                <w:color w:val="0D0D0D" w:themeColor="text1" w:themeTint="F2"/>
                <w:lang w:val="en-GB"/>
              </w:rPr>
              <w:footnoteReference w:id="74"/>
            </w:r>
            <w:r w:rsidRPr="001A0A01">
              <w:rPr>
                <w:color w:val="0D0D0D" w:themeColor="text1" w:themeTint="F2"/>
                <w:lang w:val="en-GB"/>
              </w:rPr>
              <w:t>. In fact, the number of long-term unemployed did not increase either – they accounted for 30% of the total number of persons without work, which is below an average figure from both a long-term and international perspective. The size of the potential labour reserve (i.e. economically inactive persons not seeking employment but stating their willingness to work) has not changed significantly recently and remains low in the long-time view (82 thousand persons in Q2)</w:t>
            </w:r>
            <w:r w:rsidRPr="001A0A01">
              <w:rPr>
                <w:rStyle w:val="Znakapoznpodarou"/>
                <w:color w:val="0D0D0D" w:themeColor="text1" w:themeTint="F2"/>
                <w:spacing w:val="-4"/>
                <w:lang w:val="en-GB"/>
              </w:rPr>
              <w:t xml:space="preserve"> </w:t>
            </w:r>
            <w:r w:rsidRPr="001A0A01">
              <w:rPr>
                <w:rStyle w:val="Znakapoznpodarou"/>
                <w:color w:val="0D0D0D" w:themeColor="text1" w:themeTint="F2"/>
                <w:spacing w:val="-4"/>
                <w:lang w:val="en-GB"/>
              </w:rPr>
              <w:footnoteReference w:id="75"/>
            </w:r>
            <w:r w:rsidRPr="001A0A01">
              <w:rPr>
                <w:color w:val="0D0D0D" w:themeColor="text1" w:themeTint="F2"/>
                <w:lang w:val="en-GB"/>
              </w:rPr>
              <w:t xml:space="preserve">. On the one hand, this represents a </w:t>
            </w:r>
            <w:r w:rsidRPr="001A0A01">
              <w:rPr>
                <w:color w:val="0D0D0D" w:themeColor="text1" w:themeTint="F2"/>
                <w:lang w:val="en-GB"/>
              </w:rPr>
              <w:lastRenderedPageBreak/>
              <w:t>significant problem for many employers, but from another point of view, it is also a positive signal indicating that the extent of hidden u</w:t>
            </w:r>
            <w:r>
              <w:rPr>
                <w:color w:val="0D0D0D" w:themeColor="text1" w:themeTint="F2"/>
                <w:lang w:val="en-GB"/>
              </w:rPr>
              <w:t>nemployment (in the form of an “escape”</w:t>
            </w:r>
            <w:r w:rsidRPr="001A0A01">
              <w:rPr>
                <w:color w:val="0D0D0D" w:themeColor="text1" w:themeTint="F2"/>
                <w:lang w:val="en-GB"/>
              </w:rPr>
              <w:t xml:space="preserve"> into economic inactivity) is currently not significant on the domestic labour market.</w:t>
            </w:r>
          </w:p>
        </w:tc>
      </w:tr>
      <w:tr w:rsidR="006233F9" w:rsidRPr="001A0A01" w14:paraId="6F8415AA" w14:textId="77777777" w:rsidTr="003D1AE0">
        <w:trPr>
          <w:trHeight w:val="132"/>
        </w:trPr>
        <w:tc>
          <w:tcPr>
            <w:tcW w:w="1768" w:type="dxa"/>
            <w:shd w:val="clear" w:color="auto" w:fill="auto"/>
            <w:tcMar>
              <w:left w:w="0" w:type="dxa"/>
            </w:tcMar>
          </w:tcPr>
          <w:p w14:paraId="7032F576" w14:textId="77777777" w:rsidR="006233F9" w:rsidRPr="001A0A01" w:rsidRDefault="006233F9" w:rsidP="006233F9">
            <w:pPr>
              <w:pStyle w:val="Marginlie"/>
              <w:rPr>
                <w:color w:val="0D0D0D" w:themeColor="text1" w:themeTint="F2"/>
                <w:spacing w:val="-5"/>
                <w:lang w:val="en-GB"/>
              </w:rPr>
            </w:pPr>
            <w:r w:rsidRPr="001A0A01">
              <w:rPr>
                <w:color w:val="0D0D0D" w:themeColor="text1" w:themeTint="F2"/>
                <w:spacing w:val="-5"/>
                <w:lang w:val="en-GB"/>
              </w:rPr>
              <w:lastRenderedPageBreak/>
              <w:t xml:space="preserve">The number of registered job vacancies at LO slightly decreased, year-on-year, specifically across all qualification categories. </w:t>
            </w:r>
          </w:p>
          <w:p w14:paraId="6DFFAC65" w14:textId="77777777" w:rsidR="006233F9" w:rsidRPr="001A0A01" w:rsidRDefault="006233F9" w:rsidP="006233F9">
            <w:pPr>
              <w:pStyle w:val="Marginlie"/>
              <w:rPr>
                <w:color w:val="0D0D0D" w:themeColor="text1" w:themeTint="F2"/>
                <w:spacing w:val="-4"/>
                <w:lang w:val="en-GB"/>
              </w:rPr>
            </w:pPr>
          </w:p>
        </w:tc>
        <w:tc>
          <w:tcPr>
            <w:tcW w:w="200" w:type="dxa"/>
            <w:shd w:val="clear" w:color="auto" w:fill="auto"/>
            <w:tcMar>
              <w:left w:w="0" w:type="dxa"/>
            </w:tcMar>
          </w:tcPr>
          <w:p w14:paraId="04859AB4"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148C902F" w14:textId="77777777" w:rsidR="006233F9" w:rsidRPr="001A0A01" w:rsidRDefault="006233F9" w:rsidP="006233F9">
            <w:pPr>
              <w:spacing w:after="200"/>
              <w:rPr>
                <w:color w:val="0D0D0D" w:themeColor="text1" w:themeTint="F2"/>
                <w:spacing w:val="-4"/>
                <w:lang w:val="en-GB"/>
              </w:rPr>
            </w:pPr>
            <w:bookmarkStart w:id="79" w:name="_Hlk179033001"/>
            <w:r w:rsidRPr="001A0A01">
              <w:rPr>
                <w:rStyle w:val="normaltextrun"/>
                <w:rFonts w:eastAsia="MS Gothic" w:cs="Arial"/>
                <w:szCs w:val="20"/>
                <w:lang w:val="en-GB"/>
              </w:rPr>
              <w:t>D</w:t>
            </w:r>
            <w:r w:rsidRPr="001A0A01">
              <w:rPr>
                <w:rStyle w:val="normaltextrun"/>
                <w:rFonts w:eastAsia="MS Gothic" w:cs="Arial"/>
                <w:lang w:val="en-GB"/>
              </w:rPr>
              <w:t>ata from the labour offices (LO) also confirm t</w:t>
            </w:r>
            <w:r w:rsidRPr="001A0A01">
              <w:rPr>
                <w:rStyle w:val="normaltextrun"/>
                <w:rFonts w:eastAsia="MS Gothic" w:cs="Arial"/>
                <w:szCs w:val="20"/>
                <w:lang w:val="en-GB"/>
              </w:rPr>
              <w:t xml:space="preserve">he stable state of the domestic labour market. The seasonally unadjusted share of the unemployed (available job seekers to the total population aged 15–64 years) was 3.8% (males: 3.3%, females: 4.2%) at the end of July. Although it was the highest July value in the last 4 years, the year-on-year increase of unemployment has been very mild in all months of this year so far (0.1 to 0.3 p.p.). Males are troubled by the highest unemployment in the </w:t>
            </w:r>
            <w:r w:rsidRPr="001A0A01">
              <w:rPr>
                <w:rStyle w:val="normaltextrun"/>
                <w:rFonts w:eastAsia="MS Gothic" w:cs="Arial"/>
                <w:i/>
                <w:iCs/>
                <w:szCs w:val="20"/>
                <w:lang w:val="en-GB"/>
              </w:rPr>
              <w:t>Most</w:t>
            </w:r>
            <w:r w:rsidRPr="001A0A01">
              <w:rPr>
                <w:rStyle w:val="normaltextrun"/>
                <w:rFonts w:eastAsia="MS Gothic" w:cs="Arial"/>
                <w:szCs w:val="20"/>
                <w:lang w:val="en-GB"/>
              </w:rPr>
              <w:t xml:space="preserve"> district (10.0%), females in the </w:t>
            </w:r>
            <w:proofErr w:type="spellStart"/>
            <w:r w:rsidRPr="001A0A01">
              <w:rPr>
                <w:rStyle w:val="normaltextrun"/>
                <w:rFonts w:eastAsia="MS Gothic" w:cs="Arial"/>
                <w:i/>
                <w:iCs/>
                <w:szCs w:val="20"/>
                <w:lang w:val="en-GB"/>
              </w:rPr>
              <w:t>Karviná</w:t>
            </w:r>
            <w:proofErr w:type="spellEnd"/>
            <w:r w:rsidRPr="001A0A01">
              <w:rPr>
                <w:rStyle w:val="normaltextrun"/>
                <w:rFonts w:eastAsia="MS Gothic" w:cs="Arial"/>
                <w:szCs w:val="20"/>
                <w:lang w:val="en-GB"/>
              </w:rPr>
              <w:t xml:space="preserve"> region (8.4%). Despite the development of seasonal work, the number of registered job vacancies at the LO has been slightly decreasing, month-on-month, since April this year (in total by 6 thousand to 262 thousand</w:t>
            </w:r>
            <w:r w:rsidRPr="001A0A01">
              <w:rPr>
                <w:rStyle w:val="Znakapoznpodarou"/>
                <w:rFonts w:eastAsia="MS Gothic"/>
                <w:szCs w:val="20"/>
                <w:lang w:val="en-GB"/>
              </w:rPr>
              <w:footnoteReference w:id="76"/>
            </w:r>
            <w:r w:rsidRPr="001A0A01">
              <w:rPr>
                <w:rStyle w:val="normaltextrun"/>
                <w:rFonts w:eastAsia="MS Gothic" w:cs="Arial"/>
                <w:szCs w:val="20"/>
                <w:lang w:val="en-GB"/>
              </w:rPr>
              <w:t xml:space="preserve"> since July, it still grew slightly last year during H1). The number of vacancies thus lagged slightly behind the total number of job seekers (now 283 thousand) for the eighth month in a row. The number of vacancies also decreased slightly year-on-year, mostly across all qualification categories. Concerns of people regarding the growth of unemployment (expressed within the business surveys) fell to the lowest level since the onset of the pandemic in April this year. They did strengthen slightly subsequently, but did not significantly exceed their long-term average even in the summer months. </w:t>
            </w:r>
            <w:r w:rsidRPr="001A0A01">
              <w:rPr>
                <w:color w:val="0D0D0D" w:themeColor="text1" w:themeTint="F2"/>
                <w:spacing w:val="-4"/>
                <w:lang w:val="en-GB"/>
              </w:rPr>
              <w:t xml:space="preserve"> </w:t>
            </w:r>
            <w:bookmarkEnd w:id="79"/>
          </w:p>
        </w:tc>
      </w:tr>
      <w:tr w:rsidR="006233F9" w:rsidRPr="001A0A01" w14:paraId="011540C3" w14:textId="77777777" w:rsidTr="003D1AE0">
        <w:trPr>
          <w:trHeight w:val="132"/>
        </w:trPr>
        <w:tc>
          <w:tcPr>
            <w:tcW w:w="1768" w:type="dxa"/>
            <w:shd w:val="clear" w:color="auto" w:fill="auto"/>
            <w:tcMar>
              <w:left w:w="0" w:type="dxa"/>
            </w:tcMar>
          </w:tcPr>
          <w:p w14:paraId="39401C9C" w14:textId="58B1FA5D" w:rsidR="006233F9" w:rsidRPr="001A0A01" w:rsidRDefault="006233F9" w:rsidP="006233F9">
            <w:pPr>
              <w:pStyle w:val="Marginlie"/>
              <w:rPr>
                <w:color w:val="0D0D0D" w:themeColor="text1" w:themeTint="F2"/>
                <w:spacing w:val="-5"/>
                <w:lang w:val="en-GB"/>
              </w:rPr>
            </w:pPr>
            <w:bookmarkStart w:id="80" w:name="_Hlk179036571"/>
            <w:r w:rsidRPr="001A0A01">
              <w:rPr>
                <w:color w:val="0D0D0D" w:themeColor="text1" w:themeTint="F2"/>
                <w:spacing w:val="-5"/>
                <w:lang w:val="en-GB"/>
              </w:rPr>
              <w:t xml:space="preserve">Year-on-year average wage growth slowed down. With a delay, it reflected the stagnation of performance </w:t>
            </w:r>
            <w:r w:rsidR="00C47052">
              <w:rPr>
                <w:color w:val="0D0D0D" w:themeColor="text1" w:themeTint="F2"/>
                <w:spacing w:val="-5"/>
                <w:lang w:val="en-GB"/>
              </w:rPr>
              <w:t xml:space="preserve">of economy </w:t>
            </w:r>
            <w:r w:rsidRPr="001A0A01">
              <w:rPr>
                <w:color w:val="0D0D0D" w:themeColor="text1" w:themeTint="F2"/>
                <w:spacing w:val="-5"/>
                <w:lang w:val="en-GB"/>
              </w:rPr>
              <w:t>evident in the previous quarters.</w:t>
            </w:r>
            <w:bookmarkEnd w:id="80"/>
          </w:p>
        </w:tc>
        <w:tc>
          <w:tcPr>
            <w:tcW w:w="200" w:type="dxa"/>
            <w:shd w:val="clear" w:color="auto" w:fill="auto"/>
            <w:tcMar>
              <w:left w:w="0" w:type="dxa"/>
            </w:tcMar>
          </w:tcPr>
          <w:p w14:paraId="6B965E44"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02AB4F7E" w14:textId="7A71CAE8" w:rsidR="006233F9" w:rsidRPr="001A0A01" w:rsidRDefault="006233F9" w:rsidP="006233F9">
            <w:pPr>
              <w:rPr>
                <w:color w:val="0D0D0D" w:themeColor="text1" w:themeTint="F2"/>
                <w:spacing w:val="-6"/>
                <w:lang w:val="en-GB"/>
              </w:rPr>
            </w:pPr>
            <w:bookmarkStart w:id="81" w:name="_Hlk179036594"/>
            <w:r w:rsidRPr="001A0A01">
              <w:rPr>
                <w:rStyle w:val="normaltextrun"/>
                <w:rFonts w:cs="Arial"/>
                <w:spacing w:val="-2"/>
                <w:szCs w:val="20"/>
                <w:lang w:val="en-GB"/>
              </w:rPr>
              <w:t>T</w:t>
            </w:r>
            <w:r w:rsidRPr="001A0A01">
              <w:rPr>
                <w:rStyle w:val="normaltextrun"/>
                <w:rFonts w:cs="Arial"/>
                <w:spacing w:val="-2"/>
                <w:lang w:val="en-GB"/>
              </w:rPr>
              <w:t xml:space="preserve">he </w:t>
            </w:r>
            <w:r w:rsidRPr="001A0A01">
              <w:rPr>
                <w:rStyle w:val="normaltextrun"/>
                <w:rFonts w:cs="Arial"/>
                <w:spacing w:val="-2"/>
                <w:szCs w:val="20"/>
                <w:lang w:val="en-GB"/>
              </w:rPr>
              <w:t xml:space="preserve">average gross monthly nominal wage of an employee in the national economy reached 45,854 </w:t>
            </w:r>
            <w:r w:rsidRPr="001A0A01">
              <w:rPr>
                <w:rStyle w:val="normaltextrun"/>
                <w:rFonts w:cs="Arial"/>
                <w:spacing w:val="-2"/>
                <w:lang w:val="en-GB"/>
              </w:rPr>
              <w:t>CZK in Q2</w:t>
            </w:r>
            <w:r w:rsidR="00C47052">
              <w:rPr>
                <w:rStyle w:val="normaltextrun"/>
                <w:rFonts w:cs="Arial"/>
                <w:spacing w:val="-2"/>
                <w:lang w:val="en-GB"/>
              </w:rPr>
              <w:t xml:space="preserve"> 2024</w:t>
            </w:r>
            <w:r w:rsidRPr="001A0A01">
              <w:rPr>
                <w:rStyle w:val="normaltextrun"/>
                <w:rFonts w:cs="Arial"/>
                <w:spacing w:val="-2"/>
                <w:szCs w:val="20"/>
                <w:lang w:val="en-GB"/>
              </w:rPr>
              <w:t>, up by 6.5%, year-on-year. Th</w:t>
            </w:r>
            <w:r w:rsidR="00C47052">
              <w:rPr>
                <w:rStyle w:val="normaltextrun"/>
                <w:rFonts w:cs="Arial"/>
                <w:spacing w:val="-2"/>
                <w:szCs w:val="20"/>
                <w:lang w:val="en-GB"/>
              </w:rPr>
              <w:t xml:space="preserve">is pace slowed slightly </w:t>
            </w:r>
            <w:r w:rsidRPr="001A0A01">
              <w:rPr>
                <w:rStyle w:val="normaltextrun"/>
                <w:rFonts w:cs="Arial"/>
                <w:spacing w:val="-2"/>
                <w:szCs w:val="20"/>
                <w:lang w:val="en-GB"/>
              </w:rPr>
              <w:t>compared to Q</w:t>
            </w:r>
            <w:r w:rsidRPr="001A0A01">
              <w:rPr>
                <w:rStyle w:val="normaltextrun"/>
                <w:rFonts w:cs="Arial"/>
                <w:spacing w:val="-2"/>
                <w:lang w:val="en-GB"/>
              </w:rPr>
              <w:t>1</w:t>
            </w:r>
            <w:r w:rsidR="00C47052">
              <w:rPr>
                <w:rStyle w:val="normaltextrun"/>
                <w:rFonts w:cs="Arial"/>
                <w:spacing w:val="-2"/>
                <w:lang w:val="en-GB"/>
              </w:rPr>
              <w:t xml:space="preserve"> </w:t>
            </w:r>
            <w:r w:rsidR="00C47052">
              <w:rPr>
                <w:rStyle w:val="normaltextrun"/>
                <w:rFonts w:cs="Arial"/>
                <w:spacing w:val="-2"/>
                <w:szCs w:val="20"/>
                <w:lang w:val="en-GB"/>
              </w:rPr>
              <w:t>(+7.2%)</w:t>
            </w:r>
            <w:r w:rsidRPr="001A0A01">
              <w:rPr>
                <w:rStyle w:val="normaltextrun"/>
                <w:rFonts w:cs="Arial"/>
                <w:spacing w:val="-2"/>
                <w:lang w:val="en-GB"/>
              </w:rPr>
              <w:t xml:space="preserve"> </w:t>
            </w:r>
            <w:r w:rsidRPr="001A0A01">
              <w:rPr>
                <w:rStyle w:val="normaltextrun"/>
                <w:rFonts w:cs="Arial"/>
                <w:spacing w:val="-2"/>
                <w:szCs w:val="20"/>
                <w:lang w:val="en-GB"/>
              </w:rPr>
              <w:t>of this year (moderation of growth was also evident throughout t</w:t>
            </w:r>
            <w:r w:rsidRPr="001A0A01">
              <w:rPr>
                <w:rStyle w:val="normaltextrun"/>
                <w:rFonts w:cs="Arial"/>
                <w:spacing w:val="-2"/>
                <w:lang w:val="en-GB"/>
              </w:rPr>
              <w:t xml:space="preserve">he whole </w:t>
            </w:r>
            <w:r w:rsidRPr="001A0A01">
              <w:rPr>
                <w:rStyle w:val="normaltextrun"/>
                <w:rFonts w:cs="Arial"/>
                <w:spacing w:val="-2"/>
                <w:szCs w:val="20"/>
                <w:lang w:val="en-GB"/>
              </w:rPr>
              <w:t>last year). A slowdown o</w:t>
            </w:r>
            <w:r w:rsidRPr="001A0A01">
              <w:rPr>
                <w:rStyle w:val="normaltextrun"/>
                <w:rFonts w:cs="Arial"/>
                <w:spacing w:val="-2"/>
                <w:lang w:val="en-GB"/>
              </w:rPr>
              <w:t xml:space="preserve">f the </w:t>
            </w:r>
            <w:r w:rsidRPr="001A0A01">
              <w:rPr>
                <w:rStyle w:val="normaltextrun"/>
                <w:rFonts w:cs="Arial"/>
                <w:spacing w:val="-2"/>
                <w:szCs w:val="20"/>
                <w:lang w:val="en-GB"/>
              </w:rPr>
              <w:t>wage d</w:t>
            </w:r>
            <w:r w:rsidRPr="001A0A01">
              <w:rPr>
                <w:rStyle w:val="normaltextrun"/>
                <w:rFonts w:cs="Arial"/>
                <w:spacing w:val="-2"/>
                <w:lang w:val="en-GB"/>
              </w:rPr>
              <w:t xml:space="preserve">ynamics </w:t>
            </w:r>
            <w:r w:rsidRPr="001A0A01">
              <w:rPr>
                <w:rStyle w:val="normaltextrun"/>
                <w:rFonts w:cs="Arial"/>
                <w:spacing w:val="-2"/>
                <w:szCs w:val="20"/>
                <w:lang w:val="en-GB"/>
              </w:rPr>
              <w:t>can also be observed in a quarter-on-quarter comparison – the ad</w:t>
            </w:r>
            <w:r>
              <w:rPr>
                <w:rStyle w:val="normaltextrun"/>
                <w:rFonts w:cs="Arial"/>
                <w:spacing w:val="-2"/>
                <w:szCs w:val="20"/>
                <w:lang w:val="en-GB"/>
              </w:rPr>
              <w:t>justed average wage growth was “only”</w:t>
            </w:r>
            <w:r w:rsidRPr="001A0A01">
              <w:rPr>
                <w:rStyle w:val="normaltextrun"/>
                <w:rFonts w:cs="Arial"/>
                <w:spacing w:val="-2"/>
                <w:szCs w:val="20"/>
                <w:lang w:val="en-GB"/>
              </w:rPr>
              <w:t xml:space="preserve"> 1.4% in Q2 2024 (the least since Spring 2022). The registered number of employees (in full-time equivalent) stagnated, year-on-year, in both quarters of this year. The growing need for savings in the budgetary sphere as well as the rising </w:t>
            </w:r>
            <w:r>
              <w:rPr>
                <w:rStyle w:val="normaltextrun"/>
                <w:rFonts w:cs="Arial"/>
                <w:spacing w:val="-2"/>
                <w:szCs w:val="20"/>
                <w:lang w:val="en-GB"/>
              </w:rPr>
              <w:t>number of foreign workers from “third countries”</w:t>
            </w:r>
            <w:r w:rsidRPr="001A0A01">
              <w:rPr>
                <w:rStyle w:val="normaltextrun"/>
                <w:rFonts w:cs="Arial"/>
                <w:spacing w:val="-2"/>
                <w:szCs w:val="20"/>
                <w:lang w:val="en-GB"/>
              </w:rPr>
              <w:t xml:space="preserve"> dampened the wage growth in the economy. They often work in low-skilled positions and their earnings thus usually do not reach the level of Czech citizens. By contrast, the still relatively high demand of firms for labour force in some branches or an increased pressure from employees, also stemming from tight family budgets due to the fading high price grow of some consumer basket items still fostered the nominal wage growth. More dynamic wage growth in a number of branches was also enabled due to the ongoing high corporate profit rate. </w:t>
            </w:r>
            <w:r w:rsidRPr="001A0A01">
              <w:rPr>
                <w:spacing w:val="-2"/>
                <w:lang w:val="en-GB"/>
              </w:rPr>
              <w:t xml:space="preserve"> </w:t>
            </w:r>
            <w:bookmarkEnd w:id="81"/>
          </w:p>
        </w:tc>
      </w:tr>
      <w:tr w:rsidR="006233F9" w:rsidRPr="001A0A01" w14:paraId="59C4B9C7" w14:textId="77777777" w:rsidTr="003D1AE0">
        <w:trPr>
          <w:trHeight w:val="132"/>
        </w:trPr>
        <w:tc>
          <w:tcPr>
            <w:tcW w:w="1768" w:type="dxa"/>
            <w:shd w:val="clear" w:color="auto" w:fill="auto"/>
            <w:tcMar>
              <w:left w:w="0" w:type="dxa"/>
            </w:tcMar>
          </w:tcPr>
          <w:p w14:paraId="27621DDC" w14:textId="35A96B30"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The decrease of real wage in the economy has ceased for the first time in nine quarters this year. The purchasing power of the average</w:t>
            </w:r>
            <w:r w:rsidR="00C47052">
              <w:rPr>
                <w:color w:val="0D0D0D" w:themeColor="text1" w:themeTint="F2"/>
                <w:spacing w:val="-4"/>
                <w:lang w:val="en-GB"/>
              </w:rPr>
              <w:t xml:space="preserve"> wage corresponded to year 2018 only.</w:t>
            </w:r>
          </w:p>
        </w:tc>
        <w:tc>
          <w:tcPr>
            <w:tcW w:w="200" w:type="dxa"/>
            <w:shd w:val="clear" w:color="auto" w:fill="auto"/>
            <w:tcMar>
              <w:left w:w="0" w:type="dxa"/>
            </w:tcMar>
          </w:tcPr>
          <w:p w14:paraId="7A20410D"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26C8F5D" w14:textId="03A9F9CA" w:rsidR="006233F9" w:rsidRPr="001A0A01" w:rsidRDefault="006233F9" w:rsidP="006233F9">
            <w:pPr>
              <w:spacing w:after="200"/>
              <w:rPr>
                <w:color w:val="0D0D0D" w:themeColor="text1" w:themeTint="F2"/>
                <w:lang w:val="en-GB"/>
              </w:rPr>
            </w:pPr>
            <w:bookmarkStart w:id="82" w:name="_Hlk179039538"/>
            <w:r w:rsidRPr="001A0A01">
              <w:rPr>
                <w:color w:val="0D0D0D" w:themeColor="text1" w:themeTint="F2"/>
                <w:lang w:val="en-GB"/>
              </w:rPr>
              <w:t>Thanks to the calming of the price level in the economy, the expected growth of real wage continued. It amounted to 3.9%, year-on-year, in Q2 (4.5% for the entire H1</w:t>
            </w:r>
            <w:r w:rsidR="00C47052">
              <w:rPr>
                <w:color w:val="0D0D0D" w:themeColor="text1" w:themeTint="F2"/>
                <w:lang w:val="en-GB"/>
              </w:rPr>
              <w:t xml:space="preserve"> 2024</w:t>
            </w:r>
            <w:r w:rsidRPr="001A0A01">
              <w:rPr>
                <w:color w:val="0D0D0D" w:themeColor="text1" w:themeTint="F2"/>
                <w:lang w:val="en-GB"/>
              </w:rPr>
              <w:t>). The real wage growth is gradually erasing the significant drop of the real purchasing power of employees from both years 2022 and 2023 this year (in real terms, however, the average wage is still situated at the 2018 level). Th</w:t>
            </w:r>
            <w:r>
              <w:rPr>
                <w:color w:val="0D0D0D" w:themeColor="text1" w:themeTint="F2"/>
                <w:lang w:val="en-GB"/>
              </w:rPr>
              <w:t>e wage p</w:t>
            </w:r>
            <w:r w:rsidRPr="001A0A01">
              <w:rPr>
                <w:color w:val="0D0D0D" w:themeColor="text1" w:themeTint="F2"/>
                <w:lang w:val="en-GB"/>
              </w:rPr>
              <w:t xml:space="preserve">urchasing power growth is subdued by a slight increase of the tax burden on labour this year (e.g. by the reintroduction of employee health insurance premiums approved as part of the government's consolidation package). </w:t>
            </w:r>
            <w:bookmarkEnd w:id="82"/>
          </w:p>
        </w:tc>
      </w:tr>
      <w:tr w:rsidR="006233F9" w:rsidRPr="001A0A01" w14:paraId="79F9952B" w14:textId="77777777" w:rsidTr="003D1AE0">
        <w:trPr>
          <w:trHeight w:val="132"/>
        </w:trPr>
        <w:tc>
          <w:tcPr>
            <w:tcW w:w="1768" w:type="dxa"/>
            <w:shd w:val="clear" w:color="auto" w:fill="auto"/>
            <w:tcMar>
              <w:left w:w="0" w:type="dxa"/>
            </w:tcMar>
          </w:tcPr>
          <w:p w14:paraId="6B17DCB5" w14:textId="77777777" w:rsidR="006233F9" w:rsidRPr="001A0A01" w:rsidRDefault="006233F9" w:rsidP="006233F9">
            <w:pPr>
              <w:pStyle w:val="Marginlie"/>
              <w:rPr>
                <w:color w:val="0D0D0D" w:themeColor="text1" w:themeTint="F2"/>
                <w:spacing w:val="-4"/>
                <w:lang w:val="en-GB"/>
              </w:rPr>
            </w:pPr>
            <w:bookmarkStart w:id="83" w:name="_Hlk179045450"/>
            <w:r w:rsidRPr="001A0A01">
              <w:rPr>
                <w:color w:val="0D0D0D" w:themeColor="text1" w:themeTint="F2"/>
                <w:spacing w:val="-4"/>
                <w:lang w:val="en-GB"/>
              </w:rPr>
              <w:lastRenderedPageBreak/>
              <w:t>Wages in health and social care increased relatively the most. However, the growth was significantly below average in other branches of the non-business sphere.</w:t>
            </w:r>
            <w:bookmarkEnd w:id="83"/>
          </w:p>
        </w:tc>
        <w:tc>
          <w:tcPr>
            <w:tcW w:w="200" w:type="dxa"/>
            <w:shd w:val="clear" w:color="auto" w:fill="auto"/>
            <w:tcMar>
              <w:left w:w="0" w:type="dxa"/>
            </w:tcMar>
          </w:tcPr>
          <w:p w14:paraId="0D7B0EA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4EE0318" w14:textId="77777777" w:rsidR="006233F9" w:rsidRPr="001A0A01" w:rsidRDefault="006233F9" w:rsidP="006233F9">
            <w:pPr>
              <w:spacing w:after="200"/>
              <w:rPr>
                <w:color w:val="0D0D0D" w:themeColor="text1" w:themeTint="F2"/>
                <w:lang w:val="en-GB"/>
              </w:rPr>
            </w:pPr>
            <w:bookmarkStart w:id="84" w:name="_Hlk179045629"/>
            <w:r w:rsidRPr="001A0A01">
              <w:rPr>
                <w:color w:val="0D0D0D" w:themeColor="text1" w:themeTint="F2"/>
                <w:lang w:val="en-GB"/>
              </w:rPr>
              <w:t>The growth rate of the average wage masks traditionally a very diverse development at the level of individual branches of enterprises or organisations. The wages in health and social care achieved the highest year-on-year growth in Q2 this year – 11.1%</w:t>
            </w:r>
            <w:r w:rsidRPr="001A0A01">
              <w:rPr>
                <w:rStyle w:val="Znakapoznpodarou"/>
                <w:color w:val="0D0D0D" w:themeColor="text1" w:themeTint="F2"/>
                <w:lang w:val="en-GB"/>
              </w:rPr>
              <w:footnoteReference w:id="77"/>
            </w:r>
            <w:r w:rsidRPr="001A0A01">
              <w:rPr>
                <w:color w:val="0D0D0D" w:themeColor="text1" w:themeTint="F2"/>
                <w:lang w:val="en-GB"/>
              </w:rPr>
              <w:t xml:space="preserve">, employees‘ wages improved on average monthly nominally by 5.1 thousand CZK here (i.e. also the most among branches). However, the wage growth was subdued in other areas dominated by the public sector. It was 2.9% in public administration and social security, only 2.1% in education (the least of all main branches). The absolute increase of wage (+849 CZK) did not comprise even one third in comparison to the total economy. Moreover, education is the only sector that remains in a continuous decline of real wages for the third year in a row. Nominal earnings increased by 5.2% in arts, entertainment, and recreational activities, which are also partly affected by state activities, but the weaker growth is also due to a higher last year's base. The wage level lagged by one-sixth of the total economy level here in 2024 Q2. </w:t>
            </w:r>
            <w:bookmarkEnd w:id="84"/>
          </w:p>
        </w:tc>
      </w:tr>
      <w:tr w:rsidR="006233F9" w:rsidRPr="001A0A01" w14:paraId="6E71D566" w14:textId="77777777" w:rsidTr="003D1AE0">
        <w:trPr>
          <w:trHeight w:val="132"/>
        </w:trPr>
        <w:tc>
          <w:tcPr>
            <w:tcW w:w="1768" w:type="dxa"/>
            <w:shd w:val="clear" w:color="auto" w:fill="auto"/>
            <w:tcMar>
              <w:left w:w="0" w:type="dxa"/>
            </w:tcMar>
          </w:tcPr>
          <w:p w14:paraId="76DC9093" w14:textId="77777777" w:rsidR="006233F9" w:rsidRPr="001A0A01" w:rsidRDefault="006233F9" w:rsidP="006233F9">
            <w:pPr>
              <w:pStyle w:val="Marginlie"/>
              <w:rPr>
                <w:color w:val="0D0D0D" w:themeColor="text1" w:themeTint="F2"/>
                <w:spacing w:val="-4"/>
                <w:lang w:val="en-GB"/>
              </w:rPr>
            </w:pPr>
            <w:bookmarkStart w:id="85" w:name="_Hlk179053952"/>
            <w:r w:rsidRPr="001A0A01">
              <w:rPr>
                <w:color w:val="0D0D0D" w:themeColor="text1" w:themeTint="F2"/>
                <w:spacing w:val="-4"/>
                <w:lang w:val="en-GB"/>
              </w:rPr>
              <w:t xml:space="preserve">The continuing slightly above-average wage growth in both </w:t>
            </w:r>
            <w:r>
              <w:rPr>
                <w:color w:val="0D0D0D" w:themeColor="text1" w:themeTint="F2"/>
                <w:spacing w:val="-4"/>
                <w:lang w:val="en-GB"/>
              </w:rPr>
              <w:t>industry and construction was “redeemed”</w:t>
            </w:r>
            <w:r w:rsidRPr="001A0A01">
              <w:rPr>
                <w:color w:val="0D0D0D" w:themeColor="text1" w:themeTint="F2"/>
                <w:spacing w:val="-4"/>
                <w:lang w:val="en-GB"/>
              </w:rPr>
              <w:t xml:space="preserve"> by a reduction of employment. </w:t>
            </w:r>
            <w:bookmarkEnd w:id="85"/>
          </w:p>
        </w:tc>
        <w:tc>
          <w:tcPr>
            <w:tcW w:w="200" w:type="dxa"/>
            <w:shd w:val="clear" w:color="auto" w:fill="auto"/>
            <w:tcMar>
              <w:left w:w="0" w:type="dxa"/>
            </w:tcMar>
          </w:tcPr>
          <w:p w14:paraId="06A33E4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3F9912C5" w14:textId="77777777" w:rsidR="006233F9" w:rsidRPr="001A0A01" w:rsidRDefault="006233F9" w:rsidP="006233F9">
            <w:pPr>
              <w:spacing w:after="200"/>
              <w:rPr>
                <w:color w:val="0D0D0D" w:themeColor="text1" w:themeTint="F2"/>
                <w:lang w:val="en-GB"/>
              </w:rPr>
            </w:pPr>
            <w:bookmarkStart w:id="86" w:name="_Hlk179053978"/>
            <w:r w:rsidRPr="001A0A01">
              <w:rPr>
                <w:color w:val="0D0D0D" w:themeColor="text1" w:themeTint="F2"/>
                <w:lang w:val="en-GB"/>
              </w:rPr>
              <w:t xml:space="preserve">Wages continued to grow at a slightly above-average rate in industry, by 7.5% in Q2. This is connected to both the reduction of the registered number of employees (−1.7%) and the fact that there are still few available workers on the market and the lack of labour force still represents a significant barrier in many industrial branches. The same applies to the construction industry. The manufacturing of motor vehicles (with an increase in earnings by 10.5% to 62.7 thousand CZK) together with the closest related branches contributed the most to the strengthening of wages in industry. The wage growth was below the average of total economy in branches going through recession (metalworking, building materials, engineering, mining and quarrying) and employment fell deeper here. Of the market branches, the wage increased the least in agriculture, forestry and fishing (+4.9%). </w:t>
            </w:r>
            <w:bookmarkEnd w:id="86"/>
          </w:p>
        </w:tc>
      </w:tr>
      <w:tr w:rsidR="006233F9" w:rsidRPr="001A0A01" w14:paraId="45C27EF9" w14:textId="77777777" w:rsidTr="003D1AE0">
        <w:trPr>
          <w:trHeight w:val="132"/>
        </w:trPr>
        <w:tc>
          <w:tcPr>
            <w:tcW w:w="1768" w:type="dxa"/>
            <w:shd w:val="clear" w:color="auto" w:fill="auto"/>
            <w:tcMar>
              <w:left w:w="0" w:type="dxa"/>
            </w:tcMar>
          </w:tcPr>
          <w:p w14:paraId="20148EFC" w14:textId="77777777"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Within market services, the total volume of wages paid grew relatively the most in accommodation, food service and restaurants.</w:t>
            </w:r>
          </w:p>
        </w:tc>
        <w:tc>
          <w:tcPr>
            <w:tcW w:w="200" w:type="dxa"/>
            <w:shd w:val="clear" w:color="auto" w:fill="auto"/>
            <w:tcMar>
              <w:left w:w="0" w:type="dxa"/>
            </w:tcMar>
          </w:tcPr>
          <w:p w14:paraId="4FBE26CC"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4CE3445D" w14:textId="77777777" w:rsidR="006233F9" w:rsidRPr="001A0A01" w:rsidRDefault="006233F9" w:rsidP="006233F9">
            <w:pPr>
              <w:spacing w:after="200"/>
              <w:rPr>
                <w:color w:val="0D0D0D" w:themeColor="text1" w:themeTint="F2"/>
                <w:lang w:val="en-GB"/>
              </w:rPr>
            </w:pPr>
            <w:bookmarkStart w:id="87" w:name="_Hlk179054917"/>
            <w:r w:rsidRPr="001A0A01">
              <w:rPr>
                <w:color w:val="0D0D0D" w:themeColor="text1" w:themeTint="F2"/>
                <w:lang w:val="en-GB"/>
              </w:rPr>
              <w:t xml:space="preserve">Within market services, the wages grew the most in transportation and storage (+7.3%), nevertheless their level (41.3 thousand CZK) was still one tenth lower than in the total economy. In addition, the number of employees was also declining here, as only in few of the services branches. This also applies to administrative and support service activities. Professional, scientific and technical activities, with employment and wages growing slightly at an above average pace prospered, as well as accommodation, food service and restaurants (wages: +6.8%, employees: +7.0%). The level of wages is traditionally the lowest here and does not reach even 60% of the total economy level. The situation was almost identical in the branches with the highest wage level (financial activities, information and communication) in Q2 – year-on-year stagnation of the number of employees, less than 6% wage growth and wage levels of just over 80 thousand CZK.  </w:t>
            </w:r>
            <w:bookmarkEnd w:id="87"/>
          </w:p>
        </w:tc>
      </w:tr>
      <w:tr w:rsidR="006233F9" w:rsidRPr="001A0A01" w14:paraId="4FF762F7" w14:textId="77777777" w:rsidTr="003D1AE0">
        <w:trPr>
          <w:trHeight w:val="132"/>
        </w:trPr>
        <w:tc>
          <w:tcPr>
            <w:tcW w:w="1768" w:type="dxa"/>
            <w:shd w:val="clear" w:color="auto" w:fill="auto"/>
            <w:tcMar>
              <w:left w:w="0" w:type="dxa"/>
            </w:tcMar>
          </w:tcPr>
          <w:p w14:paraId="518DF278" w14:textId="77777777" w:rsidR="006233F9" w:rsidRPr="001A0A01" w:rsidRDefault="006233F9" w:rsidP="006233F9">
            <w:pPr>
              <w:pStyle w:val="Marginlie"/>
              <w:rPr>
                <w:color w:val="0D0D0D" w:themeColor="text1" w:themeTint="F2"/>
                <w:spacing w:val="-4"/>
                <w:lang w:val="en-GB"/>
              </w:rPr>
            </w:pPr>
            <w:r w:rsidRPr="001A0A01">
              <w:rPr>
                <w:color w:val="0D0D0D" w:themeColor="text1" w:themeTint="F2"/>
                <w:spacing w:val="-4"/>
                <w:lang w:val="en-GB"/>
              </w:rPr>
              <w:t xml:space="preserve">Wage growth was relatively lower in Prague, however the employment grew more rapidly here. </w:t>
            </w:r>
          </w:p>
        </w:tc>
        <w:tc>
          <w:tcPr>
            <w:tcW w:w="200" w:type="dxa"/>
            <w:shd w:val="clear" w:color="auto" w:fill="auto"/>
            <w:tcMar>
              <w:left w:w="0" w:type="dxa"/>
            </w:tcMar>
          </w:tcPr>
          <w:p w14:paraId="4D9BC188" w14:textId="77777777" w:rsidR="006233F9" w:rsidRPr="001A0A01" w:rsidRDefault="006233F9" w:rsidP="006233F9">
            <w:pPr>
              <w:pStyle w:val="Textpoznpodarou"/>
              <w:jc w:val="both"/>
              <w:rPr>
                <w:color w:val="0D0D0D" w:themeColor="text1" w:themeTint="F2"/>
                <w:spacing w:val="-4"/>
                <w:lang w:val="en-GB"/>
              </w:rPr>
            </w:pPr>
          </w:p>
        </w:tc>
        <w:tc>
          <w:tcPr>
            <w:tcW w:w="7706" w:type="dxa"/>
            <w:shd w:val="clear" w:color="auto" w:fill="auto"/>
            <w:tcMar>
              <w:left w:w="0" w:type="dxa"/>
            </w:tcMar>
          </w:tcPr>
          <w:p w14:paraId="6B5C535F" w14:textId="4A789EC8" w:rsidR="006233F9" w:rsidRPr="001A0A01" w:rsidRDefault="006233F9" w:rsidP="006233F9">
            <w:pPr>
              <w:spacing w:after="200"/>
              <w:rPr>
                <w:color w:val="0D0D0D" w:themeColor="text1" w:themeTint="F2"/>
                <w:lang w:val="en-GB"/>
              </w:rPr>
            </w:pPr>
            <w:bookmarkStart w:id="88" w:name="_Hlk179058282"/>
            <w:r w:rsidRPr="001A0A01">
              <w:rPr>
                <w:color w:val="0D0D0D" w:themeColor="text1" w:themeTint="F2"/>
                <w:lang w:val="en-GB"/>
              </w:rPr>
              <w:t>Wage growth in the regions ranged from 5.5% (</w:t>
            </w:r>
            <w:r w:rsidRPr="00C47052">
              <w:rPr>
                <w:i/>
                <w:color w:val="0D0D0D" w:themeColor="text1" w:themeTint="F2"/>
                <w:lang w:val="en-GB"/>
              </w:rPr>
              <w:t>Prague</w:t>
            </w:r>
            <w:r w:rsidRPr="001A0A01">
              <w:rPr>
                <w:color w:val="0D0D0D" w:themeColor="text1" w:themeTint="F2"/>
                <w:lang w:val="en-GB"/>
              </w:rPr>
              <w:t>) and 5.7% (</w:t>
            </w:r>
            <w:proofErr w:type="spellStart"/>
            <w:r w:rsidRPr="001A0A01">
              <w:rPr>
                <w:i/>
                <w:iCs/>
                <w:color w:val="0D0D0D" w:themeColor="text1" w:themeTint="F2"/>
                <w:lang w:val="en-GB"/>
              </w:rPr>
              <w:t>Vysočina</w:t>
            </w:r>
            <w:proofErr w:type="spellEnd"/>
            <w:r w:rsidRPr="001A0A01">
              <w:rPr>
                <w:color w:val="0D0D0D" w:themeColor="text1" w:themeTint="F2"/>
                <w:lang w:val="en-GB"/>
              </w:rPr>
              <w:t>) to 8.1% (</w:t>
            </w:r>
            <w:proofErr w:type="spellStart"/>
            <w:r w:rsidRPr="001A0A01">
              <w:rPr>
                <w:i/>
                <w:iCs/>
                <w:color w:val="0D0D0D" w:themeColor="text1" w:themeTint="F2"/>
                <w:lang w:val="en-GB"/>
              </w:rPr>
              <w:t>Ústecký</w:t>
            </w:r>
            <w:proofErr w:type="spellEnd"/>
            <w:r w:rsidRPr="001A0A01">
              <w:rPr>
                <w:color w:val="0D0D0D" w:themeColor="text1" w:themeTint="F2"/>
                <w:lang w:val="en-GB"/>
              </w:rPr>
              <w:t xml:space="preserve"> region) in Q2</w:t>
            </w:r>
            <w:r w:rsidR="00C47052">
              <w:rPr>
                <w:color w:val="0D0D0D" w:themeColor="text1" w:themeTint="F2"/>
                <w:lang w:val="en-GB"/>
              </w:rPr>
              <w:t xml:space="preserve"> 2024</w:t>
            </w:r>
            <w:r w:rsidRPr="001A0A01">
              <w:rPr>
                <w:color w:val="0D0D0D" w:themeColor="text1" w:themeTint="F2"/>
                <w:lang w:val="en-GB"/>
              </w:rPr>
              <w:t xml:space="preserve">. From the point of view of the average wage level, the range of regions has been unchanged for a long time – the average wage in Prague (56.1 thousand CZK) currently exceeds the wage in the </w:t>
            </w:r>
            <w:proofErr w:type="spellStart"/>
            <w:r w:rsidRPr="001A0A01">
              <w:rPr>
                <w:i/>
                <w:iCs/>
                <w:color w:val="0D0D0D" w:themeColor="text1" w:themeTint="F2"/>
                <w:lang w:val="en-GB"/>
              </w:rPr>
              <w:t>Karlovarský</w:t>
            </w:r>
            <w:proofErr w:type="spellEnd"/>
            <w:r w:rsidRPr="001A0A01">
              <w:rPr>
                <w:color w:val="0D0D0D" w:themeColor="text1" w:themeTint="F2"/>
                <w:lang w:val="en-GB"/>
              </w:rPr>
              <w:t xml:space="preserve"> region (39.0 thousand) by 44%. The recovery of tourism likely has not assisted the </w:t>
            </w:r>
            <w:proofErr w:type="spellStart"/>
            <w:r w:rsidRPr="001A0A01">
              <w:rPr>
                <w:i/>
                <w:iCs/>
                <w:color w:val="0D0D0D" w:themeColor="text1" w:themeTint="F2"/>
                <w:lang w:val="en-GB"/>
              </w:rPr>
              <w:t>Karlovarský</w:t>
            </w:r>
            <w:proofErr w:type="spellEnd"/>
            <w:r w:rsidRPr="001A0A01">
              <w:rPr>
                <w:color w:val="0D0D0D" w:themeColor="text1" w:themeTint="F2"/>
                <w:lang w:val="en-GB"/>
              </w:rPr>
              <w:t xml:space="preserve"> region much so far, the total wage increased by only 6.0%, year-on-year, </w:t>
            </w:r>
            <w:proofErr w:type="gramStart"/>
            <w:r w:rsidRPr="001A0A01">
              <w:rPr>
                <w:color w:val="0D0D0D" w:themeColor="text1" w:themeTint="F2"/>
                <w:lang w:val="en-GB"/>
              </w:rPr>
              <w:t>here</w:t>
            </w:r>
            <w:proofErr w:type="gramEnd"/>
            <w:r w:rsidRPr="001A0A01">
              <w:rPr>
                <w:color w:val="0D0D0D" w:themeColor="text1" w:themeTint="F2"/>
                <w:lang w:val="en-GB"/>
              </w:rPr>
              <w:t xml:space="preserve">. On the contrary, the acceleration of the pace of earnings in the motor vehicle industry is partly reflected in the faster growth in Central Bohemia (+7.9%). </w:t>
            </w:r>
            <w:bookmarkEnd w:id="88"/>
          </w:p>
        </w:tc>
      </w:tr>
      <w:tr w:rsidR="00922D58" w:rsidRPr="001A0A01" w14:paraId="3F36C48F" w14:textId="77777777" w:rsidTr="003D1AE0">
        <w:trPr>
          <w:trHeight w:val="132"/>
        </w:trPr>
        <w:tc>
          <w:tcPr>
            <w:tcW w:w="1768" w:type="dxa"/>
            <w:shd w:val="clear" w:color="auto" w:fill="auto"/>
            <w:tcMar>
              <w:left w:w="0" w:type="dxa"/>
            </w:tcMar>
          </w:tcPr>
          <w:p w14:paraId="0DD60A7B" w14:textId="398B733D" w:rsidR="00922D58" w:rsidRPr="001A0A01" w:rsidRDefault="00922D58" w:rsidP="00922D58">
            <w:pPr>
              <w:pStyle w:val="Marginlie"/>
              <w:rPr>
                <w:color w:val="0D0D0D" w:themeColor="text1" w:themeTint="F2"/>
                <w:spacing w:val="-4"/>
                <w:lang w:val="en-GB"/>
              </w:rPr>
            </w:pPr>
            <w:r w:rsidRPr="001A0A01">
              <w:rPr>
                <w:color w:val="0D0D0D" w:themeColor="text1" w:themeTint="F2"/>
                <w:spacing w:val="-4"/>
                <w:lang w:val="en-GB"/>
              </w:rPr>
              <w:t>Nominal growth of the median wage remained below 6% this year. It continued to increase at a slig</w:t>
            </w:r>
            <w:r w:rsidR="00C47052">
              <w:rPr>
                <w:color w:val="0D0D0D" w:themeColor="text1" w:themeTint="F2"/>
                <w:spacing w:val="-4"/>
                <w:lang w:val="en-GB"/>
              </w:rPr>
              <w:t>htly higher rate for females.</w:t>
            </w:r>
          </w:p>
        </w:tc>
        <w:tc>
          <w:tcPr>
            <w:tcW w:w="200" w:type="dxa"/>
            <w:shd w:val="clear" w:color="auto" w:fill="auto"/>
            <w:tcMar>
              <w:left w:w="0" w:type="dxa"/>
            </w:tcMar>
          </w:tcPr>
          <w:p w14:paraId="675CD444" w14:textId="77777777" w:rsidR="00922D58" w:rsidRPr="001A0A01" w:rsidRDefault="00922D58" w:rsidP="00922D58">
            <w:pPr>
              <w:pStyle w:val="Textpoznpodarou"/>
              <w:jc w:val="both"/>
              <w:rPr>
                <w:color w:val="0D0D0D" w:themeColor="text1" w:themeTint="F2"/>
                <w:spacing w:val="-4"/>
                <w:lang w:val="en-GB"/>
              </w:rPr>
            </w:pPr>
          </w:p>
        </w:tc>
        <w:tc>
          <w:tcPr>
            <w:tcW w:w="7706" w:type="dxa"/>
            <w:shd w:val="clear" w:color="auto" w:fill="auto"/>
            <w:tcMar>
              <w:left w:w="0" w:type="dxa"/>
            </w:tcMar>
          </w:tcPr>
          <w:p w14:paraId="6F482EC2" w14:textId="4BC10644" w:rsidR="00922D58" w:rsidRPr="001A0A01" w:rsidRDefault="00922D58" w:rsidP="00922D58">
            <w:pPr>
              <w:spacing w:after="200"/>
              <w:rPr>
                <w:color w:val="0D0D0D" w:themeColor="text1" w:themeTint="F2"/>
                <w:lang w:val="en-GB"/>
              </w:rPr>
            </w:pPr>
            <w:r w:rsidRPr="001A0A01">
              <w:rPr>
                <w:color w:val="0D0D0D" w:themeColor="text1" w:themeTint="F2"/>
                <w:spacing w:val="-4"/>
                <w:lang w:val="en-GB"/>
              </w:rPr>
              <w:t xml:space="preserve">The wage median increased by 5.8% in Q2 (to 38.5 thousand CZK per month). It grew at a slightly higher rate for females as for most of the last year (also due to the situation in health and social care or in tourism). The gap of the earnings middle value between genders thus decreased by 0.4 p. p., year-on-year, nevertheless still to a significant 14.4% (however, </w:t>
            </w:r>
            <w:r>
              <w:rPr>
                <w:color w:val="0D0D0D" w:themeColor="text1" w:themeTint="F2"/>
                <w:spacing w:val="-4"/>
                <w:lang w:val="en-GB"/>
              </w:rPr>
              <w:t>females earned “only”</w:t>
            </w:r>
            <w:r w:rsidRPr="001A0A01">
              <w:rPr>
                <w:color w:val="0D0D0D" w:themeColor="text1" w:themeTint="F2"/>
                <w:spacing w:val="-4"/>
                <w:lang w:val="en-GB"/>
              </w:rPr>
              <w:t xml:space="preserve"> 6.5% less than males – in the lowest decile - in case of low-earning workers). The wage distribution in the economy in total widened slightly (the opposite was </w:t>
            </w:r>
            <w:r w:rsidRPr="001A0A01">
              <w:rPr>
                <w:color w:val="0D0D0D" w:themeColor="text1" w:themeTint="F2"/>
                <w:spacing w:val="-4"/>
                <w:lang w:val="en-GB"/>
              </w:rPr>
              <w:lastRenderedPageBreak/>
              <w:t xml:space="preserve">true in Q1 2024). Since the upper wage decile increased by 8.9%, year-on-year, in Q2, but the lower decile only by 6.2%. This is also related to the fact that the median earnings grew the least to workers in agriculture, forestry and fishing (+4.4%) and also to unskilled and support workers (+4.8%) for the whole H1. Median earnings grew the most to the office workers (+6.7%). In this category, workers in the business sphere are significantly predominant in the long-term (especially in trade, transport and storage).   </w:t>
            </w:r>
          </w:p>
        </w:tc>
      </w:tr>
      <w:tr w:rsidR="00922D58" w:rsidRPr="001A0A01" w14:paraId="2DCF3EB0" w14:textId="77777777" w:rsidTr="003D1AE0">
        <w:trPr>
          <w:trHeight w:val="132"/>
        </w:trPr>
        <w:tc>
          <w:tcPr>
            <w:tcW w:w="1768" w:type="dxa"/>
            <w:shd w:val="clear" w:color="auto" w:fill="auto"/>
            <w:tcMar>
              <w:left w:w="0" w:type="dxa"/>
            </w:tcMar>
          </w:tcPr>
          <w:p w14:paraId="609C7685" w14:textId="77777777" w:rsidR="00922D58" w:rsidRPr="001A0A01" w:rsidRDefault="00922D58" w:rsidP="00922D58">
            <w:pPr>
              <w:pStyle w:val="Marginlie"/>
              <w:rPr>
                <w:spacing w:val="-4"/>
                <w:lang w:val="en-GB"/>
              </w:rPr>
            </w:pPr>
          </w:p>
        </w:tc>
        <w:tc>
          <w:tcPr>
            <w:tcW w:w="200" w:type="dxa"/>
            <w:shd w:val="clear" w:color="auto" w:fill="auto"/>
            <w:tcMar>
              <w:left w:w="0" w:type="dxa"/>
            </w:tcMar>
          </w:tcPr>
          <w:p w14:paraId="6D7BAF85"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3D096E0A" w14:textId="02B107CC" w:rsidR="00922D58" w:rsidRPr="001A0A01" w:rsidRDefault="00922D58" w:rsidP="00922D58">
            <w:pPr>
              <w:spacing w:after="0"/>
              <w:rPr>
                <w:b/>
                <w:spacing w:val="-2"/>
                <w:lang w:val="en-GB"/>
              </w:rPr>
            </w:pPr>
            <w:r w:rsidRPr="001A0A01">
              <w:rPr>
                <w:rFonts w:cs="Arial"/>
                <w:b/>
                <w:color w:val="0D0D0D" w:themeColor="text1" w:themeTint="F2"/>
                <w:spacing w:val="-4"/>
                <w:szCs w:val="20"/>
                <w:lang w:val="en-GB"/>
              </w:rPr>
              <w:t xml:space="preserve">Chart 15 Average nominal and real wage and wage median </w:t>
            </w:r>
            <w:r>
              <w:rPr>
                <w:spacing w:val="-2"/>
                <w:lang w:val="en-GB"/>
              </w:rPr>
              <w:t>(year-on-year</w:t>
            </w:r>
            <w:r w:rsidRPr="001A0A01">
              <w:rPr>
                <w:spacing w:val="-2"/>
                <w:lang w:val="en-GB"/>
              </w:rPr>
              <w:t xml:space="preserve"> in %)</w:t>
            </w:r>
          </w:p>
        </w:tc>
      </w:tr>
      <w:tr w:rsidR="00922D58" w:rsidRPr="001A0A01" w14:paraId="267183D3" w14:textId="77777777" w:rsidTr="003D1AE0">
        <w:tblPrEx>
          <w:tblCellMar>
            <w:left w:w="70" w:type="dxa"/>
            <w:right w:w="70" w:type="dxa"/>
          </w:tblCellMar>
        </w:tblPrEx>
        <w:trPr>
          <w:trHeight w:val="132"/>
        </w:trPr>
        <w:tc>
          <w:tcPr>
            <w:tcW w:w="1768" w:type="dxa"/>
            <w:shd w:val="clear" w:color="auto" w:fill="auto"/>
          </w:tcPr>
          <w:p w14:paraId="02A4C39A" w14:textId="77777777" w:rsidR="00922D58" w:rsidRPr="001A0A01" w:rsidRDefault="00922D58" w:rsidP="00922D58">
            <w:pPr>
              <w:pStyle w:val="Marginlie"/>
              <w:rPr>
                <w:spacing w:val="-4"/>
                <w:lang w:val="en-GB"/>
              </w:rPr>
            </w:pPr>
          </w:p>
        </w:tc>
        <w:tc>
          <w:tcPr>
            <w:tcW w:w="200" w:type="dxa"/>
            <w:shd w:val="clear" w:color="auto" w:fill="auto"/>
          </w:tcPr>
          <w:p w14:paraId="05F0A060" w14:textId="77777777" w:rsidR="00922D58" w:rsidRPr="001A0A01" w:rsidRDefault="00922D58" w:rsidP="00922D58">
            <w:pPr>
              <w:pStyle w:val="Textpoznpodarou"/>
              <w:jc w:val="both"/>
              <w:rPr>
                <w:spacing w:val="-4"/>
                <w:lang w:val="en-GB"/>
              </w:rPr>
            </w:pPr>
          </w:p>
        </w:tc>
        <w:tc>
          <w:tcPr>
            <w:tcW w:w="7706" w:type="dxa"/>
            <w:shd w:val="clear" w:color="auto" w:fill="auto"/>
          </w:tcPr>
          <w:p w14:paraId="7B45238B" w14:textId="4DED6344" w:rsidR="00922D58" w:rsidRPr="001A0A01" w:rsidRDefault="00922D58" w:rsidP="00922D58">
            <w:pPr>
              <w:spacing w:before="40" w:after="0" w:line="240" w:lineRule="auto"/>
              <w:rPr>
                <w:rFonts w:cs="Arial"/>
                <w:color w:val="0D0D0D" w:themeColor="text1" w:themeTint="F2"/>
                <w:spacing w:val="-4"/>
                <w:sz w:val="14"/>
                <w:szCs w:val="14"/>
                <w:lang w:val="en-GB"/>
              </w:rPr>
            </w:pPr>
            <w:r>
              <w:rPr>
                <w:noProof/>
              </w:rPr>
              <w:drawing>
                <wp:inline distT="0" distB="0" distL="0" distR="0" wp14:anchorId="27060B82" wp14:editId="69148579">
                  <wp:extent cx="4770783" cy="375285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922D58" w:rsidRPr="001A0A01" w14:paraId="4935ED1A" w14:textId="77777777" w:rsidTr="003D1AE0">
        <w:trPr>
          <w:trHeight w:val="132"/>
        </w:trPr>
        <w:tc>
          <w:tcPr>
            <w:tcW w:w="1768" w:type="dxa"/>
            <w:shd w:val="clear" w:color="auto" w:fill="auto"/>
            <w:tcMar>
              <w:left w:w="0" w:type="dxa"/>
            </w:tcMar>
          </w:tcPr>
          <w:p w14:paraId="6BDAF56A" w14:textId="77777777" w:rsidR="00922D58" w:rsidRPr="001A0A01" w:rsidRDefault="00922D58" w:rsidP="00922D58">
            <w:pPr>
              <w:pStyle w:val="Marginlie"/>
              <w:rPr>
                <w:spacing w:val="-4"/>
                <w:lang w:val="en-GB"/>
              </w:rPr>
            </w:pPr>
          </w:p>
        </w:tc>
        <w:tc>
          <w:tcPr>
            <w:tcW w:w="200" w:type="dxa"/>
            <w:shd w:val="clear" w:color="auto" w:fill="auto"/>
            <w:tcMar>
              <w:left w:w="0" w:type="dxa"/>
            </w:tcMar>
          </w:tcPr>
          <w:p w14:paraId="4A05D373"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5C8DCB00" w14:textId="77777777" w:rsidR="00922D58" w:rsidRPr="001A0A01" w:rsidRDefault="00922D58" w:rsidP="00922D58">
            <w:pPr>
              <w:spacing w:after="0" w:line="240" w:lineRule="auto"/>
              <w:rPr>
                <w:rFonts w:cs="Arial"/>
                <w:color w:val="0D0D0D" w:themeColor="text1" w:themeTint="F2"/>
                <w:spacing w:val="-4"/>
                <w:sz w:val="14"/>
                <w:szCs w:val="14"/>
                <w:lang w:val="en-GB"/>
              </w:rPr>
            </w:pPr>
            <w:r w:rsidRPr="001A0A01">
              <w:rPr>
                <w:bCs/>
                <w:sz w:val="14"/>
                <w:szCs w:val="14"/>
                <w:lang w:val="en-GB"/>
              </w:rPr>
              <w:t>*</w:t>
            </w:r>
            <w:r w:rsidRPr="001A0A01">
              <w:rPr>
                <w:rFonts w:cs="Arial"/>
                <w:spacing w:val="-3"/>
                <w:sz w:val="14"/>
                <w:szCs w:val="14"/>
                <w:lang w:val="en-GB"/>
              </w:rPr>
              <w:t xml:space="preserve"> Includes branches with a significant state involvement: Public administration, defence, social security; Education; Human health and social work activities; Arts, entertainment and recreational activities.</w:t>
            </w:r>
          </w:p>
          <w:p w14:paraId="332262D2" w14:textId="1B6237D7" w:rsidR="00922D58" w:rsidRPr="00922D58" w:rsidRDefault="00922D58" w:rsidP="00922D58">
            <w:pPr>
              <w:spacing w:after="200" w:line="240" w:lineRule="auto"/>
              <w:rPr>
                <w:rFonts w:cs="Arial"/>
                <w:color w:val="0D0D0D" w:themeColor="text1" w:themeTint="F2"/>
                <w:spacing w:val="-4"/>
                <w:sz w:val="14"/>
                <w:szCs w:val="14"/>
                <w:lang w:val="en-GB"/>
              </w:rPr>
            </w:pPr>
            <w:r>
              <w:rPr>
                <w:rFonts w:cs="Arial"/>
                <w:color w:val="0D0D0D" w:themeColor="text1" w:themeTint="F2"/>
                <w:spacing w:val="-4"/>
                <w:sz w:val="14"/>
                <w:szCs w:val="14"/>
                <w:lang w:val="en-GB"/>
              </w:rPr>
              <w:t>Source: CZSO</w:t>
            </w:r>
          </w:p>
        </w:tc>
      </w:tr>
      <w:tr w:rsidR="00922D58" w:rsidRPr="001A0A01" w14:paraId="4B60C88D" w14:textId="77777777" w:rsidTr="003D1AE0">
        <w:trPr>
          <w:trHeight w:val="132"/>
        </w:trPr>
        <w:tc>
          <w:tcPr>
            <w:tcW w:w="1768" w:type="dxa"/>
            <w:shd w:val="clear" w:color="auto" w:fill="auto"/>
            <w:tcMar>
              <w:left w:w="0" w:type="dxa"/>
            </w:tcMar>
          </w:tcPr>
          <w:p w14:paraId="4A4F3157" w14:textId="669AF9B6" w:rsidR="00922D58" w:rsidRPr="002C544F" w:rsidRDefault="002C544F" w:rsidP="00922D58">
            <w:pPr>
              <w:pStyle w:val="Marginlie"/>
              <w:rPr>
                <w:spacing w:val="-6"/>
                <w:lang w:val="en-GB"/>
              </w:rPr>
            </w:pPr>
            <w:bookmarkStart w:id="89" w:name="_Hlk179066767"/>
            <w:r w:rsidRPr="002C544F">
              <w:rPr>
                <w:color w:val="0D0D0D" w:themeColor="text1" w:themeTint="F2"/>
                <w:spacing w:val="-6"/>
                <w:lang w:val="en-GB"/>
              </w:rPr>
              <w:t>The level</w:t>
            </w:r>
            <w:r w:rsidR="00922D58" w:rsidRPr="002C544F">
              <w:rPr>
                <w:color w:val="0D0D0D" w:themeColor="text1" w:themeTint="F2"/>
                <w:spacing w:val="-6"/>
                <w:lang w:val="en-GB"/>
              </w:rPr>
              <w:t xml:space="preserve"> of wages for most of the main groups of fore</w:t>
            </w:r>
            <w:r w:rsidRPr="002C544F">
              <w:rPr>
                <w:color w:val="0D0D0D" w:themeColor="text1" w:themeTint="F2"/>
                <w:spacing w:val="-6"/>
                <w:lang w:val="en-GB"/>
              </w:rPr>
              <w:t>igners in the Czech Republic is</w:t>
            </w:r>
            <w:r w:rsidR="00922D58" w:rsidRPr="002C544F">
              <w:rPr>
                <w:color w:val="0D0D0D" w:themeColor="text1" w:themeTint="F2"/>
                <w:spacing w:val="-6"/>
                <w:lang w:val="en-GB"/>
              </w:rPr>
              <w:t xml:space="preserve"> b</w:t>
            </w:r>
            <w:r w:rsidRPr="002C544F">
              <w:rPr>
                <w:color w:val="0D0D0D" w:themeColor="text1" w:themeTint="F2"/>
                <w:spacing w:val="-6"/>
                <w:lang w:val="en-GB"/>
              </w:rPr>
              <w:t>elow average in the long-term. N</w:t>
            </w:r>
            <w:r w:rsidR="00922D58" w:rsidRPr="002C544F">
              <w:rPr>
                <w:color w:val="0D0D0D" w:themeColor="text1" w:themeTint="F2"/>
                <w:spacing w:val="-6"/>
                <w:lang w:val="en-GB"/>
              </w:rPr>
              <w:t xml:space="preserve">evertheless in percentage terms it grew more rapidly than in the case of domestic citizens this year. </w:t>
            </w:r>
            <w:bookmarkEnd w:id="89"/>
          </w:p>
        </w:tc>
        <w:tc>
          <w:tcPr>
            <w:tcW w:w="200" w:type="dxa"/>
            <w:shd w:val="clear" w:color="auto" w:fill="auto"/>
            <w:tcMar>
              <w:left w:w="0" w:type="dxa"/>
            </w:tcMar>
          </w:tcPr>
          <w:p w14:paraId="5B24A97A" w14:textId="77777777" w:rsidR="00922D58" w:rsidRPr="001A0A01" w:rsidRDefault="00922D58" w:rsidP="00922D58">
            <w:pPr>
              <w:pStyle w:val="Textpoznpodarou"/>
              <w:jc w:val="both"/>
              <w:rPr>
                <w:spacing w:val="-4"/>
                <w:lang w:val="en-GB"/>
              </w:rPr>
            </w:pPr>
          </w:p>
        </w:tc>
        <w:tc>
          <w:tcPr>
            <w:tcW w:w="7706" w:type="dxa"/>
            <w:shd w:val="clear" w:color="auto" w:fill="auto"/>
            <w:tcMar>
              <w:left w:w="0" w:type="dxa"/>
            </w:tcMar>
          </w:tcPr>
          <w:p w14:paraId="2886831D" w14:textId="77777777" w:rsidR="00922D58" w:rsidRPr="001A0A01" w:rsidRDefault="00922D58" w:rsidP="00922D58">
            <w:pPr>
              <w:spacing w:after="0"/>
              <w:rPr>
                <w:rFonts w:cs="Arial"/>
                <w:color w:val="0D0D0D" w:themeColor="text1" w:themeTint="F2"/>
                <w:spacing w:val="-4"/>
                <w:sz w:val="14"/>
                <w:szCs w:val="14"/>
                <w:lang w:val="en-GB"/>
              </w:rPr>
            </w:pPr>
            <w:bookmarkStart w:id="90" w:name="_Hlk179066798"/>
            <w:r w:rsidRPr="001A0A01">
              <w:rPr>
                <w:color w:val="0D0D0D" w:themeColor="text1" w:themeTint="F2"/>
                <w:spacing w:val="-4"/>
                <w:lang w:val="en-GB"/>
              </w:rPr>
              <w:t xml:space="preserve">Data from the Information system on average earnings of the MLSA confirm the continuing trend of increasing participation of foreigners on the domestic labour market. The number of employed Ukrainians in the sample increased by 12.5%, year-on-year, in H1, nevertheless their median wage was only 31.3 thousand CZK (22% lower than that of Czech citizens). Other significant groups of foreigners with employment status also traditionally attained a below-average level of earnings (except for Slovakians with 46.0 thousand CZK), nevertheless their wages grew relatively faster than those of domestic citizens (Ukrainians +7%, Poles, Romanians, </w:t>
            </w:r>
            <w:proofErr w:type="gramStart"/>
            <w:r w:rsidRPr="001A0A01">
              <w:rPr>
                <w:color w:val="0D0D0D" w:themeColor="text1" w:themeTint="F2"/>
                <w:spacing w:val="-4"/>
                <w:lang w:val="en-GB"/>
              </w:rPr>
              <w:t>Bulgarians</w:t>
            </w:r>
            <w:proofErr w:type="gramEnd"/>
            <w:r w:rsidRPr="001A0A01">
              <w:rPr>
                <w:color w:val="0D0D0D" w:themeColor="text1" w:themeTint="F2"/>
                <w:spacing w:val="-4"/>
                <w:lang w:val="en-GB"/>
              </w:rPr>
              <w:t xml:space="preserve"> – around 10%). </w:t>
            </w:r>
            <w:bookmarkEnd w:id="90"/>
          </w:p>
        </w:tc>
      </w:tr>
      <w:bookmarkEnd w:id="78"/>
    </w:tbl>
    <w:p w14:paraId="5AFA9AF8" w14:textId="77777777" w:rsidR="00E551F6" w:rsidRPr="001A0A01" w:rsidRDefault="00E551F6" w:rsidP="00E551F6">
      <w:pPr>
        <w:spacing w:after="0" w:line="240" w:lineRule="auto"/>
        <w:jc w:val="left"/>
        <w:rPr>
          <w:sz w:val="2"/>
          <w:szCs w:val="2"/>
          <w:lang w:val="en-GB"/>
        </w:rPr>
      </w:pPr>
    </w:p>
    <w:p w14:paraId="5B17FC73" w14:textId="77777777" w:rsidR="00E551F6" w:rsidRPr="001A0A01" w:rsidRDefault="00E551F6" w:rsidP="00E551F6">
      <w:pPr>
        <w:spacing w:after="0" w:line="240" w:lineRule="auto"/>
        <w:jc w:val="left"/>
        <w:rPr>
          <w:rFonts w:eastAsia="MS Gothic"/>
          <w:b/>
          <w:bCs/>
          <w:color w:val="86BF5E"/>
          <w:sz w:val="32"/>
          <w:szCs w:val="28"/>
          <w:lang w:val="en-GB"/>
        </w:rPr>
      </w:pPr>
      <w:r w:rsidRPr="001A0A01">
        <w:rPr>
          <w:lang w:val="en-GB"/>
        </w:rPr>
        <w:br w:type="page"/>
      </w:r>
    </w:p>
    <w:p w14:paraId="423CB83F" w14:textId="77777777" w:rsidR="00E551F6" w:rsidRPr="001A0A01" w:rsidRDefault="00E551F6" w:rsidP="00E551F6">
      <w:pPr>
        <w:pStyle w:val="Nadpis1"/>
        <w:rPr>
          <w:lang w:val="en-GB"/>
        </w:rPr>
      </w:pPr>
      <w:bookmarkStart w:id="91" w:name="_Toc179774111"/>
      <w:r w:rsidRPr="001A0A01">
        <w:rPr>
          <w:lang w:val="en-GB"/>
        </w:rPr>
        <w:lastRenderedPageBreak/>
        <w:t>7. Monetary Conditions</w:t>
      </w:r>
      <w:bookmarkEnd w:id="91"/>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E551F6" w:rsidRPr="001A0A01" w14:paraId="3D58E421" w14:textId="77777777" w:rsidTr="00E551F6">
        <w:trPr>
          <w:trHeight w:val="145"/>
        </w:trPr>
        <w:tc>
          <w:tcPr>
            <w:tcW w:w="1802" w:type="dxa"/>
          </w:tcPr>
          <w:p w14:paraId="2E751504" w14:textId="77777777" w:rsidR="00E551F6" w:rsidRPr="001A0A01" w:rsidRDefault="00E551F6" w:rsidP="00E551F6">
            <w:pPr>
              <w:pStyle w:val="Marginlie"/>
              <w:rPr>
                <w:lang w:val="en-GB" w:eastAsia="en-US"/>
              </w:rPr>
            </w:pPr>
            <w:r w:rsidRPr="001A0A01">
              <w:rPr>
                <w:lang w:val="en-GB" w:eastAsia="en-US"/>
              </w:rPr>
              <w:t>Monetary policy-relevant rates continued to decrease in Q2.</w:t>
            </w:r>
          </w:p>
        </w:tc>
        <w:tc>
          <w:tcPr>
            <w:tcW w:w="229" w:type="dxa"/>
          </w:tcPr>
          <w:p w14:paraId="5CB402E8" w14:textId="77777777" w:rsidR="00E551F6" w:rsidRPr="001A0A01" w:rsidRDefault="00E551F6" w:rsidP="00E551F6">
            <w:pPr>
              <w:pStyle w:val="Textpoznpodarou"/>
              <w:jc w:val="both"/>
              <w:rPr>
                <w:spacing w:val="-4"/>
                <w:lang w:val="en-GB" w:eastAsia="en-US"/>
              </w:rPr>
            </w:pPr>
          </w:p>
        </w:tc>
        <w:tc>
          <w:tcPr>
            <w:tcW w:w="7610" w:type="dxa"/>
          </w:tcPr>
          <w:p w14:paraId="00E070ED" w14:textId="5A4FDD6E" w:rsidR="00E551F6" w:rsidRPr="001A0A01" w:rsidRDefault="00E551F6" w:rsidP="00E551F6">
            <w:pPr>
              <w:rPr>
                <w:spacing w:val="-2"/>
                <w:lang w:val="en-GB" w:eastAsia="en-US"/>
              </w:rPr>
            </w:pPr>
            <w:bookmarkStart w:id="92" w:name="_Hlk179068130"/>
            <w:r w:rsidRPr="001A0A01">
              <w:rPr>
                <w:spacing w:val="-2"/>
                <w:lang w:val="en-GB" w:eastAsia="en-US"/>
              </w:rPr>
              <w:t>The process of a gradual decrease of monetary policy-relevant rates continued in Q2. There were two half-point cuts (in May and June) and the two-week repo rate thus attained 4.75%, the discount rate 3.75% and the Lombard rate 5.75%</w:t>
            </w:r>
            <w:r w:rsidRPr="001A0A01">
              <w:rPr>
                <w:rStyle w:val="Znakapoznpodarou"/>
                <w:spacing w:val="-2"/>
                <w:lang w:val="en-GB" w:eastAsia="en-US"/>
              </w:rPr>
              <w:footnoteReference w:id="78"/>
            </w:r>
            <w:r w:rsidRPr="001A0A01">
              <w:rPr>
                <w:spacing w:val="-2"/>
                <w:lang w:val="en-GB" w:eastAsia="en-US"/>
              </w:rPr>
              <w:t xml:space="preserve"> at the end of June. The koruna foreign exchange per euro reached an average value of 24.96 CZK/EUR for the whole Q2 and thus weakened 1</w:t>
            </w:r>
            <w:r w:rsidR="002F39EC">
              <w:rPr>
                <w:spacing w:val="-2"/>
                <w:lang w:val="en-GB" w:eastAsia="en-US"/>
              </w:rPr>
              <w:t>.37</w:t>
            </w:r>
            <w:r w:rsidRPr="001A0A01">
              <w:rPr>
                <w:spacing w:val="-2"/>
                <w:lang w:val="en-GB" w:eastAsia="en-US"/>
              </w:rPr>
              <w:t xml:space="preserve"> CZK (5.81%), year-on-year. Quarter-on-quarter, the koruna foreign exchange per euro strengthened slightly by </w:t>
            </w:r>
            <w:r w:rsidR="002F39EC">
              <w:rPr>
                <w:spacing w:val="-2"/>
                <w:lang w:val="en-GB" w:eastAsia="en-US"/>
              </w:rPr>
              <w:t>0.</w:t>
            </w:r>
            <w:r w:rsidRPr="001A0A01">
              <w:rPr>
                <w:spacing w:val="-2"/>
                <w:lang w:val="en-GB" w:eastAsia="en-US"/>
              </w:rPr>
              <w:t xml:space="preserve">11 </w:t>
            </w:r>
            <w:r w:rsidR="002F39EC">
              <w:rPr>
                <w:spacing w:val="-2"/>
                <w:lang w:val="en-GB" w:eastAsia="en-US"/>
              </w:rPr>
              <w:t>CZK</w:t>
            </w:r>
            <w:r w:rsidRPr="001A0A01">
              <w:rPr>
                <w:spacing w:val="-2"/>
                <w:lang w:val="en-GB" w:eastAsia="en-US"/>
              </w:rPr>
              <w:t xml:space="preserve"> (0.45%). During Q2, the exchange rate gradually strengthened from the level of 25.31 CZK/EUR to the value of 24.70 CZK/EUR during Q2, however weakened again during June and closed the quarter at 25.03 CZK/EUR. The koruna foreign exchange per dollar </w:t>
            </w:r>
            <w:r w:rsidR="006F19D3">
              <w:rPr>
                <w:spacing w:val="-2"/>
                <w:lang w:val="en-GB" w:eastAsia="en-US"/>
              </w:rPr>
              <w:t>also</w:t>
            </w:r>
            <w:r w:rsidRPr="001A0A01">
              <w:rPr>
                <w:spacing w:val="-2"/>
                <w:lang w:val="en-GB" w:eastAsia="en-US"/>
              </w:rPr>
              <w:t xml:space="preserve"> strengthened to 22.56 CZK/USD until the beginning of June, but subsequently weakened and reached 23.39 CZK/USD at the end of June. The average for the whole quarter was 23.18 CZK/USD and meant a year-on-year weakening of 1</w:t>
            </w:r>
            <w:r w:rsidR="002F39EC">
              <w:rPr>
                <w:spacing w:val="-2"/>
                <w:lang w:val="en-GB" w:eastAsia="en-US"/>
              </w:rPr>
              <w:t>.</w:t>
            </w:r>
            <w:r w:rsidRPr="001A0A01">
              <w:rPr>
                <w:spacing w:val="-2"/>
                <w:lang w:val="en-GB" w:eastAsia="en-US"/>
              </w:rPr>
              <w:t xml:space="preserve">51 CZK (6.95%) and a quarter-on-quarter weakening of </w:t>
            </w:r>
            <w:r w:rsidR="002F39EC">
              <w:rPr>
                <w:spacing w:val="-2"/>
                <w:lang w:val="en-GB" w:eastAsia="en-US"/>
              </w:rPr>
              <w:t>0.0</w:t>
            </w:r>
            <w:r w:rsidRPr="001A0A01">
              <w:rPr>
                <w:spacing w:val="-2"/>
                <w:lang w:val="en-GB" w:eastAsia="en-US"/>
              </w:rPr>
              <w:t>9</w:t>
            </w:r>
            <w:r w:rsidR="002F39EC">
              <w:rPr>
                <w:spacing w:val="-2"/>
                <w:lang w:val="en-GB" w:eastAsia="en-US"/>
              </w:rPr>
              <w:t xml:space="preserve"> CZK</w:t>
            </w:r>
            <w:r w:rsidRPr="001A0A01">
              <w:rPr>
                <w:spacing w:val="-2"/>
                <w:lang w:val="en-GB" w:eastAsia="en-US"/>
              </w:rPr>
              <w:t xml:space="preserve"> (0.39%). </w:t>
            </w:r>
            <w:bookmarkEnd w:id="92"/>
          </w:p>
        </w:tc>
      </w:tr>
      <w:tr w:rsidR="00E551F6" w:rsidRPr="001A0A01" w14:paraId="36241915" w14:textId="77777777" w:rsidTr="00E551F6">
        <w:trPr>
          <w:trHeight w:val="145"/>
        </w:trPr>
        <w:tc>
          <w:tcPr>
            <w:tcW w:w="1802" w:type="dxa"/>
          </w:tcPr>
          <w:p w14:paraId="16348A07" w14:textId="77777777" w:rsidR="00E551F6" w:rsidRPr="001A0A01" w:rsidRDefault="00E551F6" w:rsidP="00E551F6">
            <w:pPr>
              <w:pStyle w:val="Marginlie"/>
              <w:rPr>
                <w:lang w:val="en-GB" w:eastAsia="en-US"/>
              </w:rPr>
            </w:pPr>
            <w:bookmarkStart w:id="93" w:name="_Hlk179068678"/>
            <w:r w:rsidRPr="001A0A01">
              <w:rPr>
                <w:lang w:val="en-GB" w:eastAsia="en-US"/>
              </w:rPr>
              <w:t xml:space="preserve">Interest rates on government bonds were rising. </w:t>
            </w:r>
            <w:bookmarkEnd w:id="93"/>
          </w:p>
        </w:tc>
        <w:tc>
          <w:tcPr>
            <w:tcW w:w="229" w:type="dxa"/>
          </w:tcPr>
          <w:p w14:paraId="789FEAC8" w14:textId="77777777" w:rsidR="00E551F6" w:rsidRPr="001A0A01" w:rsidRDefault="00E551F6" w:rsidP="00E551F6">
            <w:pPr>
              <w:pStyle w:val="Textpoznpodarou"/>
              <w:jc w:val="both"/>
              <w:rPr>
                <w:spacing w:val="-4"/>
                <w:lang w:val="en-GB" w:eastAsia="en-US"/>
              </w:rPr>
            </w:pPr>
          </w:p>
        </w:tc>
        <w:tc>
          <w:tcPr>
            <w:tcW w:w="7610" w:type="dxa"/>
          </w:tcPr>
          <w:p w14:paraId="29FEFC5C" w14:textId="77777777" w:rsidR="00E551F6" w:rsidRPr="001A0A01" w:rsidRDefault="00E551F6" w:rsidP="00E551F6">
            <w:pPr>
              <w:rPr>
                <w:spacing w:val="-1"/>
                <w:lang w:val="en-GB" w:eastAsia="en-US"/>
              </w:rPr>
            </w:pPr>
            <w:r w:rsidRPr="001A0A01">
              <w:rPr>
                <w:spacing w:val="-1"/>
                <w:lang w:val="en-GB" w:eastAsia="en-US"/>
              </w:rPr>
              <w:t>Interest rates on the interbank market also reacted by decrease to the lowering of the monetary policy-relevant rates. Rates on deposits with shorter maturities fell the most significantly. The three-month PRIBOR rate thus decreased by 0.81</w:t>
            </w:r>
            <w:r w:rsidRPr="001A0A01">
              <w:rPr>
                <w:rStyle w:val="Znakapoznpodarou"/>
                <w:spacing w:val="-1"/>
                <w:lang w:val="en-GB" w:eastAsia="en-US"/>
              </w:rPr>
              <w:footnoteReference w:id="79"/>
            </w:r>
            <w:r w:rsidRPr="001A0A01">
              <w:rPr>
                <w:spacing w:val="-1"/>
                <w:lang w:val="en-GB" w:eastAsia="en-US"/>
              </w:rPr>
              <w:t xml:space="preserve"> p. p. to 5.03% during Q2, while the annual PRIBOR decreased by 0.23 p. p. to 4.57%. The interest rate on government bonds grew in Q2. The average interest rate on bonds with a maturity of up to two years increased by 0.49 p. p. to 4.22% at the end of June, medium-term bonds had an average interest rate of 4.12% (+0.56 p. p.) at the end of June, and interest on long-term bonds increased by 0.39 p. p. 4.21%.  </w:t>
            </w:r>
          </w:p>
        </w:tc>
      </w:tr>
      <w:tr w:rsidR="00E551F6" w:rsidRPr="001A0A01" w14:paraId="0AC9D42E" w14:textId="77777777" w:rsidTr="00E551F6">
        <w:trPr>
          <w:trHeight w:val="145"/>
        </w:trPr>
        <w:tc>
          <w:tcPr>
            <w:tcW w:w="1802" w:type="dxa"/>
          </w:tcPr>
          <w:p w14:paraId="21E3154B" w14:textId="77777777" w:rsidR="00E551F6" w:rsidRPr="001A0A01" w:rsidRDefault="00E551F6" w:rsidP="00E551F6">
            <w:pPr>
              <w:pStyle w:val="Marginlie"/>
              <w:rPr>
                <w:lang w:val="en-GB" w:eastAsia="en-US"/>
              </w:rPr>
            </w:pPr>
            <w:r w:rsidRPr="001A0A01">
              <w:rPr>
                <w:lang w:val="en-GB" w:eastAsia="en-US"/>
              </w:rPr>
              <w:t>The growth of term deposit volume slowed down.</w:t>
            </w:r>
          </w:p>
        </w:tc>
        <w:tc>
          <w:tcPr>
            <w:tcW w:w="229" w:type="dxa"/>
          </w:tcPr>
          <w:p w14:paraId="1FB4AFD8" w14:textId="77777777" w:rsidR="00E551F6" w:rsidRPr="001A0A01" w:rsidRDefault="00E551F6" w:rsidP="00E551F6">
            <w:pPr>
              <w:pStyle w:val="Textpoznpodarou"/>
              <w:jc w:val="both"/>
              <w:rPr>
                <w:spacing w:val="-4"/>
                <w:lang w:val="en-GB" w:eastAsia="en-US"/>
              </w:rPr>
            </w:pPr>
          </w:p>
        </w:tc>
        <w:tc>
          <w:tcPr>
            <w:tcW w:w="7610" w:type="dxa"/>
          </w:tcPr>
          <w:p w14:paraId="71CAC3E3" w14:textId="77777777" w:rsidR="00E551F6" w:rsidRPr="001A0A01" w:rsidRDefault="00E551F6" w:rsidP="00E551F6">
            <w:pPr>
              <w:rPr>
                <w:spacing w:val="-3"/>
                <w:lang w:val="en-GB" w:eastAsia="en-US"/>
              </w:rPr>
            </w:pPr>
            <w:bookmarkStart w:id="94" w:name="_Hlk179106981"/>
            <w:r w:rsidRPr="001A0A01">
              <w:rPr>
                <w:spacing w:val="-3"/>
                <w:lang w:val="en-GB" w:eastAsia="en-US"/>
              </w:rPr>
              <w:t xml:space="preserve">Interest rates on client deposits also fell in Q2. Rates on overnight deposits of households were still increasing in Q1, nevertheless fell by 0.27 p. p. to 1.43% during Q2. For current accounts, the average interest rate fell below the 0.2% level after six quarters. Deposits with agreed maturity were remunerated at an average of 4.30% (−0.87 p.p.) at the end of June. Non-financial businesses also faced an across-the-board decreases of interest rates on their accounts - current accounts experienced decrease of 0.17 p. p. to 0.81% and the average rate on deposits with agreed maturity fell by 0.83 p. p. to 4.56%. The total volume of deposits was by 6.5% higher, year-on-year, at the end of Q2 (445.5 </w:t>
            </w:r>
            <w:proofErr w:type="spellStart"/>
            <w:r w:rsidRPr="001A0A01">
              <w:rPr>
                <w:spacing w:val="-3"/>
                <w:lang w:val="en-GB" w:eastAsia="en-US"/>
              </w:rPr>
              <w:t>bn</w:t>
            </w:r>
            <w:proofErr w:type="spellEnd"/>
            <w:r w:rsidRPr="001A0A01">
              <w:rPr>
                <w:spacing w:val="-3"/>
                <w:lang w:val="en-GB" w:eastAsia="en-US"/>
              </w:rPr>
              <w:t xml:space="preserve"> CZK), which was the slowest pace since the end of year 2022. At the same time, both term and non-term deposits grew at a similar pace. Mainly households</w:t>
            </w:r>
            <w:r w:rsidRPr="001A0A01">
              <w:rPr>
                <w:rStyle w:val="Znakapoznpodarou"/>
                <w:spacing w:val="-3"/>
                <w:lang w:val="en-GB" w:eastAsia="en-US"/>
              </w:rPr>
              <w:footnoteReference w:id="80"/>
            </w:r>
            <w:r w:rsidRPr="001A0A01">
              <w:rPr>
                <w:spacing w:val="-3"/>
                <w:lang w:val="en-GB" w:eastAsia="en-US"/>
              </w:rPr>
              <w:t xml:space="preserve"> contributed to the year-on-year increase of deposits (+293.0 </w:t>
            </w:r>
            <w:proofErr w:type="spellStart"/>
            <w:r w:rsidRPr="001A0A01">
              <w:rPr>
                <w:spacing w:val="-3"/>
                <w:lang w:val="en-GB" w:eastAsia="en-US"/>
              </w:rPr>
              <w:t>bn</w:t>
            </w:r>
            <w:proofErr w:type="spellEnd"/>
            <w:r w:rsidRPr="001A0A01">
              <w:rPr>
                <w:spacing w:val="-3"/>
                <w:lang w:val="en-GB" w:eastAsia="en-US"/>
              </w:rPr>
              <w:t xml:space="preserve">), followed by the general government (+113.3 </w:t>
            </w:r>
            <w:proofErr w:type="spellStart"/>
            <w:r w:rsidRPr="001A0A01">
              <w:rPr>
                <w:spacing w:val="-3"/>
                <w:lang w:val="en-GB" w:eastAsia="en-US"/>
              </w:rPr>
              <w:t>bn</w:t>
            </w:r>
            <w:proofErr w:type="spellEnd"/>
            <w:r w:rsidRPr="001A0A01">
              <w:rPr>
                <w:spacing w:val="-3"/>
                <w:lang w:val="en-GB" w:eastAsia="en-US"/>
              </w:rPr>
              <w:t xml:space="preserve">).  </w:t>
            </w:r>
            <w:bookmarkEnd w:id="94"/>
          </w:p>
        </w:tc>
      </w:tr>
      <w:tr w:rsidR="00E551F6" w:rsidRPr="001A0A01" w14:paraId="65E0616C" w14:textId="77777777" w:rsidTr="00E551F6">
        <w:trPr>
          <w:trHeight w:val="145"/>
        </w:trPr>
        <w:tc>
          <w:tcPr>
            <w:tcW w:w="1802" w:type="dxa"/>
          </w:tcPr>
          <w:p w14:paraId="7BDD8DCC" w14:textId="77777777" w:rsidR="00E551F6" w:rsidRPr="001A0A01" w:rsidRDefault="00E551F6" w:rsidP="00E551F6">
            <w:pPr>
              <w:pStyle w:val="Marginlie"/>
              <w:rPr>
                <w:lang w:val="en-GB" w:eastAsia="en-US"/>
              </w:rPr>
            </w:pPr>
            <w:bookmarkStart w:id="95" w:name="_Hlk179108607"/>
            <w:r w:rsidRPr="001A0A01">
              <w:rPr>
                <w:lang w:val="en-GB" w:eastAsia="en-US"/>
              </w:rPr>
              <w:t xml:space="preserve">Interest rates on household consumer credit did not fall. </w:t>
            </w:r>
            <w:r w:rsidRPr="001A0A01">
              <w:rPr>
                <w:lang w:val="en-GB" w:eastAsia="en-US"/>
              </w:rPr>
              <w:br/>
              <w:t xml:space="preserve">A recovery in new mortgage loan agreements as well as a greater volume of renegotiations on new terms of existing contracts from previous years was evident. </w:t>
            </w:r>
            <w:bookmarkEnd w:id="95"/>
          </w:p>
        </w:tc>
        <w:tc>
          <w:tcPr>
            <w:tcW w:w="229" w:type="dxa"/>
          </w:tcPr>
          <w:p w14:paraId="7D95C7F0" w14:textId="77777777" w:rsidR="00E551F6" w:rsidRPr="001A0A01" w:rsidRDefault="00E551F6" w:rsidP="00E551F6">
            <w:pPr>
              <w:pStyle w:val="Textpoznpodarou"/>
              <w:jc w:val="both"/>
              <w:rPr>
                <w:spacing w:val="-4"/>
                <w:lang w:val="en-GB" w:eastAsia="en-US"/>
              </w:rPr>
            </w:pPr>
          </w:p>
        </w:tc>
        <w:tc>
          <w:tcPr>
            <w:tcW w:w="7610" w:type="dxa"/>
          </w:tcPr>
          <w:p w14:paraId="762433B3" w14:textId="77777777" w:rsidR="00E551F6" w:rsidRPr="001A0A01" w:rsidRDefault="00E551F6" w:rsidP="00E551F6">
            <w:pPr>
              <w:rPr>
                <w:lang w:val="en-GB" w:eastAsia="en-US"/>
              </w:rPr>
            </w:pPr>
            <w:bookmarkStart w:id="96" w:name="_Hlk179108641"/>
            <w:bookmarkStart w:id="97" w:name="_Hlk179141216"/>
            <w:r w:rsidRPr="001A0A01">
              <w:rPr>
                <w:lang w:val="en-GB" w:eastAsia="en-US"/>
              </w:rPr>
              <w:t xml:space="preserve">The reduction of interest rates on household credit was significantly milder compared to deposit rates. Consumer credit had an average interest rate of 8.90% at the end of June and the rate thus increased slightly during Q2 (+0.07 p.p.). The volume of consumer credit provided went up by 8.7%, year on year. The average interest rate on mortgages fell slightly (−0.16 p. p.) and the rate reached 5.00% at the end of June. The interest rate decreased the most for mortgages with the shortest fixation period (−0.26 p.p.) and for fixation periods between 5 and 10 years (−0.24 p.p.). The volume of mortgages provided rose by 3.5%, year on year, slowing down. The slowdown was mainly due to mortgage loans (3.2% was the slightest increase in the entire time series available since year 1997). </w:t>
            </w:r>
            <w:bookmarkEnd w:id="96"/>
            <w:bookmarkEnd w:id="97"/>
            <w:r w:rsidRPr="001A0A01">
              <w:rPr>
                <w:lang w:val="en-GB" w:eastAsia="en-US"/>
              </w:rPr>
              <w:t xml:space="preserve">The volume of credit from building society accounts </w:t>
            </w:r>
            <w:r w:rsidRPr="001A0A01">
              <w:rPr>
                <w:lang w:val="en-GB" w:eastAsia="en-US"/>
              </w:rPr>
              <w:lastRenderedPageBreak/>
              <w:t>continued to grow at a double-digit rate (30.9%)</w:t>
            </w:r>
            <w:r w:rsidRPr="001A0A01">
              <w:rPr>
                <w:rStyle w:val="Znakapoznpodarou"/>
                <w:lang w:val="en-GB" w:eastAsia="en-US"/>
              </w:rPr>
              <w:footnoteReference w:id="81"/>
            </w:r>
            <w:r w:rsidRPr="001A0A01">
              <w:rPr>
                <w:lang w:val="en-GB" w:eastAsia="en-US"/>
              </w:rPr>
              <w:t>, year on year. Recurred recovery could be observed in new mortgage loans</w:t>
            </w:r>
            <w:r w:rsidRPr="001A0A01">
              <w:rPr>
                <w:rStyle w:val="Znakapoznpodarou"/>
                <w:lang w:val="en-GB" w:eastAsia="en-US"/>
              </w:rPr>
              <w:footnoteReference w:id="82"/>
            </w:r>
            <w:r w:rsidRPr="001A0A01">
              <w:rPr>
                <w:lang w:val="en-GB" w:eastAsia="en-US"/>
              </w:rPr>
              <w:t xml:space="preserve">, driven mainly by net new loans. The value of new contracts concluded in Q2 amounted to 116.6 </w:t>
            </w:r>
            <w:proofErr w:type="spellStart"/>
            <w:r w:rsidRPr="001A0A01">
              <w:rPr>
                <w:lang w:val="en-GB" w:eastAsia="en-US"/>
              </w:rPr>
              <w:t>bn</w:t>
            </w:r>
            <w:proofErr w:type="spellEnd"/>
            <w:r w:rsidRPr="001A0A01">
              <w:rPr>
                <w:lang w:val="en-GB" w:eastAsia="en-US"/>
              </w:rPr>
              <w:t xml:space="preserve"> CZK. In that, net new loans, including extension comprised 54.5 </w:t>
            </w:r>
            <w:proofErr w:type="spellStart"/>
            <w:r w:rsidRPr="001A0A01">
              <w:rPr>
                <w:lang w:val="en-GB" w:eastAsia="en-US"/>
              </w:rPr>
              <w:t>bn</w:t>
            </w:r>
            <w:proofErr w:type="spellEnd"/>
            <w:r w:rsidRPr="001A0A01">
              <w:rPr>
                <w:lang w:val="en-GB" w:eastAsia="en-US"/>
              </w:rPr>
              <w:t xml:space="preserve"> CZK (+26.5 </w:t>
            </w:r>
            <w:proofErr w:type="spellStart"/>
            <w:r w:rsidRPr="001A0A01">
              <w:rPr>
                <w:lang w:val="en-GB" w:eastAsia="en-US"/>
              </w:rPr>
              <w:t>bn</w:t>
            </w:r>
            <w:proofErr w:type="spellEnd"/>
            <w:r w:rsidRPr="001A0A01">
              <w:rPr>
                <w:lang w:val="en-GB" w:eastAsia="en-US"/>
              </w:rPr>
              <w:t xml:space="preserve">, year-on-year, 19.7 </w:t>
            </w:r>
            <w:proofErr w:type="spellStart"/>
            <w:r w:rsidRPr="001A0A01">
              <w:rPr>
                <w:lang w:val="en-GB" w:eastAsia="en-US"/>
              </w:rPr>
              <w:t>bn</w:t>
            </w:r>
            <w:proofErr w:type="spellEnd"/>
            <w:r w:rsidRPr="001A0A01">
              <w:rPr>
                <w:lang w:val="en-GB" w:eastAsia="en-US"/>
              </w:rPr>
              <w:t xml:space="preserve"> CZK, quarter-on-quarter) and other new contracts attained the volume of 54.2 </w:t>
            </w:r>
            <w:proofErr w:type="spellStart"/>
            <w:r w:rsidRPr="001A0A01">
              <w:rPr>
                <w:lang w:val="en-GB" w:eastAsia="en-US"/>
              </w:rPr>
              <w:t>bn</w:t>
            </w:r>
            <w:proofErr w:type="spellEnd"/>
            <w:r w:rsidRPr="001A0A01">
              <w:rPr>
                <w:lang w:val="en-GB" w:eastAsia="en-US"/>
              </w:rPr>
              <w:t xml:space="preserve"> CZK (+9.2 </w:t>
            </w:r>
            <w:proofErr w:type="spellStart"/>
            <w:r w:rsidRPr="001A0A01">
              <w:rPr>
                <w:lang w:val="en-GB" w:eastAsia="en-US"/>
              </w:rPr>
              <w:t>bn</w:t>
            </w:r>
            <w:proofErr w:type="spellEnd"/>
            <w:r w:rsidRPr="001A0A01">
              <w:rPr>
                <w:lang w:val="en-GB" w:eastAsia="en-US"/>
              </w:rPr>
              <w:t xml:space="preserve"> CZK, year-on-year, +13.1 </w:t>
            </w:r>
            <w:proofErr w:type="spellStart"/>
            <w:r w:rsidRPr="001A0A01">
              <w:rPr>
                <w:lang w:val="en-GB" w:eastAsia="en-US"/>
              </w:rPr>
              <w:t>bn</w:t>
            </w:r>
            <w:proofErr w:type="spellEnd"/>
            <w:r w:rsidRPr="001A0A01">
              <w:rPr>
                <w:lang w:val="en-GB" w:eastAsia="en-US"/>
              </w:rPr>
              <w:t xml:space="preserve">, quarter-on-quarter). Refinanced loans accounted for 7.9 </w:t>
            </w:r>
            <w:proofErr w:type="spellStart"/>
            <w:r w:rsidRPr="001A0A01">
              <w:rPr>
                <w:lang w:val="en-GB" w:eastAsia="en-US"/>
              </w:rPr>
              <w:t>bn</w:t>
            </w:r>
            <w:proofErr w:type="spellEnd"/>
            <w:r w:rsidRPr="001A0A01">
              <w:rPr>
                <w:lang w:val="en-GB" w:eastAsia="en-US"/>
              </w:rPr>
              <w:t xml:space="preserve"> CZK from new contracts, up by 3.7 </w:t>
            </w:r>
            <w:proofErr w:type="spellStart"/>
            <w:r w:rsidRPr="001A0A01">
              <w:rPr>
                <w:lang w:val="en-GB" w:eastAsia="en-US"/>
              </w:rPr>
              <w:t>bn</w:t>
            </w:r>
            <w:proofErr w:type="spellEnd"/>
            <w:r w:rsidRPr="001A0A01">
              <w:rPr>
                <w:lang w:val="en-GB" w:eastAsia="en-US"/>
              </w:rPr>
              <w:t xml:space="preserve"> CZK, year-on-year, and 2.1 </w:t>
            </w:r>
            <w:proofErr w:type="spellStart"/>
            <w:r w:rsidRPr="001A0A01">
              <w:rPr>
                <w:lang w:val="en-GB" w:eastAsia="en-US"/>
              </w:rPr>
              <w:t>bn</w:t>
            </w:r>
            <w:proofErr w:type="spellEnd"/>
            <w:r w:rsidRPr="001A0A01">
              <w:rPr>
                <w:lang w:val="en-GB" w:eastAsia="en-US"/>
              </w:rPr>
              <w:t xml:space="preserve"> CZK, quarter-on-quarter. Apart from the revival of the mortgage market, it is apparent that credit concluded during the period of peak interest in 2021, when interest rates were significantly lower than at present, have reached the stage of negotiating new fixations.</w:t>
            </w:r>
          </w:p>
        </w:tc>
      </w:tr>
      <w:tr w:rsidR="006F19D3" w:rsidRPr="001A0A01" w14:paraId="267EB4E3" w14:textId="77777777" w:rsidTr="006F19D3">
        <w:trPr>
          <w:trHeight w:val="170"/>
        </w:trPr>
        <w:tc>
          <w:tcPr>
            <w:tcW w:w="1802" w:type="dxa"/>
            <w:vMerge w:val="restart"/>
          </w:tcPr>
          <w:p w14:paraId="527978D8" w14:textId="228ECCCD" w:rsidR="006F19D3" w:rsidRPr="001A0A01" w:rsidRDefault="006F19D3" w:rsidP="006F19D3">
            <w:pPr>
              <w:pStyle w:val="Marginlie"/>
              <w:rPr>
                <w:lang w:val="en-GB" w:eastAsia="en-US"/>
              </w:rPr>
            </w:pPr>
          </w:p>
        </w:tc>
        <w:tc>
          <w:tcPr>
            <w:tcW w:w="229" w:type="dxa"/>
            <w:vMerge w:val="restart"/>
          </w:tcPr>
          <w:p w14:paraId="191DCFA3" w14:textId="77777777" w:rsidR="006F19D3" w:rsidRPr="001A0A01" w:rsidRDefault="006F19D3" w:rsidP="006F19D3">
            <w:pPr>
              <w:pStyle w:val="Textpoznpodarou"/>
              <w:jc w:val="both"/>
              <w:rPr>
                <w:spacing w:val="-4"/>
                <w:lang w:val="en-GB" w:eastAsia="en-US"/>
              </w:rPr>
            </w:pPr>
          </w:p>
        </w:tc>
        <w:tc>
          <w:tcPr>
            <w:tcW w:w="7610" w:type="dxa"/>
          </w:tcPr>
          <w:p w14:paraId="27B35989" w14:textId="5B95F2C1" w:rsidR="006F19D3" w:rsidRPr="001A0A01" w:rsidRDefault="006F19D3" w:rsidP="006F19D3">
            <w:pPr>
              <w:spacing w:after="0"/>
              <w:rPr>
                <w:lang w:val="en-GB" w:eastAsia="en-US"/>
              </w:rPr>
            </w:pPr>
            <w:r w:rsidRPr="001A0A01">
              <w:rPr>
                <w:rFonts w:cs="Arial"/>
                <w:b/>
                <w:bCs/>
                <w:color w:val="000000"/>
                <w:szCs w:val="20"/>
                <w:lang w:val="en-GB" w:eastAsia="en-US"/>
              </w:rPr>
              <w:t xml:space="preserve">Chart 16 </w:t>
            </w:r>
            <w:r w:rsidRPr="001A0A01">
              <w:rPr>
                <w:b/>
                <w:spacing w:val="-4"/>
                <w:szCs w:val="20"/>
                <w:lang w:val="en-GB" w:eastAsia="en-US"/>
              </w:rPr>
              <w:t xml:space="preserve">Market interest rates </w:t>
            </w:r>
            <w:r w:rsidRPr="001A0A01">
              <w:rPr>
                <w:bCs/>
                <w:spacing w:val="-4"/>
                <w:szCs w:val="20"/>
                <w:lang w:val="en-GB" w:eastAsia="en-US"/>
              </w:rPr>
              <w:t>(in %)</w:t>
            </w:r>
          </w:p>
        </w:tc>
      </w:tr>
      <w:tr w:rsidR="006F19D3" w:rsidRPr="001A0A01" w14:paraId="1948EC62" w14:textId="77777777" w:rsidTr="00E551F6">
        <w:trPr>
          <w:trHeight w:val="170"/>
        </w:trPr>
        <w:tc>
          <w:tcPr>
            <w:tcW w:w="1802" w:type="dxa"/>
            <w:vMerge/>
          </w:tcPr>
          <w:p w14:paraId="313BD10B" w14:textId="77777777" w:rsidR="006F19D3" w:rsidRDefault="006F19D3" w:rsidP="006F19D3">
            <w:pPr>
              <w:pStyle w:val="Marginlie"/>
              <w:rPr>
                <w:lang w:val="en-GB" w:eastAsia="en-US"/>
              </w:rPr>
            </w:pPr>
          </w:p>
        </w:tc>
        <w:tc>
          <w:tcPr>
            <w:tcW w:w="229" w:type="dxa"/>
            <w:vMerge/>
          </w:tcPr>
          <w:p w14:paraId="5ECF4DAA" w14:textId="77777777" w:rsidR="006F19D3" w:rsidRPr="001A0A01" w:rsidRDefault="006F19D3" w:rsidP="006F19D3">
            <w:pPr>
              <w:pStyle w:val="Textpoznpodarou"/>
              <w:jc w:val="both"/>
              <w:rPr>
                <w:spacing w:val="-4"/>
                <w:lang w:val="en-GB" w:eastAsia="en-US"/>
              </w:rPr>
            </w:pPr>
          </w:p>
        </w:tc>
        <w:tc>
          <w:tcPr>
            <w:tcW w:w="7610" w:type="dxa"/>
          </w:tcPr>
          <w:p w14:paraId="51E35536" w14:textId="1E715700" w:rsidR="006F19D3" w:rsidRDefault="006F19D3" w:rsidP="006F19D3">
            <w:pPr>
              <w:spacing w:after="0"/>
              <w:rPr>
                <w:lang w:val="en-GB" w:eastAsia="en-US"/>
              </w:rPr>
            </w:pPr>
            <w:r>
              <w:rPr>
                <w:noProof/>
              </w:rPr>
              <w:drawing>
                <wp:inline distT="0" distB="0" distL="0" distR="0" wp14:anchorId="7D235687" wp14:editId="76A85E15">
                  <wp:extent cx="4734425" cy="3420000"/>
                  <wp:effectExtent l="0" t="0" r="0" b="0"/>
                  <wp:docPr id="15" name="Graf 15">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6F19D3" w:rsidRPr="001A0A01" w14:paraId="07F848E5" w14:textId="77777777" w:rsidTr="00E551F6">
        <w:trPr>
          <w:trHeight w:val="170"/>
        </w:trPr>
        <w:tc>
          <w:tcPr>
            <w:tcW w:w="1802" w:type="dxa"/>
            <w:vMerge/>
          </w:tcPr>
          <w:p w14:paraId="1DA1376E" w14:textId="77777777" w:rsidR="006F19D3" w:rsidRDefault="006F19D3" w:rsidP="006F19D3">
            <w:pPr>
              <w:pStyle w:val="Marginlie"/>
              <w:rPr>
                <w:lang w:val="en-GB" w:eastAsia="en-US"/>
              </w:rPr>
            </w:pPr>
          </w:p>
        </w:tc>
        <w:tc>
          <w:tcPr>
            <w:tcW w:w="229" w:type="dxa"/>
            <w:vMerge/>
          </w:tcPr>
          <w:p w14:paraId="4CD849E8" w14:textId="77777777" w:rsidR="006F19D3" w:rsidRPr="001A0A01" w:rsidRDefault="006F19D3" w:rsidP="006F19D3">
            <w:pPr>
              <w:pStyle w:val="Textpoznpodarou"/>
              <w:jc w:val="both"/>
              <w:rPr>
                <w:spacing w:val="-4"/>
                <w:lang w:val="en-GB" w:eastAsia="en-US"/>
              </w:rPr>
            </w:pPr>
          </w:p>
        </w:tc>
        <w:tc>
          <w:tcPr>
            <w:tcW w:w="7610" w:type="dxa"/>
          </w:tcPr>
          <w:p w14:paraId="2098260B" w14:textId="664831B7" w:rsidR="006F19D3" w:rsidRDefault="006F19D3" w:rsidP="006F19D3">
            <w:pPr>
              <w:rPr>
                <w:lang w:val="en-GB" w:eastAsia="en-US"/>
              </w:rPr>
            </w:pPr>
            <w:r w:rsidRPr="001A0A01">
              <w:rPr>
                <w:sz w:val="14"/>
                <w:szCs w:val="14"/>
                <w:lang w:val="en-GB" w:eastAsia="en-US"/>
              </w:rPr>
              <w:t>Source: ARAD, CNB</w:t>
            </w:r>
          </w:p>
        </w:tc>
      </w:tr>
      <w:tr w:rsidR="00E551F6" w:rsidRPr="001A0A01" w14:paraId="7D4E893B" w14:textId="77777777" w:rsidTr="00E551F6">
        <w:trPr>
          <w:trHeight w:val="145"/>
        </w:trPr>
        <w:tc>
          <w:tcPr>
            <w:tcW w:w="1802" w:type="dxa"/>
          </w:tcPr>
          <w:p w14:paraId="6C064EC3" w14:textId="77777777" w:rsidR="00E551F6" w:rsidRPr="001A0A01" w:rsidRDefault="00E551F6" w:rsidP="00E551F6">
            <w:pPr>
              <w:pStyle w:val="Marginlie"/>
              <w:rPr>
                <w:lang w:val="en-GB" w:eastAsia="en-US"/>
              </w:rPr>
            </w:pPr>
            <w:r w:rsidRPr="001A0A01">
              <w:rPr>
                <w:lang w:val="en-GB" w:eastAsia="en-US"/>
              </w:rPr>
              <w:t xml:space="preserve">Interest in foreign currency credit diminished at non-financial businesses. </w:t>
            </w:r>
          </w:p>
        </w:tc>
        <w:tc>
          <w:tcPr>
            <w:tcW w:w="229" w:type="dxa"/>
          </w:tcPr>
          <w:p w14:paraId="49088992" w14:textId="77777777" w:rsidR="00E551F6" w:rsidRPr="001A0A01" w:rsidRDefault="00E551F6" w:rsidP="00E551F6">
            <w:pPr>
              <w:pStyle w:val="Textpoznpodarou"/>
              <w:jc w:val="both"/>
              <w:rPr>
                <w:spacing w:val="-4"/>
                <w:lang w:val="en-GB" w:eastAsia="en-US"/>
              </w:rPr>
            </w:pPr>
          </w:p>
        </w:tc>
        <w:tc>
          <w:tcPr>
            <w:tcW w:w="7610" w:type="dxa"/>
          </w:tcPr>
          <w:p w14:paraId="67929442" w14:textId="77777777" w:rsidR="00E551F6" w:rsidRPr="001A0A01" w:rsidRDefault="00E551F6" w:rsidP="005C159F">
            <w:pPr>
              <w:spacing w:after="0"/>
              <w:rPr>
                <w:lang w:val="en-GB" w:eastAsia="en-US"/>
              </w:rPr>
            </w:pPr>
            <w:bookmarkStart w:id="99" w:name="_Hlk179145127"/>
            <w:r w:rsidRPr="001A0A01">
              <w:rPr>
                <w:lang w:val="en-GB" w:eastAsia="en-US"/>
              </w:rPr>
              <w:t>Interest rates on credit to non-financial businesses fell the most sharply in the category of credit over 30 million CZK (−0.83 p. p. to 6.92%). At the end of June, credit between 7.5 million CZK and 30 million CZK had an average interest rate of 6.96% (−0.68 p.p.) and those up to 7.5 million CZK 6.94% (−0.52 p.p.). The total volume of credit and liabilities of non-financial businesses was 7.2% higher, year on year, at the end of June. The fast growth of credit provided in foreign currency</w:t>
            </w:r>
            <w:r w:rsidRPr="001A0A01">
              <w:rPr>
                <w:rStyle w:val="Znakapoznpodarou"/>
                <w:lang w:val="en-GB" w:eastAsia="en-US"/>
              </w:rPr>
              <w:footnoteReference w:id="83"/>
            </w:r>
            <w:r w:rsidRPr="001A0A01">
              <w:rPr>
                <w:lang w:val="en-GB" w:eastAsia="en-US"/>
              </w:rPr>
              <w:t xml:space="preserve"> slowed down (14.8%) and the year-on-year slump of credit in CZK halted (0.1%). The share of credit denominated in foreign currency to the total volume of credit decreased slightly to 51.7%. At the end of the quarter, the volume of credit increased the most, year-on-year, in information and communication (18.9%), professional, scientific, technical and administrative activities (15.1%), real estate activities (12.3%), financial and insurance activities (12.2%) and in accommodation, food service and restaurants (11.1%). The volume of credit provided in mining and quarrying (−6.1%) and in the generation and distribution of electricity, gas, heat, air, water and wastewater (−5.8%) was lower, year-on-year</w:t>
            </w:r>
            <w:bookmarkStart w:id="100" w:name="_Hlk179147536"/>
            <w:r w:rsidRPr="001A0A01">
              <w:rPr>
                <w:lang w:val="en-GB" w:eastAsia="en-US"/>
              </w:rPr>
              <w:t xml:space="preserve">.  </w:t>
            </w:r>
            <w:bookmarkEnd w:id="99"/>
            <w:bookmarkEnd w:id="100"/>
          </w:p>
        </w:tc>
      </w:tr>
    </w:tbl>
    <w:p w14:paraId="29CA66D7" w14:textId="5792DC48" w:rsidR="00E551F6" w:rsidRPr="001A0A01" w:rsidRDefault="002F39EC" w:rsidP="005C159F">
      <w:pPr>
        <w:pStyle w:val="Nadpis1"/>
        <w:rPr>
          <w:lang w:val="en-GB"/>
        </w:rPr>
      </w:pPr>
      <w:r>
        <w:rPr>
          <w:szCs w:val="32"/>
          <w:lang w:val="en-GB"/>
        </w:rPr>
        <w:br w:type="page"/>
      </w:r>
      <w:bookmarkStart w:id="101" w:name="_Toc179774112"/>
      <w:r w:rsidR="00E551F6" w:rsidRPr="001A0A01">
        <w:rPr>
          <w:szCs w:val="32"/>
          <w:lang w:val="en-GB"/>
        </w:rPr>
        <w:lastRenderedPageBreak/>
        <w:t>8</w:t>
      </w:r>
      <w:r w:rsidR="00E551F6" w:rsidRPr="001A0A01">
        <w:rPr>
          <w:lang w:val="en-GB"/>
        </w:rPr>
        <w:t>. State Budget</w:t>
      </w:r>
      <w:bookmarkEnd w:id="101"/>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E551F6" w:rsidRPr="001A0A01" w14:paraId="130E0C87" w14:textId="77777777" w:rsidTr="00E551F6">
        <w:trPr>
          <w:trHeight w:val="60"/>
        </w:trPr>
        <w:tc>
          <w:tcPr>
            <w:tcW w:w="1810" w:type="dxa"/>
            <w:shd w:val="clear" w:color="auto" w:fill="auto"/>
            <w:tcMar>
              <w:left w:w="0" w:type="dxa"/>
            </w:tcMar>
          </w:tcPr>
          <w:p w14:paraId="54D81A79" w14:textId="77777777" w:rsidR="00E551F6" w:rsidRPr="001A0A01" w:rsidRDefault="00E551F6" w:rsidP="00E551F6">
            <w:pPr>
              <w:pStyle w:val="Marginlie"/>
              <w:rPr>
                <w:lang w:val="en-GB"/>
              </w:rPr>
            </w:pPr>
            <w:r w:rsidRPr="001A0A01">
              <w:rPr>
                <w:lang w:val="en-GB"/>
              </w:rPr>
              <w:t xml:space="preserve">The deep budget deficit persisted for the fifth year in a row. Thanks to the lower need for extraordinary expenditure, the deficit decreased slightly, year-on-year. </w:t>
            </w:r>
          </w:p>
        </w:tc>
        <w:tc>
          <w:tcPr>
            <w:tcW w:w="203" w:type="dxa"/>
            <w:shd w:val="clear" w:color="auto" w:fill="auto"/>
            <w:tcMar>
              <w:left w:w="0" w:type="dxa"/>
            </w:tcMar>
          </w:tcPr>
          <w:p w14:paraId="017C8208"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209519DE" w14:textId="77777777" w:rsidR="00E551F6" w:rsidRPr="001A0A01" w:rsidRDefault="00E551F6" w:rsidP="00E551F6">
            <w:pPr>
              <w:spacing w:after="200"/>
              <w:rPr>
                <w:spacing w:val="-4"/>
                <w:lang w:val="en-GB"/>
              </w:rPr>
            </w:pPr>
            <w:bookmarkStart w:id="102" w:name="_Hlk179150759"/>
            <w:r w:rsidRPr="001A0A01">
              <w:rPr>
                <w:spacing w:val="-4"/>
                <w:lang w:val="en-GB"/>
              </w:rPr>
              <w:t>The Czech Republic state budget (SB)</w:t>
            </w:r>
            <w:r w:rsidRPr="001A0A01">
              <w:rPr>
                <w:rStyle w:val="Znakapoznpodarou"/>
                <w:spacing w:val="-4"/>
                <w:lang w:val="en-GB"/>
              </w:rPr>
              <w:footnoteReference w:id="84"/>
            </w:r>
            <w:r w:rsidRPr="001A0A01">
              <w:rPr>
                <w:spacing w:val="-4"/>
                <w:lang w:val="en-GB"/>
              </w:rPr>
              <w:t xml:space="preserve"> performance resulted in a deficit of 178.6 </w:t>
            </w:r>
            <w:proofErr w:type="spellStart"/>
            <w:r w:rsidRPr="001A0A01">
              <w:rPr>
                <w:spacing w:val="-4"/>
                <w:lang w:val="en-GB"/>
              </w:rPr>
              <w:t>bn</w:t>
            </w:r>
            <w:proofErr w:type="spellEnd"/>
            <w:r w:rsidRPr="001A0A01">
              <w:rPr>
                <w:spacing w:val="-4"/>
                <w:lang w:val="en-GB"/>
              </w:rPr>
              <w:t xml:space="preserve"> CZK</w:t>
            </w:r>
            <w:r w:rsidRPr="001A0A01">
              <w:rPr>
                <w:rStyle w:val="Znakapoznpodarou"/>
                <w:spacing w:val="-4"/>
                <w:lang w:val="en-GB"/>
              </w:rPr>
              <w:footnoteReference w:id="85"/>
            </w:r>
            <w:r w:rsidRPr="001A0A01">
              <w:rPr>
                <w:spacing w:val="-4"/>
                <w:lang w:val="en-GB"/>
              </w:rPr>
              <w:t xml:space="preserve"> at the end of H1 2024. The deep deficit weighed down on state finances for the fifth time in a row during this period of the year, however this year's deficit was the lowest in this comparison and fell by 37 </w:t>
            </w:r>
            <w:proofErr w:type="spellStart"/>
            <w:r w:rsidRPr="001A0A01">
              <w:rPr>
                <w:spacing w:val="-4"/>
                <w:lang w:val="en-GB"/>
              </w:rPr>
              <w:t>bn</w:t>
            </w:r>
            <w:proofErr w:type="spellEnd"/>
            <w:r w:rsidRPr="001A0A01">
              <w:rPr>
                <w:spacing w:val="-4"/>
                <w:lang w:val="en-GB"/>
              </w:rPr>
              <w:t xml:space="preserve"> CZK, year-on-year</w:t>
            </w:r>
            <w:r w:rsidRPr="001A0A01">
              <w:rPr>
                <w:rStyle w:val="Znakapoznpodarou"/>
                <w:spacing w:val="-4"/>
                <w:lang w:val="en-GB"/>
              </w:rPr>
              <w:footnoteReference w:id="86"/>
            </w:r>
            <w:r w:rsidRPr="001A0A01">
              <w:rPr>
                <w:spacing w:val="-4"/>
                <w:lang w:val="en-GB"/>
              </w:rPr>
              <w:t xml:space="preserve">. This is mainly related to the subsiding of the need for extraordinary expenditure for households as well as companies hit by the effects of high inflation. It still also affects the revenue side of the budget, including the extraordinary taxes temporarily imposed on selected sectors of the economy. In addition, the positive effects of the moderately recovering household consumption are slowly starting to manifest thanks to their improving financial situation and overall confidence in the economy. Apart from that, the first effects of the approved consolidation package to restore public finances can be traced in the collection of some income taxes already at the beginning of the year (e.g. an increase of the collection of some consumption taxes due to the frontloading motivated by the imminent increase of the tax rate). </w:t>
            </w:r>
            <w:bookmarkEnd w:id="102"/>
            <w:r w:rsidRPr="001A0A01">
              <w:rPr>
                <w:spacing w:val="-4"/>
                <w:lang w:val="en-GB"/>
              </w:rPr>
              <w:t>The legislative changes are also related to a change in the budgetary allocation of taxes, which increases the share of the revenue of some weight-significant taxes in favour of the SB from January 2024</w:t>
            </w:r>
            <w:r w:rsidRPr="001A0A01">
              <w:rPr>
                <w:rStyle w:val="Znakapoznpodarou"/>
                <w:spacing w:val="-4"/>
                <w:lang w:val="en-GB"/>
              </w:rPr>
              <w:footnoteReference w:id="87"/>
            </w:r>
            <w:r w:rsidRPr="001A0A01">
              <w:rPr>
                <w:spacing w:val="-4"/>
                <w:lang w:val="en-GB"/>
              </w:rPr>
              <w:t>.</w:t>
            </w:r>
          </w:p>
        </w:tc>
      </w:tr>
      <w:tr w:rsidR="00E551F6" w:rsidRPr="001A0A01" w14:paraId="0F504200" w14:textId="77777777" w:rsidTr="00E551F6">
        <w:trPr>
          <w:trHeight w:val="60"/>
        </w:trPr>
        <w:tc>
          <w:tcPr>
            <w:tcW w:w="1810" w:type="dxa"/>
            <w:shd w:val="clear" w:color="auto" w:fill="auto"/>
            <w:tcMar>
              <w:left w:w="0" w:type="dxa"/>
            </w:tcMar>
          </w:tcPr>
          <w:p w14:paraId="1D0362D6" w14:textId="77777777" w:rsidR="00E551F6" w:rsidRPr="001A0A01" w:rsidRDefault="00E551F6" w:rsidP="00E551F6">
            <w:pPr>
              <w:pStyle w:val="Marginlie"/>
              <w:rPr>
                <w:lang w:val="en-GB"/>
              </w:rPr>
            </w:pPr>
            <w:r w:rsidRPr="001A0A01">
              <w:rPr>
                <w:lang w:val="en-GB"/>
              </w:rPr>
              <w:t>Higher tax collection as well as collection of social security premiums contributed to the total revenue growth.</w:t>
            </w:r>
          </w:p>
        </w:tc>
        <w:tc>
          <w:tcPr>
            <w:tcW w:w="203" w:type="dxa"/>
            <w:shd w:val="clear" w:color="auto" w:fill="auto"/>
            <w:tcMar>
              <w:left w:w="0" w:type="dxa"/>
            </w:tcMar>
          </w:tcPr>
          <w:p w14:paraId="25F36806"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05EA79D3" w14:textId="06F88F08" w:rsidR="00E551F6" w:rsidRPr="001A0A01" w:rsidRDefault="00E551F6" w:rsidP="00E551F6">
            <w:pPr>
              <w:rPr>
                <w:color w:val="0D0D0D" w:themeColor="text1" w:themeTint="F2"/>
                <w:spacing w:val="-4"/>
                <w:lang w:val="en-GB"/>
              </w:rPr>
            </w:pPr>
            <w:r w:rsidRPr="001A0A01">
              <w:rPr>
                <w:color w:val="0D0D0D" w:themeColor="text1" w:themeTint="F2"/>
                <w:spacing w:val="-4"/>
                <w:lang w:val="en-GB"/>
              </w:rPr>
              <w:t xml:space="preserve">The total SB revenues increased by 4.2%, year-on-year, in H1 and have so far exceeded the anticipated annual rate (+1.4%). Higher tax collection (+36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and revenues from the mandatory social security insurance</w:t>
            </w:r>
            <w:r w:rsidRPr="001A0A01">
              <w:rPr>
                <w:rStyle w:val="Znakapoznpodarou"/>
                <w:spacing w:val="-4"/>
                <w:lang w:val="en-GB"/>
              </w:rPr>
              <w:footnoteReference w:id="88"/>
            </w:r>
            <w:r w:rsidRPr="001A0A01">
              <w:rPr>
                <w:color w:val="0D0D0D" w:themeColor="text1" w:themeTint="F2"/>
                <w:spacing w:val="-4"/>
                <w:lang w:val="en-GB"/>
              </w:rPr>
              <w:t xml:space="preserve"> (+30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contributed the most to the growth. State-wide tax collection (taking into account revenues at the level of all public budgets) increased by 7.7% and its pace slowed down for the second year in a row. While mainly the collection of corporate tax and also VAT stood behind its growth in years 2021 till 2023, other incomes appear to be the most important growth factor so far this year. These are driven primarily by extraordinary revenues temporarily introduced to regulate the unstable development on the energy price market (windfall tax). This also reflects the growth of the real estate tax collection (+7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w:t>
            </w:r>
            <w:r w:rsidRPr="001A0A01">
              <w:rPr>
                <w:rStyle w:val="Znakapoznpodarou"/>
                <w:color w:val="0D0D0D" w:themeColor="text1" w:themeTint="F2"/>
                <w:spacing w:val="-4"/>
                <w:lang w:val="en-GB"/>
              </w:rPr>
              <w:footnoteReference w:id="89"/>
            </w:r>
            <w:r w:rsidRPr="001A0A01">
              <w:rPr>
                <w:color w:val="0D0D0D" w:themeColor="text1" w:themeTint="F2"/>
                <w:spacing w:val="-4"/>
                <w:lang w:val="en-GB"/>
              </w:rPr>
              <w:t xml:space="preserve"> related to the increase of statutory rates (+80%) and the collection of gambling tax was also higher due to legislative changes. State-wide tax collection (excluding extraordinary revenues) increased by 7%, year-on-year, in H1 (but by 10.3% in the same period last year). Mandatory insurance income increased by 9.0% (of which by 9.9% in Q2 2024). Not only the current recovery of the labour market </w:t>
            </w:r>
            <w:r w:rsidR="00F77810">
              <w:rPr>
                <w:color w:val="0D0D0D" w:themeColor="text1" w:themeTint="F2"/>
                <w:spacing w:val="-4"/>
                <w:lang w:val="en-GB"/>
              </w:rPr>
              <w:t>(</w:t>
            </w:r>
            <w:r w:rsidRPr="001A0A01">
              <w:rPr>
                <w:color w:val="0D0D0D" w:themeColor="text1" w:themeTint="F2"/>
                <w:spacing w:val="-4"/>
                <w:lang w:val="en-GB"/>
              </w:rPr>
              <w:t>due to a slightly improved economic performance</w:t>
            </w:r>
            <w:r w:rsidR="00F77810">
              <w:rPr>
                <w:color w:val="0D0D0D" w:themeColor="text1" w:themeTint="F2"/>
                <w:spacing w:val="-4"/>
                <w:lang w:val="en-GB"/>
              </w:rPr>
              <w:t>)</w:t>
            </w:r>
            <w:r w:rsidRPr="001A0A01">
              <w:rPr>
                <w:color w:val="0D0D0D" w:themeColor="text1" w:themeTint="F2"/>
                <w:spacing w:val="-4"/>
                <w:lang w:val="en-GB"/>
              </w:rPr>
              <w:t>, but also the impacts of legislative changes</w:t>
            </w:r>
            <w:r w:rsidRPr="001A0A01">
              <w:rPr>
                <w:rStyle w:val="Znakapoznpodarou"/>
                <w:spacing w:val="-4"/>
                <w:lang w:val="en-GB"/>
              </w:rPr>
              <w:footnoteReference w:id="90"/>
            </w:r>
            <w:r w:rsidRPr="001A0A01">
              <w:rPr>
                <w:color w:val="0D0D0D" w:themeColor="text1" w:themeTint="F2"/>
                <w:spacing w:val="-4"/>
                <w:lang w:val="en-GB"/>
              </w:rPr>
              <w:t xml:space="preserve"> had an effect here. </w:t>
            </w:r>
          </w:p>
        </w:tc>
      </w:tr>
      <w:tr w:rsidR="00E551F6" w:rsidRPr="001A0A01" w14:paraId="341306D4" w14:textId="77777777" w:rsidTr="00E551F6">
        <w:trPr>
          <w:trHeight w:val="60"/>
        </w:trPr>
        <w:tc>
          <w:tcPr>
            <w:tcW w:w="1810" w:type="dxa"/>
            <w:shd w:val="clear" w:color="auto" w:fill="auto"/>
            <w:tcMar>
              <w:left w:w="0" w:type="dxa"/>
            </w:tcMar>
          </w:tcPr>
          <w:p w14:paraId="1500A786" w14:textId="77777777" w:rsidR="00E551F6" w:rsidRPr="001A0A01" w:rsidRDefault="00E551F6" w:rsidP="00E551F6">
            <w:pPr>
              <w:pStyle w:val="Marginlie"/>
              <w:rPr>
                <w:lang w:val="en-GB"/>
              </w:rPr>
            </w:pPr>
            <w:r w:rsidRPr="001A0A01">
              <w:rPr>
                <w:lang w:val="en-GB"/>
              </w:rPr>
              <w:t xml:space="preserve">Despite recovering household consumption, the growth rate of VAT collection slowed down and did not fully meet the budget anticipations in the </w:t>
            </w:r>
            <w:r w:rsidRPr="001A0A01">
              <w:rPr>
                <w:lang w:val="en-GB"/>
              </w:rPr>
              <w:lastRenderedPageBreak/>
              <w:t>middle of the year similarly to the last year.</w:t>
            </w:r>
          </w:p>
        </w:tc>
        <w:tc>
          <w:tcPr>
            <w:tcW w:w="203" w:type="dxa"/>
            <w:shd w:val="clear" w:color="auto" w:fill="auto"/>
            <w:tcMar>
              <w:left w:w="0" w:type="dxa"/>
            </w:tcMar>
          </w:tcPr>
          <w:p w14:paraId="55276D46"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6497F15A" w14:textId="77777777" w:rsidR="00E551F6" w:rsidRPr="001A0A01" w:rsidRDefault="00E551F6" w:rsidP="00E551F6">
            <w:pPr>
              <w:rPr>
                <w:spacing w:val="-4"/>
                <w:lang w:val="en-GB"/>
              </w:rPr>
            </w:pPr>
            <w:r w:rsidRPr="001A0A01">
              <w:rPr>
                <w:spacing w:val="-4"/>
                <w:lang w:val="en-GB"/>
              </w:rPr>
              <w:t xml:space="preserve">The SB gained 4.8% more on the weight-dominant tax – VAT – in H1 (+8.3 </w:t>
            </w:r>
            <w:proofErr w:type="spellStart"/>
            <w:r w:rsidRPr="001A0A01">
              <w:rPr>
                <w:spacing w:val="-4"/>
                <w:lang w:val="en-GB"/>
              </w:rPr>
              <w:t>bn</w:t>
            </w:r>
            <w:proofErr w:type="spellEnd"/>
            <w:r w:rsidRPr="001A0A01">
              <w:rPr>
                <w:spacing w:val="-4"/>
                <w:lang w:val="en-GB"/>
              </w:rPr>
              <w:t xml:space="preserve"> CZK, year-on-year). The growth rate lagged slightly behind the budget plan, albeit less significantly than last year. The growth attained 3.1% at the level of all public budgets (in that it only stagnated in Q2 2024), i.e. one half compared to the same period last year. The pace slowdown reflects the stabilisation of the price level in the economy. The slowly recovering </w:t>
            </w:r>
            <w:r w:rsidRPr="001A0A01">
              <w:rPr>
                <w:spacing w:val="-4"/>
                <w:lang w:val="en-GB"/>
              </w:rPr>
              <w:lastRenderedPageBreak/>
              <w:t>household consumption</w:t>
            </w:r>
            <w:r w:rsidRPr="001A0A01">
              <w:rPr>
                <w:rStyle w:val="Znakapoznpodarou"/>
                <w:spacing w:val="-4"/>
                <w:lang w:val="en-GB"/>
              </w:rPr>
              <w:footnoteReference w:id="91"/>
            </w:r>
            <w:r w:rsidRPr="001A0A01">
              <w:rPr>
                <w:spacing w:val="-4"/>
                <w:lang w:val="en-GB"/>
              </w:rPr>
              <w:t xml:space="preserve"> is gradually positively mirrored in the collection. In addition, the impacts of the tax rate adjustment</w:t>
            </w:r>
            <w:r w:rsidRPr="001A0A01">
              <w:rPr>
                <w:rStyle w:val="Znakapoznpodarou"/>
                <w:spacing w:val="-4"/>
                <w:lang w:val="en-GB"/>
              </w:rPr>
              <w:footnoteReference w:id="92"/>
            </w:r>
            <w:r w:rsidRPr="001A0A01">
              <w:rPr>
                <w:spacing w:val="-4"/>
                <w:lang w:val="en-GB"/>
              </w:rPr>
              <w:t xml:space="preserve"> in relation to the effectiveness of the consolidation package have started to manifest since the beginning of the year.  </w:t>
            </w:r>
          </w:p>
        </w:tc>
      </w:tr>
      <w:tr w:rsidR="00E551F6" w:rsidRPr="001A0A01" w14:paraId="7CD86F6A" w14:textId="77777777" w:rsidTr="00E551F6">
        <w:trPr>
          <w:trHeight w:val="60"/>
        </w:trPr>
        <w:tc>
          <w:tcPr>
            <w:tcW w:w="1810" w:type="dxa"/>
            <w:shd w:val="clear" w:color="auto" w:fill="auto"/>
            <w:tcMar>
              <w:left w:w="0" w:type="dxa"/>
            </w:tcMar>
          </w:tcPr>
          <w:p w14:paraId="58F9B387" w14:textId="77777777" w:rsidR="00E551F6" w:rsidRPr="001A0A01" w:rsidRDefault="00E551F6" w:rsidP="00E551F6">
            <w:pPr>
              <w:jc w:val="left"/>
              <w:rPr>
                <w:lang w:val="en-GB"/>
              </w:rPr>
            </w:pPr>
            <w:r w:rsidRPr="001A0A01">
              <w:rPr>
                <w:spacing w:val="-2"/>
                <w:sz w:val="16"/>
                <w:szCs w:val="16"/>
                <w:lang w:val="en-GB"/>
              </w:rPr>
              <w:lastRenderedPageBreak/>
              <w:t>The rapid growth of consumer tax collection was primarily connected to an increase in the rate on key products.</w:t>
            </w:r>
          </w:p>
        </w:tc>
        <w:tc>
          <w:tcPr>
            <w:tcW w:w="203" w:type="dxa"/>
            <w:shd w:val="clear" w:color="auto" w:fill="auto"/>
            <w:tcMar>
              <w:left w:w="0" w:type="dxa"/>
            </w:tcMar>
          </w:tcPr>
          <w:p w14:paraId="7E692AF0"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23A144C8" w14:textId="77777777" w:rsidR="00E551F6" w:rsidRPr="001A0A01" w:rsidRDefault="00E551F6" w:rsidP="00E551F6">
            <w:pPr>
              <w:spacing w:after="200"/>
              <w:rPr>
                <w:spacing w:val="-4"/>
                <w:lang w:val="en-GB"/>
              </w:rPr>
            </w:pPr>
            <w:r w:rsidRPr="001A0A01">
              <w:rPr>
                <w:spacing w:val="-4"/>
                <w:szCs w:val="20"/>
                <w:lang w:val="en-GB"/>
              </w:rPr>
              <w:t>Consumer tax collection (including energy tax) increased by 9.8%, year-on-year, in H1 and has so far lagged slightly behind budget anticipations. The pace of collection slowed slightly in Q2, as the effect of a temporary surge in demand caused by frontloading due to a rise in the tax rate (alcohol) evaporated for some items. However, the total development of half-year collection was the most affected by the key tax on mineral oils, the collection of which grew (+15.8%), mainly due to the return of the diesel tax rate to the level before the energy crisis erupted</w:t>
            </w:r>
            <w:r w:rsidRPr="001A0A01">
              <w:rPr>
                <w:rStyle w:val="Znakapoznpodarou"/>
                <w:color w:val="0D0D0D" w:themeColor="text1" w:themeTint="F2"/>
                <w:spacing w:val="-5"/>
                <w:lang w:val="en-GB"/>
              </w:rPr>
              <w:footnoteReference w:id="93"/>
            </w:r>
            <w:r w:rsidRPr="001A0A01">
              <w:rPr>
                <w:spacing w:val="-4"/>
                <w:szCs w:val="20"/>
                <w:lang w:val="en-GB"/>
              </w:rPr>
              <w:t xml:space="preserve">. A mild increase of the tobacco products tax collection continued (+5.1%), reflecting a further increase in the rate as well as the expansion of the range of taxed products (newly e-cigarette refills, </w:t>
            </w:r>
            <w:proofErr w:type="spellStart"/>
            <w:r w:rsidRPr="001A0A01">
              <w:rPr>
                <w:spacing w:val="-4"/>
                <w:szCs w:val="20"/>
                <w:lang w:val="en-GB"/>
              </w:rPr>
              <w:t>nicopods</w:t>
            </w:r>
            <w:proofErr w:type="spellEnd"/>
            <w:r w:rsidRPr="001A0A01">
              <w:rPr>
                <w:spacing w:val="-4"/>
                <w:szCs w:val="20"/>
                <w:lang w:val="en-GB"/>
              </w:rPr>
              <w:t xml:space="preserve">). </w:t>
            </w:r>
            <w:r w:rsidRPr="001A0A01">
              <w:rPr>
                <w:spacing w:val="-5"/>
                <w:lang w:val="en-GB"/>
              </w:rPr>
              <w:t xml:space="preserve"> </w:t>
            </w:r>
          </w:p>
        </w:tc>
      </w:tr>
      <w:tr w:rsidR="00E551F6" w:rsidRPr="001A0A01" w14:paraId="05A0EB84" w14:textId="77777777" w:rsidTr="00E551F6">
        <w:trPr>
          <w:trHeight w:val="60"/>
        </w:trPr>
        <w:tc>
          <w:tcPr>
            <w:tcW w:w="1810" w:type="dxa"/>
            <w:shd w:val="clear" w:color="auto" w:fill="auto"/>
            <w:tcMar>
              <w:left w:w="0" w:type="dxa"/>
            </w:tcMar>
          </w:tcPr>
          <w:p w14:paraId="16372FA5" w14:textId="77777777" w:rsidR="00E551F6" w:rsidRPr="001A0A01" w:rsidRDefault="00E551F6" w:rsidP="00E551F6">
            <w:pPr>
              <w:pStyle w:val="Marginlie"/>
              <w:rPr>
                <w:lang w:val="en-GB"/>
              </w:rPr>
            </w:pPr>
            <w:r w:rsidRPr="001A0A01">
              <w:rPr>
                <w:lang w:val="en-GB"/>
              </w:rPr>
              <w:t xml:space="preserve">The growth of collection of regular corporate tax nearly halted. On the contrary, 5 </w:t>
            </w:r>
            <w:proofErr w:type="spellStart"/>
            <w:r w:rsidRPr="001A0A01">
              <w:rPr>
                <w:lang w:val="en-GB"/>
              </w:rPr>
              <w:t>bn</w:t>
            </w:r>
            <w:proofErr w:type="spellEnd"/>
            <w:r w:rsidRPr="001A0A01">
              <w:rPr>
                <w:lang w:val="en-GB"/>
              </w:rPr>
              <w:t xml:space="preserve"> CZK more was collected, year-on-year, on extraordinary corporate taxes in H1. </w:t>
            </w:r>
          </w:p>
        </w:tc>
        <w:tc>
          <w:tcPr>
            <w:tcW w:w="203" w:type="dxa"/>
            <w:shd w:val="clear" w:color="auto" w:fill="auto"/>
            <w:tcMar>
              <w:left w:w="0" w:type="dxa"/>
            </w:tcMar>
          </w:tcPr>
          <w:p w14:paraId="5E2B836A" w14:textId="77777777" w:rsidR="00E551F6" w:rsidRPr="001A0A01" w:rsidRDefault="00E551F6" w:rsidP="00E551F6">
            <w:pPr>
              <w:pStyle w:val="Textpoznpodarou"/>
              <w:jc w:val="both"/>
              <w:rPr>
                <w:spacing w:val="-4"/>
                <w:lang w:val="en-GB"/>
              </w:rPr>
            </w:pPr>
          </w:p>
        </w:tc>
        <w:tc>
          <w:tcPr>
            <w:tcW w:w="7656" w:type="dxa"/>
            <w:shd w:val="clear" w:color="auto" w:fill="auto"/>
            <w:tcMar>
              <w:left w:w="0" w:type="dxa"/>
            </w:tcMar>
          </w:tcPr>
          <w:p w14:paraId="465D555F" w14:textId="77777777" w:rsidR="00E551F6" w:rsidRPr="001A0A01" w:rsidRDefault="00E551F6" w:rsidP="00E551F6">
            <w:pPr>
              <w:spacing w:after="200"/>
              <w:rPr>
                <w:spacing w:val="-4"/>
                <w:lang w:val="en-GB"/>
              </w:rPr>
            </w:pPr>
            <w:r w:rsidRPr="001A0A01">
              <w:rPr>
                <w:color w:val="0D0D0D" w:themeColor="text1" w:themeTint="F2"/>
                <w:spacing w:val="-4"/>
                <w:szCs w:val="20"/>
                <w:lang w:val="en-GB"/>
              </w:rPr>
              <w:t>State-wide corporate tax collection (excluding extraordinary taxes) slowed down noticeably after double-digit growth in the previous three years in line with budget anticipations in H1 2024 (to 1.4%, and collection was even only stagnant at the SB level). In addition to the flow of regular corporate tax revenues, the irregular revenues also continued this year. The collection of windfall tax</w:t>
            </w:r>
            <w:r w:rsidRPr="001A0A01">
              <w:rPr>
                <w:rStyle w:val="Znakapoznpodarou"/>
                <w:spacing w:val="-4"/>
                <w:lang w:val="en-GB"/>
              </w:rPr>
              <w:footnoteReference w:id="94"/>
            </w:r>
            <w:r w:rsidRPr="001A0A01">
              <w:rPr>
                <w:spacing w:val="-4"/>
                <w:lang w:val="en-GB"/>
              </w:rPr>
              <w:t xml:space="preserve"> </w:t>
            </w:r>
            <w:r w:rsidRPr="001A0A01">
              <w:rPr>
                <w:color w:val="0D0D0D" w:themeColor="text1" w:themeTint="F2"/>
                <w:spacing w:val="-4"/>
                <w:szCs w:val="20"/>
                <w:lang w:val="en-GB"/>
              </w:rPr>
              <w:t xml:space="preserve">has reached 18.2 </w:t>
            </w:r>
            <w:proofErr w:type="spellStart"/>
            <w:r w:rsidRPr="001A0A01">
              <w:rPr>
                <w:color w:val="0D0D0D" w:themeColor="text1" w:themeTint="F2"/>
                <w:spacing w:val="-4"/>
                <w:szCs w:val="20"/>
                <w:lang w:val="en-GB"/>
              </w:rPr>
              <w:t>bn</w:t>
            </w:r>
            <w:proofErr w:type="spellEnd"/>
            <w:r w:rsidRPr="001A0A01">
              <w:rPr>
                <w:color w:val="0D0D0D" w:themeColor="text1" w:themeTint="F2"/>
                <w:spacing w:val="-4"/>
                <w:szCs w:val="20"/>
                <w:lang w:val="en-GB"/>
              </w:rPr>
              <w:t xml:space="preserve"> CZK thanks to two quarterly advance payments so far this year (due to levies in H2 2023, the SB acquired 39.1 </w:t>
            </w:r>
            <w:proofErr w:type="spellStart"/>
            <w:r w:rsidRPr="001A0A01">
              <w:rPr>
                <w:color w:val="0D0D0D" w:themeColor="text1" w:themeTint="F2"/>
                <w:spacing w:val="-4"/>
                <w:szCs w:val="20"/>
                <w:lang w:val="en-GB"/>
              </w:rPr>
              <w:t>bn</w:t>
            </w:r>
            <w:proofErr w:type="spellEnd"/>
            <w:r w:rsidRPr="001A0A01">
              <w:rPr>
                <w:color w:val="0D0D0D" w:themeColor="text1" w:themeTint="F2"/>
                <w:spacing w:val="-4"/>
                <w:szCs w:val="20"/>
                <w:lang w:val="en-GB"/>
              </w:rPr>
              <w:t xml:space="preserve"> CZK in advances for the whole last year, substantially less than the original MF estimate). Budget anticipations have been significantly reduced for this tax this year and so already the current half-year collection fulfilled the annual plan. Unlike last year, the SB practically no longer counts on revenues from excess income tax</w:t>
            </w:r>
            <w:r w:rsidRPr="001A0A01">
              <w:rPr>
                <w:rStyle w:val="Znakapoznpodarou"/>
                <w:spacing w:val="-4"/>
                <w:lang w:val="en-GB"/>
              </w:rPr>
              <w:footnoteReference w:id="95"/>
            </w:r>
            <w:r w:rsidRPr="001A0A01">
              <w:rPr>
                <w:color w:val="0D0D0D" w:themeColor="text1" w:themeTint="F2"/>
                <w:spacing w:val="-4"/>
                <w:szCs w:val="20"/>
                <w:lang w:val="en-GB"/>
              </w:rPr>
              <w:t xml:space="preserve">, from which it received 18.5 </w:t>
            </w:r>
            <w:proofErr w:type="spellStart"/>
            <w:r w:rsidRPr="001A0A01">
              <w:rPr>
                <w:color w:val="0D0D0D" w:themeColor="text1" w:themeTint="F2"/>
                <w:spacing w:val="-4"/>
                <w:szCs w:val="20"/>
                <w:lang w:val="en-GB"/>
              </w:rPr>
              <w:t>bn</w:t>
            </w:r>
            <w:proofErr w:type="spellEnd"/>
            <w:r w:rsidRPr="001A0A01">
              <w:rPr>
                <w:color w:val="0D0D0D" w:themeColor="text1" w:themeTint="F2"/>
                <w:spacing w:val="-4"/>
                <w:szCs w:val="20"/>
                <w:lang w:val="en-GB"/>
              </w:rPr>
              <w:t xml:space="preserve"> CZK for the whole year (in that 12.8 </w:t>
            </w:r>
            <w:proofErr w:type="spellStart"/>
            <w:r w:rsidRPr="001A0A01">
              <w:rPr>
                <w:color w:val="0D0D0D" w:themeColor="text1" w:themeTint="F2"/>
                <w:spacing w:val="-4"/>
                <w:szCs w:val="20"/>
                <w:lang w:val="en-GB"/>
              </w:rPr>
              <w:t>bn</w:t>
            </w:r>
            <w:proofErr w:type="spellEnd"/>
            <w:r w:rsidRPr="001A0A01">
              <w:rPr>
                <w:color w:val="0D0D0D" w:themeColor="text1" w:themeTint="F2"/>
                <w:spacing w:val="-4"/>
                <w:szCs w:val="20"/>
                <w:lang w:val="en-GB"/>
              </w:rPr>
              <w:t xml:space="preserve"> CZK in H1). </w:t>
            </w:r>
            <w:r w:rsidRPr="001A0A01">
              <w:rPr>
                <w:spacing w:val="-4"/>
                <w:lang w:val="en-GB"/>
              </w:rPr>
              <w:t xml:space="preserve"> </w:t>
            </w:r>
          </w:p>
        </w:tc>
      </w:tr>
      <w:tr w:rsidR="00922D58" w:rsidRPr="001A0A01" w14:paraId="7E10DC57" w14:textId="77777777" w:rsidTr="00E551F6">
        <w:trPr>
          <w:trHeight w:val="60"/>
        </w:trPr>
        <w:tc>
          <w:tcPr>
            <w:tcW w:w="1810" w:type="dxa"/>
            <w:shd w:val="clear" w:color="auto" w:fill="auto"/>
            <w:tcMar>
              <w:left w:w="0" w:type="dxa"/>
            </w:tcMar>
          </w:tcPr>
          <w:p w14:paraId="6549E74D" w14:textId="3F6F35FF" w:rsidR="00922D58" w:rsidRPr="001A0A01" w:rsidRDefault="00922D58" w:rsidP="00922D58">
            <w:pPr>
              <w:pStyle w:val="Marginlie"/>
              <w:rPr>
                <w:lang w:val="en-GB"/>
              </w:rPr>
            </w:pPr>
            <w:r w:rsidRPr="001A0A01">
              <w:rPr>
                <w:lang w:val="en-GB"/>
              </w:rPr>
              <w:t>The rapid growth of the tax on dependent activities of natural persons reflected the good condition of the labour market as well as legislative changes approved as part of the consolidation of public finances.</w:t>
            </w:r>
          </w:p>
        </w:tc>
        <w:tc>
          <w:tcPr>
            <w:tcW w:w="203" w:type="dxa"/>
            <w:shd w:val="clear" w:color="auto" w:fill="auto"/>
            <w:tcMar>
              <w:left w:w="0" w:type="dxa"/>
            </w:tcMar>
          </w:tcPr>
          <w:p w14:paraId="5F3B6CD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05CBFF61" w14:textId="28774DA8" w:rsidR="00922D58" w:rsidRPr="001A0A01" w:rsidRDefault="00922D58" w:rsidP="00922D58">
            <w:pPr>
              <w:spacing w:after="200"/>
              <w:rPr>
                <w:color w:val="0D0D0D" w:themeColor="text1" w:themeTint="F2"/>
                <w:spacing w:val="-4"/>
                <w:szCs w:val="20"/>
                <w:lang w:val="en-GB"/>
              </w:rPr>
            </w:pPr>
            <w:r w:rsidRPr="001A0A01">
              <w:rPr>
                <w:spacing w:val="-4"/>
                <w:lang w:val="en-GB"/>
              </w:rPr>
              <w:t>The SB received 18.0% more, year-on-year, from income tax of natural persons (ITNP) in H1, the growth rate is still located above the budget anticipations (which applies to all main types of ITNP). Mainly the key income tax from dependent activities contributed to the growth of collection (+17.6%)</w:t>
            </w:r>
            <w:r w:rsidRPr="001A0A01">
              <w:rPr>
                <w:rStyle w:val="Znakapoznpodarou"/>
                <w:color w:val="0D0D0D" w:themeColor="text1" w:themeTint="F2"/>
                <w:spacing w:val="-4"/>
                <w:lang w:val="en-GB"/>
              </w:rPr>
              <w:footnoteReference w:id="96"/>
            </w:r>
            <w:r w:rsidRPr="001A0A01">
              <w:rPr>
                <w:spacing w:val="-4"/>
                <w:lang w:val="en-GB"/>
              </w:rPr>
              <w:t xml:space="preserve"> contributed to the growth of collections. It favourably reflected both the persisting good condition of the labour market (higher employment as well as rapid nominal growth of the average wage in the business sphere) and legislative changes (in particular a reduction in the band for the second increased rate of this tax, and to a lesser extent also an adjustment in the taxation of selected non-monetary benefits or the abolition of some tax credits). The collection of ITNP collected by deduction also exceeded expectations. The persisting higher interest rates on deposits were behind the more than 20% growth of its collection, newly the reduction of the limit for the exemption of income from raffles and gambling was also reflected.  </w:t>
            </w:r>
            <w:r w:rsidRPr="001A0A01">
              <w:rPr>
                <w:color w:val="0D0D0D" w:themeColor="text1" w:themeTint="F2"/>
                <w:spacing w:val="-5"/>
                <w:lang w:val="en-GB"/>
              </w:rPr>
              <w:t xml:space="preserve"> </w:t>
            </w:r>
          </w:p>
        </w:tc>
      </w:tr>
      <w:tr w:rsidR="00922D58" w:rsidRPr="001A0A01" w14:paraId="6F7D8351" w14:textId="77777777" w:rsidTr="00E551F6">
        <w:trPr>
          <w:trHeight w:val="60"/>
        </w:trPr>
        <w:tc>
          <w:tcPr>
            <w:tcW w:w="1810" w:type="dxa"/>
            <w:shd w:val="clear" w:color="auto" w:fill="auto"/>
            <w:tcMar>
              <w:left w:w="0" w:type="dxa"/>
            </w:tcMar>
          </w:tcPr>
          <w:p w14:paraId="7FF768AB" w14:textId="6C43F10A" w:rsidR="00922D58" w:rsidRPr="001A0A01" w:rsidRDefault="00922D58" w:rsidP="00922D58">
            <w:pPr>
              <w:pStyle w:val="Marginlie"/>
              <w:rPr>
                <w:lang w:val="en-GB"/>
              </w:rPr>
            </w:pPr>
            <w:r w:rsidRPr="001A0A01">
              <w:rPr>
                <w:spacing w:val="-5"/>
                <w:lang w:val="en-GB"/>
              </w:rPr>
              <w:t xml:space="preserve">Non-tax and capital revenues were negatively affected by a deeper decline of revenues from the EU budget. </w:t>
            </w:r>
          </w:p>
        </w:tc>
        <w:tc>
          <w:tcPr>
            <w:tcW w:w="203" w:type="dxa"/>
            <w:shd w:val="clear" w:color="auto" w:fill="auto"/>
            <w:tcMar>
              <w:left w:w="0" w:type="dxa"/>
            </w:tcMar>
          </w:tcPr>
          <w:p w14:paraId="517766AD"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6CAACCBE" w14:textId="05830CC4" w:rsidR="00922D58" w:rsidRPr="001A0A01" w:rsidRDefault="00922D58" w:rsidP="00922D58">
            <w:pPr>
              <w:spacing w:after="200"/>
              <w:rPr>
                <w:spacing w:val="-4"/>
                <w:lang w:val="en-GB"/>
              </w:rPr>
            </w:pPr>
            <w:r w:rsidRPr="001A0A01">
              <w:rPr>
                <w:color w:val="0D0D0D" w:themeColor="text1" w:themeTint="F2"/>
                <w:spacing w:val="-4"/>
                <w:lang w:val="en-GB"/>
              </w:rPr>
              <w:t xml:space="preserve">The non-tax and capital revenues of the SB fell in line with the budget anticipations, year-on-year, when they were lower by one fifth in H1 (−28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The effect of last year's record-high base, enhanced by the June reimbursement of funds from the National Recovery Programme (44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similar payments have reached only half the level so far </w:t>
            </w:r>
            <w:r w:rsidRPr="001A0A01">
              <w:rPr>
                <w:color w:val="0D0D0D" w:themeColor="text1" w:themeTint="F2"/>
                <w:spacing w:val="-4"/>
                <w:lang w:val="en-GB"/>
              </w:rPr>
              <w:lastRenderedPageBreak/>
              <w:t xml:space="preserve">this year) became apparent. The expected slower onset of drawing during the transition to the new programming period (2021 to 2027) is also evident in the decrease of revenues from the EU budget. </w:t>
            </w:r>
          </w:p>
        </w:tc>
      </w:tr>
      <w:tr w:rsidR="00922D58" w:rsidRPr="001A0A01" w14:paraId="6D3E88DF" w14:textId="77777777" w:rsidTr="00E551F6">
        <w:trPr>
          <w:trHeight w:val="60"/>
        </w:trPr>
        <w:tc>
          <w:tcPr>
            <w:tcW w:w="1810" w:type="dxa"/>
            <w:shd w:val="clear" w:color="auto" w:fill="auto"/>
            <w:tcMar>
              <w:left w:w="0" w:type="dxa"/>
            </w:tcMar>
          </w:tcPr>
          <w:p w14:paraId="0977DDCE" w14:textId="77777777" w:rsidR="00922D58" w:rsidRPr="001A0A01" w:rsidRDefault="00922D58" w:rsidP="00922D58">
            <w:pPr>
              <w:pStyle w:val="Marginlie"/>
              <w:rPr>
                <w:lang w:val="en-GB"/>
              </w:rPr>
            </w:pPr>
          </w:p>
        </w:tc>
        <w:tc>
          <w:tcPr>
            <w:tcW w:w="203" w:type="dxa"/>
            <w:shd w:val="clear" w:color="auto" w:fill="auto"/>
            <w:tcMar>
              <w:left w:w="0" w:type="dxa"/>
            </w:tcMar>
          </w:tcPr>
          <w:p w14:paraId="5684D9D0"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1A4E052" w14:textId="0F79D83D" w:rsidR="00922D58" w:rsidRPr="001A0A01" w:rsidRDefault="00922D58" w:rsidP="00922D58">
            <w:pPr>
              <w:spacing w:after="40"/>
              <w:rPr>
                <w:color w:val="0D0D0D" w:themeColor="text1" w:themeTint="F2"/>
                <w:spacing w:val="-4"/>
                <w:lang w:val="en-GB"/>
              </w:rPr>
            </w:pPr>
            <w:r w:rsidRPr="001A0A01">
              <w:rPr>
                <w:rFonts w:cs="Arial"/>
                <w:b/>
                <w:bCs/>
                <w:color w:val="000000"/>
                <w:spacing w:val="-2"/>
                <w:szCs w:val="20"/>
                <w:lang w:val="en-GB"/>
              </w:rPr>
              <w:t xml:space="preserve">Chart 17 </w:t>
            </w:r>
            <w:r w:rsidRPr="001A0A01">
              <w:rPr>
                <w:rFonts w:cs="Arial"/>
                <w:b/>
                <w:bCs/>
                <w:color w:val="000000"/>
                <w:spacing w:val="-4"/>
                <w:szCs w:val="20"/>
                <w:lang w:val="en-GB"/>
              </w:rPr>
              <w:t>Contribution of constituent revenues to the year-on-year growth of the</w:t>
            </w:r>
            <w:r w:rsidR="00C503A6">
              <w:rPr>
                <w:rFonts w:cs="Arial"/>
                <w:b/>
                <w:bCs/>
                <w:color w:val="000000"/>
                <w:spacing w:val="-4"/>
                <w:szCs w:val="20"/>
                <w:lang w:val="en-GB"/>
              </w:rPr>
              <w:t xml:space="preserve"> total</w:t>
            </w:r>
            <w:r w:rsidRPr="001A0A01">
              <w:rPr>
                <w:rFonts w:cs="Arial"/>
                <w:b/>
                <w:bCs/>
                <w:spacing w:val="-4"/>
                <w:lang w:val="en-GB"/>
              </w:rPr>
              <w:t xml:space="preserve"> </w:t>
            </w:r>
            <w:r w:rsidR="00C503A6" w:rsidRPr="00C503A6">
              <w:rPr>
                <w:rFonts w:cs="Arial"/>
                <w:b/>
                <w:bCs/>
                <w:spacing w:val="-2"/>
                <w:lang w:val="en-GB"/>
              </w:rPr>
              <w:t xml:space="preserve">state-wide </w:t>
            </w:r>
            <w:r w:rsidRPr="00C503A6">
              <w:rPr>
                <w:rFonts w:cs="Arial"/>
                <w:b/>
                <w:bCs/>
                <w:spacing w:val="-2"/>
                <w:lang w:val="en-GB"/>
              </w:rPr>
              <w:t xml:space="preserve">tax collection </w:t>
            </w:r>
            <w:r w:rsidRPr="00C503A6">
              <w:rPr>
                <w:rFonts w:cs="Arial"/>
                <w:bCs/>
                <w:spacing w:val="-2"/>
                <w:lang w:val="en-GB"/>
              </w:rPr>
              <w:t>(in p. p.</w:t>
            </w:r>
            <w:r w:rsidR="00C503A6" w:rsidRPr="00C503A6">
              <w:rPr>
                <w:bCs/>
                <w:spacing w:val="-2"/>
                <w:lang w:val="en-GB"/>
              </w:rPr>
              <w:t>),</w:t>
            </w:r>
            <w:r w:rsidRPr="00C503A6">
              <w:rPr>
                <w:b/>
                <w:spacing w:val="-2"/>
                <w:lang w:val="en-GB"/>
              </w:rPr>
              <w:t xml:space="preserve"> social security insurance revenues</w:t>
            </w:r>
            <w:r w:rsidR="00C503A6" w:rsidRPr="00C503A6">
              <w:rPr>
                <w:bCs/>
                <w:spacing w:val="-2"/>
                <w:lang w:val="en-GB"/>
              </w:rPr>
              <w:t xml:space="preserve"> (</w:t>
            </w:r>
            <w:r w:rsidR="00C503A6" w:rsidRPr="00C503A6">
              <w:rPr>
                <w:rFonts w:cs="Arial"/>
                <w:color w:val="000000"/>
                <w:spacing w:val="-2"/>
                <w:szCs w:val="20"/>
                <w:lang w:val="en-GB"/>
              </w:rPr>
              <w:t>year-on-year in %)</w:t>
            </w:r>
            <w:r w:rsidRPr="001A0A01">
              <w:rPr>
                <w:bCs/>
                <w:spacing w:val="-4"/>
                <w:lang w:val="en-GB"/>
              </w:rPr>
              <w:t xml:space="preserve"> </w:t>
            </w:r>
            <w:r w:rsidRPr="001A0A01">
              <w:rPr>
                <w:rFonts w:cs="Arial"/>
                <w:b/>
                <w:bCs/>
                <w:spacing w:val="-4"/>
                <w:lang w:val="en-GB"/>
              </w:rPr>
              <w:t xml:space="preserve">and state budget balance </w:t>
            </w:r>
            <w:r w:rsidRPr="001A0A01">
              <w:rPr>
                <w:rFonts w:cs="Arial"/>
                <w:bCs/>
                <w:spacing w:val="-4"/>
                <w:lang w:val="en-GB"/>
              </w:rPr>
              <w:t xml:space="preserve">(in </w:t>
            </w:r>
            <w:proofErr w:type="spellStart"/>
            <w:r w:rsidRPr="001A0A01">
              <w:rPr>
                <w:rFonts w:cs="Arial"/>
                <w:bCs/>
                <w:spacing w:val="-4"/>
                <w:lang w:val="en-GB"/>
              </w:rPr>
              <w:t>bn</w:t>
            </w:r>
            <w:proofErr w:type="spellEnd"/>
            <w:r w:rsidRPr="001A0A01">
              <w:rPr>
                <w:rFonts w:cs="Arial"/>
                <w:bCs/>
                <w:spacing w:val="-4"/>
                <w:lang w:val="en-GB"/>
              </w:rPr>
              <w:t xml:space="preserve"> CZK) </w:t>
            </w:r>
            <w:r w:rsidRPr="001A0A01">
              <w:rPr>
                <w:rFonts w:cs="Arial"/>
                <w:b/>
                <w:bCs/>
                <w:lang w:val="en-GB"/>
              </w:rPr>
              <w:t>within H1</w:t>
            </w:r>
            <w:r w:rsidR="00C503A6">
              <w:rPr>
                <w:rFonts w:cs="Arial"/>
                <w:b/>
                <w:bCs/>
                <w:lang w:val="en-GB"/>
              </w:rPr>
              <w:t xml:space="preserve"> </w:t>
            </w:r>
            <w:r w:rsidR="00C503A6" w:rsidRPr="00C503A6">
              <w:rPr>
                <w:rFonts w:cs="Arial"/>
                <w:bCs/>
                <w:lang w:val="en-GB"/>
              </w:rPr>
              <w:t>(1</w:t>
            </w:r>
            <w:r w:rsidR="00C503A6" w:rsidRPr="00C503A6">
              <w:rPr>
                <w:rFonts w:cs="Arial"/>
                <w:bCs/>
                <w:vertAlign w:val="superscript"/>
                <w:lang w:val="en-GB"/>
              </w:rPr>
              <w:t>st</w:t>
            </w:r>
            <w:r w:rsidR="00C503A6" w:rsidRPr="00C503A6">
              <w:rPr>
                <w:rFonts w:cs="Arial"/>
                <w:bCs/>
                <w:lang w:val="en-GB"/>
              </w:rPr>
              <w:t xml:space="preserve"> half of the year)</w:t>
            </w:r>
          </w:p>
        </w:tc>
      </w:tr>
      <w:tr w:rsidR="00922D58" w:rsidRPr="001A0A01" w14:paraId="0D4A5882" w14:textId="77777777" w:rsidTr="00C503A6">
        <w:tblPrEx>
          <w:tblCellMar>
            <w:left w:w="70" w:type="dxa"/>
            <w:right w:w="70" w:type="dxa"/>
          </w:tblCellMar>
        </w:tblPrEx>
        <w:trPr>
          <w:trHeight w:val="170"/>
        </w:trPr>
        <w:tc>
          <w:tcPr>
            <w:tcW w:w="1810" w:type="dxa"/>
            <w:vMerge w:val="restart"/>
            <w:shd w:val="clear" w:color="auto" w:fill="auto"/>
          </w:tcPr>
          <w:p w14:paraId="1315C01C" w14:textId="77777777" w:rsidR="00922D58" w:rsidRPr="001A0A01" w:rsidRDefault="00922D58" w:rsidP="00922D58">
            <w:pPr>
              <w:pStyle w:val="Marginlie"/>
              <w:rPr>
                <w:lang w:val="en-GB"/>
              </w:rPr>
            </w:pPr>
          </w:p>
        </w:tc>
        <w:tc>
          <w:tcPr>
            <w:tcW w:w="203" w:type="dxa"/>
            <w:vMerge w:val="restart"/>
            <w:shd w:val="clear" w:color="auto" w:fill="auto"/>
          </w:tcPr>
          <w:p w14:paraId="4477B7A1" w14:textId="77777777" w:rsidR="00922D58" w:rsidRPr="001A0A01" w:rsidRDefault="00922D58" w:rsidP="00922D58">
            <w:pPr>
              <w:pStyle w:val="Textpoznpodarou"/>
              <w:jc w:val="both"/>
              <w:rPr>
                <w:spacing w:val="-4"/>
                <w:lang w:val="en-GB"/>
              </w:rPr>
            </w:pPr>
          </w:p>
          <w:p w14:paraId="3FCC83F0" w14:textId="77777777" w:rsidR="00922D58" w:rsidRPr="001A0A01" w:rsidRDefault="00922D58" w:rsidP="00922D58">
            <w:pPr>
              <w:pStyle w:val="Textpoznpodarou"/>
              <w:jc w:val="both"/>
              <w:rPr>
                <w:spacing w:val="-4"/>
                <w:lang w:val="en-GB"/>
              </w:rPr>
            </w:pPr>
          </w:p>
        </w:tc>
        <w:tc>
          <w:tcPr>
            <w:tcW w:w="7656" w:type="dxa"/>
            <w:shd w:val="clear" w:color="auto" w:fill="auto"/>
          </w:tcPr>
          <w:p w14:paraId="23EE6FF9" w14:textId="1774BCA3" w:rsidR="00922D58" w:rsidRPr="001A0A01" w:rsidRDefault="00C503A6" w:rsidP="00C503A6">
            <w:pPr>
              <w:spacing w:before="40" w:after="0"/>
              <w:rPr>
                <w:rFonts w:cs="Arial"/>
                <w:b/>
                <w:bCs/>
                <w:color w:val="000000"/>
                <w:spacing w:val="-2"/>
                <w:szCs w:val="20"/>
                <w:lang w:val="en-GB"/>
              </w:rPr>
            </w:pPr>
            <w:r>
              <w:rPr>
                <w:noProof/>
              </w:rPr>
              <w:drawing>
                <wp:inline distT="0" distB="0" distL="0" distR="0" wp14:anchorId="74756BB7" wp14:editId="1524F211">
                  <wp:extent cx="4746928" cy="3402330"/>
                  <wp:effectExtent l="0" t="0" r="0" b="762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922D58" w:rsidRPr="001A0A01" w14:paraId="32BB2FF5" w14:textId="77777777" w:rsidTr="00E551F6">
        <w:tblPrEx>
          <w:tblCellMar>
            <w:left w:w="70" w:type="dxa"/>
            <w:right w:w="70" w:type="dxa"/>
          </w:tblCellMar>
        </w:tblPrEx>
        <w:trPr>
          <w:trHeight w:val="1317"/>
        </w:trPr>
        <w:tc>
          <w:tcPr>
            <w:tcW w:w="1810" w:type="dxa"/>
            <w:vMerge/>
            <w:shd w:val="clear" w:color="auto" w:fill="auto"/>
          </w:tcPr>
          <w:p w14:paraId="78323DC7" w14:textId="77777777" w:rsidR="00922D58" w:rsidRPr="001A0A01" w:rsidRDefault="00922D58" w:rsidP="00922D58">
            <w:pPr>
              <w:pStyle w:val="Marginlie"/>
              <w:rPr>
                <w:lang w:val="en-GB"/>
              </w:rPr>
            </w:pPr>
          </w:p>
        </w:tc>
        <w:tc>
          <w:tcPr>
            <w:tcW w:w="203" w:type="dxa"/>
            <w:vMerge/>
            <w:shd w:val="clear" w:color="auto" w:fill="auto"/>
          </w:tcPr>
          <w:p w14:paraId="3A78F13B" w14:textId="77777777" w:rsidR="00922D58" w:rsidRPr="001A0A01" w:rsidRDefault="00922D58" w:rsidP="00922D58">
            <w:pPr>
              <w:pStyle w:val="Textpoznpodarou"/>
              <w:jc w:val="both"/>
              <w:rPr>
                <w:spacing w:val="-4"/>
                <w:lang w:val="en-GB"/>
              </w:rPr>
            </w:pPr>
          </w:p>
        </w:tc>
        <w:tc>
          <w:tcPr>
            <w:tcW w:w="7656" w:type="dxa"/>
            <w:shd w:val="clear" w:color="auto" w:fill="auto"/>
          </w:tcPr>
          <w:p w14:paraId="4CCB3AAD"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xml:space="preserve">*Include also contributions on state Active employment policy. </w:t>
            </w:r>
          </w:p>
          <w:p w14:paraId="2B96DB50"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Balance adjusted for funds on programmes/projects from the EU budget and Financial mechanisms, which were pre-financed from the SB and subsequently reimbursed from the budget of EU and FM. Yearly data are available starting year 2013.</w:t>
            </w:r>
          </w:p>
          <w:p w14:paraId="55684515"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 xml:space="preserve">NP = natural persons, LP = legal persons. Other taxes from the incomes of NP include taxes paid by the payers (mainly from small businesses) and further taxes collected by deduction. </w:t>
            </w:r>
          </w:p>
          <w:p w14:paraId="1C2F193D" w14:textId="77777777" w:rsidR="00922D58" w:rsidRPr="001A0A01" w:rsidRDefault="00922D58" w:rsidP="00922D58">
            <w:pPr>
              <w:tabs>
                <w:tab w:val="right" w:pos="7683"/>
              </w:tabs>
              <w:spacing w:after="0" w:line="240" w:lineRule="auto"/>
              <w:rPr>
                <w:spacing w:val="-2"/>
                <w:sz w:val="14"/>
                <w:szCs w:val="14"/>
                <w:lang w:val="en-GB"/>
              </w:rPr>
            </w:pPr>
            <w:r w:rsidRPr="001A0A01">
              <w:rPr>
                <w:spacing w:val="-2"/>
                <w:sz w:val="14"/>
                <w:szCs w:val="14"/>
                <w:lang w:val="en-GB"/>
              </w:rPr>
              <w:t>Other taxes and fees contain mainly property tax, gambling tax, motorway and other tolls, and levy from excess income and unexpected profit also since year 2023.</w:t>
            </w:r>
          </w:p>
          <w:p w14:paraId="598732F8" w14:textId="62B02896" w:rsidR="00922D58" w:rsidRPr="009E1B59" w:rsidRDefault="009E1B59" w:rsidP="009E1B59">
            <w:pPr>
              <w:tabs>
                <w:tab w:val="right" w:pos="7683"/>
              </w:tabs>
              <w:spacing w:line="240" w:lineRule="auto"/>
              <w:rPr>
                <w:spacing w:val="-2"/>
                <w:sz w:val="14"/>
                <w:szCs w:val="14"/>
                <w:lang w:val="en-GB"/>
              </w:rPr>
            </w:pPr>
            <w:r>
              <w:rPr>
                <w:spacing w:val="-2"/>
                <w:sz w:val="14"/>
                <w:szCs w:val="14"/>
                <w:lang w:val="en-GB"/>
              </w:rPr>
              <w:t>Source: MF CR</w:t>
            </w:r>
          </w:p>
        </w:tc>
      </w:tr>
      <w:tr w:rsidR="00922D58" w:rsidRPr="001A0A01" w14:paraId="7832C387" w14:textId="77777777" w:rsidTr="00E551F6">
        <w:trPr>
          <w:trHeight w:val="170"/>
        </w:trPr>
        <w:tc>
          <w:tcPr>
            <w:tcW w:w="1810" w:type="dxa"/>
            <w:shd w:val="clear" w:color="auto" w:fill="auto"/>
            <w:tcMar>
              <w:left w:w="0" w:type="dxa"/>
            </w:tcMar>
          </w:tcPr>
          <w:p w14:paraId="5187355B" w14:textId="77777777" w:rsidR="00922D58" w:rsidRPr="001A0A01" w:rsidRDefault="00922D58" w:rsidP="00922D58">
            <w:pPr>
              <w:pStyle w:val="Marginlie"/>
              <w:rPr>
                <w:spacing w:val="-5"/>
                <w:lang w:val="en-GB"/>
              </w:rPr>
            </w:pPr>
            <w:r w:rsidRPr="001A0A01">
              <w:rPr>
                <w:spacing w:val="-5"/>
                <w:lang w:val="en-GB"/>
              </w:rPr>
              <w:t xml:space="preserve">Growth of current expenditure slowed significantly. The expected decline of extraordinary subsidies in the energy sector has become apparent. </w:t>
            </w:r>
          </w:p>
        </w:tc>
        <w:tc>
          <w:tcPr>
            <w:tcW w:w="203" w:type="dxa"/>
            <w:shd w:val="clear" w:color="auto" w:fill="auto"/>
            <w:tcMar>
              <w:left w:w="0" w:type="dxa"/>
            </w:tcMar>
          </w:tcPr>
          <w:p w14:paraId="4B16CEF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50F54BE" w14:textId="77777777" w:rsidR="00922D58" w:rsidRPr="001A0A01" w:rsidRDefault="00922D58" w:rsidP="00922D58">
            <w:pPr>
              <w:spacing w:after="200"/>
              <w:rPr>
                <w:color w:val="0D0D0D" w:themeColor="text1" w:themeTint="F2"/>
                <w:spacing w:val="-4"/>
                <w:lang w:val="en-GB"/>
              </w:rPr>
            </w:pPr>
            <w:r w:rsidRPr="001A0A01">
              <w:rPr>
                <w:color w:val="0D0D0D" w:themeColor="text1" w:themeTint="F2"/>
                <w:spacing w:val="-4"/>
                <w:lang w:val="en-GB"/>
              </w:rPr>
              <w:t xml:space="preserve">Total expenditure of the SB stagnated in H1 (+0.2%) and have not deviated significantly from the annual budget anticipations so far (−0.5%). Current expenditure increased by only 0.5% this year (+4.9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after double-digit growth last year. This sharp easing of pace is mainly associated with the expected reduction of support in the energy sector (−35.5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enabled by favourable development of energy prices on world markets. The calming of price growth in the economy was also mirrored in lower pressure on the adjustment of a wide spectrum of social benefits. This has been further mitigated in pensions by legislative amendments to both the regular and extraordinary adjustment or by tightening the conditions for granting early retirement. </w:t>
            </w:r>
          </w:p>
        </w:tc>
      </w:tr>
      <w:tr w:rsidR="00922D58" w:rsidRPr="001A0A01" w14:paraId="2A5DBDBE" w14:textId="77777777" w:rsidTr="00E551F6">
        <w:trPr>
          <w:trHeight w:val="170"/>
        </w:trPr>
        <w:tc>
          <w:tcPr>
            <w:tcW w:w="1810" w:type="dxa"/>
            <w:shd w:val="clear" w:color="auto" w:fill="auto"/>
            <w:tcMar>
              <w:left w:w="0" w:type="dxa"/>
            </w:tcMar>
          </w:tcPr>
          <w:p w14:paraId="4E840F53" w14:textId="77777777" w:rsidR="00922D58" w:rsidRPr="001A0A01" w:rsidRDefault="00922D58" w:rsidP="00922D58">
            <w:pPr>
              <w:jc w:val="left"/>
              <w:rPr>
                <w:spacing w:val="-5"/>
                <w:sz w:val="16"/>
                <w:szCs w:val="16"/>
                <w:lang w:val="en-GB"/>
              </w:rPr>
            </w:pPr>
            <w:r w:rsidRPr="001A0A01">
              <w:rPr>
                <w:spacing w:val="-5"/>
                <w:sz w:val="16"/>
                <w:szCs w:val="16"/>
                <w:lang w:val="en-GB"/>
              </w:rPr>
              <w:t>Expenditure on pensions increased relatively the least in the last six years. The half-year deficit of the pension account fell by one quarter, year-on-year.</w:t>
            </w:r>
          </w:p>
          <w:p w14:paraId="3B4CB19A" w14:textId="77777777" w:rsidR="00922D58" w:rsidRPr="001A0A01" w:rsidRDefault="00922D58" w:rsidP="00922D58">
            <w:pPr>
              <w:pStyle w:val="Marginlie"/>
              <w:rPr>
                <w:spacing w:val="-5"/>
                <w:lang w:val="en-GB"/>
              </w:rPr>
            </w:pPr>
            <w:r w:rsidRPr="001A0A01">
              <w:rPr>
                <w:spacing w:val="-5"/>
                <w:lang w:val="en-GB"/>
              </w:rPr>
              <w:t xml:space="preserve"> </w:t>
            </w:r>
          </w:p>
        </w:tc>
        <w:tc>
          <w:tcPr>
            <w:tcW w:w="203" w:type="dxa"/>
            <w:shd w:val="clear" w:color="auto" w:fill="auto"/>
            <w:tcMar>
              <w:left w:w="0" w:type="dxa"/>
            </w:tcMar>
          </w:tcPr>
          <w:p w14:paraId="0846419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0A4F96ED" w14:textId="77777777" w:rsidR="00922D58" w:rsidRPr="001A0A01" w:rsidRDefault="00922D58" w:rsidP="00922D58">
            <w:pPr>
              <w:spacing w:after="200"/>
              <w:rPr>
                <w:color w:val="0D0D0D" w:themeColor="text1" w:themeTint="F2"/>
                <w:spacing w:val="-6"/>
                <w:lang w:val="en-GB"/>
              </w:rPr>
            </w:pPr>
            <w:r w:rsidRPr="001A0A01">
              <w:rPr>
                <w:color w:val="0D0D0D" w:themeColor="text1" w:themeTint="F2"/>
                <w:spacing w:val="-6"/>
                <w:lang w:val="en-GB"/>
              </w:rPr>
              <w:t xml:space="preserve">The subsidies to state funds (up by almost two-thirds, year-on-year, or 17.3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have contributed the most to the growth of current expenditure so far this year, especially into the transport infrastructure area and, to a lesser extent, also into agriculture. The weight-important item of social benefits also had a significant effect (+17.2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which even despite slowing its growth, accounted for 39.9% of all SB expenditures – the most in the last six years</w:t>
            </w:r>
            <w:r w:rsidRPr="001A0A01">
              <w:rPr>
                <w:rStyle w:val="Znakapoznpodarou"/>
                <w:color w:val="0D0D0D" w:themeColor="text1" w:themeTint="F2"/>
                <w:spacing w:val="-6"/>
                <w:lang w:val="en-GB"/>
              </w:rPr>
              <w:footnoteReference w:id="97"/>
            </w:r>
            <w:r w:rsidRPr="001A0A01">
              <w:rPr>
                <w:color w:val="0D0D0D" w:themeColor="text1" w:themeTint="F2"/>
                <w:spacing w:val="-6"/>
                <w:lang w:val="en-GB"/>
              </w:rPr>
              <w:t xml:space="preserve">. </w:t>
            </w:r>
            <w:bookmarkStart w:id="103" w:name="_Hlk179227537"/>
            <w:r w:rsidRPr="001A0A01">
              <w:rPr>
                <w:color w:val="0D0D0D" w:themeColor="text1" w:themeTint="F2"/>
                <w:spacing w:val="-6"/>
                <w:lang w:val="en-GB"/>
              </w:rPr>
              <w:t xml:space="preserve">Most of this year's increase of social benefits was traditionally related to expenditures on pensions. After the last year's record growth, they have increased by 4.3% so far this year. However, it presented the lowest percentage growth in the last six years due to the retreat of inflation and </w:t>
            </w:r>
            <w:r w:rsidRPr="001A0A01">
              <w:rPr>
                <w:color w:val="0D0D0D" w:themeColor="text1" w:themeTint="F2"/>
                <w:spacing w:val="-6"/>
                <w:lang w:val="en-GB"/>
              </w:rPr>
              <w:lastRenderedPageBreak/>
              <w:t>a change of the adjustment mechanism</w:t>
            </w:r>
            <w:r w:rsidRPr="001A0A01">
              <w:rPr>
                <w:spacing w:val="-7"/>
                <w:vertAlign w:val="superscript"/>
                <w:lang w:val="en-GB"/>
              </w:rPr>
              <w:footnoteReference w:id="98"/>
            </w:r>
            <w:r w:rsidRPr="001A0A01">
              <w:rPr>
                <w:color w:val="0D0D0D" w:themeColor="text1" w:themeTint="F2"/>
                <w:spacing w:val="-6"/>
                <w:lang w:val="en-GB"/>
              </w:rPr>
              <w:t>. On the other hand, the number of pension recipients increased again after a decline in the previous three years – by 0.6%, year-on-year, at the end of June 2024 (the most since the end of 2016). The number of persons receiving early pensions continues to grow significantly</w:t>
            </w:r>
            <w:r w:rsidRPr="001A0A01">
              <w:rPr>
                <w:rStyle w:val="Znakapoznpodarou"/>
                <w:color w:val="0D0D0D" w:themeColor="text1" w:themeTint="F2"/>
                <w:spacing w:val="-6"/>
                <w:lang w:val="en-GB"/>
              </w:rPr>
              <w:footnoteReference w:id="99"/>
            </w:r>
            <w:r w:rsidRPr="001A0A01">
              <w:rPr>
                <w:color w:val="0D0D0D" w:themeColor="text1" w:themeTint="F2"/>
                <w:spacing w:val="-6"/>
                <w:lang w:val="en-GB"/>
              </w:rPr>
              <w:t>. The pension expenditure grew more slowly than pension insurance income for the first time in three years. The half-yearly balance of the pension insurance system</w:t>
            </w:r>
            <w:r w:rsidRPr="001A0A01">
              <w:rPr>
                <w:rStyle w:val="Znakapoznpodarou"/>
                <w:color w:val="0D0D0D" w:themeColor="text1" w:themeTint="F2"/>
                <w:spacing w:val="-6"/>
                <w:lang w:val="en-GB"/>
              </w:rPr>
              <w:footnoteReference w:id="100"/>
            </w:r>
            <w:r w:rsidRPr="001A0A01">
              <w:rPr>
                <w:rFonts w:cs="Arial"/>
                <w:color w:val="0D0D0D" w:themeColor="text1" w:themeTint="F2"/>
                <w:spacing w:val="-6"/>
                <w:lang w:val="en-GB"/>
              </w:rPr>
              <w:t xml:space="preserve"> </w:t>
            </w:r>
            <w:r w:rsidRPr="001A0A01">
              <w:rPr>
                <w:color w:val="0D0D0D" w:themeColor="text1" w:themeTint="F2"/>
                <w:spacing w:val="-6"/>
                <w:lang w:val="en-GB"/>
              </w:rPr>
              <w:t xml:space="preserve">thus decreased from last year's −38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to −29 bn. </w:t>
            </w:r>
            <w:bookmarkEnd w:id="103"/>
          </w:p>
        </w:tc>
      </w:tr>
      <w:tr w:rsidR="00922D58" w:rsidRPr="001A0A01" w14:paraId="3612247D" w14:textId="77777777" w:rsidTr="00E551F6">
        <w:trPr>
          <w:trHeight w:val="170"/>
        </w:trPr>
        <w:tc>
          <w:tcPr>
            <w:tcW w:w="1810" w:type="dxa"/>
            <w:shd w:val="clear" w:color="auto" w:fill="auto"/>
            <w:tcMar>
              <w:left w:w="0" w:type="dxa"/>
            </w:tcMar>
          </w:tcPr>
          <w:p w14:paraId="6944EBFA" w14:textId="77777777" w:rsidR="00922D58" w:rsidRPr="001A0A01" w:rsidRDefault="00922D58" w:rsidP="00922D58">
            <w:pPr>
              <w:pStyle w:val="Marginlie"/>
              <w:rPr>
                <w:spacing w:val="-5"/>
                <w:lang w:val="en-GB"/>
              </w:rPr>
            </w:pPr>
            <w:r w:rsidRPr="001A0A01">
              <w:rPr>
                <w:spacing w:val="-5"/>
                <w:lang w:val="en-GB"/>
              </w:rPr>
              <w:lastRenderedPageBreak/>
              <w:t>Growth of expenditure on non-pension social benefits also slowed. There was a lower drawing of parental allowances as well as humanitarian benefits for Ukrainian refugees.</w:t>
            </w:r>
          </w:p>
          <w:p w14:paraId="141DBA61" w14:textId="77777777" w:rsidR="00922D58" w:rsidRPr="001A0A01" w:rsidRDefault="00922D58" w:rsidP="00922D58">
            <w:pPr>
              <w:pStyle w:val="Marginlie"/>
              <w:rPr>
                <w:spacing w:val="-5"/>
                <w:lang w:val="en-GB"/>
              </w:rPr>
            </w:pPr>
          </w:p>
          <w:p w14:paraId="5383C592" w14:textId="77777777" w:rsidR="00922D58" w:rsidRPr="001A0A01" w:rsidRDefault="00922D58" w:rsidP="00922D58">
            <w:pPr>
              <w:pStyle w:val="Marginlie"/>
              <w:rPr>
                <w:spacing w:val="-5"/>
                <w:lang w:val="en-GB"/>
              </w:rPr>
            </w:pPr>
          </w:p>
          <w:p w14:paraId="013F63EF" w14:textId="77777777" w:rsidR="00922D58" w:rsidRPr="001A0A01" w:rsidRDefault="00922D58" w:rsidP="00922D58">
            <w:pPr>
              <w:pStyle w:val="Marginlie"/>
              <w:rPr>
                <w:spacing w:val="-5"/>
                <w:lang w:val="en-GB"/>
              </w:rPr>
            </w:pPr>
          </w:p>
          <w:p w14:paraId="77E97EE5" w14:textId="77777777" w:rsidR="00922D58" w:rsidRPr="001A0A01" w:rsidRDefault="00922D58" w:rsidP="00922D58">
            <w:pPr>
              <w:pStyle w:val="Marginlie"/>
              <w:rPr>
                <w:spacing w:val="-5"/>
                <w:lang w:val="en-GB"/>
              </w:rPr>
            </w:pPr>
          </w:p>
          <w:p w14:paraId="53B60470" w14:textId="77777777" w:rsidR="00922D58" w:rsidRPr="001A0A01" w:rsidRDefault="00922D58" w:rsidP="00922D58">
            <w:pPr>
              <w:pStyle w:val="Marginlie"/>
              <w:rPr>
                <w:spacing w:val="-5"/>
                <w:lang w:val="en-GB"/>
              </w:rPr>
            </w:pPr>
            <w:bookmarkStart w:id="105" w:name="_Hlk179229930"/>
            <w:r w:rsidRPr="001A0A01">
              <w:rPr>
                <w:spacing w:val="-5"/>
                <w:lang w:val="en-GB"/>
              </w:rPr>
              <w:t xml:space="preserve">Mainly the housing allowances and unemployment benefits stood behind the increase in the drawing of non-pension benefits. </w:t>
            </w:r>
          </w:p>
          <w:bookmarkEnd w:id="105"/>
          <w:p w14:paraId="08D51BA0" w14:textId="77777777" w:rsidR="00922D58" w:rsidRPr="001A0A01" w:rsidRDefault="00922D58" w:rsidP="00922D58">
            <w:pPr>
              <w:pStyle w:val="Marginlie"/>
              <w:rPr>
                <w:spacing w:val="-5"/>
                <w:lang w:val="en-GB"/>
              </w:rPr>
            </w:pPr>
          </w:p>
          <w:p w14:paraId="729181EB" w14:textId="77777777" w:rsidR="00922D58" w:rsidRPr="001A0A01" w:rsidRDefault="00922D58" w:rsidP="00922D58">
            <w:pPr>
              <w:pStyle w:val="Marginlie"/>
              <w:rPr>
                <w:spacing w:val="-5"/>
                <w:lang w:val="en-GB"/>
              </w:rPr>
            </w:pPr>
          </w:p>
          <w:p w14:paraId="5332086F" w14:textId="77777777" w:rsidR="00922D58" w:rsidRPr="001A0A01" w:rsidRDefault="00922D58" w:rsidP="00922D58">
            <w:pPr>
              <w:pStyle w:val="Marginlie"/>
              <w:rPr>
                <w:spacing w:val="-5"/>
                <w:lang w:val="en-GB"/>
              </w:rPr>
            </w:pPr>
          </w:p>
          <w:p w14:paraId="417A721A" w14:textId="77777777" w:rsidR="00922D58" w:rsidRPr="001A0A01" w:rsidRDefault="00922D58" w:rsidP="00922D58">
            <w:pPr>
              <w:pStyle w:val="Marginlie"/>
              <w:rPr>
                <w:spacing w:val="-5"/>
                <w:lang w:val="en-GB"/>
              </w:rPr>
            </w:pPr>
          </w:p>
          <w:p w14:paraId="117818E1" w14:textId="77777777" w:rsidR="00922D58" w:rsidRPr="001A0A01" w:rsidRDefault="00922D58" w:rsidP="00922D58">
            <w:pPr>
              <w:pStyle w:val="Marginlie"/>
              <w:rPr>
                <w:spacing w:val="-5"/>
                <w:lang w:val="en-GB"/>
              </w:rPr>
            </w:pPr>
            <w:r w:rsidRPr="001A0A01">
              <w:rPr>
                <w:spacing w:val="-5"/>
                <w:lang w:val="en-GB"/>
              </w:rPr>
              <w:t xml:space="preserve">Despite higher expenditures, the half-yearly balance of sickness insurance ended in a slight surplus.  </w:t>
            </w:r>
          </w:p>
          <w:p w14:paraId="475F2383" w14:textId="77777777" w:rsidR="00922D58" w:rsidRPr="001A0A01" w:rsidRDefault="00922D58" w:rsidP="00922D58">
            <w:pPr>
              <w:pStyle w:val="Marginlie"/>
              <w:rPr>
                <w:spacing w:val="-5"/>
                <w:lang w:val="en-GB"/>
              </w:rPr>
            </w:pPr>
          </w:p>
        </w:tc>
        <w:tc>
          <w:tcPr>
            <w:tcW w:w="203" w:type="dxa"/>
            <w:shd w:val="clear" w:color="auto" w:fill="auto"/>
            <w:tcMar>
              <w:left w:w="0" w:type="dxa"/>
            </w:tcMar>
          </w:tcPr>
          <w:p w14:paraId="27E24623"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2EA9759F" w14:textId="77777777" w:rsidR="00922D58" w:rsidRPr="001A0A01" w:rsidRDefault="00922D58" w:rsidP="00922D58">
            <w:pPr>
              <w:spacing w:after="200"/>
              <w:rPr>
                <w:spacing w:val="-4"/>
                <w:lang w:val="en-GB"/>
              </w:rPr>
            </w:pPr>
            <w:bookmarkStart w:id="106" w:name="_Hlk179229604"/>
            <w:r w:rsidRPr="001A0A01">
              <w:rPr>
                <w:color w:val="0D0D0D" w:themeColor="text1" w:themeTint="F2"/>
                <w:spacing w:val="-6"/>
                <w:lang w:val="en-GB"/>
              </w:rPr>
              <w:t xml:space="preserve">The year-on-year growth of expenditure on other social benefits, as well as on pension benefits, slowed sharply in H1 2024 (to 2.7%). This was related to a decline of the volume of weight-important parental allowances (−1.0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and −6% respectively), which continued for the fourth year in a row. This year's decrease in drawing occurred despite the fact that the value of allowances for newly born children was increased</w:t>
            </w:r>
            <w:r w:rsidRPr="001A0A01">
              <w:rPr>
                <w:rStyle w:val="Znakapoznpodarou"/>
                <w:color w:val="0D0D0D" w:themeColor="text1" w:themeTint="F2"/>
                <w:spacing w:val="-4"/>
                <w:lang w:val="en-GB"/>
              </w:rPr>
              <w:footnoteReference w:id="101"/>
            </w:r>
            <w:r w:rsidRPr="001A0A01">
              <w:rPr>
                <w:color w:val="0D0D0D" w:themeColor="text1" w:themeTint="F2"/>
                <w:spacing w:val="-6"/>
                <w:lang w:val="en-GB"/>
              </w:rPr>
              <w:t xml:space="preserve">. </w:t>
            </w:r>
            <w:bookmarkStart w:id="108" w:name="_Hlk179231794"/>
            <w:bookmarkEnd w:id="106"/>
            <w:r w:rsidRPr="001A0A01">
              <w:rPr>
                <w:color w:val="0D0D0D" w:themeColor="text1" w:themeTint="F2"/>
                <w:spacing w:val="-6"/>
                <w:lang w:val="en-GB"/>
              </w:rPr>
              <w:t xml:space="preserve">Mainly due to greater targeting, the volume of humanitarian benefits for refugees from Ukraine decreased (by 0.4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10%)</w:t>
            </w:r>
            <w:r w:rsidRPr="001A0A01">
              <w:rPr>
                <w:rStyle w:val="Znakapoznpodarou"/>
                <w:color w:val="0D0D0D" w:themeColor="text1" w:themeTint="F2"/>
                <w:spacing w:val="-6"/>
                <w:lang w:val="en-GB"/>
              </w:rPr>
              <w:footnoteReference w:id="102"/>
            </w:r>
            <w:r w:rsidRPr="001A0A01">
              <w:rPr>
                <w:color w:val="0D0D0D" w:themeColor="text1" w:themeTint="F2"/>
                <w:spacing w:val="-6"/>
                <w:lang w:val="en-GB"/>
              </w:rPr>
              <w:t xml:space="preserve">. On the contrary, the SB was more burdened mainly by higher expenditure on housing allowance (+21%, +1.7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w:t>
            </w:r>
            <w:r w:rsidRPr="001A0A01">
              <w:rPr>
                <w:rStyle w:val="Znakapoznpodarou"/>
                <w:color w:val="0D0D0D" w:themeColor="text1" w:themeTint="F2"/>
                <w:spacing w:val="-5"/>
                <w:lang w:val="en-GB"/>
              </w:rPr>
              <w:footnoteReference w:id="103"/>
            </w:r>
            <w:r w:rsidRPr="001A0A01">
              <w:rPr>
                <w:color w:val="0D0D0D" w:themeColor="text1" w:themeTint="F2"/>
                <w:spacing w:val="-6"/>
                <w:lang w:val="en-GB"/>
              </w:rPr>
              <w:t xml:space="preserve">), with a relatively slight increase in the number of its recipients by 5%. The impact of high energy prices and the increase of costs eligible for payment is still evident here, nevertheless also the growth of awareness of the possibility regarding the drawing this assistance in the population and the simplification of the procedure to apply for this benefit. Expenditure on other income-tested benefits (child allowance, allowance for living) increased only negligibly, year-on-year. In contrast, the growth of unemployment benefit expenditure accelerated (+21%, +1.1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and unlike last year, the higher number of job applicants entitled to benefits significantly contributed to the growth. Sickness insurance benefits were also drawn more this year (+2.7%, +0.7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thus the decline lasting the previous three years halted. The higher morbidity contributed to the growth this year, while the drawing of maternity benefits continued to decrease due to the falling birth rate this year. The balance of sickness insurance</w:t>
            </w:r>
            <w:r w:rsidRPr="001A0A01">
              <w:rPr>
                <w:rStyle w:val="Znakapoznpodarou"/>
                <w:color w:val="0D0D0D" w:themeColor="text1" w:themeTint="F2"/>
                <w:spacing w:val="-5"/>
                <w:lang w:val="en-GB"/>
              </w:rPr>
              <w:footnoteReference w:id="104"/>
            </w:r>
            <w:r w:rsidRPr="001A0A01">
              <w:rPr>
                <w:color w:val="0D0D0D" w:themeColor="text1" w:themeTint="F2"/>
                <w:spacing w:val="-6"/>
                <w:lang w:val="en-GB"/>
              </w:rPr>
              <w:t xml:space="preserve"> was thanks to the strengthening of its revenue side in H1 positive again for the first time after 2017 (+3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Among the non-insurance benefits, the volume-significant care benefits (close to 19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w:t>
            </w:r>
            <w:r w:rsidRPr="001A0A01">
              <w:rPr>
                <w:rStyle w:val="Znakapoznpodarou"/>
                <w:color w:val="0D0D0D" w:themeColor="text1" w:themeTint="F2"/>
                <w:spacing w:val="-5"/>
                <w:lang w:val="en-GB"/>
              </w:rPr>
              <w:footnoteReference w:id="105"/>
            </w:r>
            <w:r w:rsidRPr="001A0A01">
              <w:rPr>
                <w:color w:val="0D0D0D" w:themeColor="text1" w:themeTint="F2"/>
                <w:spacing w:val="-6"/>
                <w:lang w:val="en-GB"/>
              </w:rPr>
              <w:t xml:space="preserve"> in fact stagnated, year-on-year, already for the second year in a row. </w:t>
            </w:r>
            <w:r w:rsidRPr="001A0A01">
              <w:rPr>
                <w:rFonts w:cs="Arial"/>
                <w:color w:val="0D0D0D" w:themeColor="text1" w:themeTint="F2"/>
                <w:spacing w:val="-5"/>
                <w:lang w:val="en-GB"/>
              </w:rPr>
              <w:t xml:space="preserve"> </w:t>
            </w:r>
            <w:bookmarkEnd w:id="108"/>
          </w:p>
        </w:tc>
      </w:tr>
      <w:tr w:rsidR="00922D58" w:rsidRPr="001A0A01" w14:paraId="27607D5A" w14:textId="77777777" w:rsidTr="00E551F6">
        <w:trPr>
          <w:trHeight w:val="170"/>
        </w:trPr>
        <w:tc>
          <w:tcPr>
            <w:tcW w:w="1810" w:type="dxa"/>
            <w:shd w:val="clear" w:color="auto" w:fill="auto"/>
            <w:tcMar>
              <w:left w:w="0" w:type="dxa"/>
            </w:tcMar>
          </w:tcPr>
          <w:p w14:paraId="290504FF" w14:textId="77777777" w:rsidR="00AE31F4" w:rsidRDefault="00922D58" w:rsidP="00922D58">
            <w:pPr>
              <w:pStyle w:val="Marginlie"/>
              <w:rPr>
                <w:lang w:val="en-GB"/>
              </w:rPr>
            </w:pPr>
            <w:r w:rsidRPr="001A0A01">
              <w:rPr>
                <w:lang w:val="en-GB"/>
              </w:rPr>
              <w:t xml:space="preserve">The sharper growth of expenditure on current purchases was connected to strengthening of defence and security. </w:t>
            </w:r>
          </w:p>
          <w:p w14:paraId="36F78EFD" w14:textId="77777777" w:rsidR="00AE31F4" w:rsidRDefault="00AE31F4" w:rsidP="00922D58">
            <w:pPr>
              <w:pStyle w:val="Marginlie"/>
              <w:rPr>
                <w:lang w:val="en-GB"/>
              </w:rPr>
            </w:pPr>
          </w:p>
          <w:p w14:paraId="26AB7747" w14:textId="77777777" w:rsidR="00AE31F4" w:rsidRDefault="00AE31F4" w:rsidP="00922D58">
            <w:pPr>
              <w:pStyle w:val="Marginlie"/>
              <w:rPr>
                <w:lang w:val="en-GB"/>
              </w:rPr>
            </w:pPr>
          </w:p>
          <w:p w14:paraId="710E8D13" w14:textId="77738B14" w:rsidR="00922D58" w:rsidRPr="001A0A01" w:rsidRDefault="00922D58" w:rsidP="00922D58">
            <w:pPr>
              <w:pStyle w:val="Marginlie"/>
              <w:rPr>
                <w:lang w:val="en-GB"/>
              </w:rPr>
            </w:pPr>
            <w:r w:rsidRPr="001A0A01">
              <w:rPr>
                <w:lang w:val="en-GB"/>
              </w:rPr>
              <w:lastRenderedPageBreak/>
              <w:t xml:space="preserve">The adjustment of expenditure on payments for state insured persons also eventuated. </w:t>
            </w:r>
          </w:p>
        </w:tc>
        <w:tc>
          <w:tcPr>
            <w:tcW w:w="203" w:type="dxa"/>
            <w:shd w:val="clear" w:color="auto" w:fill="auto"/>
            <w:tcMar>
              <w:left w:w="0" w:type="dxa"/>
            </w:tcMar>
          </w:tcPr>
          <w:p w14:paraId="5646FE8C"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7CA02962" w14:textId="77777777" w:rsidR="00922D58" w:rsidRPr="001A0A01" w:rsidRDefault="00922D58" w:rsidP="00922D58">
            <w:pPr>
              <w:spacing w:after="200"/>
              <w:rPr>
                <w:color w:val="0D0D0D" w:themeColor="text1" w:themeTint="F2"/>
                <w:spacing w:val="-6"/>
                <w:lang w:val="en-GB"/>
              </w:rPr>
            </w:pPr>
            <w:bookmarkStart w:id="110" w:name="_Hlk179234506"/>
            <w:r w:rsidRPr="001A0A01">
              <w:rPr>
                <w:color w:val="0D0D0D" w:themeColor="text1" w:themeTint="F2"/>
                <w:spacing w:val="-6"/>
                <w:lang w:val="en-GB"/>
              </w:rPr>
              <w:t xml:space="preserve">In addition to social benefits, the non-investment purchases and related expenditure (excluding debt service) supported the growth of SB expenditure, which increased by one sixth, year-on-year (+5.9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Their drawing in H1 (40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exceeded even the high expenditures from the pandemic period (purchases of medical supplies) or the era of the energy crisis (gas purchases). This year's budget-anticipated increase of expenditure is closely related to the higher need for public spending on defence and security. In accordance </w:t>
            </w:r>
            <w:r w:rsidRPr="001A0A01">
              <w:rPr>
                <w:color w:val="0D0D0D" w:themeColor="text1" w:themeTint="F2"/>
                <w:spacing w:val="-6"/>
                <w:lang w:val="en-GB"/>
              </w:rPr>
              <w:lastRenderedPageBreak/>
              <w:t>with the approved SB, the expenditure on public health insurance payments for the so-called state insured persons also increased – they increased due to automatic adjustment</w:t>
            </w:r>
            <w:r w:rsidRPr="001A0A01">
              <w:rPr>
                <w:rStyle w:val="Znakapoznpodarou"/>
                <w:color w:val="0D0D0D" w:themeColor="text1" w:themeTint="F2"/>
                <w:spacing w:val="-6"/>
                <w:lang w:val="en-GB"/>
              </w:rPr>
              <w:footnoteReference w:id="106"/>
            </w:r>
            <w:r w:rsidRPr="001A0A01">
              <w:rPr>
                <w:color w:val="0D0D0D" w:themeColor="text1" w:themeTint="F2"/>
                <w:spacing w:val="-6"/>
                <w:lang w:val="en-GB"/>
              </w:rPr>
              <w:t xml:space="preserve"> by one tenth, year-on-year, in H1 (+6.7 </w:t>
            </w:r>
            <w:proofErr w:type="spellStart"/>
            <w:r w:rsidRPr="001A0A01">
              <w:rPr>
                <w:color w:val="0D0D0D" w:themeColor="text1" w:themeTint="F2"/>
                <w:spacing w:val="-6"/>
                <w:lang w:val="en-GB"/>
              </w:rPr>
              <w:t>bn</w:t>
            </w:r>
            <w:proofErr w:type="spellEnd"/>
            <w:r w:rsidRPr="001A0A01">
              <w:rPr>
                <w:color w:val="0D0D0D" w:themeColor="text1" w:themeTint="F2"/>
                <w:spacing w:val="-6"/>
                <w:lang w:val="en-GB"/>
              </w:rPr>
              <w:t xml:space="preserve"> CZK). The weight-significant expenditures on current transfers to non-profit organisations (universities, public research institutions) stagnated in line with the budget anticipations. The same applies to expenditures on salaries in the central government institutions, where an across-the-board reduction of 2% related to the implementation of the consolidation package is reflected.  </w:t>
            </w:r>
            <w:bookmarkEnd w:id="110"/>
          </w:p>
        </w:tc>
      </w:tr>
      <w:tr w:rsidR="00922D58" w:rsidRPr="001A0A01" w14:paraId="76F8180D" w14:textId="77777777" w:rsidTr="00E551F6">
        <w:trPr>
          <w:trHeight w:val="170"/>
        </w:trPr>
        <w:tc>
          <w:tcPr>
            <w:tcW w:w="1810" w:type="dxa"/>
            <w:shd w:val="clear" w:color="auto" w:fill="auto"/>
            <w:tcMar>
              <w:left w:w="0" w:type="dxa"/>
            </w:tcMar>
          </w:tcPr>
          <w:p w14:paraId="3BB5BD23" w14:textId="77777777" w:rsidR="00922D58" w:rsidRPr="001A0A01" w:rsidRDefault="00922D58" w:rsidP="00922D58">
            <w:pPr>
              <w:pStyle w:val="Marginlie"/>
              <w:rPr>
                <w:lang w:val="en-GB"/>
              </w:rPr>
            </w:pPr>
            <w:bookmarkStart w:id="111" w:name="_Hlk179236304"/>
            <w:r w:rsidRPr="001A0A01">
              <w:rPr>
                <w:lang w:val="en-GB"/>
              </w:rPr>
              <w:lastRenderedPageBreak/>
              <w:t>Current transfers to businesses fell to the second lowest level in the last five years.</w:t>
            </w:r>
          </w:p>
          <w:bookmarkEnd w:id="111"/>
          <w:p w14:paraId="4625C094" w14:textId="77777777" w:rsidR="00922D58" w:rsidRPr="001A0A01" w:rsidRDefault="00922D58" w:rsidP="00922D58">
            <w:pPr>
              <w:pStyle w:val="Marginlie"/>
              <w:rPr>
                <w:lang w:val="en-GB"/>
              </w:rPr>
            </w:pPr>
          </w:p>
          <w:p w14:paraId="3159D7F1" w14:textId="77777777" w:rsidR="00922D58" w:rsidRPr="001A0A01" w:rsidRDefault="00922D58" w:rsidP="00922D58">
            <w:pPr>
              <w:pStyle w:val="Marginlie"/>
              <w:rPr>
                <w:lang w:val="en-GB"/>
              </w:rPr>
            </w:pPr>
          </w:p>
          <w:p w14:paraId="5EBDFAC9" w14:textId="77777777" w:rsidR="00922D58" w:rsidRPr="001A0A01" w:rsidRDefault="00922D58" w:rsidP="00922D58">
            <w:pPr>
              <w:pStyle w:val="Marginlie"/>
              <w:rPr>
                <w:lang w:val="en-GB"/>
              </w:rPr>
            </w:pPr>
          </w:p>
          <w:p w14:paraId="394AE0BD" w14:textId="77777777" w:rsidR="00922D58" w:rsidRPr="001A0A01" w:rsidRDefault="00922D58" w:rsidP="00922D58">
            <w:pPr>
              <w:pStyle w:val="Marginlie"/>
              <w:rPr>
                <w:lang w:val="en-GB"/>
              </w:rPr>
            </w:pPr>
          </w:p>
          <w:p w14:paraId="089C85D6" w14:textId="77777777" w:rsidR="00922D58" w:rsidRPr="001A0A01" w:rsidRDefault="00922D58" w:rsidP="00922D58">
            <w:pPr>
              <w:pStyle w:val="Marginlie"/>
              <w:rPr>
                <w:lang w:val="en-GB"/>
              </w:rPr>
            </w:pPr>
            <w:bookmarkStart w:id="112" w:name="_Hlk179236347"/>
            <w:r w:rsidRPr="001A0A01">
              <w:rPr>
                <w:lang w:val="en-GB"/>
              </w:rPr>
              <w:t xml:space="preserve">Current subsidies to local budgets decreased overall, despite a slight increase in expenditure on the salaries of workers in regional education. </w:t>
            </w:r>
            <w:bookmarkEnd w:id="112"/>
          </w:p>
        </w:tc>
        <w:tc>
          <w:tcPr>
            <w:tcW w:w="203" w:type="dxa"/>
            <w:shd w:val="clear" w:color="auto" w:fill="auto"/>
            <w:tcMar>
              <w:left w:w="0" w:type="dxa"/>
            </w:tcMar>
          </w:tcPr>
          <w:p w14:paraId="77C707AE"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297E8D1B" w14:textId="77777777" w:rsidR="00922D58" w:rsidRPr="001A0A01" w:rsidRDefault="00922D58" w:rsidP="00922D58">
            <w:pPr>
              <w:spacing w:after="190"/>
              <w:rPr>
                <w:color w:val="0D0D0D" w:themeColor="text1" w:themeTint="F2"/>
                <w:spacing w:val="-4"/>
                <w:lang w:val="en-GB"/>
              </w:rPr>
            </w:pPr>
            <w:bookmarkStart w:id="113" w:name="_Hlk179236373"/>
            <w:r w:rsidRPr="001A0A01">
              <w:rPr>
                <w:color w:val="0D0D0D" w:themeColor="text1" w:themeTint="F2"/>
                <w:spacing w:val="-4"/>
                <w:lang w:val="en-GB"/>
              </w:rPr>
              <w:t xml:space="preserve">The expected reduction of support in the energy sector is reflected in the deep decline of current transfers to entrepreneurs in H1 this year (by 48%, year-on-year, 37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These are mainly compensations for the supply of electricity and gas to customers and for losses due to the capping of their prices, as well as subsidies to the transmission system operator. In addition, aid to companies in energy-intensive industries has been completely stopped this year. On the contrary, there was a relatively slight decrease in advance subsidies for renewable energy sources. The total amount of transfers to businesses in H1 2024 (40.6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was the second lowest in the last five years in the same period of the year. Volume-significant current transfers to local budgets lagged behind the level from H1 2023 this year in line with the budget anticipations (−4.5%, −8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Lower expenditure on European projects, together with a decrease in the compensation allowance for emergency accommodation of refugees from Ukraine, outweighed the impact of a slight increase in subsidies for regional education (+2.6%) intended primarily for the salaries of its staff. </w:t>
            </w:r>
            <w:bookmarkEnd w:id="113"/>
          </w:p>
        </w:tc>
      </w:tr>
      <w:tr w:rsidR="00922D58" w:rsidRPr="001A0A01" w14:paraId="5552879A" w14:textId="77777777" w:rsidTr="00E551F6">
        <w:trPr>
          <w:trHeight w:val="170"/>
        </w:trPr>
        <w:tc>
          <w:tcPr>
            <w:tcW w:w="1810" w:type="dxa"/>
            <w:shd w:val="clear" w:color="auto" w:fill="auto"/>
            <w:tcMar>
              <w:left w:w="0" w:type="dxa"/>
            </w:tcMar>
          </w:tcPr>
          <w:p w14:paraId="26BFA35C" w14:textId="77777777" w:rsidR="00922D58" w:rsidRPr="001A0A01" w:rsidRDefault="00922D58" w:rsidP="00922D58">
            <w:pPr>
              <w:pStyle w:val="Marginlie"/>
              <w:rPr>
                <w:lang w:val="en-GB"/>
              </w:rPr>
            </w:pPr>
            <w:r w:rsidRPr="001A0A01">
              <w:rPr>
                <w:lang w:val="en-GB"/>
              </w:rPr>
              <w:t>Investment expenditures of the SB after rapid growth in the previous two years fell slightly this year. This is related to the transition to the new EU Programming period.</w:t>
            </w:r>
          </w:p>
          <w:p w14:paraId="1223AC68" w14:textId="77777777" w:rsidR="00AE31F4" w:rsidRDefault="00AE31F4" w:rsidP="00922D58">
            <w:pPr>
              <w:pStyle w:val="Marginlie"/>
              <w:rPr>
                <w:lang w:val="en-GB"/>
              </w:rPr>
            </w:pPr>
          </w:p>
          <w:p w14:paraId="71F3919F" w14:textId="77777777" w:rsidR="00AE31F4" w:rsidRDefault="00AE31F4" w:rsidP="00922D58">
            <w:pPr>
              <w:pStyle w:val="Marginlie"/>
              <w:rPr>
                <w:lang w:val="en-GB"/>
              </w:rPr>
            </w:pPr>
          </w:p>
          <w:p w14:paraId="20EAC4FC" w14:textId="480B3B6D" w:rsidR="00922D58" w:rsidRPr="001A0A01" w:rsidRDefault="00922D58" w:rsidP="00922D58">
            <w:pPr>
              <w:pStyle w:val="Marginlie"/>
              <w:rPr>
                <w:lang w:val="en-GB"/>
              </w:rPr>
            </w:pPr>
            <w:r w:rsidRPr="001A0A01">
              <w:rPr>
                <w:lang w:val="en-GB"/>
              </w:rPr>
              <w:t>Growth in expenditure on investment purchases accelerated thanks to military contracts.</w:t>
            </w:r>
          </w:p>
          <w:p w14:paraId="6993B2BD" w14:textId="77777777" w:rsidR="00922D58" w:rsidRPr="001A0A01" w:rsidRDefault="00922D58" w:rsidP="00922D58">
            <w:pPr>
              <w:pStyle w:val="Marginlie"/>
              <w:rPr>
                <w:lang w:val="en-GB"/>
              </w:rPr>
            </w:pPr>
          </w:p>
        </w:tc>
        <w:tc>
          <w:tcPr>
            <w:tcW w:w="203" w:type="dxa"/>
            <w:shd w:val="clear" w:color="auto" w:fill="auto"/>
            <w:tcMar>
              <w:left w:w="0" w:type="dxa"/>
            </w:tcMar>
          </w:tcPr>
          <w:p w14:paraId="623CE987"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55D7DD52" w14:textId="77777777" w:rsidR="00922D58" w:rsidRPr="001A0A01" w:rsidRDefault="00922D58" w:rsidP="00922D58">
            <w:pPr>
              <w:spacing w:after="220"/>
              <w:rPr>
                <w:color w:val="0D0D0D" w:themeColor="text1" w:themeTint="F2"/>
                <w:spacing w:val="-4"/>
                <w:lang w:val="en-GB"/>
              </w:rPr>
            </w:pPr>
            <w:bookmarkStart w:id="114" w:name="_Hlk179236990"/>
            <w:r w:rsidRPr="001A0A01">
              <w:rPr>
                <w:color w:val="0D0D0D" w:themeColor="text1" w:themeTint="F2"/>
                <w:spacing w:val="-4"/>
                <w:lang w:val="en-GB"/>
              </w:rPr>
              <w:t xml:space="preserve">SB capital expenditure decreased slightly, year-on-year, this year (by 3.3%, 2.6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after double-digit growth in H1 of both 2022 and 2023. The approved SB expects a more than 10% year-round decrease in total capital expenditure due to the traditionally slower launch of investment in the new EU programming period. Slightly more than half of the investments implemented so far this year have been directed to joint projects of the CR and the EU (40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Lower expenditure on state funds – especially on transport infrastructure, the environment and agriculture played a role in the total decrease of investment. In contrast, the investment purchases grew briskly (+47%, +5.6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especially for the defence of the CR. The transfers to territorial budgets, universities or entrepreneurs, allocated mainly on the National Recovery Programme and the Integrated Regional Operational Programme, increased more modestly in absolute terms. The total investment of the SB accounted for 6.7% of all budget expenditures so far this year. It constitutes an average share for this period of the year in the context of the last decade (and at the same time higher than in years 2017 and 2018, when the transition to the new EU Programming period took place).</w:t>
            </w:r>
            <w:bookmarkEnd w:id="114"/>
          </w:p>
        </w:tc>
      </w:tr>
      <w:tr w:rsidR="00922D58" w:rsidRPr="001A0A01" w14:paraId="4122A1FA" w14:textId="77777777" w:rsidTr="00E551F6">
        <w:trPr>
          <w:trHeight w:val="170"/>
        </w:trPr>
        <w:tc>
          <w:tcPr>
            <w:tcW w:w="1810" w:type="dxa"/>
            <w:shd w:val="clear" w:color="auto" w:fill="auto"/>
            <w:tcMar>
              <w:left w:w="0" w:type="dxa"/>
            </w:tcMar>
          </w:tcPr>
          <w:p w14:paraId="5A28FF9A" w14:textId="77777777" w:rsidR="00922D58" w:rsidRPr="001A0A01" w:rsidRDefault="00922D58" w:rsidP="00922D58">
            <w:pPr>
              <w:pStyle w:val="Marginlie"/>
              <w:rPr>
                <w:lang w:val="en-GB"/>
              </w:rPr>
            </w:pPr>
            <w:r w:rsidRPr="001A0A01">
              <w:rPr>
                <w:lang w:val="en-GB"/>
              </w:rPr>
              <w:t>The CR revenues from the EU budget (excluding the Recovery Instrument) fell by almost one half, year-on-year. The CR net position vis-à-vis the EU was slightly negative.</w:t>
            </w:r>
          </w:p>
        </w:tc>
        <w:tc>
          <w:tcPr>
            <w:tcW w:w="203" w:type="dxa"/>
            <w:shd w:val="clear" w:color="auto" w:fill="auto"/>
            <w:tcMar>
              <w:left w:w="0" w:type="dxa"/>
            </w:tcMar>
          </w:tcPr>
          <w:p w14:paraId="71E29CEC"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4A428CAC" w14:textId="731F6D9B" w:rsidR="00922D58" w:rsidRDefault="00922D58" w:rsidP="00922D58">
            <w:pPr>
              <w:spacing w:after="180"/>
              <w:rPr>
                <w:color w:val="0D0D0D" w:themeColor="text1" w:themeTint="F2"/>
                <w:spacing w:val="-4"/>
                <w:lang w:val="en-GB"/>
              </w:rPr>
            </w:pPr>
            <w:r w:rsidRPr="001A0A01">
              <w:rPr>
                <w:color w:val="0D0D0D" w:themeColor="text1" w:themeTint="F2"/>
                <w:spacing w:val="-4"/>
                <w:lang w:val="en-GB"/>
              </w:rPr>
              <w:t xml:space="preserve">The total revenues of the CR from the EU budget (excluding the European Recovery Instrument or the National Recovery Plan – NRP, respectively) fell by almost one half (to 28.5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year-on-year, in H1 this year. Revenues from the Cohesion Fund (−94%) and the Structural Funds (−49%) were reduced the most, among the less weight-important sources then the rural development funds (−64%). Direct payments to agriculture, which are traditionally quite stable, decreased less (−22%). Nevertheless, there was also a slight decrease in total payments of the CR to the EU budget (−12%). The net position of the CR towards the EU budget (e</w:t>
            </w:r>
            <w:r w:rsidR="0041630C">
              <w:rPr>
                <w:color w:val="0D0D0D" w:themeColor="text1" w:themeTint="F2"/>
                <w:spacing w:val="-4"/>
                <w:lang w:val="en-GB"/>
              </w:rPr>
              <w:t xml:space="preserve">xcluding NRP) thus amounted to </w:t>
            </w:r>
            <w:r w:rsidR="0041630C" w:rsidRPr="001A0A01">
              <w:rPr>
                <w:color w:val="0D0D0D" w:themeColor="text1" w:themeTint="F2"/>
                <w:spacing w:val="-4"/>
                <w:lang w:val="en-GB"/>
              </w:rPr>
              <w:t>−</w:t>
            </w:r>
            <w:r w:rsidRPr="001A0A01">
              <w:rPr>
                <w:color w:val="0D0D0D" w:themeColor="text1" w:themeTint="F2"/>
                <w:spacing w:val="-4"/>
                <w:lang w:val="en-GB"/>
              </w:rPr>
              <w:t xml:space="preserve">1.2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this year, which represented the first negative balance for H1 since the CR's accession to the EU. If we also include the funds from the NRP that the CR has received since year 2021, the total balance with the EU would continue to be substantially positive. The CR has received 34.9 </w:t>
            </w:r>
            <w:proofErr w:type="spellStart"/>
            <w:r w:rsidRPr="001A0A01">
              <w:rPr>
                <w:color w:val="0D0D0D" w:themeColor="text1" w:themeTint="F2"/>
                <w:spacing w:val="-4"/>
                <w:lang w:val="en-GB"/>
              </w:rPr>
              <w:t>bn</w:t>
            </w:r>
            <w:proofErr w:type="spellEnd"/>
            <w:r w:rsidRPr="001A0A01">
              <w:rPr>
                <w:color w:val="0D0D0D" w:themeColor="text1" w:themeTint="F2"/>
                <w:spacing w:val="-4"/>
                <w:lang w:val="en-GB"/>
              </w:rPr>
              <w:t xml:space="preserve"> CZK from this instrument so far this year, up 41%, year-on-year. </w:t>
            </w:r>
          </w:p>
          <w:p w14:paraId="1DAAEBBE" w14:textId="7E4C255E" w:rsidR="00C503A6" w:rsidRPr="001A0A01" w:rsidRDefault="00C503A6" w:rsidP="00922D58">
            <w:pPr>
              <w:spacing w:after="180"/>
              <w:rPr>
                <w:color w:val="0D0D0D" w:themeColor="text1" w:themeTint="F2"/>
                <w:spacing w:val="-4"/>
                <w:lang w:val="en-GB"/>
              </w:rPr>
            </w:pPr>
          </w:p>
        </w:tc>
      </w:tr>
      <w:tr w:rsidR="00922D58" w:rsidRPr="001A0A01" w14:paraId="282514E6" w14:textId="77777777" w:rsidTr="00E551F6">
        <w:trPr>
          <w:trHeight w:val="170"/>
        </w:trPr>
        <w:tc>
          <w:tcPr>
            <w:tcW w:w="1810" w:type="dxa"/>
            <w:shd w:val="clear" w:color="auto" w:fill="auto"/>
            <w:tcMar>
              <w:left w:w="0" w:type="dxa"/>
            </w:tcMar>
          </w:tcPr>
          <w:p w14:paraId="68ACD85F" w14:textId="77777777" w:rsidR="00922D58" w:rsidRPr="001A0A01" w:rsidRDefault="00922D58" w:rsidP="00922D58">
            <w:pPr>
              <w:pStyle w:val="Marginlie"/>
              <w:rPr>
                <w:lang w:val="en-GB"/>
              </w:rPr>
            </w:pPr>
          </w:p>
        </w:tc>
        <w:tc>
          <w:tcPr>
            <w:tcW w:w="203" w:type="dxa"/>
            <w:shd w:val="clear" w:color="auto" w:fill="auto"/>
            <w:tcMar>
              <w:left w:w="0" w:type="dxa"/>
            </w:tcMar>
          </w:tcPr>
          <w:p w14:paraId="49F5AB93"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70C3F1ED" w14:textId="77777777" w:rsidR="00922D58" w:rsidRPr="001A0A01" w:rsidRDefault="00922D58" w:rsidP="00922D58">
            <w:pPr>
              <w:spacing w:after="0"/>
              <w:rPr>
                <w:color w:val="0D0D0D" w:themeColor="text1" w:themeTint="F2"/>
                <w:spacing w:val="-3"/>
                <w:lang w:val="en-GB"/>
              </w:rPr>
            </w:pPr>
            <w:r w:rsidRPr="001A0A01">
              <w:rPr>
                <w:b/>
                <w:lang w:val="en-GB"/>
              </w:rPr>
              <w:t>Chart 18 Selected expenditures of the state budget within H1</w:t>
            </w:r>
          </w:p>
        </w:tc>
      </w:tr>
      <w:tr w:rsidR="00922D58" w:rsidRPr="001A0A01" w14:paraId="1A221B7A" w14:textId="77777777" w:rsidTr="00BA7CB2">
        <w:tblPrEx>
          <w:tblCellMar>
            <w:left w:w="70" w:type="dxa"/>
            <w:right w:w="70" w:type="dxa"/>
          </w:tblCellMar>
        </w:tblPrEx>
        <w:trPr>
          <w:trHeight w:val="170"/>
        </w:trPr>
        <w:tc>
          <w:tcPr>
            <w:tcW w:w="1810" w:type="dxa"/>
            <w:shd w:val="clear" w:color="auto" w:fill="auto"/>
          </w:tcPr>
          <w:p w14:paraId="319F8283" w14:textId="77777777" w:rsidR="00922D58" w:rsidRPr="001A0A01" w:rsidRDefault="00922D58" w:rsidP="00922D58">
            <w:pPr>
              <w:pStyle w:val="Marginlie"/>
              <w:rPr>
                <w:lang w:val="en-GB"/>
              </w:rPr>
            </w:pPr>
          </w:p>
        </w:tc>
        <w:tc>
          <w:tcPr>
            <w:tcW w:w="203" w:type="dxa"/>
            <w:shd w:val="clear" w:color="auto" w:fill="auto"/>
          </w:tcPr>
          <w:p w14:paraId="4F5EB5F4" w14:textId="77777777" w:rsidR="00922D58" w:rsidRPr="001A0A01" w:rsidRDefault="00922D58" w:rsidP="00922D58">
            <w:pPr>
              <w:pStyle w:val="Textpoznpodarou"/>
              <w:jc w:val="both"/>
              <w:rPr>
                <w:spacing w:val="-4"/>
                <w:lang w:val="en-GB"/>
              </w:rPr>
            </w:pPr>
          </w:p>
        </w:tc>
        <w:tc>
          <w:tcPr>
            <w:tcW w:w="7656" w:type="dxa"/>
            <w:shd w:val="clear" w:color="auto" w:fill="auto"/>
          </w:tcPr>
          <w:p w14:paraId="7F772DB9" w14:textId="0C983EFA" w:rsidR="00922D58" w:rsidRPr="001A0A01" w:rsidRDefault="00BA7CB2" w:rsidP="00BA7CB2">
            <w:pPr>
              <w:spacing w:before="40" w:after="0"/>
              <w:rPr>
                <w:color w:val="0D0D0D" w:themeColor="text1" w:themeTint="F2"/>
                <w:spacing w:val="-3"/>
                <w:lang w:val="en-GB"/>
              </w:rPr>
            </w:pPr>
            <w:r>
              <w:rPr>
                <w:noProof/>
              </w:rPr>
              <w:drawing>
                <wp:inline distT="0" distB="0" distL="0" distR="0" wp14:anchorId="47B4A4C2" wp14:editId="7174CD43">
                  <wp:extent cx="4738977" cy="3630930"/>
                  <wp:effectExtent l="0" t="0" r="5080" b="762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922D58" w:rsidRPr="001A0A01" w14:paraId="4A3D9A36" w14:textId="77777777" w:rsidTr="00E551F6">
        <w:trPr>
          <w:trHeight w:val="170"/>
        </w:trPr>
        <w:tc>
          <w:tcPr>
            <w:tcW w:w="1810" w:type="dxa"/>
            <w:shd w:val="clear" w:color="auto" w:fill="auto"/>
            <w:tcMar>
              <w:left w:w="0" w:type="dxa"/>
            </w:tcMar>
          </w:tcPr>
          <w:p w14:paraId="2984E82B" w14:textId="77777777" w:rsidR="00922D58" w:rsidRPr="001A0A01" w:rsidRDefault="00922D58" w:rsidP="00922D58">
            <w:pPr>
              <w:pStyle w:val="Marginlie"/>
              <w:rPr>
                <w:lang w:val="en-GB"/>
              </w:rPr>
            </w:pPr>
          </w:p>
        </w:tc>
        <w:tc>
          <w:tcPr>
            <w:tcW w:w="203" w:type="dxa"/>
            <w:shd w:val="clear" w:color="auto" w:fill="auto"/>
            <w:tcMar>
              <w:left w:w="0" w:type="dxa"/>
            </w:tcMar>
          </w:tcPr>
          <w:p w14:paraId="6ACB9315"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1ED68830" w14:textId="77777777" w:rsidR="00922D58" w:rsidRPr="001A0A01" w:rsidRDefault="00922D58" w:rsidP="00922D58">
            <w:pPr>
              <w:pStyle w:val="Textpoznpodarou"/>
              <w:jc w:val="both"/>
              <w:rPr>
                <w:spacing w:val="-4"/>
                <w:sz w:val="14"/>
                <w:szCs w:val="14"/>
                <w:lang w:val="en-GB"/>
              </w:rPr>
            </w:pPr>
            <w:r w:rsidRPr="001A0A01">
              <w:rPr>
                <w:spacing w:val="-4"/>
                <w:sz w:val="14"/>
                <w:szCs w:val="14"/>
                <w:lang w:val="en-GB"/>
              </w:rPr>
              <w:t xml:space="preserve">* </w:t>
            </w:r>
            <w:r w:rsidRPr="001A0A01">
              <w:rPr>
                <w:spacing w:val="-6"/>
                <w:sz w:val="14"/>
                <w:szCs w:val="14"/>
                <w:lang w:val="en-GB"/>
              </w:rPr>
              <w:t>Covers expenditures on salaries in central government institutions. Do not include e.g. wage costs of regional education.</w:t>
            </w:r>
          </w:p>
          <w:p w14:paraId="27336125"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**Also includes the foster care benefits.</w:t>
            </w:r>
          </w:p>
          <w:p w14:paraId="79229BC2"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***Include Material deprivation assistance benefits, Benefits for people with disabilities, Care benefits based on Act on State Social Support. Humanitarian aid provided for citizens of Ukraine is also included here.</w:t>
            </w:r>
          </w:p>
          <w:p w14:paraId="3FBE6114" w14:textId="77777777" w:rsidR="00922D58" w:rsidRPr="001A0A01" w:rsidRDefault="00922D58" w:rsidP="00922D58">
            <w:pPr>
              <w:pStyle w:val="Textpoznpodarou"/>
              <w:jc w:val="both"/>
              <w:rPr>
                <w:spacing w:val="-6"/>
                <w:sz w:val="14"/>
                <w:szCs w:val="14"/>
                <w:lang w:val="en-GB"/>
              </w:rPr>
            </w:pPr>
            <w:r w:rsidRPr="001A0A01">
              <w:rPr>
                <w:spacing w:val="-6"/>
                <w:sz w:val="14"/>
                <w:szCs w:val="14"/>
                <w:lang w:val="en-GB"/>
              </w:rPr>
              <w:t>****Contains mainly expenditures on purchase of services, materials, energies or other services (e.g. expenditures on repairs and maintenance).</w:t>
            </w:r>
          </w:p>
          <w:p w14:paraId="059F22FF" w14:textId="77777777" w:rsidR="00922D58" w:rsidRPr="001A0A01" w:rsidRDefault="00922D58" w:rsidP="00922D58">
            <w:pPr>
              <w:pStyle w:val="Textpoznpodarou"/>
              <w:jc w:val="both"/>
              <w:rPr>
                <w:spacing w:val="-4"/>
                <w:sz w:val="14"/>
                <w:szCs w:val="14"/>
                <w:lang w:val="en-GB"/>
              </w:rPr>
            </w:pPr>
            <w:r w:rsidRPr="001A0A01">
              <w:rPr>
                <w:spacing w:val="-6"/>
                <w:sz w:val="14"/>
                <w:szCs w:val="14"/>
                <w:lang w:val="en-GB"/>
              </w:rPr>
              <w:t>*****Net expenditures correspond to the balance of the budget chapter State debt (no. 396).</w:t>
            </w:r>
          </w:p>
          <w:p w14:paraId="3D82492A" w14:textId="6DE1578A" w:rsidR="00922D58" w:rsidRPr="00BA7CB2" w:rsidRDefault="00BA7CB2" w:rsidP="00BA7CB2">
            <w:pPr>
              <w:pStyle w:val="Textpoznpodarou"/>
              <w:spacing w:after="240"/>
              <w:jc w:val="both"/>
              <w:rPr>
                <w:spacing w:val="-4"/>
                <w:sz w:val="14"/>
                <w:szCs w:val="14"/>
                <w:lang w:val="en-GB"/>
              </w:rPr>
            </w:pPr>
            <w:r>
              <w:rPr>
                <w:spacing w:val="-4"/>
                <w:sz w:val="14"/>
                <w:szCs w:val="14"/>
                <w:lang w:val="en-GB"/>
              </w:rPr>
              <w:t>Source: MF CR</w:t>
            </w:r>
          </w:p>
        </w:tc>
      </w:tr>
      <w:tr w:rsidR="00922D58" w:rsidRPr="001A0A01" w14:paraId="1D277213" w14:textId="77777777" w:rsidTr="00E551F6">
        <w:trPr>
          <w:trHeight w:val="170"/>
        </w:trPr>
        <w:tc>
          <w:tcPr>
            <w:tcW w:w="1810" w:type="dxa"/>
            <w:shd w:val="clear" w:color="auto" w:fill="auto"/>
            <w:tcMar>
              <w:left w:w="0" w:type="dxa"/>
            </w:tcMar>
          </w:tcPr>
          <w:p w14:paraId="3851EE2C" w14:textId="77777777" w:rsidR="00922D58" w:rsidRPr="001A0A01" w:rsidRDefault="00922D58" w:rsidP="00922D58">
            <w:pPr>
              <w:pStyle w:val="Marginlie"/>
              <w:rPr>
                <w:lang w:val="en-GB"/>
              </w:rPr>
            </w:pPr>
            <w:r w:rsidRPr="001A0A01">
              <w:rPr>
                <w:lang w:val="en-GB"/>
              </w:rPr>
              <w:t xml:space="preserve">The year-on-year growth rate of the state debt was the lowest since Spring 2020.  </w:t>
            </w:r>
          </w:p>
          <w:p w14:paraId="3A2ADEAF" w14:textId="77777777" w:rsidR="00922D58" w:rsidRPr="001A0A01" w:rsidRDefault="00922D58" w:rsidP="00922D58">
            <w:pPr>
              <w:pStyle w:val="Marginlie"/>
              <w:rPr>
                <w:lang w:val="en-GB"/>
              </w:rPr>
            </w:pPr>
          </w:p>
          <w:p w14:paraId="19ADAB1B" w14:textId="77777777" w:rsidR="00922D58" w:rsidRPr="001A0A01" w:rsidRDefault="00922D58" w:rsidP="00922D58">
            <w:pPr>
              <w:pStyle w:val="Marginlie"/>
              <w:rPr>
                <w:lang w:val="en-GB"/>
              </w:rPr>
            </w:pPr>
          </w:p>
          <w:p w14:paraId="3689E1E2" w14:textId="77777777" w:rsidR="00922D58" w:rsidRPr="001A0A01" w:rsidRDefault="00922D58" w:rsidP="00922D58">
            <w:pPr>
              <w:pStyle w:val="Marginlie"/>
              <w:rPr>
                <w:lang w:val="en-GB"/>
              </w:rPr>
            </w:pPr>
            <w:r w:rsidRPr="001A0A01">
              <w:rPr>
                <w:lang w:val="en-GB"/>
              </w:rPr>
              <w:t>The debt increase was almost exclusively related to the internal indebtedness.</w:t>
            </w:r>
          </w:p>
          <w:p w14:paraId="62AB61FB" w14:textId="77777777" w:rsidR="00922D58" w:rsidRPr="001A0A01" w:rsidRDefault="00922D58" w:rsidP="00922D58">
            <w:pPr>
              <w:pStyle w:val="Marginlie"/>
              <w:rPr>
                <w:lang w:val="en-GB"/>
              </w:rPr>
            </w:pPr>
          </w:p>
          <w:p w14:paraId="63DAD3F1" w14:textId="77777777" w:rsidR="00922D58" w:rsidRPr="001A0A01" w:rsidRDefault="00922D58" w:rsidP="00922D58">
            <w:pPr>
              <w:pStyle w:val="Marginlie"/>
              <w:rPr>
                <w:lang w:val="en-GB"/>
              </w:rPr>
            </w:pPr>
          </w:p>
          <w:p w14:paraId="5D01A4C2" w14:textId="77777777" w:rsidR="00922D58" w:rsidRPr="001A0A01" w:rsidRDefault="00922D58" w:rsidP="00922D58">
            <w:pPr>
              <w:pStyle w:val="Marginlie"/>
              <w:rPr>
                <w:lang w:val="en-GB"/>
              </w:rPr>
            </w:pPr>
          </w:p>
          <w:p w14:paraId="231A8902" w14:textId="77777777" w:rsidR="00922D58" w:rsidRPr="001A0A01" w:rsidRDefault="00922D58" w:rsidP="00922D58">
            <w:pPr>
              <w:pStyle w:val="Marginlie"/>
              <w:rPr>
                <w:lang w:val="en-GB"/>
              </w:rPr>
            </w:pPr>
          </w:p>
          <w:p w14:paraId="4C06E618" w14:textId="77777777" w:rsidR="00922D58" w:rsidRPr="001A0A01" w:rsidRDefault="00922D58" w:rsidP="00922D58">
            <w:pPr>
              <w:pStyle w:val="Marginlie"/>
              <w:rPr>
                <w:lang w:val="en-GB"/>
              </w:rPr>
            </w:pPr>
          </w:p>
          <w:p w14:paraId="3FB614CA" w14:textId="77777777" w:rsidR="00922D58" w:rsidRPr="001A0A01" w:rsidRDefault="00922D58" w:rsidP="00922D58">
            <w:pPr>
              <w:pStyle w:val="Marginlie"/>
              <w:rPr>
                <w:lang w:val="en-GB"/>
              </w:rPr>
            </w:pPr>
          </w:p>
          <w:p w14:paraId="47485CB4" w14:textId="77777777" w:rsidR="00922D58" w:rsidRPr="001A0A01" w:rsidRDefault="00922D58" w:rsidP="00922D58">
            <w:pPr>
              <w:pStyle w:val="Marginlie"/>
              <w:rPr>
                <w:lang w:val="en-GB"/>
              </w:rPr>
            </w:pPr>
            <w:r w:rsidRPr="001A0A01">
              <w:rPr>
                <w:lang w:val="en-GB"/>
              </w:rPr>
              <w:t xml:space="preserve">The slowdown of the growth of expenditure on state debt was mainly due to last year's high </w:t>
            </w:r>
            <w:proofErr w:type="spellStart"/>
            <w:r w:rsidRPr="001A0A01">
              <w:rPr>
                <w:lang w:val="en-GB"/>
              </w:rPr>
              <w:t>payout</w:t>
            </w:r>
            <w:proofErr w:type="spellEnd"/>
            <w:r w:rsidRPr="001A0A01">
              <w:rPr>
                <w:lang w:val="en-GB"/>
              </w:rPr>
              <w:t xml:space="preserve"> of government anti-inflationary bonds. </w:t>
            </w:r>
          </w:p>
        </w:tc>
        <w:tc>
          <w:tcPr>
            <w:tcW w:w="203" w:type="dxa"/>
            <w:shd w:val="clear" w:color="auto" w:fill="auto"/>
            <w:tcMar>
              <w:left w:w="0" w:type="dxa"/>
            </w:tcMar>
          </w:tcPr>
          <w:p w14:paraId="3E193EA1"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69848D23" w14:textId="77777777" w:rsidR="00922D58" w:rsidRPr="001A0A01" w:rsidRDefault="00922D58" w:rsidP="00922D58">
            <w:pPr>
              <w:rPr>
                <w:color w:val="0D0D0D" w:themeColor="text1" w:themeTint="F2"/>
                <w:spacing w:val="-5"/>
                <w:lang w:val="en-GB"/>
              </w:rPr>
            </w:pPr>
            <w:r w:rsidRPr="001A0A01">
              <w:rPr>
                <w:color w:val="0D0D0D" w:themeColor="text1" w:themeTint="F2"/>
                <w:spacing w:val="-5"/>
                <w:lang w:val="en-GB"/>
              </w:rPr>
              <w:t xml:space="preserve">The ongoing deficit results of the SB was reflected in the state debt. It rose to 3,207 </w:t>
            </w:r>
            <w:proofErr w:type="spellStart"/>
            <w:r w:rsidRPr="001A0A01">
              <w:rPr>
                <w:color w:val="0D0D0D" w:themeColor="text1" w:themeTint="F2"/>
                <w:spacing w:val="-5"/>
                <w:lang w:val="en-GB"/>
              </w:rPr>
              <w:t>bn</w:t>
            </w:r>
            <w:proofErr w:type="spellEnd"/>
            <w:r w:rsidRPr="001A0A01">
              <w:rPr>
                <w:color w:val="0D0D0D" w:themeColor="text1" w:themeTint="F2"/>
                <w:spacing w:val="-5"/>
                <w:lang w:val="en-GB"/>
              </w:rPr>
              <w:t xml:space="preserve"> CZK at the end of Q2 2024. It increased by 5.3%, year-on-year, and grew for already twenty quarters in a row. However, the growth rate was the lowest since the onset of the covid-19 pandemic. The debt increased by 96 </w:t>
            </w:r>
            <w:proofErr w:type="spellStart"/>
            <w:r w:rsidRPr="001A0A01">
              <w:rPr>
                <w:color w:val="0D0D0D" w:themeColor="text1" w:themeTint="F2"/>
                <w:spacing w:val="-5"/>
                <w:lang w:val="en-GB"/>
              </w:rPr>
              <w:t>bn</w:t>
            </w:r>
            <w:proofErr w:type="spellEnd"/>
            <w:r w:rsidRPr="001A0A01">
              <w:rPr>
                <w:color w:val="0D0D0D" w:themeColor="text1" w:themeTint="F2"/>
                <w:spacing w:val="-5"/>
                <w:lang w:val="en-GB"/>
              </w:rPr>
              <w:t xml:space="preserve"> CZK since the beginning of year 2024. Traditionally, mostly the internal indebtedness grew, mainly due to the issue of medium- and long-term government bonds</w:t>
            </w:r>
            <w:r w:rsidRPr="001A0A01">
              <w:rPr>
                <w:rStyle w:val="Znakapoznpodarou"/>
                <w:color w:val="0D0D0D" w:themeColor="text1" w:themeTint="F2"/>
                <w:spacing w:val="-5"/>
                <w:lang w:val="en-GB"/>
              </w:rPr>
              <w:footnoteReference w:id="107"/>
            </w:r>
            <w:r w:rsidRPr="001A0A01">
              <w:rPr>
                <w:color w:val="0D0D0D" w:themeColor="text1" w:themeTint="F2"/>
                <w:spacing w:val="-5"/>
                <w:lang w:val="en-GB"/>
              </w:rPr>
              <w:t xml:space="preserve"> and, to a lesser extent, the issue of treasury bills. The external debt remained unchanged in H1 (it continued to decrease, year-on-year) and comprised less than 5% of the total state debt at the end of June this year. The issuing activity was sufficient to cover the total annual repayments of the CZK state debt in H1. Financial institutions dominated among holders of all domestic bonds in circulation at the end of June 2024 (62.1%, mainly banks, but also insurance companies and investment and pension funds), while non-residents owned 30.8% of bonds and their share decreased by less than 5 p.p. since the beginning of the year (simultaneously, the value of their bonds holdings also fell). Net expenditure on servicing the state debt reached 42.9 </w:t>
            </w:r>
            <w:proofErr w:type="spellStart"/>
            <w:r w:rsidRPr="001A0A01">
              <w:rPr>
                <w:color w:val="0D0D0D" w:themeColor="text1" w:themeTint="F2"/>
                <w:spacing w:val="-5"/>
                <w:lang w:val="en-GB"/>
              </w:rPr>
              <w:t>bn</w:t>
            </w:r>
            <w:proofErr w:type="spellEnd"/>
            <w:r w:rsidRPr="001A0A01">
              <w:rPr>
                <w:color w:val="0D0D0D" w:themeColor="text1" w:themeTint="F2"/>
                <w:spacing w:val="-5"/>
                <w:lang w:val="en-GB"/>
              </w:rPr>
              <w:t xml:space="preserve"> CZK in H1 and continued to increase rapidly for the fourth year in a row (+14%, year-on-year). However, this has slowed down compared to the record pace of the same period last year (+63%, +14.5 </w:t>
            </w:r>
            <w:proofErr w:type="spellStart"/>
            <w:r w:rsidRPr="001A0A01">
              <w:rPr>
                <w:color w:val="0D0D0D" w:themeColor="text1" w:themeTint="F2"/>
                <w:spacing w:val="-5"/>
                <w:lang w:val="en-GB"/>
              </w:rPr>
              <w:t>bn</w:t>
            </w:r>
            <w:proofErr w:type="spellEnd"/>
            <w:r w:rsidRPr="001A0A01">
              <w:rPr>
                <w:color w:val="0D0D0D" w:themeColor="text1" w:themeTint="F2"/>
                <w:spacing w:val="-5"/>
                <w:lang w:val="en-GB"/>
              </w:rPr>
              <w:t xml:space="preserve">). This development was associated with the stabilisation of the price level in the economy, which was reflected in lower payments of anti-inflationary government bonds to citizens this year and a slight decline of interest rate on other debt financing instruments. </w:t>
            </w:r>
          </w:p>
        </w:tc>
      </w:tr>
      <w:tr w:rsidR="00922D58" w:rsidRPr="001A0A01" w14:paraId="44AB23C6" w14:textId="77777777" w:rsidTr="00E551F6">
        <w:trPr>
          <w:trHeight w:val="170"/>
        </w:trPr>
        <w:tc>
          <w:tcPr>
            <w:tcW w:w="1810" w:type="dxa"/>
            <w:shd w:val="clear" w:color="auto" w:fill="auto"/>
            <w:tcMar>
              <w:left w:w="0" w:type="dxa"/>
            </w:tcMar>
          </w:tcPr>
          <w:p w14:paraId="0D500E22" w14:textId="77777777" w:rsidR="00922D58" w:rsidRPr="001A0A01" w:rsidRDefault="00922D58" w:rsidP="00922D58">
            <w:pPr>
              <w:pStyle w:val="Marginlie"/>
              <w:rPr>
                <w:color w:val="0D0D0D" w:themeColor="text1" w:themeTint="F2"/>
                <w:lang w:val="en-GB"/>
              </w:rPr>
            </w:pPr>
            <w:r w:rsidRPr="001A0A01">
              <w:rPr>
                <w:color w:val="0D0D0D" w:themeColor="text1" w:themeTint="F2"/>
                <w:lang w:val="en-GB"/>
              </w:rPr>
              <w:lastRenderedPageBreak/>
              <w:t xml:space="preserve">Government expenditure grew the least in the last eight quarters. It resulted from the reduction of subsidies, but also a slowdown of the growth of intermediate consumption or wages paid. Revenue grew at a steady pace. </w:t>
            </w:r>
          </w:p>
        </w:tc>
        <w:tc>
          <w:tcPr>
            <w:tcW w:w="203" w:type="dxa"/>
            <w:shd w:val="clear" w:color="auto" w:fill="auto"/>
            <w:tcMar>
              <w:left w:w="0" w:type="dxa"/>
            </w:tcMar>
          </w:tcPr>
          <w:p w14:paraId="533AEFEA" w14:textId="77777777" w:rsidR="00922D58" w:rsidRPr="001A0A01" w:rsidRDefault="00922D58" w:rsidP="00922D58">
            <w:pPr>
              <w:pStyle w:val="Textpoznpodarou"/>
              <w:jc w:val="both"/>
              <w:rPr>
                <w:color w:val="0D0D0D" w:themeColor="text1" w:themeTint="F2"/>
                <w:spacing w:val="-4"/>
                <w:lang w:val="en-GB"/>
              </w:rPr>
            </w:pPr>
          </w:p>
        </w:tc>
        <w:tc>
          <w:tcPr>
            <w:tcW w:w="7656" w:type="dxa"/>
            <w:shd w:val="clear" w:color="auto" w:fill="auto"/>
            <w:tcMar>
              <w:left w:w="0" w:type="dxa"/>
            </w:tcMar>
          </w:tcPr>
          <w:p w14:paraId="1712BB61" w14:textId="77777777" w:rsidR="00922D58" w:rsidRPr="001A0A01" w:rsidRDefault="00922D58" w:rsidP="00922D58">
            <w:pPr>
              <w:rPr>
                <w:color w:val="0D0D0D" w:themeColor="text1" w:themeTint="F2"/>
                <w:spacing w:val="-3"/>
                <w:lang w:val="en-GB"/>
              </w:rPr>
            </w:pPr>
            <w:r w:rsidRPr="001A0A01">
              <w:rPr>
                <w:color w:val="0D0D0D" w:themeColor="text1" w:themeTint="F2"/>
                <w:spacing w:val="-3"/>
                <w:lang w:val="en-GB"/>
              </w:rPr>
              <w:t xml:space="preserve">The general government (VI) sector in </w:t>
            </w:r>
            <w:proofErr w:type="spellStart"/>
            <w:r w:rsidRPr="001A0A01">
              <w:rPr>
                <w:color w:val="0D0D0D" w:themeColor="text1" w:themeTint="F2"/>
                <w:spacing w:val="-3"/>
                <w:lang w:val="en-GB"/>
              </w:rPr>
              <w:t>Czechia</w:t>
            </w:r>
            <w:proofErr w:type="spellEnd"/>
            <w:r w:rsidRPr="001A0A01">
              <w:rPr>
                <w:color w:val="0D0D0D" w:themeColor="text1" w:themeTint="F2"/>
                <w:spacing w:val="-3"/>
                <w:lang w:val="en-GB"/>
              </w:rPr>
              <w:t xml:space="preserve"> ran a deficit of 59 </w:t>
            </w:r>
            <w:proofErr w:type="spellStart"/>
            <w:r w:rsidRPr="001A0A01">
              <w:rPr>
                <w:color w:val="0D0D0D" w:themeColor="text1" w:themeTint="F2"/>
                <w:spacing w:val="-3"/>
                <w:lang w:val="en-GB"/>
              </w:rPr>
              <w:t>bn</w:t>
            </w:r>
            <w:proofErr w:type="spellEnd"/>
            <w:r w:rsidRPr="001A0A01">
              <w:rPr>
                <w:color w:val="0D0D0D" w:themeColor="text1" w:themeTint="F2"/>
                <w:spacing w:val="-3"/>
                <w:lang w:val="en-GB"/>
              </w:rPr>
              <w:t xml:space="preserve"> CZK</w:t>
            </w:r>
            <w:r w:rsidRPr="001A0A01">
              <w:rPr>
                <w:rStyle w:val="Znakapoznpodarou"/>
                <w:color w:val="0D0D0D" w:themeColor="text1" w:themeTint="F2"/>
                <w:spacing w:val="-3"/>
                <w:lang w:val="en-GB"/>
              </w:rPr>
              <w:footnoteReference w:id="108"/>
            </w:r>
            <w:r w:rsidRPr="001A0A01">
              <w:rPr>
                <w:color w:val="0D0D0D" w:themeColor="text1" w:themeTint="F2"/>
                <w:spacing w:val="-3"/>
                <w:lang w:val="en-GB"/>
              </w:rPr>
              <w:t xml:space="preserve"> in Q1 2024,</w:t>
            </w:r>
            <w:r w:rsidRPr="001A0A01">
              <w:rPr>
                <w:rStyle w:val="Znakapoznpodarou"/>
                <w:color w:val="0D0D0D" w:themeColor="text1" w:themeTint="F2"/>
                <w:spacing w:val="-3"/>
                <w:lang w:val="en-GB"/>
              </w:rPr>
              <w:footnoteReference w:id="109"/>
            </w:r>
            <w:r w:rsidRPr="001A0A01">
              <w:rPr>
                <w:color w:val="0D0D0D" w:themeColor="text1" w:themeTint="F2"/>
                <w:spacing w:val="-3"/>
                <w:lang w:val="en-GB"/>
              </w:rPr>
              <w:t xml:space="preserve"> which was almost one half lower, year-on-year. It presented the smallest deficit within the first quarters in the last four years. The year-on-year reduction in the deficit (−49 </w:t>
            </w:r>
            <w:proofErr w:type="spellStart"/>
            <w:r w:rsidRPr="001A0A01">
              <w:rPr>
                <w:color w:val="0D0D0D" w:themeColor="text1" w:themeTint="F2"/>
                <w:spacing w:val="-3"/>
                <w:lang w:val="en-GB"/>
              </w:rPr>
              <w:t>bn</w:t>
            </w:r>
            <w:proofErr w:type="spellEnd"/>
            <w:r w:rsidRPr="001A0A01">
              <w:rPr>
                <w:color w:val="0D0D0D" w:themeColor="text1" w:themeTint="F2"/>
                <w:spacing w:val="-3"/>
                <w:lang w:val="en-GB"/>
              </w:rPr>
              <w:t xml:space="preserve"> CZK) was due to a noticeable easing of pace of the expenditure growth (to 1.7%, the least in the last eight quarters) while maintaining a stable revenue growth (9.2%). Income growth was influenced by the strengthening collection of current taxes on income and wealth (to 20%) and steadily growing net social contributions (8.6%). Mainly the higher social benefits (including social transfers in kind) were reflected in the expenditure dynamics, nevertheless their growth slowed down (to 6.3%, to 13.3% a year earlier). Both the growth of intermediate consumption (to 6.2%) and compensation paid to employees (3.9%) significantly moderated. The expected deep slump of subsidies (−38%, −24 </w:t>
            </w:r>
            <w:proofErr w:type="spellStart"/>
            <w:r w:rsidRPr="001A0A01">
              <w:rPr>
                <w:color w:val="0D0D0D" w:themeColor="text1" w:themeTint="F2"/>
                <w:spacing w:val="-3"/>
                <w:lang w:val="en-GB"/>
              </w:rPr>
              <w:t>bn</w:t>
            </w:r>
            <w:proofErr w:type="spellEnd"/>
            <w:r w:rsidRPr="001A0A01">
              <w:rPr>
                <w:color w:val="0D0D0D" w:themeColor="text1" w:themeTint="F2"/>
                <w:spacing w:val="-3"/>
                <w:lang w:val="en-GB"/>
              </w:rPr>
              <w:t xml:space="preserve"> CZK), </w:t>
            </w:r>
            <w:proofErr w:type="gramStart"/>
            <w:r w:rsidRPr="001A0A01">
              <w:rPr>
                <w:color w:val="0D0D0D" w:themeColor="text1" w:themeTint="F2"/>
                <w:spacing w:val="-3"/>
                <w:lang w:val="en-GB"/>
              </w:rPr>
              <w:t>whose</w:t>
            </w:r>
            <w:proofErr w:type="gramEnd"/>
            <w:r w:rsidRPr="001A0A01">
              <w:rPr>
                <w:color w:val="0D0D0D" w:themeColor="text1" w:themeTint="F2"/>
                <w:spacing w:val="-3"/>
                <w:lang w:val="en-GB"/>
              </w:rPr>
              <w:t xml:space="preserve"> nominal level roughly returned to the level of early 2022 represented the most significant change. Fixed investment formation (−3.8%) also decreased, year on year, for the first time since the end of 2016.  </w:t>
            </w:r>
          </w:p>
        </w:tc>
      </w:tr>
      <w:tr w:rsidR="00922D58" w:rsidRPr="001A0A01" w14:paraId="287B57BD" w14:textId="77777777" w:rsidTr="00E551F6">
        <w:trPr>
          <w:trHeight w:val="170"/>
        </w:trPr>
        <w:tc>
          <w:tcPr>
            <w:tcW w:w="1810" w:type="dxa"/>
            <w:shd w:val="clear" w:color="auto" w:fill="auto"/>
            <w:tcMar>
              <w:left w:w="0" w:type="dxa"/>
            </w:tcMar>
          </w:tcPr>
          <w:p w14:paraId="74882ADC" w14:textId="77777777" w:rsidR="00922D58" w:rsidRPr="001A0A01" w:rsidRDefault="00922D58" w:rsidP="00922D58">
            <w:pPr>
              <w:pStyle w:val="Marginlie"/>
              <w:rPr>
                <w:lang w:val="en-GB"/>
              </w:rPr>
            </w:pPr>
            <w:r w:rsidRPr="001A0A01">
              <w:rPr>
                <w:lang w:val="en-GB"/>
              </w:rPr>
              <w:t xml:space="preserve">The general government deficit shrank in the EU in Q1 2024. It fell by one half in the CR, year-on-year, and its level was lower than in the EU for the second quarter in a row.  </w:t>
            </w:r>
          </w:p>
          <w:p w14:paraId="26E12226" w14:textId="77777777" w:rsidR="00922D58" w:rsidRPr="001A0A01" w:rsidRDefault="00922D58" w:rsidP="00922D58">
            <w:pPr>
              <w:pStyle w:val="Marginlie"/>
              <w:rPr>
                <w:lang w:val="en-GB"/>
              </w:rPr>
            </w:pPr>
          </w:p>
          <w:p w14:paraId="25E7D8C2" w14:textId="77777777" w:rsidR="00922D58" w:rsidRPr="001A0A01" w:rsidRDefault="00922D58" w:rsidP="00922D58">
            <w:pPr>
              <w:pStyle w:val="Marginlie"/>
              <w:rPr>
                <w:lang w:val="en-GB"/>
              </w:rPr>
            </w:pPr>
          </w:p>
          <w:p w14:paraId="4A7352DB" w14:textId="77777777" w:rsidR="00922D58" w:rsidRPr="001A0A01" w:rsidRDefault="00922D58" w:rsidP="00922D58">
            <w:pPr>
              <w:pStyle w:val="Marginlie"/>
              <w:rPr>
                <w:lang w:val="en-GB"/>
              </w:rPr>
            </w:pPr>
          </w:p>
          <w:p w14:paraId="453E873B" w14:textId="77777777" w:rsidR="00922D58" w:rsidRPr="001A0A01" w:rsidRDefault="00922D58" w:rsidP="00922D58">
            <w:pPr>
              <w:pStyle w:val="Marginlie"/>
              <w:rPr>
                <w:lang w:val="en-GB"/>
              </w:rPr>
            </w:pPr>
          </w:p>
          <w:p w14:paraId="0AD6BCF3" w14:textId="77777777" w:rsidR="00922D58" w:rsidRPr="001A0A01" w:rsidRDefault="00922D58" w:rsidP="00922D58">
            <w:pPr>
              <w:pStyle w:val="Marginlie"/>
              <w:rPr>
                <w:lang w:val="en-GB"/>
              </w:rPr>
            </w:pPr>
          </w:p>
          <w:p w14:paraId="6B1B79EF" w14:textId="77777777" w:rsidR="00922D58" w:rsidRPr="001A0A01" w:rsidRDefault="00922D58" w:rsidP="00922D58">
            <w:pPr>
              <w:pStyle w:val="Marginlie"/>
              <w:rPr>
                <w:lang w:val="en-GB"/>
              </w:rPr>
            </w:pPr>
          </w:p>
          <w:p w14:paraId="1821C6DA" w14:textId="77777777" w:rsidR="00922D58" w:rsidRPr="001A0A01" w:rsidRDefault="00922D58" w:rsidP="00922D58">
            <w:pPr>
              <w:pStyle w:val="Marginlie"/>
              <w:rPr>
                <w:lang w:val="en-GB"/>
              </w:rPr>
            </w:pPr>
            <w:r w:rsidRPr="001A0A01">
              <w:rPr>
                <w:lang w:val="en-GB"/>
              </w:rPr>
              <w:t xml:space="preserve">The quarter-on-quarter descend of the debt ratio in the EU halted after three years. </w:t>
            </w:r>
          </w:p>
          <w:p w14:paraId="62D66AF1" w14:textId="77777777" w:rsidR="00922D58" w:rsidRPr="001A0A01" w:rsidRDefault="00922D58" w:rsidP="00922D58">
            <w:pPr>
              <w:pStyle w:val="Marginlie"/>
              <w:rPr>
                <w:lang w:val="en-GB"/>
              </w:rPr>
            </w:pPr>
          </w:p>
          <w:p w14:paraId="56D17FE8" w14:textId="77777777" w:rsidR="00922D58" w:rsidRPr="001A0A01" w:rsidRDefault="00922D58" w:rsidP="00922D58">
            <w:pPr>
              <w:pStyle w:val="Marginlie"/>
              <w:rPr>
                <w:lang w:val="en-GB"/>
              </w:rPr>
            </w:pPr>
          </w:p>
          <w:p w14:paraId="3E24D7C0" w14:textId="77777777" w:rsidR="00922D58" w:rsidRPr="001A0A01" w:rsidRDefault="00922D58" w:rsidP="00922D58">
            <w:pPr>
              <w:pStyle w:val="Marginlie"/>
              <w:rPr>
                <w:lang w:val="en-GB"/>
              </w:rPr>
            </w:pPr>
          </w:p>
          <w:p w14:paraId="2675ACE1" w14:textId="77777777" w:rsidR="00922D58" w:rsidRPr="001A0A01" w:rsidRDefault="00922D58" w:rsidP="00922D58">
            <w:pPr>
              <w:pStyle w:val="Marginlie"/>
              <w:rPr>
                <w:lang w:val="en-GB"/>
              </w:rPr>
            </w:pPr>
          </w:p>
          <w:p w14:paraId="0B75FC33" w14:textId="77777777" w:rsidR="00922D58" w:rsidRPr="001A0A01" w:rsidRDefault="00922D58" w:rsidP="00922D58">
            <w:pPr>
              <w:pStyle w:val="Marginlie"/>
              <w:rPr>
                <w:lang w:val="en-GB"/>
              </w:rPr>
            </w:pPr>
          </w:p>
          <w:p w14:paraId="4858D671" w14:textId="77777777" w:rsidR="00922D58" w:rsidRPr="001A0A01" w:rsidRDefault="00922D58" w:rsidP="00922D58">
            <w:pPr>
              <w:pStyle w:val="Marginlie"/>
              <w:rPr>
                <w:lang w:val="en-GB"/>
              </w:rPr>
            </w:pPr>
          </w:p>
          <w:p w14:paraId="13278372" w14:textId="77777777" w:rsidR="00922D58" w:rsidRPr="001A0A01" w:rsidRDefault="00922D58" w:rsidP="00922D58">
            <w:pPr>
              <w:jc w:val="left"/>
              <w:rPr>
                <w:spacing w:val="-2"/>
                <w:sz w:val="16"/>
                <w:szCs w:val="16"/>
                <w:lang w:val="en-GB"/>
              </w:rPr>
            </w:pPr>
            <w:r w:rsidRPr="001A0A01">
              <w:rPr>
                <w:spacing w:val="-2"/>
                <w:sz w:val="16"/>
                <w:szCs w:val="16"/>
                <w:lang w:val="en-GB"/>
              </w:rPr>
              <w:t>The CR's debt ratio was the eighth lowest in the EU, but compared to its minimum from 2015 to 2019, its increase was one of the highest among EU countries.</w:t>
            </w:r>
          </w:p>
          <w:p w14:paraId="6DEA7072" w14:textId="77777777" w:rsidR="00922D58" w:rsidRPr="001A0A01" w:rsidRDefault="00922D58" w:rsidP="00922D58">
            <w:pPr>
              <w:pStyle w:val="Marginlie"/>
              <w:rPr>
                <w:lang w:val="en-GB"/>
              </w:rPr>
            </w:pPr>
          </w:p>
        </w:tc>
        <w:tc>
          <w:tcPr>
            <w:tcW w:w="203" w:type="dxa"/>
            <w:shd w:val="clear" w:color="auto" w:fill="auto"/>
            <w:tcMar>
              <w:left w:w="0" w:type="dxa"/>
            </w:tcMar>
          </w:tcPr>
          <w:p w14:paraId="55E8C2EB" w14:textId="77777777" w:rsidR="00922D58" w:rsidRPr="001A0A01" w:rsidRDefault="00922D58" w:rsidP="00922D58">
            <w:pPr>
              <w:pStyle w:val="Textpoznpodarou"/>
              <w:jc w:val="both"/>
              <w:rPr>
                <w:spacing w:val="-4"/>
                <w:lang w:val="en-GB"/>
              </w:rPr>
            </w:pPr>
          </w:p>
        </w:tc>
        <w:tc>
          <w:tcPr>
            <w:tcW w:w="7656" w:type="dxa"/>
            <w:shd w:val="clear" w:color="auto" w:fill="auto"/>
            <w:tcMar>
              <w:left w:w="0" w:type="dxa"/>
            </w:tcMar>
          </w:tcPr>
          <w:p w14:paraId="5D8A94CD" w14:textId="77777777" w:rsidR="00922D58" w:rsidRPr="001A0A01" w:rsidRDefault="00922D58" w:rsidP="00922D58">
            <w:pPr>
              <w:rPr>
                <w:color w:val="0D0D0D" w:themeColor="text1" w:themeTint="F2"/>
                <w:spacing w:val="-6"/>
                <w:lang w:val="en-GB"/>
              </w:rPr>
            </w:pPr>
            <w:r w:rsidRPr="001A0A01">
              <w:rPr>
                <w:color w:val="0D0D0D" w:themeColor="text1" w:themeTint="F2"/>
                <w:spacing w:val="-6"/>
                <w:lang w:val="en-GB"/>
              </w:rPr>
              <w:t>The adverse trend related to slower growth of total sector VI revenues in the EU compared to their expenditure (relative to GDP)</w:t>
            </w:r>
            <w:r w:rsidRPr="001A0A01">
              <w:rPr>
                <w:rStyle w:val="Znakapoznpodarou"/>
                <w:color w:val="0D0D0D" w:themeColor="text1" w:themeTint="F2"/>
                <w:spacing w:val="-6"/>
                <w:lang w:val="en-GB"/>
              </w:rPr>
              <w:t xml:space="preserve"> </w:t>
            </w:r>
            <w:r w:rsidRPr="001A0A01">
              <w:rPr>
                <w:rStyle w:val="Znakapoznpodarou"/>
                <w:color w:val="0D0D0D" w:themeColor="text1" w:themeTint="F2"/>
                <w:spacing w:val="-6"/>
                <w:lang w:val="en-GB"/>
              </w:rPr>
              <w:footnoteReference w:id="110"/>
            </w:r>
            <w:r w:rsidRPr="001A0A01">
              <w:rPr>
                <w:color w:val="0D0D0D" w:themeColor="text1" w:themeTint="F2"/>
                <w:spacing w:val="-6"/>
                <w:lang w:val="en-GB"/>
              </w:rPr>
              <w:t>, which was evident for most of the last year, did not continue in Q1 2024. These revenues fell, quarter-on-quarter, due to weak economic growth in the Union (to 45.9% of GDP), however the reduction of expenditure was more drastic. The budget balance attained -3.0% of GDP (-3.2% in the euro area), the lowest deficit since the middle of year 2022. The deficit also reduced in the CR (by 1.2 p. p., quarter-on-quarter, by 2.1 p. p., year-on-year) to −2.0% of GDP (the best result since the end of 2019). Romania (−7.0% of GDP), Hungary (−6.0%), Bulgaria (−5.6%), Slovakia (−5.0%) and also the highly indebted economies of France (−5.6%) or Belgium (−4.5%) are currently suffering from deep deficits. Poland's deficit decreased noticeably (to −1.8%), but it deepened slightly in Germany (to −2.8%). Lithuania and Portugal reported a slight surplus, while more positive balances persevered in Ireland (+1.6%) and Denmark (+3.8%). The trend of a quarter-on-quarter decline of the debt ratio of sector VI in the EU (and the euro area), lasting almost three years, ceased in Q1 2024. The debt ratio amounted to 82.0% of GDP (or 88.7%) at the end of the year and increased by 0.5 p. p., quarter-on-quarter. The year-on-year decrease of the debt occurred in 14 countries – the highest in Portugal (from 112% of GDP to 100%) and also in Greece (from 169% of GDP to 160%), which has long been the most indebted country in the EU. Most above-average indebted countries recorded a more modest decline (except for Belgium). On the contrary, most countries with lower debt levels have seen a deterioration compared to last year (except for Sweden, the Netherlands and Luxembourg) – especially in those affected by the economic recession (Estonia</w:t>
            </w:r>
            <w:r w:rsidRPr="001A0A01">
              <w:rPr>
                <w:rStyle w:val="Znakapoznpodarou"/>
                <w:color w:val="0D0D0D" w:themeColor="text1" w:themeTint="F2"/>
                <w:spacing w:val="-6"/>
                <w:lang w:val="en-GB"/>
              </w:rPr>
              <w:footnoteReference w:id="111"/>
            </w:r>
            <w:r w:rsidRPr="001A0A01">
              <w:rPr>
                <w:color w:val="0D0D0D" w:themeColor="text1" w:themeTint="F2"/>
                <w:spacing w:val="-6"/>
                <w:lang w:val="en-GB"/>
              </w:rPr>
              <w:t xml:space="preserve"> and Finland). The debt ratio in the CR was the eighth lowest in the EU (43.4% of GDP), increasing by 0.5 p. p., year-on-year. However, compared to the minimum from the boom period (2015–2019), it strengthened by almost one half (or 13.8 p.p.</w:t>
            </w:r>
            <w:r>
              <w:rPr>
                <w:color w:val="0D0D0D" w:themeColor="text1" w:themeTint="F2"/>
                <w:spacing w:val="-6"/>
                <w:lang w:val="en-GB"/>
              </w:rPr>
              <w:t>), and by “only”</w:t>
            </w:r>
            <w:r w:rsidRPr="001A0A01">
              <w:rPr>
                <w:color w:val="0D0D0D" w:themeColor="text1" w:themeTint="F2"/>
                <w:spacing w:val="-6"/>
                <w:lang w:val="en-GB"/>
              </w:rPr>
              <w:t xml:space="preserve"> 4.2 p. p. in the whole EU. Only Romania (+18.1 p. p.), Estonia (+15.7) and France (+13.9) had worse results in this respect. On the contrary, eight Union countries currently reported debt levels below the above-mentioned minimum (e.g. Denmark, Sweden, Ireland, the Netherlands and Croatia). </w:t>
            </w:r>
          </w:p>
        </w:tc>
      </w:tr>
    </w:tbl>
    <w:p w14:paraId="2143296F" w14:textId="3A3C0968" w:rsidR="00A50D73" w:rsidRPr="00622E30" w:rsidRDefault="00A50D73" w:rsidP="00E551F6">
      <w:pPr>
        <w:pStyle w:val="Nadpis1"/>
        <w:rPr>
          <w:sz w:val="14"/>
          <w:szCs w:val="14"/>
        </w:rPr>
      </w:pPr>
    </w:p>
    <w:sectPr w:rsidR="00A50D73" w:rsidRPr="00622E30" w:rsidSect="006F5416">
      <w:headerReference w:type="even" r:id="rId35"/>
      <w:headerReference w:type="default" r:id="rId36"/>
      <w:footerReference w:type="even" r:id="rId37"/>
      <w:footerReference w:type="default" r:id="rId38"/>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67B3A" w14:textId="77777777" w:rsidR="00165465" w:rsidRDefault="00165465" w:rsidP="00E71A58">
      <w:r>
        <w:separator/>
      </w:r>
    </w:p>
  </w:endnote>
  <w:endnote w:type="continuationSeparator" w:id="0">
    <w:p w14:paraId="75C8C03F" w14:textId="77777777" w:rsidR="00165465" w:rsidRDefault="00165465" w:rsidP="00E71A58">
      <w:r>
        <w:continuationSeparator/>
      </w:r>
    </w:p>
  </w:endnote>
  <w:endnote w:type="continuationNotice" w:id="1">
    <w:p w14:paraId="339EDC3E" w14:textId="77777777" w:rsidR="00165465" w:rsidRDefault="00165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65465" w14:paraId="367EE109" w14:textId="77777777" w:rsidTr="7BDB84E4">
      <w:trPr>
        <w:trHeight w:val="300"/>
      </w:trPr>
      <w:tc>
        <w:tcPr>
          <w:tcW w:w="3210" w:type="dxa"/>
        </w:tcPr>
        <w:p w14:paraId="1A362016" w14:textId="77777777" w:rsidR="00165465" w:rsidRDefault="00165465" w:rsidP="7BDB84E4">
          <w:pPr>
            <w:pStyle w:val="Zhlav"/>
            <w:ind w:left="-115"/>
          </w:pPr>
        </w:p>
      </w:tc>
      <w:tc>
        <w:tcPr>
          <w:tcW w:w="3210" w:type="dxa"/>
        </w:tcPr>
        <w:p w14:paraId="2979AB29" w14:textId="77777777" w:rsidR="00165465" w:rsidRDefault="00165465" w:rsidP="7BDB84E4">
          <w:pPr>
            <w:pStyle w:val="Zhlav"/>
            <w:jc w:val="center"/>
          </w:pPr>
        </w:p>
      </w:tc>
      <w:tc>
        <w:tcPr>
          <w:tcW w:w="3210" w:type="dxa"/>
        </w:tcPr>
        <w:p w14:paraId="3BA7FC17" w14:textId="77777777" w:rsidR="00165465" w:rsidRDefault="00165465" w:rsidP="7BDB84E4">
          <w:pPr>
            <w:pStyle w:val="Zhlav"/>
            <w:ind w:right="-115"/>
            <w:jc w:val="right"/>
          </w:pPr>
        </w:p>
      </w:tc>
    </w:tr>
  </w:tbl>
  <w:p w14:paraId="3C8BF893" w14:textId="77777777" w:rsidR="00165465" w:rsidRDefault="00165465" w:rsidP="7BDB84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65465" w14:paraId="7369575A" w14:textId="77777777" w:rsidTr="7BDB84E4">
      <w:trPr>
        <w:trHeight w:val="300"/>
      </w:trPr>
      <w:tc>
        <w:tcPr>
          <w:tcW w:w="3210" w:type="dxa"/>
        </w:tcPr>
        <w:p w14:paraId="0DF17C82" w14:textId="77777777" w:rsidR="00165465" w:rsidRDefault="00165465" w:rsidP="7BDB84E4">
          <w:pPr>
            <w:pStyle w:val="Zhlav"/>
            <w:ind w:left="-115"/>
          </w:pPr>
        </w:p>
      </w:tc>
      <w:tc>
        <w:tcPr>
          <w:tcW w:w="3210" w:type="dxa"/>
        </w:tcPr>
        <w:p w14:paraId="04423310" w14:textId="77777777" w:rsidR="00165465" w:rsidRDefault="00165465" w:rsidP="7BDB84E4">
          <w:pPr>
            <w:pStyle w:val="Zhlav"/>
            <w:jc w:val="center"/>
          </w:pPr>
        </w:p>
      </w:tc>
      <w:tc>
        <w:tcPr>
          <w:tcW w:w="3210" w:type="dxa"/>
        </w:tcPr>
        <w:p w14:paraId="7AADAA40" w14:textId="77777777" w:rsidR="00165465" w:rsidRDefault="00165465" w:rsidP="7BDB84E4">
          <w:pPr>
            <w:pStyle w:val="Zhlav"/>
            <w:ind w:right="-115"/>
            <w:jc w:val="right"/>
          </w:pPr>
        </w:p>
      </w:tc>
    </w:tr>
  </w:tbl>
  <w:p w14:paraId="2B490C83" w14:textId="77777777" w:rsidR="00165465" w:rsidRDefault="00165465" w:rsidP="7BDB84E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1481D780" w:rsidR="00165465" w:rsidRPr="00932443" w:rsidRDefault="00165465"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E278F">
      <w:rPr>
        <w:szCs w:val="16"/>
      </w:rPr>
      <w:t>46</w:t>
    </w:r>
    <w:r w:rsidRPr="00932443">
      <w:rPr>
        <w:szCs w:val="16"/>
      </w:rPr>
      <w:fldChar w:fldCharType="end"/>
    </w:r>
    <w:r w:rsidRPr="00932443">
      <w:rPr>
        <w:szCs w:val="16"/>
      </w:rPr>
      <w:tab/>
    </w:r>
    <w:r>
      <w:rPr>
        <w:szCs w:val="16"/>
      </w:rPr>
      <w:t>First half of 2024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41C96F5C" w:rsidR="00165465" w:rsidRPr="00932443" w:rsidRDefault="00165465"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E278F">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1BFA9" w14:textId="77777777" w:rsidR="00165465" w:rsidRDefault="00165465" w:rsidP="00EA4302">
      <w:pPr>
        <w:spacing w:after="0"/>
      </w:pPr>
      <w:r>
        <w:separator/>
      </w:r>
    </w:p>
  </w:footnote>
  <w:footnote w:type="continuationSeparator" w:id="0">
    <w:p w14:paraId="048465F0" w14:textId="77777777" w:rsidR="00165465" w:rsidRDefault="00165465" w:rsidP="00E71A58">
      <w:r>
        <w:continuationSeparator/>
      </w:r>
    </w:p>
  </w:footnote>
  <w:footnote w:type="continuationNotice" w:id="1">
    <w:p w14:paraId="5CA542A2" w14:textId="77777777" w:rsidR="00165465" w:rsidRDefault="00165465">
      <w:pPr>
        <w:spacing w:after="0" w:line="240" w:lineRule="auto"/>
      </w:pPr>
    </w:p>
  </w:footnote>
  <w:footnote w:id="2">
    <w:p w14:paraId="4A569CDB" w14:textId="77777777" w:rsidR="00165465" w:rsidRDefault="00165465" w:rsidP="00E551F6">
      <w:pPr>
        <w:pStyle w:val="Textpoznpodarou"/>
        <w:jc w:val="both"/>
        <w:rPr>
          <w:spacing w:val="-2"/>
          <w:sz w:val="16"/>
          <w:szCs w:val="16"/>
        </w:rPr>
      </w:pPr>
      <w:r>
        <w:rPr>
          <w:rStyle w:val="Znakapoznpodarou"/>
          <w:spacing w:val="-2"/>
          <w:sz w:val="16"/>
          <w:szCs w:val="16"/>
        </w:rPr>
        <w:footnoteRef/>
      </w:r>
      <w:r>
        <w:rPr>
          <w:spacing w:val="-2"/>
          <w:sz w:val="16"/>
          <w:szCs w:val="16"/>
        </w:rPr>
        <w:t xml:space="preserve"> </w:t>
      </w:r>
      <w:r w:rsidRPr="00D060D1">
        <w:rPr>
          <w:spacing w:val="-2"/>
          <w:sz w:val="16"/>
          <w:szCs w:val="16"/>
          <w:lang w:val="en-GB"/>
        </w:rPr>
        <w:t>Data regarding the GDP, gross value added and their components are expressed in constant prices and adjusted for seasonal and calendar effects.</w:t>
      </w:r>
    </w:p>
  </w:footnote>
  <w:footnote w:id="3">
    <w:p w14:paraId="77CC58E5" w14:textId="77777777" w:rsidR="00165465" w:rsidRDefault="00165465" w:rsidP="00E551F6">
      <w:pPr>
        <w:pStyle w:val="Textpoznpodarou"/>
        <w:jc w:val="both"/>
        <w:rPr>
          <w:sz w:val="16"/>
          <w:szCs w:val="16"/>
        </w:rPr>
      </w:pPr>
      <w:r>
        <w:rPr>
          <w:rStyle w:val="Znakapoznpodarou"/>
          <w:sz w:val="16"/>
          <w:szCs w:val="16"/>
        </w:rPr>
        <w:footnoteRef/>
      </w:r>
      <w:r>
        <w:rPr>
          <w:sz w:val="16"/>
          <w:szCs w:val="16"/>
        </w:rPr>
        <w:t xml:space="preserve"> </w:t>
      </w:r>
      <w:r w:rsidRPr="009011BB">
        <w:rPr>
          <w:sz w:val="16"/>
          <w:szCs w:val="16"/>
          <w:lang w:val="en-GB"/>
        </w:rPr>
        <w:t>According to the methodology of quarterly national accounts (export and import in FOB/FOB prices).</w:t>
      </w:r>
    </w:p>
  </w:footnote>
  <w:footnote w:id="4">
    <w:p w14:paraId="757B3323" w14:textId="77777777" w:rsidR="00165465" w:rsidRDefault="00165465" w:rsidP="00E551F6">
      <w:pPr>
        <w:pStyle w:val="Textpoznpodarou"/>
        <w:jc w:val="both"/>
        <w:rPr>
          <w:sz w:val="16"/>
          <w:szCs w:val="16"/>
        </w:rPr>
      </w:pPr>
      <w:r>
        <w:rPr>
          <w:rStyle w:val="Znakapoznpodarou"/>
          <w:spacing w:val="-2"/>
          <w:sz w:val="16"/>
          <w:szCs w:val="16"/>
        </w:rPr>
        <w:footnoteRef/>
      </w:r>
      <w:r>
        <w:rPr>
          <w:spacing w:val="-2"/>
          <w:sz w:val="16"/>
          <w:szCs w:val="16"/>
        </w:rPr>
        <w:t xml:space="preserve"> </w:t>
      </w:r>
      <w:r>
        <w:rPr>
          <w:sz w:val="16"/>
          <w:szCs w:val="16"/>
          <w:lang w:val="en-GB"/>
        </w:rPr>
        <w:t xml:space="preserve">Employment data are in the national accounts conception and adjusted for seasonal effects. </w:t>
      </w:r>
    </w:p>
  </w:footnote>
  <w:footnote w:id="5">
    <w:p w14:paraId="2BE9A2AF" w14:textId="77777777" w:rsidR="00165465" w:rsidRPr="000348AF" w:rsidRDefault="00165465" w:rsidP="00E551F6">
      <w:pPr>
        <w:pStyle w:val="Textpoznpodarou"/>
        <w:rPr>
          <w:sz w:val="16"/>
          <w:szCs w:val="16"/>
        </w:rPr>
      </w:pPr>
      <w:r w:rsidRPr="000348AF">
        <w:rPr>
          <w:rStyle w:val="Znakapoznpodarou"/>
          <w:sz w:val="16"/>
          <w:szCs w:val="16"/>
        </w:rPr>
        <w:footnoteRef/>
      </w:r>
      <w:r w:rsidRPr="000348AF">
        <w:rPr>
          <w:sz w:val="16"/>
          <w:szCs w:val="16"/>
        </w:rPr>
        <w:t xml:space="preserve"> </w:t>
      </w:r>
      <w:r w:rsidRPr="00CE719A">
        <w:rPr>
          <w:sz w:val="16"/>
          <w:szCs w:val="16"/>
          <w:lang w:val="en-GB"/>
        </w:rPr>
        <w:t xml:space="preserve">The development of the GDP, gross value added and their components is expressed with the help of the volume indices (i.e. adjusted for changes in prices) and adjusted for seasonal and calendar effects. Data are valid as of </w:t>
      </w:r>
      <w:r>
        <w:rPr>
          <w:sz w:val="16"/>
          <w:szCs w:val="16"/>
          <w:lang w:val="en-GB"/>
        </w:rPr>
        <w:t>31</w:t>
      </w:r>
      <w:r w:rsidRPr="00FB790C">
        <w:rPr>
          <w:sz w:val="16"/>
          <w:szCs w:val="16"/>
          <w:vertAlign w:val="superscript"/>
          <w:lang w:val="en-GB"/>
        </w:rPr>
        <w:t>st</w:t>
      </w:r>
      <w:r>
        <w:rPr>
          <w:sz w:val="16"/>
          <w:szCs w:val="16"/>
          <w:lang w:val="en-GB"/>
        </w:rPr>
        <w:t xml:space="preserve"> May </w:t>
      </w:r>
      <w:r w:rsidRPr="000348AF">
        <w:rPr>
          <w:sz w:val="16"/>
          <w:szCs w:val="16"/>
        </w:rPr>
        <w:t>202</w:t>
      </w:r>
      <w:r>
        <w:rPr>
          <w:sz w:val="16"/>
          <w:szCs w:val="16"/>
        </w:rPr>
        <w:t>4</w:t>
      </w:r>
      <w:r w:rsidRPr="000348AF">
        <w:rPr>
          <w:sz w:val="16"/>
          <w:szCs w:val="16"/>
        </w:rPr>
        <w:t>.</w:t>
      </w:r>
    </w:p>
  </w:footnote>
  <w:footnote w:id="6">
    <w:p w14:paraId="3D12CB8C" w14:textId="77777777" w:rsidR="00165465" w:rsidRDefault="00165465" w:rsidP="00E551F6">
      <w:pPr>
        <w:pStyle w:val="Textpoznpodarou"/>
      </w:pPr>
      <w:r w:rsidRPr="009C6EA8">
        <w:rPr>
          <w:rStyle w:val="Znakapoznpodarou"/>
          <w:sz w:val="16"/>
          <w:szCs w:val="16"/>
        </w:rPr>
        <w:footnoteRef/>
      </w:r>
      <w:r w:rsidRPr="009C6EA8">
        <w:rPr>
          <w:sz w:val="16"/>
          <w:szCs w:val="16"/>
        </w:rPr>
        <w:t xml:space="preserve"> </w:t>
      </w:r>
      <w:proofErr w:type="spellStart"/>
      <w:r w:rsidRPr="00645D71">
        <w:rPr>
          <w:sz w:val="16"/>
          <w:szCs w:val="16"/>
        </w:rPr>
        <w:t>Employment</w:t>
      </w:r>
      <w:proofErr w:type="spellEnd"/>
      <w:r w:rsidRPr="00645D71">
        <w:rPr>
          <w:sz w:val="16"/>
          <w:szCs w:val="16"/>
        </w:rPr>
        <w:t xml:space="preserve"> data are in </w:t>
      </w:r>
      <w:proofErr w:type="spellStart"/>
      <w:r w:rsidRPr="00645D71">
        <w:rPr>
          <w:sz w:val="16"/>
          <w:szCs w:val="16"/>
        </w:rPr>
        <w:t>the</w:t>
      </w:r>
      <w:proofErr w:type="spellEnd"/>
      <w:r w:rsidRPr="00645D71">
        <w:rPr>
          <w:sz w:val="16"/>
          <w:szCs w:val="16"/>
        </w:rPr>
        <w:t xml:space="preserve"> </w:t>
      </w:r>
      <w:proofErr w:type="spellStart"/>
      <w:r w:rsidRPr="00645D71">
        <w:rPr>
          <w:sz w:val="16"/>
          <w:szCs w:val="16"/>
        </w:rPr>
        <w:t>national</w:t>
      </w:r>
      <w:proofErr w:type="spellEnd"/>
      <w:r w:rsidRPr="00645D71">
        <w:rPr>
          <w:sz w:val="16"/>
          <w:szCs w:val="16"/>
        </w:rPr>
        <w:t xml:space="preserve"> </w:t>
      </w:r>
      <w:proofErr w:type="spellStart"/>
      <w:r w:rsidRPr="00645D71">
        <w:rPr>
          <w:sz w:val="16"/>
          <w:szCs w:val="16"/>
        </w:rPr>
        <w:t>accounts</w:t>
      </w:r>
      <w:proofErr w:type="spellEnd"/>
      <w:r w:rsidRPr="00645D71">
        <w:rPr>
          <w:sz w:val="16"/>
          <w:szCs w:val="16"/>
        </w:rPr>
        <w:t xml:space="preserve"> </w:t>
      </w:r>
      <w:proofErr w:type="spellStart"/>
      <w:r w:rsidRPr="00645D71">
        <w:rPr>
          <w:sz w:val="16"/>
          <w:szCs w:val="16"/>
        </w:rPr>
        <w:t>conception</w:t>
      </w:r>
      <w:proofErr w:type="spellEnd"/>
      <w:r w:rsidRPr="00645D71">
        <w:rPr>
          <w:sz w:val="16"/>
          <w:szCs w:val="16"/>
        </w:rPr>
        <w:t xml:space="preserve"> (</w:t>
      </w:r>
      <w:proofErr w:type="spellStart"/>
      <w:r w:rsidRPr="00645D71">
        <w:rPr>
          <w:sz w:val="16"/>
          <w:szCs w:val="16"/>
        </w:rPr>
        <w:t>persons</w:t>
      </w:r>
      <w:proofErr w:type="spellEnd"/>
      <w:r w:rsidRPr="00645D71">
        <w:rPr>
          <w:sz w:val="16"/>
          <w:szCs w:val="16"/>
        </w:rPr>
        <w:t xml:space="preserve">), </w:t>
      </w:r>
      <w:proofErr w:type="spellStart"/>
      <w:r w:rsidRPr="00645D71">
        <w:rPr>
          <w:sz w:val="16"/>
          <w:szCs w:val="16"/>
        </w:rPr>
        <w:t>figure</w:t>
      </w:r>
      <w:proofErr w:type="spellEnd"/>
      <w:r w:rsidRPr="00645D71">
        <w:rPr>
          <w:sz w:val="16"/>
          <w:szCs w:val="16"/>
        </w:rPr>
        <w:t xml:space="preserve"> </w:t>
      </w:r>
      <w:proofErr w:type="spellStart"/>
      <w:r w:rsidRPr="00645D71">
        <w:rPr>
          <w:sz w:val="16"/>
          <w:szCs w:val="16"/>
        </w:rPr>
        <w:t>seasonally</w:t>
      </w:r>
      <w:proofErr w:type="spellEnd"/>
      <w:r w:rsidRPr="00645D71">
        <w:rPr>
          <w:sz w:val="16"/>
          <w:szCs w:val="16"/>
        </w:rPr>
        <w:t xml:space="preserve"> </w:t>
      </w:r>
      <w:proofErr w:type="spellStart"/>
      <w:r w:rsidRPr="00645D71">
        <w:rPr>
          <w:sz w:val="16"/>
          <w:szCs w:val="16"/>
        </w:rPr>
        <w:t>adjusted</w:t>
      </w:r>
      <w:proofErr w:type="spellEnd"/>
      <w:r w:rsidRPr="00645D71">
        <w:rPr>
          <w:sz w:val="16"/>
          <w:szCs w:val="16"/>
        </w:rPr>
        <w:t xml:space="preserve">.  </w:t>
      </w:r>
    </w:p>
  </w:footnote>
  <w:footnote w:id="7">
    <w:p w14:paraId="151787A3" w14:textId="77777777" w:rsidR="00165465" w:rsidRPr="005F75B1" w:rsidRDefault="00165465" w:rsidP="00E551F6">
      <w:pPr>
        <w:pStyle w:val="Textpoznpodarou"/>
        <w:jc w:val="both"/>
        <w:rPr>
          <w:sz w:val="16"/>
          <w:szCs w:val="16"/>
        </w:rPr>
      </w:pPr>
      <w:r w:rsidRPr="005F75B1">
        <w:rPr>
          <w:rStyle w:val="Znakapoznpodarou"/>
          <w:sz w:val="16"/>
          <w:szCs w:val="16"/>
        </w:rPr>
        <w:footnoteRef/>
      </w:r>
      <w:r w:rsidRPr="005F75B1">
        <w:rPr>
          <w:sz w:val="16"/>
          <w:szCs w:val="16"/>
        </w:rPr>
        <w:t xml:space="preserve"> </w:t>
      </w:r>
      <w:r w:rsidRPr="0029268D">
        <w:rPr>
          <w:sz w:val="16"/>
          <w:szCs w:val="16"/>
          <w:lang w:val="en-GB"/>
        </w:rPr>
        <w:t>Converted into the real expression using the deflator of household consumption.</w:t>
      </w:r>
    </w:p>
  </w:footnote>
  <w:footnote w:id="8">
    <w:p w14:paraId="42BB4085" w14:textId="77777777" w:rsidR="00165465" w:rsidRPr="0053191D" w:rsidRDefault="00165465" w:rsidP="00E551F6">
      <w:pPr>
        <w:pStyle w:val="Textpoznpodarou"/>
        <w:jc w:val="both"/>
        <w:rPr>
          <w:sz w:val="16"/>
          <w:szCs w:val="16"/>
        </w:rPr>
      </w:pPr>
      <w:r w:rsidRPr="0053191D">
        <w:rPr>
          <w:rStyle w:val="Znakapoznpodarou"/>
          <w:sz w:val="16"/>
          <w:szCs w:val="16"/>
        </w:rPr>
        <w:footnoteRef/>
      </w:r>
      <w:r w:rsidRPr="0053191D">
        <w:rPr>
          <w:sz w:val="16"/>
          <w:szCs w:val="16"/>
        </w:rPr>
        <w:t xml:space="preserve"> </w:t>
      </w:r>
      <w:proofErr w:type="spellStart"/>
      <w:r w:rsidRPr="008A3F26">
        <w:rPr>
          <w:sz w:val="16"/>
          <w:szCs w:val="16"/>
        </w:rPr>
        <w:t>This</w:t>
      </w:r>
      <w:proofErr w:type="spellEnd"/>
      <w:r w:rsidRPr="008A3F26">
        <w:rPr>
          <w:sz w:val="16"/>
          <w:szCs w:val="16"/>
        </w:rPr>
        <w:t xml:space="preserve"> </w:t>
      </w:r>
      <w:proofErr w:type="spellStart"/>
      <w:r w:rsidRPr="008A3F26">
        <w:rPr>
          <w:sz w:val="16"/>
          <w:szCs w:val="16"/>
        </w:rPr>
        <w:t>section</w:t>
      </w:r>
      <w:proofErr w:type="spellEnd"/>
      <w:r w:rsidRPr="008A3F26">
        <w:rPr>
          <w:sz w:val="16"/>
          <w:szCs w:val="16"/>
        </w:rPr>
        <w:t xml:space="preserve"> </w:t>
      </w:r>
      <w:proofErr w:type="spellStart"/>
      <w:r w:rsidRPr="008A3F26">
        <w:rPr>
          <w:sz w:val="16"/>
          <w:szCs w:val="16"/>
        </w:rPr>
        <w:t>contains</w:t>
      </w:r>
      <w:proofErr w:type="spellEnd"/>
      <w:r w:rsidRPr="008A3F26">
        <w:rPr>
          <w:sz w:val="16"/>
          <w:szCs w:val="16"/>
        </w:rPr>
        <w:t xml:space="preserve"> </w:t>
      </w:r>
      <w:proofErr w:type="spellStart"/>
      <w:r w:rsidRPr="008A3F26">
        <w:rPr>
          <w:sz w:val="16"/>
          <w:szCs w:val="16"/>
        </w:rPr>
        <w:t>activities</w:t>
      </w:r>
      <w:proofErr w:type="spellEnd"/>
      <w:r w:rsidRPr="008A3F26">
        <w:rPr>
          <w:sz w:val="16"/>
          <w:szCs w:val="16"/>
        </w:rPr>
        <w:t xml:space="preserve"> </w:t>
      </w:r>
      <w:proofErr w:type="spellStart"/>
      <w:r w:rsidRPr="008A3F26">
        <w:rPr>
          <w:sz w:val="16"/>
          <w:szCs w:val="16"/>
        </w:rPr>
        <w:t>of</w:t>
      </w:r>
      <w:proofErr w:type="spellEnd"/>
      <w:r w:rsidRPr="008A3F26">
        <w:rPr>
          <w:sz w:val="16"/>
          <w:szCs w:val="16"/>
        </w:rPr>
        <w:t xml:space="preserve"> </w:t>
      </w:r>
      <w:proofErr w:type="spellStart"/>
      <w:r w:rsidRPr="008A3F26">
        <w:rPr>
          <w:sz w:val="16"/>
          <w:szCs w:val="16"/>
        </w:rPr>
        <w:t>common</w:t>
      </w:r>
      <w:proofErr w:type="spellEnd"/>
      <w:r w:rsidRPr="008A3F26">
        <w:rPr>
          <w:sz w:val="16"/>
          <w:szCs w:val="16"/>
        </w:rPr>
        <w:t xml:space="preserve"> </w:t>
      </w:r>
      <w:proofErr w:type="spellStart"/>
      <w:r w:rsidRPr="008A3F26">
        <w:rPr>
          <w:sz w:val="16"/>
          <w:szCs w:val="16"/>
        </w:rPr>
        <w:t>interests</w:t>
      </w:r>
      <w:proofErr w:type="spellEnd"/>
      <w:r w:rsidRPr="008A3F26">
        <w:rPr>
          <w:sz w:val="16"/>
          <w:szCs w:val="16"/>
        </w:rPr>
        <w:t xml:space="preserve"> </w:t>
      </w:r>
      <w:proofErr w:type="spellStart"/>
      <w:r w:rsidRPr="008A3F26">
        <w:rPr>
          <w:sz w:val="16"/>
          <w:szCs w:val="16"/>
        </w:rPr>
        <w:t>organisations</w:t>
      </w:r>
      <w:proofErr w:type="spellEnd"/>
      <w:r w:rsidRPr="008A3F26">
        <w:rPr>
          <w:sz w:val="16"/>
          <w:szCs w:val="16"/>
        </w:rPr>
        <w:t xml:space="preserve">, </w:t>
      </w:r>
      <w:proofErr w:type="spellStart"/>
      <w:r w:rsidRPr="008A3F26">
        <w:rPr>
          <w:sz w:val="16"/>
          <w:szCs w:val="16"/>
        </w:rPr>
        <w:t>repairs</w:t>
      </w:r>
      <w:proofErr w:type="spellEnd"/>
      <w:r w:rsidRPr="008A3F26">
        <w:rPr>
          <w:sz w:val="16"/>
          <w:szCs w:val="16"/>
        </w:rPr>
        <w:t xml:space="preserve"> </w:t>
      </w:r>
      <w:proofErr w:type="spellStart"/>
      <w:r w:rsidRPr="008A3F26">
        <w:rPr>
          <w:sz w:val="16"/>
          <w:szCs w:val="16"/>
        </w:rPr>
        <w:t>of</w:t>
      </w:r>
      <w:proofErr w:type="spellEnd"/>
      <w:r w:rsidRPr="008A3F26">
        <w:rPr>
          <w:sz w:val="16"/>
          <w:szCs w:val="16"/>
        </w:rPr>
        <w:t xml:space="preserve"> </w:t>
      </w:r>
      <w:proofErr w:type="spellStart"/>
      <w:r w:rsidRPr="008A3F26">
        <w:rPr>
          <w:sz w:val="16"/>
          <w:szCs w:val="16"/>
        </w:rPr>
        <w:t>computers</w:t>
      </w:r>
      <w:proofErr w:type="spellEnd"/>
      <w:r w:rsidRPr="008A3F26">
        <w:rPr>
          <w:sz w:val="16"/>
          <w:szCs w:val="16"/>
        </w:rPr>
        <w:t xml:space="preserve"> and </w:t>
      </w:r>
      <w:proofErr w:type="spellStart"/>
      <w:r w:rsidRPr="008A3F26">
        <w:rPr>
          <w:sz w:val="16"/>
          <w:szCs w:val="16"/>
        </w:rPr>
        <w:t>mainly</w:t>
      </w:r>
      <w:proofErr w:type="spellEnd"/>
      <w:r w:rsidRPr="008A3F26">
        <w:rPr>
          <w:sz w:val="16"/>
          <w:szCs w:val="16"/>
        </w:rPr>
        <w:t xml:space="preserve"> </w:t>
      </w:r>
      <w:proofErr w:type="spellStart"/>
      <w:r w:rsidRPr="008A3F26">
        <w:rPr>
          <w:sz w:val="16"/>
          <w:szCs w:val="16"/>
        </w:rPr>
        <w:t>personal</w:t>
      </w:r>
      <w:proofErr w:type="spellEnd"/>
      <w:r w:rsidRPr="008A3F26">
        <w:rPr>
          <w:sz w:val="16"/>
          <w:szCs w:val="16"/>
        </w:rPr>
        <w:t xml:space="preserve"> and </w:t>
      </w:r>
      <w:proofErr w:type="spellStart"/>
      <w:r w:rsidRPr="008A3F26">
        <w:rPr>
          <w:sz w:val="16"/>
          <w:szCs w:val="16"/>
        </w:rPr>
        <w:t>household</w:t>
      </w:r>
      <w:proofErr w:type="spellEnd"/>
      <w:r w:rsidRPr="008A3F26">
        <w:rPr>
          <w:sz w:val="16"/>
          <w:szCs w:val="16"/>
        </w:rPr>
        <w:t xml:space="preserve"> </w:t>
      </w:r>
      <w:proofErr w:type="spellStart"/>
      <w:r w:rsidRPr="008A3F26">
        <w:rPr>
          <w:sz w:val="16"/>
          <w:szCs w:val="16"/>
        </w:rPr>
        <w:t>goods</w:t>
      </w:r>
      <w:proofErr w:type="spellEnd"/>
      <w:r w:rsidRPr="008A3F26">
        <w:rPr>
          <w:sz w:val="16"/>
          <w:szCs w:val="16"/>
        </w:rPr>
        <w:t xml:space="preserve"> and a </w:t>
      </w:r>
      <w:proofErr w:type="spellStart"/>
      <w:r w:rsidRPr="008A3F26">
        <w:rPr>
          <w:sz w:val="16"/>
          <w:szCs w:val="16"/>
        </w:rPr>
        <w:t>number</w:t>
      </w:r>
      <w:proofErr w:type="spellEnd"/>
      <w:r w:rsidRPr="008A3F26">
        <w:rPr>
          <w:sz w:val="16"/>
          <w:szCs w:val="16"/>
        </w:rPr>
        <w:t xml:space="preserve"> </w:t>
      </w:r>
      <w:proofErr w:type="spellStart"/>
      <w:r w:rsidRPr="008A3F26">
        <w:rPr>
          <w:sz w:val="16"/>
          <w:szCs w:val="16"/>
        </w:rPr>
        <w:t>of</w:t>
      </w:r>
      <w:proofErr w:type="spellEnd"/>
      <w:r w:rsidRPr="008A3F26">
        <w:rPr>
          <w:sz w:val="16"/>
          <w:szCs w:val="16"/>
        </w:rPr>
        <w:t xml:space="preserve"> </w:t>
      </w:r>
      <w:proofErr w:type="spellStart"/>
      <w:r w:rsidRPr="008A3F26">
        <w:rPr>
          <w:sz w:val="16"/>
          <w:szCs w:val="16"/>
        </w:rPr>
        <w:t>other</w:t>
      </w:r>
      <w:proofErr w:type="spellEnd"/>
      <w:r w:rsidRPr="008A3F26">
        <w:rPr>
          <w:sz w:val="16"/>
          <w:szCs w:val="16"/>
        </w:rPr>
        <w:t xml:space="preserve"> </w:t>
      </w:r>
      <w:proofErr w:type="spellStart"/>
      <w:r w:rsidRPr="008A3F26">
        <w:rPr>
          <w:sz w:val="16"/>
          <w:szCs w:val="16"/>
        </w:rPr>
        <w:t>personal</w:t>
      </w:r>
      <w:proofErr w:type="spellEnd"/>
      <w:r w:rsidRPr="008A3F26">
        <w:rPr>
          <w:sz w:val="16"/>
          <w:szCs w:val="16"/>
        </w:rPr>
        <w:t xml:space="preserve"> </w:t>
      </w:r>
      <w:proofErr w:type="spellStart"/>
      <w:r w:rsidRPr="008A3F26">
        <w:rPr>
          <w:sz w:val="16"/>
          <w:szCs w:val="16"/>
        </w:rPr>
        <w:t>services</w:t>
      </w:r>
      <w:proofErr w:type="spellEnd"/>
      <w:r w:rsidRPr="008A3F26">
        <w:rPr>
          <w:sz w:val="16"/>
          <w:szCs w:val="16"/>
        </w:rPr>
        <w:t xml:space="preserve"> (</w:t>
      </w:r>
      <w:proofErr w:type="spellStart"/>
      <w:r w:rsidRPr="008A3F26">
        <w:rPr>
          <w:sz w:val="16"/>
          <w:szCs w:val="16"/>
        </w:rPr>
        <w:t>beauty</w:t>
      </w:r>
      <w:proofErr w:type="spellEnd"/>
      <w:r w:rsidRPr="008A3F26">
        <w:rPr>
          <w:sz w:val="16"/>
          <w:szCs w:val="16"/>
        </w:rPr>
        <w:t xml:space="preserve">, </w:t>
      </w:r>
      <w:proofErr w:type="spellStart"/>
      <w:r w:rsidRPr="008A3F26">
        <w:rPr>
          <w:sz w:val="16"/>
          <w:szCs w:val="16"/>
        </w:rPr>
        <w:t>hairdressing</w:t>
      </w:r>
      <w:proofErr w:type="spellEnd"/>
      <w:r w:rsidRPr="008A3F26">
        <w:rPr>
          <w:sz w:val="16"/>
          <w:szCs w:val="16"/>
        </w:rPr>
        <w:t xml:space="preserve"> </w:t>
      </w:r>
      <w:proofErr w:type="spellStart"/>
      <w:r w:rsidRPr="008A3F26">
        <w:rPr>
          <w:sz w:val="16"/>
          <w:szCs w:val="16"/>
        </w:rPr>
        <w:t>treatment</w:t>
      </w:r>
      <w:proofErr w:type="spellEnd"/>
      <w:r w:rsidRPr="008A3F26">
        <w:rPr>
          <w:sz w:val="16"/>
          <w:szCs w:val="16"/>
        </w:rPr>
        <w:t xml:space="preserve"> </w:t>
      </w:r>
      <w:proofErr w:type="spellStart"/>
      <w:r w:rsidRPr="008A3F26">
        <w:rPr>
          <w:sz w:val="16"/>
          <w:szCs w:val="16"/>
        </w:rPr>
        <w:t>etc</w:t>
      </w:r>
      <w:proofErr w:type="spellEnd"/>
      <w:r w:rsidRPr="008A3F26">
        <w:rPr>
          <w:sz w:val="16"/>
          <w:szCs w:val="16"/>
        </w:rPr>
        <w:t>.).</w:t>
      </w:r>
    </w:p>
  </w:footnote>
  <w:footnote w:id="9">
    <w:p w14:paraId="24A71306" w14:textId="77777777" w:rsidR="00165465" w:rsidRPr="009C6EA8" w:rsidRDefault="00165465" w:rsidP="00E551F6">
      <w:pPr>
        <w:pStyle w:val="Textpoznpodarou"/>
        <w:rPr>
          <w:sz w:val="16"/>
          <w:szCs w:val="16"/>
        </w:rPr>
      </w:pPr>
      <w:r w:rsidRPr="009C6EA8">
        <w:rPr>
          <w:rStyle w:val="Znakapoznpodarou"/>
          <w:sz w:val="16"/>
          <w:szCs w:val="16"/>
        </w:rPr>
        <w:footnoteRef/>
      </w:r>
      <w:r w:rsidRPr="009C6EA8">
        <w:rPr>
          <w:sz w:val="16"/>
          <w:szCs w:val="16"/>
        </w:rPr>
        <w:t xml:space="preserve"> </w:t>
      </w:r>
      <w:r w:rsidRPr="0029268D">
        <w:rPr>
          <w:sz w:val="16"/>
          <w:szCs w:val="16"/>
          <w:lang w:val="en-GB"/>
        </w:rPr>
        <w:t>Additions to the GDP change after exclusion of imports for final use.</w:t>
      </w:r>
    </w:p>
  </w:footnote>
  <w:footnote w:id="10">
    <w:p w14:paraId="38918574" w14:textId="77777777" w:rsidR="00165465" w:rsidRPr="00954992" w:rsidRDefault="00165465" w:rsidP="00E551F6">
      <w:pPr>
        <w:pStyle w:val="Textpoznpodarou"/>
        <w:rPr>
          <w:sz w:val="16"/>
          <w:szCs w:val="16"/>
        </w:rPr>
      </w:pPr>
      <w:r w:rsidRPr="00954992">
        <w:rPr>
          <w:rStyle w:val="Znakapoznpodarou"/>
          <w:sz w:val="16"/>
          <w:szCs w:val="16"/>
        </w:rPr>
        <w:footnoteRef/>
      </w:r>
      <w:r w:rsidRPr="00954992">
        <w:rPr>
          <w:sz w:val="16"/>
          <w:szCs w:val="16"/>
        </w:rPr>
        <w:t xml:space="preserve"> </w:t>
      </w:r>
      <w:r w:rsidRPr="001C0409">
        <w:rPr>
          <w:sz w:val="16"/>
          <w:szCs w:val="16"/>
          <w:lang w:val="en-GB"/>
        </w:rPr>
        <w:t>Data regarding consumption based on durability are in domestic conception</w:t>
      </w:r>
      <w:r>
        <w:rPr>
          <w:sz w:val="16"/>
          <w:szCs w:val="16"/>
          <w:lang w:val="en-GB"/>
        </w:rPr>
        <w:t xml:space="preserve">. </w:t>
      </w:r>
    </w:p>
  </w:footnote>
  <w:footnote w:id="11">
    <w:p w14:paraId="41B9766D" w14:textId="77777777" w:rsidR="00165465" w:rsidRPr="004831F6" w:rsidRDefault="00165465" w:rsidP="00E551F6">
      <w:pPr>
        <w:pStyle w:val="Textpoznpodarou"/>
        <w:rPr>
          <w:sz w:val="16"/>
          <w:szCs w:val="16"/>
        </w:rPr>
      </w:pPr>
      <w:r w:rsidRPr="004831F6">
        <w:rPr>
          <w:rStyle w:val="Znakapoznpodarou"/>
          <w:sz w:val="16"/>
          <w:szCs w:val="16"/>
        </w:rPr>
        <w:footnoteRef/>
      </w:r>
      <w:r w:rsidRPr="004831F6">
        <w:rPr>
          <w:sz w:val="16"/>
          <w:szCs w:val="16"/>
        </w:rPr>
        <w:t xml:space="preserve"> </w:t>
      </w:r>
      <w:proofErr w:type="spellStart"/>
      <w:r w:rsidRPr="008909F8">
        <w:rPr>
          <w:sz w:val="16"/>
          <w:szCs w:val="16"/>
        </w:rPr>
        <w:t>Change</w:t>
      </w:r>
      <w:proofErr w:type="spellEnd"/>
      <w:r w:rsidRPr="008909F8">
        <w:rPr>
          <w:sz w:val="16"/>
          <w:szCs w:val="16"/>
        </w:rPr>
        <w:t xml:space="preserve"> </w:t>
      </w:r>
      <w:proofErr w:type="spellStart"/>
      <w:r w:rsidRPr="008909F8">
        <w:rPr>
          <w:sz w:val="16"/>
          <w:szCs w:val="16"/>
        </w:rPr>
        <w:t>of</w:t>
      </w:r>
      <w:proofErr w:type="spellEnd"/>
      <w:r w:rsidRPr="008909F8">
        <w:rPr>
          <w:sz w:val="16"/>
          <w:szCs w:val="16"/>
        </w:rPr>
        <w:t xml:space="preserve"> </w:t>
      </w:r>
      <w:proofErr w:type="spellStart"/>
      <w:r w:rsidRPr="008909F8">
        <w:rPr>
          <w:sz w:val="16"/>
          <w:szCs w:val="16"/>
        </w:rPr>
        <w:t>the</w:t>
      </w:r>
      <w:proofErr w:type="spellEnd"/>
      <w:r w:rsidRPr="008909F8">
        <w:rPr>
          <w:sz w:val="16"/>
          <w:szCs w:val="16"/>
        </w:rPr>
        <w:t xml:space="preserve"> </w:t>
      </w:r>
      <w:proofErr w:type="spellStart"/>
      <w:r w:rsidRPr="008909F8">
        <w:rPr>
          <w:sz w:val="16"/>
          <w:szCs w:val="16"/>
        </w:rPr>
        <w:t>inventory</w:t>
      </w:r>
      <w:proofErr w:type="spellEnd"/>
      <w:r w:rsidRPr="008909F8">
        <w:rPr>
          <w:sz w:val="16"/>
          <w:szCs w:val="16"/>
        </w:rPr>
        <w:t xml:space="preserve"> </w:t>
      </w:r>
      <w:proofErr w:type="spellStart"/>
      <w:r w:rsidRPr="008909F8">
        <w:rPr>
          <w:sz w:val="16"/>
          <w:szCs w:val="16"/>
        </w:rPr>
        <w:t>stock</w:t>
      </w:r>
      <w:proofErr w:type="spellEnd"/>
      <w:r w:rsidRPr="008909F8">
        <w:rPr>
          <w:sz w:val="16"/>
          <w:szCs w:val="16"/>
        </w:rPr>
        <w:t xml:space="preserve"> (in </w:t>
      </w:r>
      <w:proofErr w:type="spellStart"/>
      <w:r w:rsidRPr="008909F8">
        <w:rPr>
          <w:sz w:val="16"/>
          <w:szCs w:val="16"/>
        </w:rPr>
        <w:t>current</w:t>
      </w:r>
      <w:proofErr w:type="spellEnd"/>
      <w:r w:rsidRPr="008909F8">
        <w:rPr>
          <w:sz w:val="16"/>
          <w:szCs w:val="16"/>
        </w:rPr>
        <w:t xml:space="preserve"> </w:t>
      </w:r>
      <w:proofErr w:type="spellStart"/>
      <w:r w:rsidRPr="008909F8">
        <w:rPr>
          <w:sz w:val="16"/>
          <w:szCs w:val="16"/>
        </w:rPr>
        <w:t>prices</w:t>
      </w:r>
      <w:proofErr w:type="spellEnd"/>
      <w:r w:rsidRPr="008909F8">
        <w:rPr>
          <w:sz w:val="16"/>
          <w:szCs w:val="16"/>
        </w:rPr>
        <w:t xml:space="preserve"> and not </w:t>
      </w:r>
      <w:proofErr w:type="spellStart"/>
      <w:r w:rsidRPr="008909F8">
        <w:rPr>
          <w:sz w:val="16"/>
          <w:szCs w:val="16"/>
        </w:rPr>
        <w:t>seasonally</w:t>
      </w:r>
      <w:proofErr w:type="spellEnd"/>
      <w:r w:rsidRPr="008909F8">
        <w:rPr>
          <w:sz w:val="16"/>
          <w:szCs w:val="16"/>
        </w:rPr>
        <w:t xml:space="preserve"> </w:t>
      </w:r>
      <w:proofErr w:type="spellStart"/>
      <w:r w:rsidRPr="008909F8">
        <w:rPr>
          <w:sz w:val="16"/>
          <w:szCs w:val="16"/>
        </w:rPr>
        <w:t>adjusted</w:t>
      </w:r>
      <w:proofErr w:type="spellEnd"/>
      <w:r w:rsidRPr="008909F8">
        <w:rPr>
          <w:sz w:val="16"/>
          <w:szCs w:val="16"/>
        </w:rPr>
        <w:t xml:space="preserve">) </w:t>
      </w:r>
      <w:proofErr w:type="spellStart"/>
      <w:r>
        <w:rPr>
          <w:sz w:val="16"/>
          <w:szCs w:val="16"/>
        </w:rPr>
        <w:t>attained</w:t>
      </w:r>
      <w:proofErr w:type="spellEnd"/>
      <w:r>
        <w:rPr>
          <w:sz w:val="16"/>
          <w:szCs w:val="16"/>
        </w:rPr>
        <w:t xml:space="preserve"> 8.1 </w:t>
      </w:r>
      <w:proofErr w:type="spellStart"/>
      <w:r>
        <w:rPr>
          <w:sz w:val="16"/>
          <w:szCs w:val="16"/>
        </w:rPr>
        <w:t>bn</w:t>
      </w:r>
      <w:proofErr w:type="spellEnd"/>
      <w:r>
        <w:rPr>
          <w:sz w:val="16"/>
          <w:szCs w:val="16"/>
        </w:rPr>
        <w:t xml:space="preserve"> CZK in Q2 2024, </w:t>
      </w:r>
      <w:proofErr w:type="spellStart"/>
      <w:r>
        <w:rPr>
          <w:sz w:val="16"/>
          <w:szCs w:val="16"/>
        </w:rPr>
        <w:t>while</w:t>
      </w:r>
      <w:proofErr w:type="spellEnd"/>
      <w:r>
        <w:rPr>
          <w:sz w:val="16"/>
          <w:szCs w:val="16"/>
        </w:rPr>
        <w:t xml:space="preserve"> </w:t>
      </w:r>
      <w:proofErr w:type="spellStart"/>
      <w:r>
        <w:rPr>
          <w:sz w:val="16"/>
          <w:szCs w:val="16"/>
        </w:rPr>
        <w:t>it</w:t>
      </w:r>
      <w:proofErr w:type="spellEnd"/>
      <w:r>
        <w:rPr>
          <w:sz w:val="16"/>
          <w:szCs w:val="16"/>
        </w:rPr>
        <w:t xml:space="preserve"> </w:t>
      </w:r>
      <w:proofErr w:type="spellStart"/>
      <w:r>
        <w:rPr>
          <w:sz w:val="16"/>
          <w:szCs w:val="16"/>
        </w:rPr>
        <w:t>was</w:t>
      </w:r>
      <w:proofErr w:type="spellEnd"/>
      <w:r>
        <w:rPr>
          <w:sz w:val="16"/>
          <w:szCs w:val="16"/>
        </w:rPr>
        <w:t xml:space="preserve"> 35.2 </w:t>
      </w:r>
      <w:proofErr w:type="spellStart"/>
      <w:r>
        <w:rPr>
          <w:sz w:val="16"/>
          <w:szCs w:val="16"/>
        </w:rPr>
        <w:t>bn</w:t>
      </w:r>
      <w:proofErr w:type="spellEnd"/>
      <w:r>
        <w:rPr>
          <w:sz w:val="16"/>
          <w:szCs w:val="16"/>
        </w:rPr>
        <w:t xml:space="preserve"> in </w:t>
      </w:r>
      <w:proofErr w:type="spellStart"/>
      <w:r>
        <w:rPr>
          <w:sz w:val="16"/>
          <w:szCs w:val="16"/>
        </w:rPr>
        <w:t>year</w:t>
      </w:r>
      <w:proofErr w:type="spellEnd"/>
      <w:r>
        <w:rPr>
          <w:sz w:val="16"/>
          <w:szCs w:val="16"/>
        </w:rPr>
        <w:t xml:space="preserve"> 2023.  </w:t>
      </w:r>
    </w:p>
  </w:footnote>
  <w:footnote w:id="12">
    <w:p w14:paraId="030111C9" w14:textId="77777777" w:rsidR="00165465" w:rsidRPr="00167B30" w:rsidRDefault="00165465" w:rsidP="00E551F6">
      <w:pPr>
        <w:pStyle w:val="Textpoznpodarou"/>
        <w:rPr>
          <w:sz w:val="16"/>
          <w:szCs w:val="16"/>
        </w:rPr>
      </w:pPr>
      <w:r w:rsidRPr="00167B30">
        <w:rPr>
          <w:rStyle w:val="Znakapoznpodarou"/>
          <w:sz w:val="16"/>
          <w:szCs w:val="16"/>
        </w:rPr>
        <w:footnoteRef/>
      </w:r>
      <w:r w:rsidRPr="00167B30">
        <w:rPr>
          <w:sz w:val="16"/>
          <w:szCs w:val="16"/>
        </w:rPr>
        <w:t xml:space="preserve"> </w:t>
      </w:r>
      <w:proofErr w:type="spellStart"/>
      <w:r w:rsidRPr="004C4C7E">
        <w:rPr>
          <w:sz w:val="16"/>
          <w:szCs w:val="16"/>
        </w:rPr>
        <w:t>According</w:t>
      </w:r>
      <w:proofErr w:type="spellEnd"/>
      <w:r w:rsidRPr="004C4C7E">
        <w:rPr>
          <w:sz w:val="16"/>
          <w:szCs w:val="16"/>
        </w:rPr>
        <w:t xml:space="preserve"> to </w:t>
      </w:r>
      <w:proofErr w:type="spellStart"/>
      <w:r w:rsidRPr="004C4C7E">
        <w:rPr>
          <w:sz w:val="16"/>
          <w:szCs w:val="16"/>
        </w:rPr>
        <w:t>the</w:t>
      </w:r>
      <w:proofErr w:type="spellEnd"/>
      <w:r w:rsidRPr="004C4C7E">
        <w:rPr>
          <w:sz w:val="16"/>
          <w:szCs w:val="16"/>
        </w:rPr>
        <w:t xml:space="preserve"> </w:t>
      </w:r>
      <w:proofErr w:type="spellStart"/>
      <w:r w:rsidRPr="004C4C7E">
        <w:rPr>
          <w:sz w:val="16"/>
          <w:szCs w:val="16"/>
        </w:rPr>
        <w:t>methodology</w:t>
      </w:r>
      <w:proofErr w:type="spellEnd"/>
      <w:r w:rsidRPr="004C4C7E">
        <w:rPr>
          <w:sz w:val="16"/>
          <w:szCs w:val="16"/>
        </w:rPr>
        <w:t xml:space="preserve"> </w:t>
      </w:r>
      <w:proofErr w:type="spellStart"/>
      <w:r w:rsidRPr="004C4C7E">
        <w:rPr>
          <w:sz w:val="16"/>
          <w:szCs w:val="16"/>
        </w:rPr>
        <w:t>of</w:t>
      </w:r>
      <w:proofErr w:type="spellEnd"/>
      <w:r w:rsidRPr="004C4C7E">
        <w:rPr>
          <w:sz w:val="16"/>
          <w:szCs w:val="16"/>
        </w:rPr>
        <w:t xml:space="preserve"> </w:t>
      </w:r>
      <w:proofErr w:type="spellStart"/>
      <w:r w:rsidRPr="004C4C7E">
        <w:rPr>
          <w:sz w:val="16"/>
          <w:szCs w:val="16"/>
        </w:rPr>
        <w:t>quarterly</w:t>
      </w:r>
      <w:proofErr w:type="spellEnd"/>
      <w:r w:rsidRPr="004C4C7E">
        <w:rPr>
          <w:sz w:val="16"/>
          <w:szCs w:val="16"/>
        </w:rPr>
        <w:t xml:space="preserve"> </w:t>
      </w:r>
      <w:proofErr w:type="spellStart"/>
      <w:r w:rsidRPr="004C4C7E">
        <w:rPr>
          <w:sz w:val="16"/>
          <w:szCs w:val="16"/>
        </w:rPr>
        <w:t>national</w:t>
      </w:r>
      <w:proofErr w:type="spellEnd"/>
      <w:r w:rsidRPr="004C4C7E">
        <w:rPr>
          <w:sz w:val="16"/>
          <w:szCs w:val="16"/>
        </w:rPr>
        <w:t xml:space="preserve"> </w:t>
      </w:r>
      <w:proofErr w:type="spellStart"/>
      <w:r w:rsidRPr="004C4C7E">
        <w:rPr>
          <w:sz w:val="16"/>
          <w:szCs w:val="16"/>
        </w:rPr>
        <w:t>accounts</w:t>
      </w:r>
      <w:proofErr w:type="spellEnd"/>
      <w:r w:rsidRPr="004C4C7E">
        <w:rPr>
          <w:sz w:val="16"/>
          <w:szCs w:val="16"/>
        </w:rPr>
        <w:t xml:space="preserve"> (export and import in FOB/FOB </w:t>
      </w:r>
      <w:proofErr w:type="spellStart"/>
      <w:r w:rsidRPr="004C4C7E">
        <w:rPr>
          <w:sz w:val="16"/>
          <w:szCs w:val="16"/>
        </w:rPr>
        <w:t>prices</w:t>
      </w:r>
      <w:proofErr w:type="spellEnd"/>
      <w:r w:rsidRPr="004C4C7E">
        <w:rPr>
          <w:sz w:val="16"/>
          <w:szCs w:val="16"/>
        </w:rPr>
        <w:t xml:space="preserve">). </w:t>
      </w:r>
      <w:r>
        <w:rPr>
          <w:sz w:val="16"/>
          <w:szCs w:val="16"/>
        </w:rPr>
        <w:t xml:space="preserve">International </w:t>
      </w:r>
      <w:proofErr w:type="spellStart"/>
      <w:r w:rsidRPr="004C4C7E">
        <w:rPr>
          <w:sz w:val="16"/>
          <w:szCs w:val="16"/>
        </w:rPr>
        <w:t>trade</w:t>
      </w:r>
      <w:proofErr w:type="spellEnd"/>
      <w:r w:rsidRPr="004C4C7E">
        <w:rPr>
          <w:sz w:val="16"/>
          <w:szCs w:val="16"/>
        </w:rPr>
        <w:t xml:space="preserve"> balance in </w:t>
      </w:r>
      <w:proofErr w:type="spellStart"/>
      <w:r w:rsidRPr="004C4C7E">
        <w:rPr>
          <w:sz w:val="16"/>
          <w:szCs w:val="16"/>
        </w:rPr>
        <w:t>current</w:t>
      </w:r>
      <w:proofErr w:type="spellEnd"/>
      <w:r w:rsidRPr="004C4C7E">
        <w:rPr>
          <w:sz w:val="16"/>
          <w:szCs w:val="16"/>
        </w:rPr>
        <w:t xml:space="preserve"> </w:t>
      </w:r>
      <w:proofErr w:type="spellStart"/>
      <w:r w:rsidRPr="004C4C7E">
        <w:rPr>
          <w:sz w:val="16"/>
          <w:szCs w:val="16"/>
        </w:rPr>
        <w:t>prices</w:t>
      </w:r>
      <w:proofErr w:type="spellEnd"/>
      <w:r w:rsidRPr="004C4C7E">
        <w:rPr>
          <w:sz w:val="16"/>
          <w:szCs w:val="16"/>
        </w:rPr>
        <w:t xml:space="preserve"> and </w:t>
      </w:r>
      <w:proofErr w:type="spellStart"/>
      <w:r w:rsidRPr="004C4C7E">
        <w:rPr>
          <w:sz w:val="16"/>
          <w:szCs w:val="16"/>
        </w:rPr>
        <w:t>seasonally</w:t>
      </w:r>
      <w:proofErr w:type="spellEnd"/>
      <w:r w:rsidRPr="004C4C7E">
        <w:rPr>
          <w:sz w:val="16"/>
          <w:szCs w:val="16"/>
        </w:rPr>
        <w:t xml:space="preserve"> </w:t>
      </w:r>
      <w:proofErr w:type="spellStart"/>
      <w:r w:rsidRPr="004C4C7E">
        <w:rPr>
          <w:sz w:val="16"/>
          <w:szCs w:val="16"/>
        </w:rPr>
        <w:t>adjusted</w:t>
      </w:r>
      <w:proofErr w:type="spellEnd"/>
      <w:r w:rsidRPr="004C4C7E">
        <w:rPr>
          <w:sz w:val="16"/>
          <w:szCs w:val="16"/>
        </w:rPr>
        <w:t xml:space="preserve">. </w:t>
      </w:r>
    </w:p>
  </w:footnote>
  <w:footnote w:id="13">
    <w:p w14:paraId="5B140BDB" w14:textId="77777777" w:rsidR="00165465" w:rsidRPr="005F7B4A" w:rsidRDefault="00165465" w:rsidP="00E551F6">
      <w:pPr>
        <w:pStyle w:val="Textpoznpodarou"/>
        <w:jc w:val="both"/>
        <w:rPr>
          <w:rFonts w:cs="Arial"/>
          <w:color w:val="0D0D0D" w:themeColor="text1" w:themeTint="F2"/>
          <w:spacing w:val="-2"/>
          <w:sz w:val="16"/>
          <w:szCs w:val="16"/>
          <w:lang w:val="en-GB"/>
        </w:rPr>
      </w:pPr>
      <w:r w:rsidRPr="005F7B4A">
        <w:rPr>
          <w:rStyle w:val="Znakapoznpodarou"/>
          <w:rFonts w:cs="Arial"/>
          <w:color w:val="0D0D0D" w:themeColor="text1" w:themeTint="F2"/>
          <w:spacing w:val="-2"/>
          <w:sz w:val="16"/>
          <w:szCs w:val="16"/>
        </w:rPr>
        <w:footnoteRef/>
      </w:r>
      <w:r w:rsidRPr="005F7B4A">
        <w:rPr>
          <w:rFonts w:cs="Arial"/>
          <w:color w:val="0D0D0D" w:themeColor="text1" w:themeTint="F2"/>
          <w:spacing w:val="-2"/>
          <w:sz w:val="16"/>
          <w:szCs w:val="16"/>
        </w:rPr>
        <w:t xml:space="preserve"> </w:t>
      </w:r>
      <w:r w:rsidRPr="005F7B4A">
        <w:rPr>
          <w:rFonts w:cs="Arial"/>
          <w:color w:val="0D0D0D" w:themeColor="text1" w:themeTint="F2"/>
          <w:spacing w:val="-2"/>
          <w:sz w:val="16"/>
          <w:szCs w:val="16"/>
          <w:lang w:val="en-GB"/>
        </w:rPr>
        <w:t xml:space="preserve">Figures related to GVA are expressed in constant prices and adjusted for seasonal and calendar effects. </w:t>
      </w:r>
    </w:p>
  </w:footnote>
  <w:footnote w:id="14">
    <w:p w14:paraId="2B17C779" w14:textId="77777777" w:rsidR="00165465" w:rsidRPr="005F7B4A" w:rsidRDefault="00165465" w:rsidP="00E551F6">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GVA increased at a slower quarter-on-quarter pace (+0.2%) in the whole EU, but unlike in the Czech Republic, weak growth persisted there throughout the last year. GVA increased by 0</w:t>
      </w:r>
      <w:proofErr w:type="gramStart"/>
      <w:r w:rsidRPr="005F7B4A">
        <w:rPr>
          <w:spacing w:val="-2"/>
          <w:sz w:val="16"/>
          <w:szCs w:val="16"/>
          <w:lang w:val="en-GB"/>
        </w:rPr>
        <w:t>,9</w:t>
      </w:r>
      <w:proofErr w:type="gramEnd"/>
      <w:r w:rsidRPr="005F7B4A">
        <w:rPr>
          <w:spacing w:val="-2"/>
          <w:sz w:val="16"/>
          <w:szCs w:val="16"/>
          <w:lang w:val="en-GB"/>
        </w:rPr>
        <w:t>%, year-on-year, in the Union in H1 2024. Compared to the Czech Republic, the across-the-board growth of the services performance was sufficient to compensate the decrease in both industry and construction here (which, moreover, was not as deep in the EU as in the Czech Republic or Germany). The total GVA increased the most in Cyprus (+3.5%) and Croatia (+3.3%), among the larger economies then in Poland (+3.1%), Spain (+2.8%), Romania (2.0%) and France (+1.5%). GVA fell only in six countries – the most in Ireland (−4.7%, mainly due to industry and financial activities) and Estonia (−2.6%). Within the Central European region, GVA decreased only in Austria (−1.1%) and the Czech Republic (−0.3%), in Germany it grew by 0.4%, and in Slovakia by 2.4%.</w:t>
      </w:r>
    </w:p>
  </w:footnote>
  <w:footnote w:id="15">
    <w:p w14:paraId="4A4C418D" w14:textId="1454A3A2" w:rsidR="00165465" w:rsidRPr="005F7B4A" w:rsidRDefault="00165465" w:rsidP="00E551F6">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GVA of the total economy was thus currently 1% above the level of the peak of the last boom (Q4 2019), of which the performance of the services sector was even 7% higher in this comparison – the situation in industry was the exact opposite</w:t>
      </w:r>
      <w:r>
        <w:rPr>
          <w:spacing w:val="-2"/>
          <w:sz w:val="16"/>
          <w:szCs w:val="16"/>
          <w:lang w:val="en-GB"/>
        </w:rPr>
        <w:t xml:space="preserve"> (</w:t>
      </w:r>
      <w:r w:rsidRPr="005F7B4A">
        <w:rPr>
          <w:spacing w:val="-2"/>
          <w:sz w:val="16"/>
          <w:szCs w:val="16"/>
          <w:lang w:val="en-GB"/>
        </w:rPr>
        <w:t>−</w:t>
      </w:r>
      <w:r>
        <w:rPr>
          <w:spacing w:val="-2"/>
          <w:sz w:val="16"/>
          <w:szCs w:val="16"/>
          <w:lang w:val="en-GB"/>
        </w:rPr>
        <w:t>7 %)</w:t>
      </w:r>
      <w:r w:rsidRPr="005F7B4A">
        <w:rPr>
          <w:spacing w:val="-2"/>
          <w:sz w:val="16"/>
          <w:szCs w:val="16"/>
          <w:lang w:val="en-GB"/>
        </w:rPr>
        <w:t xml:space="preserve">, and construction (−18%) and the primary sector of the economy (−12%) featured an even deeper distance. </w:t>
      </w:r>
    </w:p>
  </w:footnote>
  <w:footnote w:id="16">
    <w:p w14:paraId="6A7B9AD5" w14:textId="12926E0A" w:rsidR="00165465" w:rsidRPr="005F7B4A" w:rsidRDefault="00165465" w:rsidP="00E551F6">
      <w:pPr>
        <w:pStyle w:val="Textpoznpodarou"/>
        <w:jc w:val="both"/>
        <w:rPr>
          <w:rFonts w:cs="Arial"/>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 xml:space="preserve">However, the gross domestic </w:t>
      </w:r>
      <w:r>
        <w:rPr>
          <w:spacing w:val="-2"/>
          <w:sz w:val="16"/>
          <w:szCs w:val="16"/>
          <w:lang w:val="en-GB"/>
        </w:rPr>
        <w:t xml:space="preserve">beef </w:t>
      </w:r>
      <w:r w:rsidRPr="005F7B4A">
        <w:rPr>
          <w:spacing w:val="-2"/>
          <w:sz w:val="16"/>
          <w:szCs w:val="16"/>
          <w:lang w:val="en-GB"/>
        </w:rPr>
        <w:t>production corresponding to the total deliveries from Czech farms to slaughterhouses (</w:t>
      </w:r>
      <w:r>
        <w:rPr>
          <w:spacing w:val="-2"/>
          <w:sz w:val="16"/>
          <w:szCs w:val="16"/>
          <w:lang w:val="en-GB"/>
        </w:rPr>
        <w:t xml:space="preserve">both </w:t>
      </w:r>
      <w:r w:rsidRPr="005F7B4A">
        <w:rPr>
          <w:spacing w:val="-2"/>
          <w:sz w:val="16"/>
          <w:szCs w:val="16"/>
          <w:lang w:val="en-GB"/>
        </w:rPr>
        <w:t xml:space="preserve">in the Czech Republic and abroad) decreased only slightly (-0.2%), as increased exports of live animals for slaughter were reflected (a quarter of domestically fattened cattle travelled abroad for slaughter). A similar phenomenon was also observed for </w:t>
      </w:r>
      <w:proofErr w:type="spellStart"/>
      <w:r w:rsidRPr="005F7B4A">
        <w:rPr>
          <w:spacing w:val="-2"/>
          <w:sz w:val="16"/>
          <w:szCs w:val="16"/>
          <w:lang w:val="en-GB"/>
        </w:rPr>
        <w:t>pigmeat</w:t>
      </w:r>
      <w:proofErr w:type="spellEnd"/>
      <w:r w:rsidRPr="005F7B4A">
        <w:rPr>
          <w:spacing w:val="-2"/>
          <w:sz w:val="16"/>
          <w:szCs w:val="16"/>
          <w:lang w:val="en-GB"/>
        </w:rPr>
        <w:t xml:space="preserve"> (exports were by a third higher, year-on-year), thanks to which </w:t>
      </w:r>
      <w:proofErr w:type="gramStart"/>
      <w:r w:rsidRPr="005F7B4A">
        <w:rPr>
          <w:spacing w:val="-2"/>
          <w:sz w:val="16"/>
          <w:szCs w:val="16"/>
          <w:lang w:val="en-GB"/>
        </w:rPr>
        <w:t>its</w:t>
      </w:r>
      <w:proofErr w:type="gramEnd"/>
      <w:r w:rsidRPr="005F7B4A">
        <w:rPr>
          <w:spacing w:val="-2"/>
          <w:sz w:val="16"/>
          <w:szCs w:val="16"/>
          <w:lang w:val="en-GB"/>
        </w:rPr>
        <w:t xml:space="preserve"> domestic production increased by 7.4%. </w:t>
      </w:r>
      <w:r w:rsidRPr="005F7B4A">
        <w:rPr>
          <w:rStyle w:val="normaltextrun"/>
          <w:rFonts w:cs="Arial"/>
          <w:spacing w:val="-2"/>
          <w:sz w:val="16"/>
          <w:szCs w:val="16"/>
          <w:lang w:val="en-GB"/>
        </w:rPr>
        <w:t xml:space="preserve"> </w:t>
      </w:r>
    </w:p>
  </w:footnote>
  <w:footnote w:id="17">
    <w:p w14:paraId="22EFCAB4" w14:textId="77777777" w:rsidR="00165465" w:rsidRPr="005F7B4A" w:rsidRDefault="00165465" w:rsidP="00E551F6">
      <w:pPr>
        <w:spacing w:after="0" w:line="240" w:lineRule="auto"/>
        <w:rPr>
          <w:rFonts w:cs="Arial"/>
          <w:color w:val="0D0D0D" w:themeColor="text1" w:themeTint="F2"/>
          <w:spacing w:val="-2"/>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Includes branches of mining and quarrying, manufacturing and also energetics (here as activities of production and distribution of electricity, gas, heat and air conditioning supply). All year-on-year rates of growth of output are adjusted for calendar effects, quarter-on-quarter rates as well for the seasonal effects.</w:t>
      </w:r>
    </w:p>
  </w:footnote>
  <w:footnote w:id="18">
    <w:p w14:paraId="64400F64" w14:textId="43E1C367" w:rsidR="00165465" w:rsidRPr="005F7B4A" w:rsidRDefault="00165465" w:rsidP="005F7B4A">
      <w:pPr>
        <w:spacing w:after="0" w:line="240" w:lineRule="auto"/>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19" w:name="_Hlk178354425"/>
      <w:r w:rsidRPr="00776160">
        <w:rPr>
          <w:rFonts w:eastAsia="Calibri"/>
          <w:spacing w:val="-3"/>
          <w:sz w:val="16"/>
          <w:szCs w:val="16"/>
          <w:lang w:val="en-GB"/>
        </w:rPr>
        <w:t>17 out of 25 main industrial branches lagged behind their peak from years 2015 to 2019 this year in Q2 – coal mining (by 53%), manufacturing</w:t>
      </w:r>
      <w:r w:rsidRPr="005F7B4A">
        <w:rPr>
          <w:rFonts w:eastAsia="Calibri"/>
          <w:spacing w:val="-2"/>
          <w:sz w:val="16"/>
          <w:szCs w:val="16"/>
          <w:lang w:val="en-GB"/>
        </w:rPr>
        <w:t xml:space="preserve"> of basic metals, metallurgical processing and foundry (−33%), leather manufacturing (−22%), textile industry (−21%), energy and mining of </w:t>
      </w:r>
      <w:r w:rsidRPr="00776160">
        <w:rPr>
          <w:rFonts w:eastAsia="Calibri"/>
          <w:spacing w:val="-3"/>
          <w:sz w:val="16"/>
          <w:szCs w:val="16"/>
          <w:lang w:val="en-GB"/>
        </w:rPr>
        <w:t>building materials (both −20%) the most. Among larger branches further engineering (−14%), chemistry (−13%), production of building materials</w:t>
      </w:r>
      <w:r w:rsidRPr="005F7B4A">
        <w:rPr>
          <w:rFonts w:eastAsia="Calibri"/>
          <w:spacing w:val="-2"/>
          <w:sz w:val="16"/>
          <w:szCs w:val="16"/>
          <w:lang w:val="en-GB"/>
        </w:rPr>
        <w:t xml:space="preserve"> (−12%), rubber and plastic industries (−7%) and metalworking industry (−5%). On the contrary, especially the manufacturing of other transport equipment (+25%), pharmaceutical industry (22%), paper industry and manufacturing of motor vehicles (similarly +13%), other manufacturing (+12%), electrical engineering (+9%) and further for instance food industry (+4%) were currently situated above the pre-crisis level of output. </w:t>
      </w:r>
      <w:bookmarkEnd w:id="19"/>
    </w:p>
  </w:footnote>
  <w:footnote w:id="19">
    <w:p w14:paraId="089B4B6B" w14:textId="632A84E4" w:rsidR="00165465" w:rsidRPr="005F7B4A" w:rsidRDefault="00165465" w:rsidP="005F7B4A">
      <w:pPr>
        <w:spacing w:after="0" w:line="240" w:lineRule="auto"/>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20" w:name="_Hlk178356997"/>
      <w:r w:rsidRPr="005F7B4A">
        <w:rPr>
          <w:rFonts w:eastAsia="Calibri"/>
          <w:spacing w:val="-2"/>
          <w:sz w:val="16"/>
          <w:szCs w:val="16"/>
          <w:lang w:val="en-GB"/>
        </w:rPr>
        <w:t>Industry experienced a dow</w:t>
      </w:r>
      <w:r>
        <w:rPr>
          <w:rFonts w:eastAsia="Calibri"/>
          <w:spacing w:val="-2"/>
          <w:sz w:val="16"/>
          <w:szCs w:val="16"/>
          <w:lang w:val="en-GB"/>
        </w:rPr>
        <w:t xml:space="preserve">nturn also in the EU since </w:t>
      </w:r>
      <w:proofErr w:type="gramStart"/>
      <w:r w:rsidRPr="005F7B4A">
        <w:rPr>
          <w:rFonts w:eastAsia="Calibri"/>
          <w:spacing w:val="-2"/>
          <w:sz w:val="16"/>
          <w:szCs w:val="16"/>
          <w:lang w:val="en-GB"/>
        </w:rPr>
        <w:t>Spring</w:t>
      </w:r>
      <w:proofErr w:type="gramEnd"/>
      <w:r>
        <w:rPr>
          <w:rFonts w:eastAsia="Calibri"/>
          <w:spacing w:val="-2"/>
          <w:sz w:val="16"/>
          <w:szCs w:val="16"/>
          <w:lang w:val="en-GB"/>
        </w:rPr>
        <w:t xml:space="preserve"> in 2023</w:t>
      </w:r>
      <w:r w:rsidRPr="005F7B4A">
        <w:rPr>
          <w:rFonts w:eastAsia="Calibri"/>
          <w:spacing w:val="-2"/>
          <w:sz w:val="16"/>
          <w:szCs w:val="16"/>
          <w:lang w:val="en-GB"/>
        </w:rPr>
        <w:t xml:space="preserve">. In H1 2024, its production decreased by 3.4% in the Union (in that by 5.3% in Germany). The performance of economic activities focused on the production of investment products (by 5.7%) and durable goods (by 4.6%) decreased the most. </w:t>
      </w:r>
    </w:p>
    <w:bookmarkEnd w:id="20"/>
  </w:footnote>
  <w:footnote w:id="20">
    <w:p w14:paraId="48A9046A" w14:textId="77B0C60E" w:rsidR="00165465" w:rsidRPr="005F7B4A" w:rsidRDefault="00165465" w:rsidP="00E551F6">
      <w:pPr>
        <w:pStyle w:val="Textpoznpodarou"/>
        <w:jc w:val="both"/>
        <w:rPr>
          <w:color w:val="0D0D0D" w:themeColor="text1" w:themeTint="F2"/>
          <w:spacing w:val="-2"/>
          <w:sz w:val="16"/>
          <w:szCs w:val="16"/>
          <w:lang w:val="en-GB"/>
        </w:rPr>
      </w:pPr>
      <w:r w:rsidRPr="005F7B4A">
        <w:rPr>
          <w:rStyle w:val="Znakapoznpodarou"/>
          <w:color w:val="0D0D0D" w:themeColor="text1" w:themeTint="F2"/>
          <w:spacing w:val="-2"/>
          <w:sz w:val="16"/>
          <w:szCs w:val="16"/>
          <w:lang w:val="en-GB"/>
        </w:rPr>
        <w:footnoteRef/>
      </w:r>
      <w:r w:rsidRPr="005F7B4A">
        <w:rPr>
          <w:color w:val="0D0D0D" w:themeColor="text1" w:themeTint="F2"/>
          <w:spacing w:val="-2"/>
          <w:sz w:val="16"/>
          <w:szCs w:val="16"/>
          <w:lang w:val="en-GB"/>
        </w:rPr>
        <w:t xml:space="preserve"> </w:t>
      </w:r>
      <w:bookmarkStart w:id="21" w:name="_Hlk178357896"/>
      <w:r w:rsidRPr="005F7B4A">
        <w:rPr>
          <w:color w:val="0D0D0D" w:themeColor="text1" w:themeTint="F2"/>
          <w:spacing w:val="-2"/>
          <w:sz w:val="16"/>
          <w:szCs w:val="16"/>
          <w:lang w:val="en-GB"/>
        </w:rPr>
        <w:t>Data from the Automotive Industry Association of the Czech Republic also prove the still good current condition of the entir</w:t>
      </w:r>
      <w:r>
        <w:rPr>
          <w:color w:val="0D0D0D" w:themeColor="text1" w:themeTint="F2"/>
          <w:spacing w:val="-2"/>
          <w:sz w:val="16"/>
          <w:szCs w:val="16"/>
          <w:lang w:val="en-GB"/>
        </w:rPr>
        <w:t>e branch</w:t>
      </w:r>
      <w:r w:rsidRPr="005F7B4A">
        <w:rPr>
          <w:color w:val="0D0D0D" w:themeColor="text1" w:themeTint="F2"/>
          <w:spacing w:val="-2"/>
          <w:sz w:val="16"/>
          <w:szCs w:val="16"/>
          <w:lang w:val="en-GB"/>
        </w:rPr>
        <w:t xml:space="preserve">. According to them, there were 774 thousand personal vehicles manufactured locally for the whole half of this year (5% more, year-on-year, and 2% more than in the record year 2018). In contrast to previous years, the </w:t>
      </w:r>
      <w:r>
        <w:rPr>
          <w:color w:val="0D0D0D" w:themeColor="text1" w:themeTint="F2"/>
          <w:spacing w:val="-2"/>
          <w:sz w:val="16"/>
          <w:szCs w:val="16"/>
          <w:lang w:val="en-GB"/>
        </w:rPr>
        <w:t xml:space="preserve">current </w:t>
      </w:r>
      <w:r w:rsidRPr="005F7B4A">
        <w:rPr>
          <w:color w:val="0D0D0D" w:themeColor="text1" w:themeTint="F2"/>
          <w:spacing w:val="-2"/>
          <w:sz w:val="16"/>
          <w:szCs w:val="16"/>
          <w:lang w:val="en-GB"/>
        </w:rPr>
        <w:t>production was characterised by unprecedented uniformity (production exceeded 120,000 vehicles in all months), which indicates a significant calming in the area of the supply chains.</w:t>
      </w:r>
      <w:r>
        <w:rPr>
          <w:color w:val="0D0D0D" w:themeColor="text1" w:themeTint="F2"/>
          <w:sz w:val="16"/>
          <w:szCs w:val="16"/>
          <w:lang w:val="en-GB"/>
        </w:rPr>
        <w:t xml:space="preserve"> </w:t>
      </w:r>
      <w:r w:rsidRPr="005F7B4A">
        <w:rPr>
          <w:color w:val="0D0D0D" w:themeColor="text1" w:themeTint="F2"/>
          <w:spacing w:val="-2"/>
          <w:sz w:val="16"/>
          <w:szCs w:val="16"/>
          <w:lang w:val="en-GB"/>
        </w:rPr>
        <w:t xml:space="preserve">Manufacturing of electric vehicles (including electric-hybrid vehicles), which accounted for flat 8% of the total production of personal vehicles so far this year (12.4% a year earlier) on the contrary recorded a year-on-year decrease. In contrast, most manufacturers of other types of road motor vehicles have strengthened their production this year. </w:t>
      </w:r>
    </w:p>
    <w:bookmarkEnd w:id="21"/>
  </w:footnote>
  <w:footnote w:id="21">
    <w:p w14:paraId="171B275C" w14:textId="78A6E2BD" w:rsidR="00165465" w:rsidRPr="005F7B4A" w:rsidRDefault="00165465" w:rsidP="00E551F6">
      <w:pPr>
        <w:pStyle w:val="Textpoznpodarou"/>
        <w:jc w:val="both"/>
        <w:rPr>
          <w:spacing w:val="-2"/>
          <w:lang w:val="en-GB"/>
        </w:rPr>
      </w:pPr>
      <w:r w:rsidRPr="005F7B4A">
        <w:rPr>
          <w:rStyle w:val="Znakapoznpodarou"/>
          <w:spacing w:val="-2"/>
          <w:sz w:val="16"/>
          <w:szCs w:val="16"/>
          <w:lang w:val="en-GB"/>
        </w:rPr>
        <w:footnoteRef/>
      </w:r>
      <w:r w:rsidRPr="005F7B4A">
        <w:rPr>
          <w:spacing w:val="-2"/>
          <w:sz w:val="16"/>
          <w:szCs w:val="16"/>
          <w:lang w:val="en-GB"/>
        </w:rPr>
        <w:t xml:space="preserve"> According to the European Automobile Manufacturers’ Association, the number of registrations of new personal vehicles increased by 4.5%, year-on-year, in the EU in H1 2024 (to 5.7 million). The market growth was driven mainly by the electric-hybrid vehicles, which already accounted for nearly 30% of total sales. Except for the Benelux </w:t>
      </w:r>
      <w:bookmarkStart w:id="22" w:name="_Hlk178361239"/>
      <w:r>
        <w:rPr>
          <w:spacing w:val="-2"/>
          <w:sz w:val="16"/>
          <w:szCs w:val="16"/>
          <w:lang w:val="en-GB"/>
        </w:rPr>
        <w:t xml:space="preserve">and </w:t>
      </w:r>
      <w:r w:rsidRPr="005F7B4A">
        <w:rPr>
          <w:spacing w:val="-2"/>
          <w:sz w:val="16"/>
          <w:szCs w:val="16"/>
          <w:lang w:val="en-GB"/>
        </w:rPr>
        <w:t xml:space="preserve">Scandinavian countries, the total demand expanded in all major countries. Even though the number of registrations has been increasing, year-on-year, already for nearly two years in a row, they still lagged behind the peak of the pre-pandemic period about approximately one fifth in H1 2024. </w:t>
      </w:r>
      <w:r w:rsidRPr="005F7B4A">
        <w:rPr>
          <w:rFonts w:eastAsia="Times New Roman" w:cs="Arial"/>
          <w:color w:val="0D0D0D" w:themeColor="text1" w:themeTint="F2"/>
          <w:spacing w:val="-2"/>
          <w:sz w:val="16"/>
          <w:szCs w:val="16"/>
          <w:lang w:val="en-GB"/>
        </w:rPr>
        <w:t xml:space="preserve"> </w:t>
      </w:r>
      <w:bookmarkEnd w:id="22"/>
    </w:p>
  </w:footnote>
  <w:footnote w:id="22">
    <w:p w14:paraId="3CDB48BA" w14:textId="77777777" w:rsidR="00165465" w:rsidRPr="005F7B4A" w:rsidRDefault="00165465" w:rsidP="000674C7">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output was by more than a quarter lower in this branch compared to H1 2021 this year.  </w:t>
      </w:r>
    </w:p>
  </w:footnote>
  <w:footnote w:id="23">
    <w:p w14:paraId="4381D2CC" w14:textId="77777777" w:rsidR="00165465" w:rsidRPr="005F7B4A" w:rsidRDefault="00165465" w:rsidP="000674C7">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production has been falling in this field in the EU states, year-on-year, already for two and a half years in a row (by 2% in H1 this year).</w:t>
      </w:r>
    </w:p>
  </w:footnote>
  <w:footnote w:id="24">
    <w:p w14:paraId="7F192945" w14:textId="5D61ACAD" w:rsidR="00165465" w:rsidRPr="005F7B4A" w:rsidRDefault="00165465" w:rsidP="00E551F6">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It consists of mainly the manufacturing of medical ins</w:t>
      </w:r>
      <w:r>
        <w:rPr>
          <w:spacing w:val="-2"/>
          <w:sz w:val="16"/>
          <w:szCs w:val="16"/>
          <w:lang w:val="en-GB"/>
        </w:rPr>
        <w:t>truments and supplies, but also,</w:t>
      </w:r>
      <w:r w:rsidRPr="005F7B4A">
        <w:rPr>
          <w:spacing w:val="-2"/>
          <w:sz w:val="16"/>
          <w:szCs w:val="16"/>
          <w:lang w:val="en-GB"/>
        </w:rPr>
        <w:t xml:space="preserve"> for instance, the manufacturing of games, toys, sports goods or jewellery and bijouterie. </w:t>
      </w:r>
    </w:p>
  </w:footnote>
  <w:footnote w:id="25">
    <w:p w14:paraId="6235A214" w14:textId="087ECA8B" w:rsidR="00165465" w:rsidRPr="005F7B4A" w:rsidRDefault="00165465" w:rsidP="00E551F6">
      <w:pPr>
        <w:pStyle w:val="Textpoznpodarou"/>
        <w:jc w:val="both"/>
        <w:rPr>
          <w:spacing w:val="-2"/>
          <w:lang w:val="en-GB"/>
        </w:rPr>
      </w:pPr>
      <w:r w:rsidRPr="005F7B4A">
        <w:rPr>
          <w:rStyle w:val="Znakapoznpodarou"/>
          <w:spacing w:val="-2"/>
          <w:sz w:val="16"/>
          <w:szCs w:val="16"/>
        </w:rPr>
        <w:footnoteRef/>
      </w:r>
      <w:r w:rsidRPr="005F7B4A">
        <w:rPr>
          <w:spacing w:val="-2"/>
          <w:sz w:val="16"/>
          <w:szCs w:val="16"/>
        </w:rPr>
        <w:t xml:space="preserve"> </w:t>
      </w:r>
      <w:proofErr w:type="spellStart"/>
      <w:r w:rsidRPr="005F7B4A">
        <w:rPr>
          <w:spacing w:val="-2"/>
          <w:sz w:val="16"/>
          <w:szCs w:val="16"/>
        </w:rPr>
        <w:t>According</w:t>
      </w:r>
      <w:proofErr w:type="spellEnd"/>
      <w:r w:rsidRPr="005F7B4A">
        <w:rPr>
          <w:spacing w:val="-2"/>
          <w:sz w:val="16"/>
          <w:szCs w:val="16"/>
        </w:rPr>
        <w:t xml:space="preserve"> to </w:t>
      </w:r>
      <w:proofErr w:type="spellStart"/>
      <w:r w:rsidRPr="005F7B4A">
        <w:rPr>
          <w:spacing w:val="-2"/>
          <w:sz w:val="16"/>
          <w:szCs w:val="16"/>
        </w:rPr>
        <w:t>the</w:t>
      </w:r>
      <w:proofErr w:type="spellEnd"/>
      <w:r w:rsidRPr="005F7B4A">
        <w:rPr>
          <w:spacing w:val="-2"/>
          <w:sz w:val="16"/>
          <w:szCs w:val="16"/>
        </w:rPr>
        <w:t xml:space="preserve"> data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Energy</w:t>
      </w:r>
      <w:proofErr w:type="spellEnd"/>
      <w:r w:rsidRPr="005F7B4A">
        <w:rPr>
          <w:spacing w:val="-2"/>
          <w:sz w:val="16"/>
          <w:szCs w:val="16"/>
        </w:rPr>
        <w:t xml:space="preserve"> </w:t>
      </w:r>
      <w:proofErr w:type="spellStart"/>
      <w:r w:rsidRPr="005F7B4A">
        <w:rPr>
          <w:spacing w:val="-2"/>
          <w:sz w:val="16"/>
          <w:szCs w:val="16"/>
        </w:rPr>
        <w:t>Regulatory</w:t>
      </w:r>
      <w:proofErr w:type="spellEnd"/>
      <w:r w:rsidRPr="005F7B4A">
        <w:rPr>
          <w:spacing w:val="-2"/>
          <w:sz w:val="16"/>
          <w:szCs w:val="16"/>
        </w:rPr>
        <w:t xml:space="preserve"> Office, </w:t>
      </w:r>
      <w:proofErr w:type="spellStart"/>
      <w:r w:rsidRPr="005F7B4A">
        <w:rPr>
          <w:spacing w:val="-2"/>
          <w:sz w:val="16"/>
          <w:szCs w:val="16"/>
        </w:rPr>
        <w:t>the</w:t>
      </w:r>
      <w:proofErr w:type="spellEnd"/>
      <w:r w:rsidRPr="005F7B4A">
        <w:rPr>
          <w:spacing w:val="-2"/>
          <w:sz w:val="16"/>
          <w:szCs w:val="16"/>
        </w:rPr>
        <w:t xml:space="preserve"> gr</w:t>
      </w:r>
      <w:r>
        <w:rPr>
          <w:spacing w:val="-2"/>
          <w:sz w:val="16"/>
          <w:szCs w:val="16"/>
        </w:rPr>
        <w:t xml:space="preserve">oss </w:t>
      </w:r>
      <w:proofErr w:type="spellStart"/>
      <w:r>
        <w:rPr>
          <w:spacing w:val="-2"/>
          <w:sz w:val="16"/>
          <w:szCs w:val="16"/>
        </w:rPr>
        <w:t>domestic</w:t>
      </w:r>
      <w:proofErr w:type="spellEnd"/>
      <w:r>
        <w:rPr>
          <w:spacing w:val="-2"/>
          <w:sz w:val="16"/>
          <w:szCs w:val="16"/>
        </w:rPr>
        <w:t xml:space="preserve"> </w:t>
      </w:r>
      <w:proofErr w:type="spellStart"/>
      <w:r>
        <w:rPr>
          <w:spacing w:val="-2"/>
          <w:sz w:val="16"/>
          <w:szCs w:val="16"/>
        </w:rPr>
        <w:t>electricity</w:t>
      </w:r>
      <w:proofErr w:type="spellEnd"/>
      <w:r>
        <w:rPr>
          <w:spacing w:val="-2"/>
          <w:sz w:val="16"/>
          <w:szCs w:val="16"/>
        </w:rPr>
        <w:t xml:space="preserve"> </w:t>
      </w:r>
      <w:proofErr w:type="spellStart"/>
      <w:r>
        <w:rPr>
          <w:spacing w:val="-2"/>
          <w:sz w:val="16"/>
          <w:szCs w:val="16"/>
        </w:rPr>
        <w:t>produc</w:t>
      </w:r>
      <w:r w:rsidRPr="005F7B4A">
        <w:rPr>
          <w:spacing w:val="-2"/>
          <w:sz w:val="16"/>
          <w:szCs w:val="16"/>
        </w:rPr>
        <w:t>tion</w:t>
      </w:r>
      <w:proofErr w:type="spellEnd"/>
      <w:r w:rsidRPr="005F7B4A">
        <w:rPr>
          <w:spacing w:val="-2"/>
          <w:sz w:val="16"/>
          <w:szCs w:val="16"/>
        </w:rPr>
        <w:t xml:space="preserve"> </w:t>
      </w:r>
      <w:proofErr w:type="spellStart"/>
      <w:r w:rsidRPr="005F7B4A">
        <w:rPr>
          <w:spacing w:val="-2"/>
          <w:sz w:val="16"/>
          <w:szCs w:val="16"/>
        </w:rPr>
        <w:t>amounted</w:t>
      </w:r>
      <w:proofErr w:type="spellEnd"/>
      <w:r w:rsidRPr="005F7B4A">
        <w:rPr>
          <w:spacing w:val="-2"/>
          <w:sz w:val="16"/>
          <w:szCs w:val="16"/>
        </w:rPr>
        <w:t xml:space="preserve"> to 36.1 </w:t>
      </w:r>
      <w:proofErr w:type="spellStart"/>
      <w:r w:rsidRPr="005F7B4A">
        <w:rPr>
          <w:spacing w:val="-2"/>
          <w:sz w:val="16"/>
          <w:szCs w:val="16"/>
        </w:rPr>
        <w:t>TWh</w:t>
      </w:r>
      <w:proofErr w:type="spellEnd"/>
      <w:r w:rsidRPr="005F7B4A">
        <w:rPr>
          <w:spacing w:val="-2"/>
          <w:sz w:val="16"/>
          <w:szCs w:val="16"/>
        </w:rPr>
        <w:t xml:space="preserve"> (by 5.6%, </w:t>
      </w:r>
      <w:proofErr w:type="spellStart"/>
      <w:r w:rsidRPr="005F7B4A">
        <w:rPr>
          <w:spacing w:val="-2"/>
          <w:sz w:val="16"/>
          <w:szCs w:val="16"/>
        </w:rPr>
        <w:t>year</w:t>
      </w:r>
      <w:proofErr w:type="spellEnd"/>
      <w:r w:rsidRPr="005F7B4A">
        <w:rPr>
          <w:spacing w:val="-2"/>
          <w:sz w:val="16"/>
          <w:szCs w:val="16"/>
        </w:rPr>
        <w:t>-on-</w:t>
      </w:r>
      <w:proofErr w:type="spellStart"/>
      <w:r w:rsidRPr="005F7B4A">
        <w:rPr>
          <w:spacing w:val="-2"/>
          <w:sz w:val="16"/>
          <w:szCs w:val="16"/>
        </w:rPr>
        <w:t>year</w:t>
      </w:r>
      <w:proofErr w:type="spellEnd"/>
      <w:r w:rsidRPr="005F7B4A">
        <w:rPr>
          <w:spacing w:val="-2"/>
          <w:sz w:val="16"/>
          <w:szCs w:val="16"/>
        </w:rPr>
        <w:t xml:space="preserve">, </w:t>
      </w:r>
      <w:proofErr w:type="spellStart"/>
      <w:r>
        <w:rPr>
          <w:spacing w:val="-2"/>
          <w:sz w:val="16"/>
          <w:szCs w:val="16"/>
        </w:rPr>
        <w:t>less</w:t>
      </w:r>
      <w:proofErr w:type="spellEnd"/>
      <w:r>
        <w:rPr>
          <w:spacing w:val="-2"/>
          <w:sz w:val="16"/>
          <w:szCs w:val="16"/>
        </w:rPr>
        <w:t xml:space="preserve">) in H1 2024. </w:t>
      </w:r>
      <w:proofErr w:type="spellStart"/>
      <w:r>
        <w:rPr>
          <w:spacing w:val="-2"/>
          <w:sz w:val="16"/>
          <w:szCs w:val="16"/>
        </w:rPr>
        <w:t>Mostly</w:t>
      </w:r>
      <w:proofErr w:type="spellEnd"/>
      <w:r>
        <w:rPr>
          <w:spacing w:val="-2"/>
          <w:sz w:val="16"/>
          <w:szCs w:val="16"/>
        </w:rPr>
        <w:t xml:space="preserve"> </w:t>
      </w:r>
      <w:proofErr w:type="spellStart"/>
      <w:r>
        <w:rPr>
          <w:spacing w:val="-2"/>
          <w:sz w:val="16"/>
          <w:szCs w:val="16"/>
        </w:rPr>
        <w:t>steam</w:t>
      </w:r>
      <w:proofErr w:type="spellEnd"/>
      <w:r w:rsidRPr="005F7B4A">
        <w:rPr>
          <w:spacing w:val="-2"/>
          <w:sz w:val="16"/>
          <w:szCs w:val="16"/>
        </w:rPr>
        <w:t xml:space="preserve"> </w:t>
      </w:r>
      <w:proofErr w:type="spellStart"/>
      <w:r w:rsidRPr="005F7B4A">
        <w:rPr>
          <w:spacing w:val="-2"/>
          <w:sz w:val="16"/>
          <w:szCs w:val="16"/>
        </w:rPr>
        <w:t>power</w:t>
      </w:r>
      <w:proofErr w:type="spellEnd"/>
      <w:r w:rsidRPr="005F7B4A">
        <w:rPr>
          <w:spacing w:val="-2"/>
          <w:sz w:val="16"/>
          <w:szCs w:val="16"/>
        </w:rPr>
        <w:t xml:space="preserve"> </w:t>
      </w:r>
      <w:proofErr w:type="spellStart"/>
      <w:r w:rsidRPr="005F7B4A">
        <w:rPr>
          <w:spacing w:val="-2"/>
          <w:sz w:val="16"/>
          <w:szCs w:val="16"/>
        </w:rPr>
        <w:t>plants</w:t>
      </w:r>
      <w:proofErr w:type="spellEnd"/>
      <w:r w:rsidRPr="005F7B4A">
        <w:rPr>
          <w:spacing w:val="-2"/>
          <w:sz w:val="16"/>
          <w:szCs w:val="16"/>
        </w:rPr>
        <w:t xml:space="preserve"> (</w:t>
      </w:r>
      <w:proofErr w:type="spellStart"/>
      <w:r w:rsidRPr="005F7B4A">
        <w:rPr>
          <w:spacing w:val="-2"/>
          <w:sz w:val="16"/>
          <w:szCs w:val="16"/>
        </w:rPr>
        <w:t>with</w:t>
      </w:r>
      <w:proofErr w:type="spellEnd"/>
      <w:r w:rsidRPr="005F7B4A">
        <w:rPr>
          <w:spacing w:val="-2"/>
          <w:sz w:val="16"/>
          <w:szCs w:val="16"/>
        </w:rPr>
        <w:t xml:space="preserve"> output </w:t>
      </w:r>
      <w:proofErr w:type="spellStart"/>
      <w:r w:rsidRPr="005F7B4A">
        <w:rPr>
          <w:spacing w:val="-2"/>
          <w:sz w:val="16"/>
          <w:szCs w:val="16"/>
        </w:rPr>
        <w:t>lower</w:t>
      </w:r>
      <w:proofErr w:type="spellEnd"/>
      <w:r w:rsidRPr="005F7B4A">
        <w:rPr>
          <w:spacing w:val="-2"/>
          <w:sz w:val="16"/>
          <w:szCs w:val="16"/>
        </w:rPr>
        <w:t xml:space="preserve"> by 10.8%) and </w:t>
      </w:r>
      <w:proofErr w:type="spellStart"/>
      <w:r w:rsidRPr="005F7B4A">
        <w:rPr>
          <w:spacing w:val="-2"/>
          <w:sz w:val="16"/>
          <w:szCs w:val="16"/>
        </w:rPr>
        <w:t>nuclear</w:t>
      </w:r>
      <w:proofErr w:type="spellEnd"/>
      <w:r w:rsidRPr="005F7B4A">
        <w:rPr>
          <w:spacing w:val="-2"/>
          <w:sz w:val="16"/>
          <w:szCs w:val="16"/>
        </w:rPr>
        <w:t xml:space="preserve"> </w:t>
      </w:r>
      <w:proofErr w:type="spellStart"/>
      <w:r w:rsidRPr="005F7B4A">
        <w:rPr>
          <w:spacing w:val="-2"/>
          <w:sz w:val="16"/>
          <w:szCs w:val="16"/>
        </w:rPr>
        <w:t>power</w:t>
      </w:r>
      <w:proofErr w:type="spellEnd"/>
      <w:r w:rsidRPr="005F7B4A">
        <w:rPr>
          <w:spacing w:val="-2"/>
          <w:sz w:val="16"/>
          <w:szCs w:val="16"/>
        </w:rPr>
        <w:t xml:space="preserve"> </w:t>
      </w:r>
      <w:proofErr w:type="spellStart"/>
      <w:proofErr w:type="gramStart"/>
      <w:r w:rsidRPr="005F7B4A">
        <w:rPr>
          <w:spacing w:val="-2"/>
          <w:sz w:val="16"/>
          <w:szCs w:val="16"/>
        </w:rPr>
        <w:t>sources</w:t>
      </w:r>
      <w:proofErr w:type="spellEnd"/>
      <w:r w:rsidRPr="005F7B4A">
        <w:rPr>
          <w:spacing w:val="-2"/>
          <w:sz w:val="16"/>
          <w:szCs w:val="16"/>
        </w:rPr>
        <w:t xml:space="preserve"> (−4.6%</w:t>
      </w:r>
      <w:proofErr w:type="gramEnd"/>
      <w:r w:rsidRPr="005F7B4A">
        <w:rPr>
          <w:spacing w:val="-2"/>
          <w:sz w:val="16"/>
          <w:szCs w:val="16"/>
        </w:rPr>
        <w:t xml:space="preserve">) </w:t>
      </w:r>
      <w:proofErr w:type="spellStart"/>
      <w:r w:rsidRPr="005F7B4A">
        <w:rPr>
          <w:spacing w:val="-2"/>
          <w:sz w:val="16"/>
          <w:szCs w:val="16"/>
        </w:rPr>
        <w:t>were</w:t>
      </w:r>
      <w:proofErr w:type="spellEnd"/>
      <w:r w:rsidRPr="005F7B4A">
        <w:rPr>
          <w:spacing w:val="-2"/>
          <w:sz w:val="16"/>
          <w:szCs w:val="16"/>
        </w:rPr>
        <w:t xml:space="preserve"> </w:t>
      </w:r>
      <w:proofErr w:type="spellStart"/>
      <w:r w:rsidRPr="005F7B4A">
        <w:rPr>
          <w:spacing w:val="-2"/>
          <w:sz w:val="16"/>
          <w:szCs w:val="16"/>
        </w:rPr>
        <w:t>behind</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decrease</w:t>
      </w:r>
      <w:proofErr w:type="spellEnd"/>
      <w:r w:rsidRPr="005F7B4A">
        <w:rPr>
          <w:spacing w:val="-2"/>
          <w:sz w:val="16"/>
          <w:szCs w:val="16"/>
        </w:rPr>
        <w:t xml:space="preserve">. In </w:t>
      </w:r>
      <w:proofErr w:type="spellStart"/>
      <w:r w:rsidRPr="005F7B4A">
        <w:rPr>
          <w:spacing w:val="-2"/>
          <w:sz w:val="16"/>
          <w:szCs w:val="16"/>
        </w:rPr>
        <w:t>contrast</w:t>
      </w:r>
      <w:proofErr w:type="spellEnd"/>
      <w:r w:rsidRPr="005F7B4A">
        <w:rPr>
          <w:spacing w:val="-2"/>
          <w:sz w:val="16"/>
          <w:szCs w:val="16"/>
        </w:rPr>
        <w:t xml:space="preserve"> </w:t>
      </w:r>
      <w:proofErr w:type="spellStart"/>
      <w:r w:rsidRPr="005F7B4A">
        <w:rPr>
          <w:spacing w:val="-2"/>
          <w:sz w:val="16"/>
          <w:szCs w:val="16"/>
        </w:rPr>
        <w:t>mainly</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developing</w:t>
      </w:r>
      <w:proofErr w:type="spellEnd"/>
      <w:r w:rsidRPr="005F7B4A">
        <w:rPr>
          <w:spacing w:val="-2"/>
          <w:sz w:val="16"/>
          <w:szCs w:val="16"/>
        </w:rPr>
        <w:t xml:space="preserve"> </w:t>
      </w:r>
      <w:proofErr w:type="spellStart"/>
      <w:r w:rsidRPr="005F7B4A">
        <w:rPr>
          <w:spacing w:val="-2"/>
          <w:sz w:val="16"/>
          <w:szCs w:val="16"/>
        </w:rPr>
        <w:t>renewable</w:t>
      </w:r>
      <w:proofErr w:type="spellEnd"/>
      <w:r w:rsidRPr="005F7B4A">
        <w:rPr>
          <w:spacing w:val="-2"/>
          <w:sz w:val="16"/>
          <w:szCs w:val="16"/>
        </w:rPr>
        <w:t xml:space="preserve"> </w:t>
      </w:r>
      <w:proofErr w:type="spellStart"/>
      <w:r w:rsidRPr="005F7B4A">
        <w:rPr>
          <w:spacing w:val="-2"/>
          <w:sz w:val="16"/>
          <w:szCs w:val="16"/>
        </w:rPr>
        <w:t>sources</w:t>
      </w:r>
      <w:proofErr w:type="spellEnd"/>
      <w:r w:rsidRPr="005F7B4A">
        <w:rPr>
          <w:spacing w:val="-2"/>
          <w:sz w:val="16"/>
          <w:szCs w:val="16"/>
        </w:rPr>
        <w:t xml:space="preserve"> </w:t>
      </w:r>
      <w:proofErr w:type="spellStart"/>
      <w:r w:rsidRPr="005F7B4A">
        <w:rPr>
          <w:spacing w:val="-2"/>
          <w:sz w:val="16"/>
          <w:szCs w:val="16"/>
        </w:rPr>
        <w:t>dampened</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total</w:t>
      </w:r>
      <w:proofErr w:type="spellEnd"/>
      <w:r w:rsidRPr="005F7B4A">
        <w:rPr>
          <w:spacing w:val="-2"/>
          <w:sz w:val="16"/>
          <w:szCs w:val="16"/>
        </w:rPr>
        <w:t xml:space="preserve"> output </w:t>
      </w:r>
      <w:proofErr w:type="spellStart"/>
      <w:r w:rsidRPr="005F7B4A">
        <w:rPr>
          <w:spacing w:val="-2"/>
          <w:sz w:val="16"/>
          <w:szCs w:val="16"/>
        </w:rPr>
        <w:t>decrease</w:t>
      </w:r>
      <w:proofErr w:type="spellEnd"/>
      <w:r w:rsidRPr="005F7B4A">
        <w:rPr>
          <w:spacing w:val="-2"/>
          <w:sz w:val="16"/>
          <w:szCs w:val="16"/>
        </w:rPr>
        <w:t xml:space="preserve"> – </w:t>
      </w:r>
      <w:proofErr w:type="spellStart"/>
      <w:r w:rsidRPr="005F7B4A">
        <w:rPr>
          <w:spacing w:val="-2"/>
          <w:sz w:val="16"/>
          <w:szCs w:val="16"/>
        </w:rPr>
        <w:t>photovoltaic</w:t>
      </w:r>
      <w:proofErr w:type="spellEnd"/>
      <w:r w:rsidRPr="005F7B4A">
        <w:rPr>
          <w:spacing w:val="-2"/>
          <w:sz w:val="16"/>
          <w:szCs w:val="16"/>
        </w:rPr>
        <w:t xml:space="preserve"> </w:t>
      </w:r>
      <w:proofErr w:type="spellStart"/>
      <w:r w:rsidRPr="005F7B4A">
        <w:rPr>
          <w:spacing w:val="-2"/>
          <w:sz w:val="16"/>
          <w:szCs w:val="16"/>
        </w:rPr>
        <w:t>power</w:t>
      </w:r>
      <w:proofErr w:type="spellEnd"/>
      <w:r w:rsidRPr="005F7B4A">
        <w:rPr>
          <w:spacing w:val="-2"/>
          <w:sz w:val="16"/>
          <w:szCs w:val="16"/>
        </w:rPr>
        <w:t xml:space="preserve"> </w:t>
      </w:r>
      <w:proofErr w:type="spellStart"/>
      <w:r w:rsidRPr="005F7B4A">
        <w:rPr>
          <w:spacing w:val="-2"/>
          <w:sz w:val="16"/>
          <w:szCs w:val="16"/>
        </w:rPr>
        <w:t>stations</w:t>
      </w:r>
      <w:proofErr w:type="spellEnd"/>
      <w:r w:rsidRPr="005F7B4A">
        <w:rPr>
          <w:spacing w:val="-2"/>
          <w:sz w:val="16"/>
          <w:szCs w:val="16"/>
        </w:rPr>
        <w:t xml:space="preserve"> </w:t>
      </w:r>
      <w:proofErr w:type="spellStart"/>
      <w:r w:rsidRPr="005F7B4A">
        <w:rPr>
          <w:spacing w:val="-2"/>
          <w:sz w:val="16"/>
          <w:szCs w:val="16"/>
        </w:rPr>
        <w:t>generated</w:t>
      </w:r>
      <w:proofErr w:type="spellEnd"/>
      <w:r w:rsidRPr="005F7B4A">
        <w:rPr>
          <w:spacing w:val="-2"/>
          <w:sz w:val="16"/>
          <w:szCs w:val="16"/>
        </w:rPr>
        <w:t xml:space="preserve"> by 28% more (to a </w:t>
      </w:r>
      <w:proofErr w:type="spellStart"/>
      <w:r w:rsidRPr="005F7B4A">
        <w:rPr>
          <w:spacing w:val="-2"/>
          <w:sz w:val="16"/>
          <w:szCs w:val="16"/>
        </w:rPr>
        <w:t>vast</w:t>
      </w:r>
      <w:proofErr w:type="spellEnd"/>
      <w:r w:rsidRPr="005F7B4A">
        <w:rPr>
          <w:spacing w:val="-2"/>
          <w:sz w:val="16"/>
          <w:szCs w:val="16"/>
        </w:rPr>
        <w:t xml:space="preserve"> part </w:t>
      </w:r>
      <w:proofErr w:type="spellStart"/>
      <w:r w:rsidRPr="005F7B4A">
        <w:rPr>
          <w:spacing w:val="-2"/>
          <w:sz w:val="16"/>
          <w:szCs w:val="16"/>
        </w:rPr>
        <w:t>due</w:t>
      </w:r>
      <w:proofErr w:type="spellEnd"/>
      <w:r w:rsidRPr="005F7B4A">
        <w:rPr>
          <w:spacing w:val="-2"/>
          <w:sz w:val="16"/>
          <w:szCs w:val="16"/>
        </w:rPr>
        <w:t xml:space="preserve"> to </w:t>
      </w:r>
      <w:proofErr w:type="spellStart"/>
      <w:r w:rsidRPr="005F7B4A">
        <w:rPr>
          <w:spacing w:val="-2"/>
          <w:sz w:val="16"/>
          <w:szCs w:val="16"/>
        </w:rPr>
        <w:t>the</w:t>
      </w:r>
      <w:proofErr w:type="spellEnd"/>
      <w:r w:rsidRPr="005F7B4A">
        <w:rPr>
          <w:spacing w:val="-2"/>
          <w:sz w:val="16"/>
          <w:szCs w:val="16"/>
        </w:rPr>
        <w:t xml:space="preserve"> rapid </w:t>
      </w:r>
      <w:proofErr w:type="spellStart"/>
      <w:r w:rsidRPr="005F7B4A">
        <w:rPr>
          <w:spacing w:val="-2"/>
          <w:sz w:val="16"/>
          <w:szCs w:val="16"/>
        </w:rPr>
        <w:t>growth</w:t>
      </w:r>
      <w:proofErr w:type="spellEnd"/>
      <w:r w:rsidRPr="005F7B4A">
        <w:rPr>
          <w:spacing w:val="-2"/>
          <w:sz w:val="16"/>
          <w:szCs w:val="16"/>
        </w:rPr>
        <w:t xml:space="preserve">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installed</w:t>
      </w:r>
      <w:proofErr w:type="spellEnd"/>
      <w:r w:rsidRPr="005F7B4A">
        <w:rPr>
          <w:spacing w:val="-2"/>
          <w:sz w:val="16"/>
          <w:szCs w:val="16"/>
        </w:rPr>
        <w:t xml:space="preserve"> </w:t>
      </w:r>
      <w:proofErr w:type="spellStart"/>
      <w:r w:rsidRPr="005F7B4A">
        <w:rPr>
          <w:spacing w:val="-2"/>
          <w:sz w:val="16"/>
          <w:szCs w:val="16"/>
        </w:rPr>
        <w:t>capacity</w:t>
      </w:r>
      <w:proofErr w:type="spellEnd"/>
      <w:r w:rsidRPr="005F7B4A">
        <w:rPr>
          <w:spacing w:val="-2"/>
          <w:sz w:val="16"/>
          <w:szCs w:val="16"/>
        </w:rPr>
        <w:t xml:space="preserve">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smallest</w:t>
      </w:r>
      <w:proofErr w:type="spellEnd"/>
      <w:r w:rsidRPr="005F7B4A">
        <w:rPr>
          <w:spacing w:val="-2"/>
          <w:sz w:val="16"/>
          <w:szCs w:val="16"/>
        </w:rPr>
        <w:t xml:space="preserve"> </w:t>
      </w:r>
      <w:proofErr w:type="spellStart"/>
      <w:r w:rsidRPr="005F7B4A">
        <w:rPr>
          <w:spacing w:val="-2"/>
          <w:sz w:val="16"/>
          <w:szCs w:val="16"/>
        </w:rPr>
        <w:t>sources</w:t>
      </w:r>
      <w:proofErr w:type="spellEnd"/>
      <w:r w:rsidRPr="005F7B4A">
        <w:rPr>
          <w:spacing w:val="-2"/>
          <w:sz w:val="16"/>
          <w:szCs w:val="16"/>
        </w:rPr>
        <w:t xml:space="preserve"> – up to 10 kW), </w:t>
      </w:r>
      <w:proofErr w:type="spellStart"/>
      <w:r w:rsidRPr="005F7B4A">
        <w:rPr>
          <w:spacing w:val="-2"/>
          <w:sz w:val="16"/>
          <w:szCs w:val="16"/>
        </w:rPr>
        <w:t>wind</w:t>
      </w:r>
      <w:proofErr w:type="spellEnd"/>
      <w:r w:rsidRPr="005F7B4A">
        <w:rPr>
          <w:spacing w:val="-2"/>
          <w:sz w:val="16"/>
          <w:szCs w:val="16"/>
        </w:rPr>
        <w:t xml:space="preserve"> </w:t>
      </w:r>
      <w:proofErr w:type="spellStart"/>
      <w:r w:rsidRPr="005F7B4A">
        <w:rPr>
          <w:spacing w:val="-2"/>
          <w:sz w:val="16"/>
          <w:szCs w:val="16"/>
        </w:rPr>
        <w:t>power</w:t>
      </w:r>
      <w:proofErr w:type="spellEnd"/>
      <w:r w:rsidRPr="005F7B4A">
        <w:rPr>
          <w:spacing w:val="-2"/>
          <w:sz w:val="16"/>
          <w:szCs w:val="16"/>
        </w:rPr>
        <w:t xml:space="preserve"> </w:t>
      </w:r>
      <w:proofErr w:type="spellStart"/>
      <w:r w:rsidRPr="005F7B4A">
        <w:rPr>
          <w:spacing w:val="-2"/>
          <w:sz w:val="16"/>
          <w:szCs w:val="16"/>
        </w:rPr>
        <w:t>plants</w:t>
      </w:r>
      <w:proofErr w:type="spellEnd"/>
      <w:r w:rsidRPr="005F7B4A">
        <w:rPr>
          <w:spacing w:val="-2"/>
          <w:sz w:val="16"/>
          <w:szCs w:val="16"/>
        </w:rPr>
        <w:t xml:space="preserve"> (+9%), and </w:t>
      </w:r>
      <w:proofErr w:type="spellStart"/>
      <w:r w:rsidRPr="005F7B4A">
        <w:rPr>
          <w:spacing w:val="-2"/>
          <w:sz w:val="16"/>
          <w:szCs w:val="16"/>
        </w:rPr>
        <w:t>pumping</w:t>
      </w:r>
      <w:proofErr w:type="spellEnd"/>
      <w:r w:rsidRPr="005F7B4A">
        <w:rPr>
          <w:spacing w:val="-2"/>
          <w:sz w:val="16"/>
          <w:szCs w:val="16"/>
        </w:rPr>
        <w:t xml:space="preserve"> </w:t>
      </w:r>
      <w:proofErr w:type="spellStart"/>
      <w:r w:rsidRPr="005F7B4A">
        <w:rPr>
          <w:spacing w:val="-2"/>
          <w:sz w:val="16"/>
          <w:szCs w:val="16"/>
        </w:rPr>
        <w:t>stations</w:t>
      </w:r>
      <w:proofErr w:type="spellEnd"/>
      <w:r w:rsidRPr="005F7B4A">
        <w:rPr>
          <w:spacing w:val="-2"/>
          <w:sz w:val="16"/>
          <w:szCs w:val="16"/>
        </w:rPr>
        <w:t xml:space="preserve"> </w:t>
      </w:r>
      <w:proofErr w:type="spellStart"/>
      <w:r w:rsidRPr="005F7B4A">
        <w:rPr>
          <w:spacing w:val="-2"/>
          <w:sz w:val="16"/>
          <w:szCs w:val="16"/>
        </w:rPr>
        <w:t>also</w:t>
      </w:r>
      <w:proofErr w:type="spellEnd"/>
      <w:r w:rsidRPr="005F7B4A">
        <w:rPr>
          <w:spacing w:val="-2"/>
          <w:sz w:val="16"/>
          <w:szCs w:val="16"/>
        </w:rPr>
        <w:t xml:space="preserve"> </w:t>
      </w:r>
      <w:proofErr w:type="spellStart"/>
      <w:r w:rsidRPr="005F7B4A">
        <w:rPr>
          <w:spacing w:val="-2"/>
          <w:sz w:val="16"/>
          <w:szCs w:val="16"/>
        </w:rPr>
        <w:t>supplied</w:t>
      </w:r>
      <w:proofErr w:type="spellEnd"/>
      <w:r w:rsidRPr="005F7B4A">
        <w:rPr>
          <w:spacing w:val="-2"/>
          <w:sz w:val="16"/>
          <w:szCs w:val="16"/>
        </w:rPr>
        <w:t xml:space="preserve"> more </w:t>
      </w:r>
      <w:proofErr w:type="spellStart"/>
      <w:r w:rsidRPr="005F7B4A">
        <w:rPr>
          <w:spacing w:val="-2"/>
          <w:sz w:val="16"/>
          <w:szCs w:val="16"/>
        </w:rPr>
        <w:t>electricity</w:t>
      </w:r>
      <w:proofErr w:type="spellEnd"/>
      <w:r w:rsidRPr="005F7B4A">
        <w:rPr>
          <w:spacing w:val="-2"/>
          <w:sz w:val="16"/>
          <w:szCs w:val="16"/>
        </w:rPr>
        <w:t xml:space="preserve"> </w:t>
      </w:r>
      <w:bookmarkStart w:id="27" w:name="_Hlk178429442"/>
      <w:r w:rsidRPr="005F7B4A">
        <w:rPr>
          <w:color w:val="0D0D0D" w:themeColor="text1" w:themeTint="F2"/>
          <w:spacing w:val="-2"/>
          <w:sz w:val="16"/>
          <w:szCs w:val="16"/>
          <w:lang w:val="en-GB"/>
        </w:rPr>
        <w:t>(+15%).</w:t>
      </w:r>
    </w:p>
    <w:bookmarkEnd w:id="27"/>
  </w:footnote>
  <w:footnote w:id="26">
    <w:p w14:paraId="3E97B6A1" w14:textId="409A46F7" w:rsidR="00165465" w:rsidRPr="00D159E7" w:rsidRDefault="00165465" w:rsidP="00E551F6">
      <w:pPr>
        <w:pStyle w:val="Textpoznpodarou"/>
        <w:jc w:val="both"/>
        <w:rPr>
          <w:spacing w:val="-2"/>
          <w:sz w:val="16"/>
          <w:szCs w:val="16"/>
        </w:rPr>
      </w:pPr>
      <w:r w:rsidRPr="005F7B4A">
        <w:rPr>
          <w:rStyle w:val="Znakapoznpodarou"/>
          <w:spacing w:val="-2"/>
          <w:sz w:val="16"/>
          <w:szCs w:val="16"/>
          <w:lang w:val="en-GB"/>
        </w:rPr>
        <w:footnoteRef/>
      </w:r>
      <w:r w:rsidRPr="005F7B4A">
        <w:rPr>
          <w:spacing w:val="-2"/>
          <w:sz w:val="16"/>
          <w:szCs w:val="16"/>
          <w:lang w:val="en-GB"/>
        </w:rPr>
        <w:t xml:space="preserve"> The domestic consumption of electricity arrived at 34.0 </w:t>
      </w:r>
      <w:proofErr w:type="spellStart"/>
      <w:r w:rsidRPr="005F7B4A">
        <w:rPr>
          <w:spacing w:val="-2"/>
          <w:sz w:val="16"/>
          <w:szCs w:val="16"/>
          <w:lang w:val="en-GB"/>
        </w:rPr>
        <w:t>TWh</w:t>
      </w:r>
      <w:proofErr w:type="spellEnd"/>
      <w:r w:rsidRPr="005F7B4A">
        <w:rPr>
          <w:spacing w:val="-2"/>
          <w:sz w:val="16"/>
          <w:szCs w:val="16"/>
          <w:lang w:val="en-GB"/>
        </w:rPr>
        <w:t xml:space="preserve"> in H1 2024, by 2.1% less, year-on-year. Of the key consumer categories, households contributed the most to the decrease (their consumption decreased by 2.3%), and to a lesser extent also entrepreneurs and majority of companies. Only the consumption of the largest enterprises within the group of wholesale customers increased slightly (+1.8%). Compared to H1 2019, the consumpt</w:t>
      </w:r>
      <w:r>
        <w:rPr>
          <w:spacing w:val="-2"/>
          <w:sz w:val="16"/>
          <w:szCs w:val="16"/>
          <w:lang w:val="en-GB"/>
        </w:rPr>
        <w:t>ion of wholesale customers (−8.5</w:t>
      </w:r>
      <w:r w:rsidRPr="005F7B4A">
        <w:rPr>
          <w:spacing w:val="-2"/>
          <w:sz w:val="16"/>
          <w:szCs w:val="16"/>
          <w:lang w:val="en-GB"/>
        </w:rPr>
        <w:t>%) and small entrepreneurs (−7.7%) was the lowest this year, while the decrease in households was only 0.8%, also due to the spread of working from home.</w:t>
      </w:r>
      <w:r>
        <w:rPr>
          <w:spacing w:val="-2"/>
          <w:sz w:val="16"/>
          <w:szCs w:val="16"/>
          <w:lang w:val="en-GB"/>
        </w:rPr>
        <w:t xml:space="preserve"> </w:t>
      </w:r>
    </w:p>
  </w:footnote>
  <w:footnote w:id="27">
    <w:p w14:paraId="5D4609DD" w14:textId="744321D3" w:rsidR="00165465" w:rsidRPr="005F7B4A" w:rsidRDefault="00165465" w:rsidP="005F7B4A">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bookmarkStart w:id="28" w:name="_Hlk178428647"/>
      <w:proofErr w:type="spellStart"/>
      <w:r w:rsidRPr="005F7B4A">
        <w:rPr>
          <w:spacing w:val="-2"/>
          <w:sz w:val="16"/>
          <w:szCs w:val="16"/>
        </w:rPr>
        <w:t>It</w:t>
      </w:r>
      <w:proofErr w:type="spellEnd"/>
      <w:r w:rsidRPr="005F7B4A">
        <w:rPr>
          <w:spacing w:val="-2"/>
          <w:sz w:val="16"/>
          <w:szCs w:val="16"/>
        </w:rPr>
        <w:t xml:space="preserve"> </w:t>
      </w:r>
      <w:proofErr w:type="gramStart"/>
      <w:r w:rsidRPr="005F7B4A">
        <w:rPr>
          <w:spacing w:val="-2"/>
          <w:sz w:val="16"/>
          <w:szCs w:val="16"/>
          <w:lang w:val="en-GB"/>
        </w:rPr>
        <w:t>was −7.9%</w:t>
      </w:r>
      <w:proofErr w:type="gramEnd"/>
      <w:r w:rsidRPr="005F7B4A">
        <w:rPr>
          <w:spacing w:val="-2"/>
          <w:sz w:val="16"/>
          <w:szCs w:val="16"/>
          <w:lang w:val="en-GB"/>
        </w:rPr>
        <w:t xml:space="preserve">, year-on-year, for H1 2024. Similarly to electricity, households saved the most gas (−12.6%) and wholesale customers the least (−4.9%). However, converted to the thermal standard, the total consumption fell only by 0.7%, year-on-year, but by 25% in three </w:t>
      </w:r>
      <w:r>
        <w:rPr>
          <w:spacing w:val="-2"/>
          <w:sz w:val="16"/>
          <w:szCs w:val="16"/>
          <w:lang w:val="en-GB"/>
        </w:rPr>
        <w:t xml:space="preserve">last </w:t>
      </w:r>
      <w:r w:rsidRPr="005F7B4A">
        <w:rPr>
          <w:spacing w:val="-2"/>
          <w:sz w:val="16"/>
          <w:szCs w:val="16"/>
          <w:lang w:val="en-GB"/>
        </w:rPr>
        <w:t xml:space="preserve">years (real consumption even by 35%). </w:t>
      </w:r>
    </w:p>
    <w:bookmarkEnd w:id="28"/>
  </w:footnote>
  <w:footnote w:id="28">
    <w:p w14:paraId="62F5592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29" w:name="_Hlk178444387"/>
      <w:r w:rsidRPr="005F7B4A">
        <w:rPr>
          <w:spacing w:val="-2"/>
          <w:sz w:val="16"/>
          <w:szCs w:val="16"/>
          <w:lang w:val="en-GB"/>
        </w:rPr>
        <w:t xml:space="preserve">Based on the Czech </w:t>
      </w:r>
      <w:proofErr w:type="spellStart"/>
      <w:r w:rsidRPr="005F7B4A">
        <w:rPr>
          <w:spacing w:val="-2"/>
          <w:sz w:val="16"/>
          <w:szCs w:val="16"/>
          <w:lang w:val="en-GB"/>
        </w:rPr>
        <w:t>Hydrometeorological</w:t>
      </w:r>
      <w:proofErr w:type="spellEnd"/>
      <w:r w:rsidRPr="005F7B4A">
        <w:rPr>
          <w:spacing w:val="-2"/>
          <w:sz w:val="16"/>
          <w:szCs w:val="16"/>
          <w:lang w:val="en-GB"/>
        </w:rPr>
        <w:t xml:space="preserve"> Institute, the average air temperature in the Czech Republic was 9.3 degrees Celsius in H1 this year (it was 2.5 degrees higher than the long-term average from years 1991–2020), “only” 7.6 degrees at the same time last year. Above-normal temperatures have occurred in all months so far this year – especially in February (with a deviation of +6.0 degrees) and March (+3.7). </w:t>
      </w:r>
      <w:bookmarkEnd w:id="29"/>
    </w:p>
  </w:footnote>
  <w:footnote w:id="29">
    <w:p w14:paraId="7969D5ED" w14:textId="77777777" w:rsidR="00165465" w:rsidRPr="006E7124" w:rsidRDefault="00165465" w:rsidP="005F7B4A">
      <w:pPr>
        <w:pStyle w:val="Textpoznpodarou"/>
        <w:jc w:val="both"/>
        <w:rPr>
          <w:rFonts w:cs="Arial"/>
          <w:color w:val="0D0D0D" w:themeColor="text1" w:themeTint="F2"/>
          <w:spacing w:val="-4"/>
          <w:sz w:val="16"/>
          <w:szCs w:val="16"/>
          <w:lang w:val="en-GB"/>
        </w:rPr>
      </w:pPr>
      <w:r w:rsidRPr="005F7B4A">
        <w:rPr>
          <w:rStyle w:val="Znakapoznpodarou"/>
          <w:rFonts w:cs="Arial"/>
          <w:color w:val="0D0D0D" w:themeColor="text1" w:themeTint="F2"/>
          <w:spacing w:val="-2"/>
          <w:sz w:val="16"/>
          <w:szCs w:val="16"/>
          <w:lang w:val="en-GB"/>
        </w:rPr>
        <w:footnoteRef/>
      </w:r>
      <w:r w:rsidRPr="005F7B4A">
        <w:rPr>
          <w:rFonts w:cs="Arial"/>
          <w:color w:val="0D0D0D" w:themeColor="text1" w:themeTint="F2"/>
          <w:spacing w:val="-2"/>
          <w:sz w:val="16"/>
          <w:szCs w:val="16"/>
          <w:lang w:val="en-GB"/>
        </w:rPr>
        <w:t xml:space="preserve"> S</w:t>
      </w:r>
      <w:r w:rsidRPr="00B67298">
        <w:rPr>
          <w:rFonts w:cs="Arial"/>
          <w:color w:val="0D0D0D" w:themeColor="text1" w:themeTint="F2"/>
          <w:spacing w:val="-4"/>
          <w:sz w:val="16"/>
          <w:szCs w:val="16"/>
          <w:lang w:val="en-GB"/>
        </w:rPr>
        <w:t>urvey of orders is performed only in twelve manufacturing branches producing mostly custom-made products, with longer production cycle and larger order stocks. Year-on-year growth rates of orders are adjusted for calendar effects, quarter-on-quarter rates also for seasonality effects.</w:t>
      </w:r>
    </w:p>
  </w:footnote>
  <w:footnote w:id="30">
    <w:p w14:paraId="41EDA23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Pr>
          <w:spacing w:val="-2"/>
          <w:sz w:val="16"/>
          <w:szCs w:val="16"/>
          <w:lang w:val="en-GB"/>
        </w:rPr>
        <w:t xml:space="preserve"> Businesses could have</w:t>
      </w:r>
      <w:r w:rsidRPr="005F7B4A">
        <w:rPr>
          <w:spacing w:val="-2"/>
          <w:sz w:val="16"/>
          <w:szCs w:val="16"/>
          <w:lang w:val="en-GB"/>
        </w:rPr>
        <w:t xml:space="preserve"> indicate</w:t>
      </w:r>
      <w:r>
        <w:rPr>
          <w:spacing w:val="-2"/>
          <w:sz w:val="16"/>
          <w:szCs w:val="16"/>
          <w:lang w:val="en-GB"/>
        </w:rPr>
        <w:t>d</w:t>
      </w:r>
      <w:r w:rsidRPr="005F7B4A">
        <w:rPr>
          <w:spacing w:val="-2"/>
          <w:sz w:val="16"/>
          <w:szCs w:val="16"/>
          <w:lang w:val="en-GB"/>
        </w:rPr>
        <w:t xml:space="preserve"> more barriers simultaneously. Apart from a short period at the onset of the covid-19 pandemics, the current urgency of the insufficient demand in industry is the highest in the last 10 years. </w:t>
      </w:r>
    </w:p>
  </w:footnote>
  <w:footnote w:id="31">
    <w:p w14:paraId="5474AC23" w14:textId="77777777" w:rsidR="00165465" w:rsidRPr="00162E7D" w:rsidRDefault="00165465" w:rsidP="005F7B4A">
      <w:pPr>
        <w:spacing w:after="0" w:line="240" w:lineRule="auto"/>
        <w:rPr>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t>
      </w:r>
      <w:r w:rsidRPr="005F7B4A">
        <w:rPr>
          <w:rFonts w:eastAsia="Calibri"/>
          <w:spacing w:val="-2"/>
          <w:sz w:val="16"/>
          <w:szCs w:val="16"/>
          <w:lang w:val="en-GB"/>
        </w:rPr>
        <w:t>However, it still represented a significant barrier in some, especially smaller, branches (food, beverage and leatherworking industries), exceptionally also a dominant growth restraint (manufacture of other transport equipment, repair and installation of machinery and equipment).</w:t>
      </w:r>
    </w:p>
  </w:footnote>
  <w:footnote w:id="32">
    <w:p w14:paraId="792099C5"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rPr>
        <w:footnoteRef/>
      </w:r>
      <w:r w:rsidRPr="005F7B4A">
        <w:rPr>
          <w:spacing w:val="-2"/>
          <w:sz w:val="16"/>
          <w:szCs w:val="16"/>
        </w:rPr>
        <w:t xml:space="preserve"> </w:t>
      </w:r>
      <w:bookmarkStart w:id="33" w:name="_Hlk178446599"/>
      <w:proofErr w:type="spellStart"/>
      <w:r w:rsidRPr="005F7B4A">
        <w:rPr>
          <w:spacing w:val="-2"/>
          <w:sz w:val="16"/>
          <w:szCs w:val="16"/>
        </w:rPr>
        <w:t>According</w:t>
      </w:r>
      <w:proofErr w:type="spellEnd"/>
      <w:r w:rsidRPr="005F7B4A">
        <w:rPr>
          <w:spacing w:val="-2"/>
          <w:sz w:val="16"/>
          <w:szCs w:val="16"/>
        </w:rPr>
        <w:t xml:space="preserve"> to business </w:t>
      </w:r>
      <w:proofErr w:type="spellStart"/>
      <w:r w:rsidRPr="005F7B4A">
        <w:rPr>
          <w:spacing w:val="-2"/>
          <w:sz w:val="16"/>
          <w:szCs w:val="16"/>
        </w:rPr>
        <w:t>cycle</w:t>
      </w:r>
      <w:proofErr w:type="spellEnd"/>
      <w:r w:rsidRPr="005F7B4A">
        <w:rPr>
          <w:spacing w:val="-2"/>
          <w:sz w:val="16"/>
          <w:szCs w:val="16"/>
        </w:rPr>
        <w:t xml:space="preserve"> </w:t>
      </w:r>
      <w:proofErr w:type="spellStart"/>
      <w:r w:rsidRPr="005F7B4A">
        <w:rPr>
          <w:spacing w:val="-2"/>
          <w:sz w:val="16"/>
          <w:szCs w:val="16"/>
        </w:rPr>
        <w:t>surveys</w:t>
      </w:r>
      <w:proofErr w:type="spellEnd"/>
      <w:r w:rsidRPr="005F7B4A">
        <w:rPr>
          <w:spacing w:val="-2"/>
          <w:sz w:val="16"/>
          <w:szCs w:val="16"/>
        </w:rPr>
        <w:t xml:space="preserve"> </w:t>
      </w:r>
      <w:proofErr w:type="spellStart"/>
      <w:r w:rsidRPr="005F7B4A">
        <w:rPr>
          <w:spacing w:val="-2"/>
          <w:sz w:val="16"/>
          <w:szCs w:val="16"/>
        </w:rPr>
        <w:t>from</w:t>
      </w:r>
      <w:proofErr w:type="spellEnd"/>
      <w:r w:rsidRPr="005F7B4A">
        <w:rPr>
          <w:spacing w:val="-2"/>
          <w:sz w:val="16"/>
          <w:szCs w:val="16"/>
        </w:rPr>
        <w:t xml:space="preserve"> August 2024, </w:t>
      </w:r>
      <w:proofErr w:type="spellStart"/>
      <w:r w:rsidRPr="005F7B4A">
        <w:rPr>
          <w:spacing w:val="-2"/>
          <w:sz w:val="16"/>
          <w:szCs w:val="16"/>
        </w:rPr>
        <w:t>still</w:t>
      </w:r>
      <w:proofErr w:type="spellEnd"/>
      <w:r w:rsidRPr="005F7B4A">
        <w:rPr>
          <w:spacing w:val="-2"/>
          <w:sz w:val="16"/>
          <w:szCs w:val="16"/>
        </w:rPr>
        <w:t xml:space="preserve"> </w:t>
      </w:r>
      <w:proofErr w:type="spellStart"/>
      <w:r w:rsidRPr="005F7B4A">
        <w:rPr>
          <w:spacing w:val="-2"/>
          <w:sz w:val="16"/>
          <w:szCs w:val="16"/>
        </w:rPr>
        <w:t>nearly</w:t>
      </w:r>
      <w:proofErr w:type="spellEnd"/>
      <w:r w:rsidRPr="005F7B4A">
        <w:rPr>
          <w:spacing w:val="-2"/>
          <w:sz w:val="16"/>
          <w:szCs w:val="16"/>
        </w:rPr>
        <w:t xml:space="preserve"> a </w:t>
      </w:r>
      <w:proofErr w:type="spellStart"/>
      <w:r w:rsidRPr="005F7B4A">
        <w:rPr>
          <w:spacing w:val="-2"/>
          <w:sz w:val="16"/>
          <w:szCs w:val="16"/>
        </w:rPr>
        <w:t>third</w:t>
      </w:r>
      <w:proofErr w:type="spellEnd"/>
      <w:r w:rsidRPr="005F7B4A">
        <w:rPr>
          <w:spacing w:val="-2"/>
          <w:sz w:val="16"/>
          <w:szCs w:val="16"/>
        </w:rPr>
        <w:t xml:space="preserve">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domestic</w:t>
      </w:r>
      <w:proofErr w:type="spellEnd"/>
      <w:r w:rsidRPr="005F7B4A">
        <w:rPr>
          <w:spacing w:val="-2"/>
          <w:sz w:val="16"/>
          <w:szCs w:val="16"/>
        </w:rPr>
        <w:t xml:space="preserve"> </w:t>
      </w:r>
      <w:proofErr w:type="spellStart"/>
      <w:r w:rsidRPr="005F7B4A">
        <w:rPr>
          <w:spacing w:val="-2"/>
          <w:sz w:val="16"/>
          <w:szCs w:val="16"/>
        </w:rPr>
        <w:t>construction</w:t>
      </w:r>
      <w:proofErr w:type="spellEnd"/>
      <w:r w:rsidRPr="005F7B4A">
        <w:rPr>
          <w:spacing w:val="-2"/>
          <w:sz w:val="16"/>
          <w:szCs w:val="16"/>
        </w:rPr>
        <w:t xml:space="preserve"> </w:t>
      </w:r>
      <w:proofErr w:type="spellStart"/>
      <w:r w:rsidRPr="005F7B4A">
        <w:rPr>
          <w:spacing w:val="-2"/>
          <w:sz w:val="16"/>
          <w:szCs w:val="16"/>
        </w:rPr>
        <w:t>companies</w:t>
      </w:r>
      <w:proofErr w:type="spellEnd"/>
      <w:r w:rsidRPr="005F7B4A">
        <w:rPr>
          <w:spacing w:val="-2"/>
          <w:sz w:val="16"/>
          <w:szCs w:val="16"/>
        </w:rPr>
        <w:t xml:space="preserve"> </w:t>
      </w:r>
      <w:proofErr w:type="spellStart"/>
      <w:r w:rsidRPr="005F7B4A">
        <w:rPr>
          <w:spacing w:val="-2"/>
          <w:sz w:val="16"/>
          <w:szCs w:val="16"/>
        </w:rPr>
        <w:t>anticipated</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growth</w:t>
      </w:r>
      <w:proofErr w:type="spellEnd"/>
      <w:r w:rsidRPr="005F7B4A">
        <w:rPr>
          <w:spacing w:val="-2"/>
          <w:sz w:val="16"/>
          <w:szCs w:val="16"/>
        </w:rPr>
        <w:t xml:space="preserve">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prices</w:t>
      </w:r>
      <w:proofErr w:type="spellEnd"/>
      <w:r w:rsidRPr="005F7B4A">
        <w:rPr>
          <w:spacing w:val="-2"/>
          <w:sz w:val="16"/>
          <w:szCs w:val="16"/>
        </w:rPr>
        <w:t xml:space="preserve"> </w:t>
      </w:r>
      <w:proofErr w:type="spellStart"/>
      <w:r w:rsidRPr="005F7B4A">
        <w:rPr>
          <w:spacing w:val="-2"/>
          <w:sz w:val="16"/>
          <w:szCs w:val="16"/>
        </w:rPr>
        <w:t>of</w:t>
      </w:r>
      <w:proofErr w:type="spellEnd"/>
      <w:r w:rsidRPr="005F7B4A">
        <w:rPr>
          <w:spacing w:val="-2"/>
          <w:sz w:val="16"/>
          <w:szCs w:val="16"/>
        </w:rPr>
        <w:t xml:space="preserve"> </w:t>
      </w:r>
      <w:proofErr w:type="spellStart"/>
      <w:r w:rsidRPr="005F7B4A">
        <w:rPr>
          <w:spacing w:val="-2"/>
          <w:sz w:val="16"/>
          <w:szCs w:val="16"/>
        </w:rPr>
        <w:t>own</w:t>
      </w:r>
      <w:proofErr w:type="spellEnd"/>
      <w:r w:rsidRPr="005F7B4A">
        <w:rPr>
          <w:spacing w:val="-2"/>
          <w:sz w:val="16"/>
          <w:szCs w:val="16"/>
        </w:rPr>
        <w:t xml:space="preserve"> </w:t>
      </w:r>
      <w:proofErr w:type="spellStart"/>
      <w:r w:rsidRPr="005F7B4A">
        <w:rPr>
          <w:spacing w:val="-2"/>
          <w:sz w:val="16"/>
          <w:szCs w:val="16"/>
        </w:rPr>
        <w:t>production</w:t>
      </w:r>
      <w:proofErr w:type="spellEnd"/>
      <w:r w:rsidRPr="005F7B4A">
        <w:rPr>
          <w:spacing w:val="-2"/>
          <w:sz w:val="16"/>
          <w:szCs w:val="16"/>
        </w:rPr>
        <w:t xml:space="preserve"> (</w:t>
      </w:r>
      <w:proofErr w:type="spellStart"/>
      <w:r w:rsidRPr="005F7B4A">
        <w:rPr>
          <w:spacing w:val="-2"/>
          <w:sz w:val="16"/>
          <w:szCs w:val="16"/>
        </w:rPr>
        <w:t>within</w:t>
      </w:r>
      <w:proofErr w:type="spellEnd"/>
      <w:r w:rsidRPr="005F7B4A">
        <w:rPr>
          <w:spacing w:val="-2"/>
          <w:sz w:val="16"/>
          <w:szCs w:val="16"/>
        </w:rPr>
        <w:t xml:space="preserve"> </w:t>
      </w:r>
      <w:proofErr w:type="spellStart"/>
      <w:r w:rsidRPr="005F7B4A">
        <w:rPr>
          <w:spacing w:val="-2"/>
          <w:sz w:val="16"/>
          <w:szCs w:val="16"/>
        </w:rPr>
        <w:t>three</w:t>
      </w:r>
      <w:proofErr w:type="spellEnd"/>
      <w:r w:rsidRPr="005F7B4A">
        <w:rPr>
          <w:spacing w:val="-2"/>
          <w:sz w:val="16"/>
          <w:szCs w:val="16"/>
        </w:rPr>
        <w:t xml:space="preserve"> </w:t>
      </w:r>
      <w:proofErr w:type="spellStart"/>
      <w:r w:rsidRPr="005F7B4A">
        <w:rPr>
          <w:spacing w:val="-2"/>
          <w:sz w:val="16"/>
          <w:szCs w:val="16"/>
        </w:rPr>
        <w:t>months</w:t>
      </w:r>
      <w:proofErr w:type="spellEnd"/>
      <w:r w:rsidRPr="005F7B4A">
        <w:rPr>
          <w:spacing w:val="-2"/>
          <w:sz w:val="16"/>
          <w:szCs w:val="16"/>
        </w:rPr>
        <w:t xml:space="preserve"> </w:t>
      </w:r>
      <w:proofErr w:type="spellStart"/>
      <w:r w:rsidRPr="005F7B4A">
        <w:rPr>
          <w:spacing w:val="-2"/>
          <w:sz w:val="16"/>
          <w:szCs w:val="16"/>
        </w:rPr>
        <w:t>horizon</w:t>
      </w:r>
      <w:proofErr w:type="spellEnd"/>
      <w:r w:rsidRPr="005F7B4A">
        <w:rPr>
          <w:spacing w:val="-2"/>
          <w:sz w:val="16"/>
          <w:szCs w:val="16"/>
        </w:rPr>
        <w:t xml:space="preserve">). </w:t>
      </w:r>
      <w:proofErr w:type="spellStart"/>
      <w:r w:rsidRPr="005F7B4A">
        <w:rPr>
          <w:spacing w:val="-2"/>
          <w:sz w:val="16"/>
          <w:szCs w:val="16"/>
        </w:rPr>
        <w:t>It</w:t>
      </w:r>
      <w:proofErr w:type="spellEnd"/>
      <w:r w:rsidRPr="005F7B4A">
        <w:rPr>
          <w:spacing w:val="-2"/>
          <w:sz w:val="16"/>
          <w:szCs w:val="16"/>
        </w:rPr>
        <w:t xml:space="preserve"> </w:t>
      </w:r>
      <w:proofErr w:type="spellStart"/>
      <w:r w:rsidRPr="005F7B4A">
        <w:rPr>
          <w:spacing w:val="-2"/>
          <w:sz w:val="16"/>
          <w:szCs w:val="16"/>
        </w:rPr>
        <w:t>unequivocally</w:t>
      </w:r>
      <w:proofErr w:type="spellEnd"/>
      <w:r w:rsidRPr="005F7B4A">
        <w:rPr>
          <w:spacing w:val="-2"/>
          <w:sz w:val="16"/>
          <w:szCs w:val="16"/>
        </w:rPr>
        <w:t xml:space="preserve"> </w:t>
      </w:r>
      <w:proofErr w:type="spellStart"/>
      <w:r w:rsidRPr="005F7B4A">
        <w:rPr>
          <w:spacing w:val="-2"/>
          <w:sz w:val="16"/>
          <w:szCs w:val="16"/>
        </w:rPr>
        <w:t>presented</w:t>
      </w:r>
      <w:proofErr w:type="spellEnd"/>
      <w:r w:rsidRPr="005F7B4A">
        <w:rPr>
          <w:spacing w:val="-2"/>
          <w:sz w:val="16"/>
          <w:szCs w:val="16"/>
        </w:rPr>
        <w:t xml:space="preserve">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largest</w:t>
      </w:r>
      <w:proofErr w:type="spellEnd"/>
      <w:r w:rsidRPr="005F7B4A">
        <w:rPr>
          <w:spacing w:val="-2"/>
          <w:sz w:val="16"/>
          <w:szCs w:val="16"/>
        </w:rPr>
        <w:t xml:space="preserve"> </w:t>
      </w:r>
      <w:proofErr w:type="spellStart"/>
      <w:r w:rsidRPr="005F7B4A">
        <w:rPr>
          <w:spacing w:val="-2"/>
          <w:sz w:val="16"/>
          <w:szCs w:val="16"/>
        </w:rPr>
        <w:t>share</w:t>
      </w:r>
      <w:proofErr w:type="spellEnd"/>
      <w:r w:rsidRPr="005F7B4A">
        <w:rPr>
          <w:spacing w:val="-2"/>
          <w:sz w:val="16"/>
          <w:szCs w:val="16"/>
        </w:rPr>
        <w:t xml:space="preserve"> </w:t>
      </w:r>
      <w:proofErr w:type="spellStart"/>
      <w:r w:rsidRPr="005F7B4A">
        <w:rPr>
          <w:spacing w:val="-2"/>
          <w:sz w:val="16"/>
          <w:szCs w:val="16"/>
        </w:rPr>
        <w:t>among</w:t>
      </w:r>
      <w:proofErr w:type="spellEnd"/>
      <w:r w:rsidRPr="005F7B4A">
        <w:rPr>
          <w:spacing w:val="-2"/>
          <w:sz w:val="16"/>
          <w:szCs w:val="16"/>
        </w:rPr>
        <w:t xml:space="preserve"> </w:t>
      </w:r>
      <w:proofErr w:type="spellStart"/>
      <w:r w:rsidRPr="005F7B4A">
        <w:rPr>
          <w:spacing w:val="-2"/>
          <w:sz w:val="16"/>
          <w:szCs w:val="16"/>
        </w:rPr>
        <w:t>all</w:t>
      </w:r>
      <w:proofErr w:type="spellEnd"/>
      <w:r w:rsidRPr="005F7B4A">
        <w:rPr>
          <w:spacing w:val="-2"/>
          <w:sz w:val="16"/>
          <w:szCs w:val="16"/>
        </w:rPr>
        <w:t xml:space="preserve"> major </w:t>
      </w:r>
      <w:proofErr w:type="spellStart"/>
      <w:r w:rsidRPr="005F7B4A">
        <w:rPr>
          <w:spacing w:val="-2"/>
          <w:sz w:val="16"/>
          <w:szCs w:val="16"/>
        </w:rPr>
        <w:t>industries</w:t>
      </w:r>
      <w:proofErr w:type="spellEnd"/>
      <w:r w:rsidRPr="005F7B4A">
        <w:rPr>
          <w:spacing w:val="-2"/>
          <w:sz w:val="16"/>
          <w:szCs w:val="16"/>
        </w:rPr>
        <w:t xml:space="preserve">. </w:t>
      </w:r>
      <w:proofErr w:type="spellStart"/>
      <w:r w:rsidRPr="005F7B4A">
        <w:rPr>
          <w:spacing w:val="-2"/>
          <w:sz w:val="16"/>
          <w:szCs w:val="16"/>
        </w:rPr>
        <w:t>While</w:t>
      </w:r>
      <w:proofErr w:type="spellEnd"/>
      <w:r w:rsidRPr="005F7B4A">
        <w:rPr>
          <w:spacing w:val="-2"/>
          <w:sz w:val="16"/>
          <w:szCs w:val="16"/>
        </w:rPr>
        <w:t xml:space="preserve"> </w:t>
      </w:r>
      <w:proofErr w:type="spellStart"/>
      <w:r w:rsidRPr="005F7B4A">
        <w:rPr>
          <w:spacing w:val="-2"/>
          <w:sz w:val="16"/>
          <w:szCs w:val="16"/>
        </w:rPr>
        <w:t>inflation</w:t>
      </w:r>
      <w:proofErr w:type="spellEnd"/>
      <w:r w:rsidRPr="005F7B4A">
        <w:rPr>
          <w:spacing w:val="-2"/>
          <w:sz w:val="16"/>
          <w:szCs w:val="16"/>
        </w:rPr>
        <w:t xml:space="preserve"> </w:t>
      </w:r>
      <w:proofErr w:type="spellStart"/>
      <w:r w:rsidRPr="005F7B4A">
        <w:rPr>
          <w:spacing w:val="-2"/>
          <w:sz w:val="16"/>
          <w:szCs w:val="16"/>
        </w:rPr>
        <w:t>pressures</w:t>
      </w:r>
      <w:proofErr w:type="spellEnd"/>
      <w:r w:rsidRPr="005F7B4A">
        <w:rPr>
          <w:spacing w:val="-2"/>
          <w:sz w:val="16"/>
          <w:szCs w:val="16"/>
        </w:rPr>
        <w:t xml:space="preserve"> </w:t>
      </w:r>
      <w:proofErr w:type="spellStart"/>
      <w:r w:rsidRPr="005F7B4A">
        <w:rPr>
          <w:spacing w:val="-2"/>
          <w:sz w:val="16"/>
          <w:szCs w:val="16"/>
        </w:rPr>
        <w:t>have</w:t>
      </w:r>
      <w:proofErr w:type="spellEnd"/>
      <w:r w:rsidRPr="005F7B4A">
        <w:rPr>
          <w:spacing w:val="-2"/>
          <w:sz w:val="16"/>
          <w:szCs w:val="16"/>
        </w:rPr>
        <w:t xml:space="preserve"> </w:t>
      </w:r>
      <w:proofErr w:type="spellStart"/>
      <w:r w:rsidRPr="005F7B4A">
        <w:rPr>
          <w:spacing w:val="-2"/>
          <w:sz w:val="16"/>
          <w:szCs w:val="16"/>
        </w:rPr>
        <w:t>largely</w:t>
      </w:r>
      <w:proofErr w:type="spellEnd"/>
      <w:r w:rsidRPr="005F7B4A">
        <w:rPr>
          <w:spacing w:val="-2"/>
          <w:sz w:val="16"/>
          <w:szCs w:val="16"/>
        </w:rPr>
        <w:t xml:space="preserve"> </w:t>
      </w:r>
      <w:proofErr w:type="spellStart"/>
      <w:r w:rsidRPr="005F7B4A">
        <w:rPr>
          <w:spacing w:val="-2"/>
          <w:sz w:val="16"/>
          <w:szCs w:val="16"/>
        </w:rPr>
        <w:t>evaporated</w:t>
      </w:r>
      <w:proofErr w:type="spellEnd"/>
      <w:r w:rsidRPr="005F7B4A">
        <w:rPr>
          <w:spacing w:val="-2"/>
          <w:sz w:val="16"/>
          <w:szCs w:val="16"/>
        </w:rPr>
        <w:t xml:space="preserve"> in </w:t>
      </w:r>
      <w:proofErr w:type="spellStart"/>
      <w:r w:rsidRPr="005F7B4A">
        <w:rPr>
          <w:spacing w:val="-2"/>
          <w:sz w:val="16"/>
          <w:szCs w:val="16"/>
        </w:rPr>
        <w:t>other</w:t>
      </w:r>
      <w:proofErr w:type="spellEnd"/>
      <w:r w:rsidRPr="005F7B4A">
        <w:rPr>
          <w:spacing w:val="-2"/>
          <w:sz w:val="16"/>
          <w:szCs w:val="16"/>
        </w:rPr>
        <w:t xml:space="preserve"> </w:t>
      </w:r>
      <w:proofErr w:type="spellStart"/>
      <w:r w:rsidRPr="005F7B4A">
        <w:rPr>
          <w:spacing w:val="-2"/>
          <w:sz w:val="16"/>
          <w:szCs w:val="16"/>
        </w:rPr>
        <w:t>branches</w:t>
      </w:r>
      <w:proofErr w:type="spellEnd"/>
      <w:r w:rsidRPr="005F7B4A">
        <w:rPr>
          <w:spacing w:val="-2"/>
          <w:sz w:val="16"/>
          <w:szCs w:val="16"/>
        </w:rPr>
        <w:t xml:space="preserve">, </w:t>
      </w:r>
      <w:proofErr w:type="spellStart"/>
      <w:r w:rsidRPr="005F7B4A">
        <w:rPr>
          <w:spacing w:val="-2"/>
          <w:sz w:val="16"/>
          <w:szCs w:val="16"/>
        </w:rPr>
        <w:t>higher</w:t>
      </w:r>
      <w:proofErr w:type="spellEnd"/>
      <w:r w:rsidRPr="005F7B4A">
        <w:rPr>
          <w:spacing w:val="-2"/>
          <w:sz w:val="16"/>
          <w:szCs w:val="16"/>
        </w:rPr>
        <w:t xml:space="preserve"> </w:t>
      </w:r>
      <w:proofErr w:type="spellStart"/>
      <w:r w:rsidRPr="005F7B4A">
        <w:rPr>
          <w:spacing w:val="-2"/>
          <w:sz w:val="16"/>
          <w:szCs w:val="16"/>
        </w:rPr>
        <w:t>inertia</w:t>
      </w:r>
      <w:proofErr w:type="spellEnd"/>
      <w:r w:rsidRPr="005F7B4A">
        <w:rPr>
          <w:spacing w:val="-2"/>
          <w:sz w:val="16"/>
          <w:szCs w:val="16"/>
        </w:rPr>
        <w:t xml:space="preserve"> </w:t>
      </w:r>
      <w:proofErr w:type="spellStart"/>
      <w:r w:rsidRPr="005F7B4A">
        <w:rPr>
          <w:spacing w:val="-2"/>
          <w:sz w:val="16"/>
          <w:szCs w:val="16"/>
        </w:rPr>
        <w:t>is</w:t>
      </w:r>
      <w:proofErr w:type="spellEnd"/>
      <w:r w:rsidRPr="005F7B4A">
        <w:rPr>
          <w:spacing w:val="-2"/>
          <w:sz w:val="16"/>
          <w:szCs w:val="16"/>
        </w:rPr>
        <w:t xml:space="preserve"> </w:t>
      </w:r>
      <w:proofErr w:type="spellStart"/>
      <w:r w:rsidRPr="005F7B4A">
        <w:rPr>
          <w:spacing w:val="-2"/>
          <w:sz w:val="16"/>
          <w:szCs w:val="16"/>
        </w:rPr>
        <w:t>manifested</w:t>
      </w:r>
      <w:proofErr w:type="spellEnd"/>
      <w:r w:rsidRPr="005F7B4A">
        <w:rPr>
          <w:spacing w:val="-2"/>
          <w:sz w:val="16"/>
          <w:szCs w:val="16"/>
        </w:rPr>
        <w:t xml:space="preserve"> in </w:t>
      </w:r>
      <w:proofErr w:type="spellStart"/>
      <w:r w:rsidRPr="005F7B4A">
        <w:rPr>
          <w:spacing w:val="-2"/>
          <w:sz w:val="16"/>
          <w:szCs w:val="16"/>
        </w:rPr>
        <w:t>the</w:t>
      </w:r>
      <w:proofErr w:type="spellEnd"/>
      <w:r w:rsidRPr="005F7B4A">
        <w:rPr>
          <w:spacing w:val="-2"/>
          <w:sz w:val="16"/>
          <w:szCs w:val="16"/>
        </w:rPr>
        <w:t xml:space="preserve"> </w:t>
      </w:r>
      <w:proofErr w:type="spellStart"/>
      <w:r w:rsidRPr="005F7B4A">
        <w:rPr>
          <w:spacing w:val="-2"/>
          <w:sz w:val="16"/>
          <w:szCs w:val="16"/>
        </w:rPr>
        <w:t>construction</w:t>
      </w:r>
      <w:proofErr w:type="spellEnd"/>
      <w:r w:rsidRPr="005F7B4A">
        <w:rPr>
          <w:spacing w:val="-2"/>
          <w:sz w:val="16"/>
          <w:szCs w:val="16"/>
        </w:rPr>
        <w:t xml:space="preserve"> </w:t>
      </w:r>
      <w:proofErr w:type="spellStart"/>
      <w:r w:rsidRPr="005F7B4A">
        <w:rPr>
          <w:spacing w:val="-2"/>
          <w:sz w:val="16"/>
          <w:szCs w:val="16"/>
        </w:rPr>
        <w:t>sector</w:t>
      </w:r>
      <w:proofErr w:type="spellEnd"/>
      <w:r w:rsidRPr="005F7B4A">
        <w:rPr>
          <w:spacing w:val="-2"/>
          <w:sz w:val="16"/>
          <w:szCs w:val="16"/>
        </w:rPr>
        <w:t xml:space="preserve"> </w:t>
      </w:r>
      <w:proofErr w:type="spellStart"/>
      <w:r w:rsidRPr="005F7B4A">
        <w:rPr>
          <w:spacing w:val="-2"/>
          <w:sz w:val="16"/>
          <w:szCs w:val="16"/>
        </w:rPr>
        <w:t>due</w:t>
      </w:r>
      <w:proofErr w:type="spellEnd"/>
      <w:r w:rsidRPr="005F7B4A">
        <w:rPr>
          <w:spacing w:val="-2"/>
          <w:sz w:val="16"/>
          <w:szCs w:val="16"/>
        </w:rPr>
        <w:t xml:space="preserve"> to a </w:t>
      </w:r>
      <w:proofErr w:type="spellStart"/>
      <w:r w:rsidRPr="005F7B4A">
        <w:rPr>
          <w:spacing w:val="-2"/>
          <w:sz w:val="16"/>
          <w:szCs w:val="16"/>
        </w:rPr>
        <w:t>longer</w:t>
      </w:r>
      <w:proofErr w:type="spellEnd"/>
      <w:r w:rsidRPr="005F7B4A">
        <w:rPr>
          <w:spacing w:val="-2"/>
          <w:sz w:val="16"/>
          <w:szCs w:val="16"/>
        </w:rPr>
        <w:t xml:space="preserve"> </w:t>
      </w:r>
      <w:proofErr w:type="spellStart"/>
      <w:r w:rsidRPr="005F7B4A">
        <w:rPr>
          <w:spacing w:val="-2"/>
          <w:sz w:val="16"/>
          <w:szCs w:val="16"/>
        </w:rPr>
        <w:t>production</w:t>
      </w:r>
      <w:proofErr w:type="spellEnd"/>
      <w:r w:rsidRPr="005F7B4A">
        <w:rPr>
          <w:spacing w:val="-2"/>
          <w:sz w:val="16"/>
          <w:szCs w:val="16"/>
        </w:rPr>
        <w:t xml:space="preserve"> </w:t>
      </w:r>
      <w:proofErr w:type="spellStart"/>
      <w:r w:rsidRPr="005F7B4A">
        <w:rPr>
          <w:spacing w:val="-2"/>
          <w:sz w:val="16"/>
          <w:szCs w:val="16"/>
        </w:rPr>
        <w:t>cycle</w:t>
      </w:r>
      <w:proofErr w:type="spellEnd"/>
      <w:r w:rsidRPr="005F7B4A">
        <w:rPr>
          <w:spacing w:val="-2"/>
          <w:sz w:val="16"/>
          <w:szCs w:val="16"/>
        </w:rPr>
        <w:t xml:space="preserve">. </w:t>
      </w:r>
    </w:p>
    <w:bookmarkEnd w:id="33"/>
  </w:footnote>
  <w:footnote w:id="33">
    <w:p w14:paraId="72B81466" w14:textId="77777777" w:rsidR="00165465" w:rsidRPr="005F7B4A" w:rsidRDefault="00165465" w:rsidP="005F7B4A">
      <w:pPr>
        <w:spacing w:after="0" w:line="240" w:lineRule="auto"/>
        <w:rPr>
          <w:spacing w:val="-2"/>
          <w:lang w:val="en-GB"/>
        </w:rPr>
      </w:pPr>
      <w:r w:rsidRPr="005F7B4A">
        <w:rPr>
          <w:rStyle w:val="Znakapoznpodarou"/>
          <w:spacing w:val="-2"/>
          <w:sz w:val="16"/>
          <w:szCs w:val="16"/>
        </w:rPr>
        <w:footnoteRef/>
      </w:r>
      <w:r w:rsidRPr="005F7B4A">
        <w:rPr>
          <w:spacing w:val="-2"/>
          <w:sz w:val="16"/>
          <w:szCs w:val="16"/>
        </w:rPr>
        <w:t xml:space="preserve"> </w:t>
      </w:r>
      <w:bookmarkStart w:id="34" w:name="_Hlk178452496"/>
      <w:proofErr w:type="spellStart"/>
      <w:r w:rsidRPr="005F7B4A">
        <w:rPr>
          <w:rFonts w:eastAsia="Calibri"/>
          <w:spacing w:val="-2"/>
          <w:sz w:val="16"/>
          <w:szCs w:val="16"/>
        </w:rPr>
        <w:t>However</w:t>
      </w:r>
      <w:proofErr w:type="spellEnd"/>
      <w:r w:rsidRPr="005F7B4A">
        <w:rPr>
          <w:rFonts w:eastAsia="Calibri"/>
          <w:spacing w:val="-2"/>
          <w:sz w:val="16"/>
          <w:szCs w:val="16"/>
        </w:rPr>
        <w:t xml:space="preserve">, </w:t>
      </w:r>
      <w:proofErr w:type="spellStart"/>
      <w:r w:rsidRPr="005F7B4A">
        <w:rPr>
          <w:rFonts w:eastAsia="Calibri"/>
          <w:spacing w:val="-2"/>
          <w:sz w:val="16"/>
          <w:szCs w:val="16"/>
        </w:rPr>
        <w:t>this</w:t>
      </w:r>
      <w:proofErr w:type="spellEnd"/>
      <w:r w:rsidRPr="005F7B4A">
        <w:rPr>
          <w:rFonts w:eastAsia="Calibri"/>
          <w:spacing w:val="-2"/>
          <w:sz w:val="16"/>
          <w:szCs w:val="16"/>
        </w:rPr>
        <w:t xml:space="preserve"> </w:t>
      </w:r>
      <w:proofErr w:type="spellStart"/>
      <w:r w:rsidRPr="005F7B4A">
        <w:rPr>
          <w:rFonts w:eastAsia="Calibri"/>
          <w:spacing w:val="-2"/>
          <w:sz w:val="16"/>
          <w:szCs w:val="16"/>
        </w:rPr>
        <w:t>effect</w:t>
      </w:r>
      <w:proofErr w:type="spellEnd"/>
      <w:r w:rsidRPr="005F7B4A">
        <w:rPr>
          <w:rFonts w:eastAsia="Calibri"/>
          <w:spacing w:val="-2"/>
          <w:sz w:val="16"/>
          <w:szCs w:val="16"/>
        </w:rPr>
        <w:t xml:space="preserve"> </w:t>
      </w:r>
      <w:proofErr w:type="spellStart"/>
      <w:r w:rsidRPr="005F7B4A">
        <w:rPr>
          <w:rFonts w:eastAsia="Calibri"/>
          <w:spacing w:val="-2"/>
          <w:sz w:val="16"/>
          <w:szCs w:val="16"/>
        </w:rPr>
        <w:t>is</w:t>
      </w:r>
      <w:proofErr w:type="spellEnd"/>
      <w:r w:rsidRPr="005F7B4A">
        <w:rPr>
          <w:rFonts w:eastAsia="Calibri"/>
          <w:spacing w:val="-2"/>
          <w:sz w:val="16"/>
          <w:szCs w:val="16"/>
        </w:rPr>
        <w:t xml:space="preserve"> not </w:t>
      </w:r>
      <w:proofErr w:type="spellStart"/>
      <w:r w:rsidRPr="005F7B4A">
        <w:rPr>
          <w:rFonts w:eastAsia="Calibri"/>
          <w:spacing w:val="-2"/>
          <w:sz w:val="16"/>
          <w:szCs w:val="16"/>
        </w:rPr>
        <w:t>nearly</w:t>
      </w:r>
      <w:proofErr w:type="spellEnd"/>
      <w:r w:rsidRPr="005F7B4A">
        <w:rPr>
          <w:rFonts w:eastAsia="Calibri"/>
          <w:spacing w:val="-2"/>
          <w:sz w:val="16"/>
          <w:szCs w:val="16"/>
        </w:rPr>
        <w:t xml:space="preserve"> as </w:t>
      </w:r>
      <w:proofErr w:type="spellStart"/>
      <w:r w:rsidRPr="005F7B4A">
        <w:rPr>
          <w:rFonts w:eastAsia="Calibri"/>
          <w:spacing w:val="-2"/>
          <w:sz w:val="16"/>
          <w:szCs w:val="16"/>
        </w:rPr>
        <w:t>pronounced</w:t>
      </w:r>
      <w:proofErr w:type="spellEnd"/>
      <w:r w:rsidRPr="005F7B4A">
        <w:rPr>
          <w:rFonts w:eastAsia="Calibri"/>
          <w:spacing w:val="-2"/>
          <w:sz w:val="16"/>
          <w:szCs w:val="16"/>
        </w:rPr>
        <w:t xml:space="preserve"> as in 2016. In H1 2024, </w:t>
      </w:r>
      <w:proofErr w:type="spellStart"/>
      <w:r w:rsidRPr="005F7B4A">
        <w:rPr>
          <w:rFonts w:eastAsia="Calibri"/>
          <w:spacing w:val="-2"/>
          <w:sz w:val="16"/>
          <w:szCs w:val="16"/>
        </w:rPr>
        <w:t>capital</w:t>
      </w:r>
      <w:proofErr w:type="spellEnd"/>
      <w:r w:rsidRPr="005F7B4A">
        <w:rPr>
          <w:rFonts w:eastAsia="Calibri"/>
          <w:spacing w:val="-2"/>
          <w:sz w:val="16"/>
          <w:szCs w:val="16"/>
        </w:rPr>
        <w:t xml:space="preserve"> </w:t>
      </w:r>
      <w:proofErr w:type="spellStart"/>
      <w:r w:rsidRPr="005F7B4A">
        <w:rPr>
          <w:rFonts w:eastAsia="Calibri"/>
          <w:spacing w:val="-2"/>
          <w:sz w:val="16"/>
          <w:szCs w:val="16"/>
        </w:rPr>
        <w:t>expenditure</w:t>
      </w:r>
      <w:proofErr w:type="spellEnd"/>
      <w:r w:rsidRPr="005F7B4A">
        <w:rPr>
          <w:rFonts w:eastAsia="Calibri"/>
          <w:spacing w:val="-2"/>
          <w:sz w:val="16"/>
          <w:szCs w:val="16"/>
        </w:rPr>
        <w:t xml:space="preserve"> </w:t>
      </w:r>
      <w:proofErr w:type="spellStart"/>
      <w:r w:rsidRPr="005F7B4A">
        <w:rPr>
          <w:rFonts w:eastAsia="Calibri"/>
          <w:spacing w:val="-2"/>
          <w:sz w:val="16"/>
          <w:szCs w:val="16"/>
        </w:rPr>
        <w:t>of</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state</w:t>
      </w:r>
      <w:proofErr w:type="spellEnd"/>
      <w:r w:rsidRPr="005F7B4A">
        <w:rPr>
          <w:rFonts w:eastAsia="Calibri"/>
          <w:spacing w:val="-2"/>
          <w:sz w:val="16"/>
          <w:szCs w:val="16"/>
        </w:rPr>
        <w:t xml:space="preserve"> budget </w:t>
      </w:r>
      <w:proofErr w:type="spellStart"/>
      <w:r w:rsidRPr="005F7B4A">
        <w:rPr>
          <w:rFonts w:eastAsia="Calibri"/>
          <w:spacing w:val="-2"/>
          <w:sz w:val="16"/>
          <w:szCs w:val="16"/>
        </w:rPr>
        <w:t>of</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Czech Republic </w:t>
      </w:r>
      <w:proofErr w:type="spellStart"/>
      <w:r w:rsidRPr="005F7B4A">
        <w:rPr>
          <w:rFonts w:eastAsia="Calibri"/>
          <w:spacing w:val="-2"/>
          <w:sz w:val="16"/>
          <w:szCs w:val="16"/>
        </w:rPr>
        <w:t>fell</w:t>
      </w:r>
      <w:proofErr w:type="spellEnd"/>
      <w:r w:rsidRPr="005F7B4A">
        <w:rPr>
          <w:rFonts w:eastAsia="Calibri"/>
          <w:spacing w:val="-2"/>
          <w:sz w:val="16"/>
          <w:szCs w:val="16"/>
        </w:rPr>
        <w:t xml:space="preserve"> by 3.3%, </w:t>
      </w:r>
      <w:proofErr w:type="spellStart"/>
      <w:r w:rsidRPr="005F7B4A">
        <w:rPr>
          <w:rFonts w:eastAsia="Calibri"/>
          <w:spacing w:val="-2"/>
          <w:sz w:val="16"/>
          <w:szCs w:val="16"/>
        </w:rPr>
        <w:t>year</w:t>
      </w:r>
      <w:proofErr w:type="spellEnd"/>
      <w:r w:rsidRPr="005F7B4A">
        <w:rPr>
          <w:rFonts w:eastAsia="Calibri"/>
          <w:spacing w:val="-2"/>
          <w:sz w:val="16"/>
          <w:szCs w:val="16"/>
        </w:rPr>
        <w:t>-on-</w:t>
      </w:r>
      <w:proofErr w:type="spellStart"/>
      <w:r w:rsidRPr="005F7B4A">
        <w:rPr>
          <w:rFonts w:eastAsia="Calibri"/>
          <w:spacing w:val="-2"/>
          <w:sz w:val="16"/>
          <w:szCs w:val="16"/>
        </w:rPr>
        <w:t>year</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State</w:t>
      </w:r>
      <w:proofErr w:type="spellEnd"/>
      <w:r w:rsidRPr="005F7B4A">
        <w:rPr>
          <w:rFonts w:eastAsia="Calibri"/>
          <w:spacing w:val="-2"/>
          <w:sz w:val="16"/>
          <w:szCs w:val="16"/>
        </w:rPr>
        <w:t xml:space="preserve"> </w:t>
      </w:r>
      <w:proofErr w:type="spellStart"/>
      <w:r w:rsidRPr="005F7B4A">
        <w:rPr>
          <w:rFonts w:eastAsia="Calibri"/>
          <w:spacing w:val="-2"/>
          <w:sz w:val="16"/>
          <w:szCs w:val="16"/>
        </w:rPr>
        <w:t>Fund</w:t>
      </w:r>
      <w:proofErr w:type="spellEnd"/>
      <w:r w:rsidRPr="005F7B4A">
        <w:rPr>
          <w:rFonts w:eastAsia="Calibri"/>
          <w:spacing w:val="-2"/>
          <w:sz w:val="16"/>
          <w:szCs w:val="16"/>
        </w:rPr>
        <w:t xml:space="preserve"> </w:t>
      </w:r>
      <w:proofErr w:type="spellStart"/>
      <w:r w:rsidRPr="005F7B4A">
        <w:rPr>
          <w:rFonts w:eastAsia="Calibri"/>
          <w:spacing w:val="-2"/>
          <w:sz w:val="16"/>
          <w:szCs w:val="16"/>
        </w:rPr>
        <w:t>for</w:t>
      </w:r>
      <w:proofErr w:type="spellEnd"/>
      <w:r w:rsidRPr="005F7B4A">
        <w:rPr>
          <w:rFonts w:eastAsia="Calibri"/>
          <w:spacing w:val="-2"/>
          <w:sz w:val="16"/>
          <w:szCs w:val="16"/>
        </w:rPr>
        <w:t xml:space="preserve"> Transport </w:t>
      </w:r>
      <w:proofErr w:type="spellStart"/>
      <w:r w:rsidRPr="005F7B4A">
        <w:rPr>
          <w:rFonts w:eastAsia="Calibri"/>
          <w:spacing w:val="-2"/>
          <w:sz w:val="16"/>
          <w:szCs w:val="16"/>
        </w:rPr>
        <w:t>Infrastructure</w:t>
      </w:r>
      <w:proofErr w:type="spellEnd"/>
      <w:r w:rsidRPr="005F7B4A">
        <w:rPr>
          <w:rFonts w:eastAsia="Calibri"/>
          <w:spacing w:val="-2"/>
          <w:sz w:val="16"/>
          <w:szCs w:val="16"/>
        </w:rPr>
        <w:t xml:space="preserve"> </w:t>
      </w:r>
      <w:proofErr w:type="spellStart"/>
      <w:r w:rsidRPr="005F7B4A">
        <w:rPr>
          <w:rFonts w:eastAsia="Calibri"/>
          <w:spacing w:val="-2"/>
          <w:sz w:val="16"/>
          <w:szCs w:val="16"/>
        </w:rPr>
        <w:t>expects</w:t>
      </w:r>
      <w:proofErr w:type="spellEnd"/>
      <w:r w:rsidRPr="005F7B4A">
        <w:rPr>
          <w:rFonts w:eastAsia="Calibri"/>
          <w:spacing w:val="-2"/>
          <w:sz w:val="16"/>
          <w:szCs w:val="16"/>
        </w:rPr>
        <w:t xml:space="preserve"> </w:t>
      </w:r>
      <w:proofErr w:type="spellStart"/>
      <w:r w:rsidRPr="005F7B4A">
        <w:rPr>
          <w:rFonts w:eastAsia="Calibri"/>
          <w:spacing w:val="-2"/>
          <w:sz w:val="16"/>
          <w:szCs w:val="16"/>
        </w:rPr>
        <w:t>total</w:t>
      </w:r>
      <w:proofErr w:type="spellEnd"/>
      <w:r w:rsidRPr="005F7B4A">
        <w:rPr>
          <w:rFonts w:eastAsia="Calibri"/>
          <w:spacing w:val="-2"/>
          <w:sz w:val="16"/>
          <w:szCs w:val="16"/>
        </w:rPr>
        <w:t xml:space="preserve"> </w:t>
      </w:r>
      <w:proofErr w:type="spellStart"/>
      <w:r w:rsidRPr="005F7B4A">
        <w:rPr>
          <w:rFonts w:eastAsia="Calibri"/>
          <w:spacing w:val="-2"/>
          <w:sz w:val="16"/>
          <w:szCs w:val="16"/>
        </w:rPr>
        <w:t>expenditure</w:t>
      </w:r>
      <w:proofErr w:type="spellEnd"/>
      <w:r w:rsidRPr="005F7B4A">
        <w:rPr>
          <w:rFonts w:eastAsia="Calibri"/>
          <w:spacing w:val="-2"/>
          <w:sz w:val="16"/>
          <w:szCs w:val="16"/>
        </w:rPr>
        <w:t xml:space="preserve"> </w:t>
      </w:r>
      <w:proofErr w:type="spellStart"/>
      <w:r w:rsidRPr="005F7B4A">
        <w:rPr>
          <w:rFonts w:eastAsia="Calibri"/>
          <w:spacing w:val="-2"/>
          <w:sz w:val="16"/>
          <w:szCs w:val="16"/>
        </w:rPr>
        <w:t>of</w:t>
      </w:r>
      <w:proofErr w:type="spellEnd"/>
      <w:r w:rsidRPr="005F7B4A">
        <w:rPr>
          <w:rFonts w:eastAsia="Calibri"/>
          <w:spacing w:val="-2"/>
          <w:sz w:val="16"/>
          <w:szCs w:val="16"/>
        </w:rPr>
        <w:t xml:space="preserve"> 150 </w:t>
      </w:r>
      <w:proofErr w:type="spellStart"/>
      <w:r w:rsidRPr="005F7B4A">
        <w:rPr>
          <w:rFonts w:eastAsia="Calibri"/>
          <w:spacing w:val="-2"/>
          <w:sz w:val="16"/>
          <w:szCs w:val="16"/>
        </w:rPr>
        <w:t>bn</w:t>
      </w:r>
      <w:proofErr w:type="spellEnd"/>
      <w:r w:rsidRPr="005F7B4A">
        <w:rPr>
          <w:rFonts w:eastAsia="Calibri"/>
          <w:spacing w:val="-2"/>
          <w:sz w:val="16"/>
          <w:szCs w:val="16"/>
        </w:rPr>
        <w:t xml:space="preserve"> CZK </w:t>
      </w:r>
      <w:proofErr w:type="spellStart"/>
      <w:r w:rsidRPr="005F7B4A">
        <w:rPr>
          <w:rFonts w:eastAsia="Calibri"/>
          <w:spacing w:val="-2"/>
          <w:sz w:val="16"/>
          <w:szCs w:val="16"/>
        </w:rPr>
        <w:t>for</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whole</w:t>
      </w:r>
      <w:proofErr w:type="spellEnd"/>
      <w:r w:rsidRPr="005F7B4A">
        <w:rPr>
          <w:rFonts w:eastAsia="Calibri"/>
          <w:spacing w:val="-2"/>
          <w:sz w:val="16"/>
          <w:szCs w:val="16"/>
        </w:rPr>
        <w:t xml:space="preserve"> </w:t>
      </w:r>
      <w:proofErr w:type="spellStart"/>
      <w:r w:rsidRPr="005F7B4A">
        <w:rPr>
          <w:rFonts w:eastAsia="Calibri"/>
          <w:spacing w:val="-2"/>
          <w:sz w:val="16"/>
          <w:szCs w:val="16"/>
        </w:rPr>
        <w:t>this</w:t>
      </w:r>
      <w:proofErr w:type="spellEnd"/>
      <w:r w:rsidRPr="005F7B4A">
        <w:rPr>
          <w:rFonts w:eastAsia="Calibri"/>
          <w:spacing w:val="-2"/>
          <w:sz w:val="16"/>
          <w:szCs w:val="16"/>
        </w:rPr>
        <w:t xml:space="preserve"> </w:t>
      </w:r>
      <w:proofErr w:type="spellStart"/>
      <w:r w:rsidRPr="005F7B4A">
        <w:rPr>
          <w:rFonts w:eastAsia="Calibri"/>
          <w:spacing w:val="-2"/>
          <w:sz w:val="16"/>
          <w:szCs w:val="16"/>
        </w:rPr>
        <w:t>year</w:t>
      </w:r>
      <w:proofErr w:type="spellEnd"/>
      <w:r w:rsidRPr="005F7B4A">
        <w:rPr>
          <w:rFonts w:eastAsia="Calibri"/>
          <w:spacing w:val="-2"/>
          <w:sz w:val="16"/>
          <w:szCs w:val="16"/>
        </w:rPr>
        <w:t xml:space="preserve"> (</w:t>
      </w:r>
      <w:proofErr w:type="spellStart"/>
      <w:r w:rsidRPr="005F7B4A">
        <w:rPr>
          <w:rFonts w:eastAsia="Calibri"/>
          <w:spacing w:val="-2"/>
          <w:sz w:val="16"/>
          <w:szCs w:val="16"/>
        </w:rPr>
        <w:t>given</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model </w:t>
      </w:r>
      <w:proofErr w:type="spellStart"/>
      <w:r w:rsidRPr="005F7B4A">
        <w:rPr>
          <w:rFonts w:eastAsia="Calibri"/>
          <w:spacing w:val="-2"/>
          <w:sz w:val="16"/>
          <w:szCs w:val="16"/>
        </w:rPr>
        <w:t>of</w:t>
      </w:r>
      <w:proofErr w:type="spellEnd"/>
      <w:r w:rsidRPr="005F7B4A">
        <w:rPr>
          <w:rFonts w:eastAsia="Calibri"/>
          <w:spacing w:val="-2"/>
          <w:sz w:val="16"/>
          <w:szCs w:val="16"/>
        </w:rPr>
        <w:t xml:space="preserve"> </w:t>
      </w:r>
      <w:proofErr w:type="spellStart"/>
      <w:r w:rsidRPr="005F7B4A">
        <w:rPr>
          <w:rFonts w:eastAsia="Calibri"/>
          <w:spacing w:val="-2"/>
          <w:sz w:val="16"/>
          <w:szCs w:val="16"/>
        </w:rPr>
        <w:t>multi</w:t>
      </w:r>
      <w:proofErr w:type="spellEnd"/>
      <w:r w:rsidRPr="005F7B4A">
        <w:rPr>
          <w:rFonts w:eastAsia="Calibri"/>
          <w:spacing w:val="-2"/>
          <w:sz w:val="16"/>
          <w:szCs w:val="16"/>
        </w:rPr>
        <w:t xml:space="preserve">-source </w:t>
      </w:r>
      <w:proofErr w:type="spellStart"/>
      <w:r w:rsidRPr="005F7B4A">
        <w:rPr>
          <w:rFonts w:eastAsia="Calibri"/>
          <w:spacing w:val="-2"/>
          <w:sz w:val="16"/>
          <w:szCs w:val="16"/>
        </w:rPr>
        <w:t>financing</w:t>
      </w:r>
      <w:proofErr w:type="spellEnd"/>
      <w:r w:rsidRPr="005F7B4A">
        <w:rPr>
          <w:rFonts w:eastAsia="Calibri"/>
          <w:spacing w:val="-2"/>
          <w:sz w:val="16"/>
          <w:szCs w:val="16"/>
        </w:rPr>
        <w:t xml:space="preserve"> </w:t>
      </w:r>
      <w:proofErr w:type="spellStart"/>
      <w:r w:rsidRPr="005F7B4A">
        <w:rPr>
          <w:rFonts w:eastAsia="Calibri"/>
          <w:spacing w:val="-2"/>
          <w:sz w:val="16"/>
          <w:szCs w:val="16"/>
        </w:rPr>
        <w:t>continues</w:t>
      </w:r>
      <w:proofErr w:type="spellEnd"/>
      <w:r w:rsidRPr="005F7B4A">
        <w:rPr>
          <w:rFonts w:eastAsia="Calibri"/>
          <w:spacing w:val="-2"/>
          <w:sz w:val="16"/>
          <w:szCs w:val="16"/>
        </w:rPr>
        <w:t xml:space="preserve">), </w:t>
      </w:r>
      <w:proofErr w:type="spellStart"/>
      <w:r w:rsidRPr="005F7B4A">
        <w:rPr>
          <w:rFonts w:eastAsia="Calibri"/>
          <w:spacing w:val="-2"/>
          <w:sz w:val="16"/>
          <w:szCs w:val="16"/>
        </w:rPr>
        <w:t>which</w:t>
      </w:r>
      <w:proofErr w:type="spellEnd"/>
      <w:r w:rsidRPr="005F7B4A">
        <w:rPr>
          <w:rFonts w:eastAsia="Calibri"/>
          <w:spacing w:val="-2"/>
          <w:sz w:val="16"/>
          <w:szCs w:val="16"/>
        </w:rPr>
        <w:t xml:space="preserve"> </w:t>
      </w:r>
      <w:proofErr w:type="spellStart"/>
      <w:r w:rsidRPr="005F7B4A">
        <w:rPr>
          <w:rFonts w:eastAsia="Calibri"/>
          <w:spacing w:val="-2"/>
          <w:sz w:val="16"/>
          <w:szCs w:val="16"/>
        </w:rPr>
        <w:t>is</w:t>
      </w:r>
      <w:proofErr w:type="spellEnd"/>
      <w:r w:rsidRPr="005F7B4A">
        <w:rPr>
          <w:rFonts w:eastAsia="Calibri"/>
          <w:spacing w:val="-2"/>
          <w:sz w:val="16"/>
          <w:szCs w:val="16"/>
        </w:rPr>
        <w:t xml:space="preserve"> </w:t>
      </w:r>
      <w:proofErr w:type="spellStart"/>
      <w:r w:rsidRPr="005F7B4A">
        <w:rPr>
          <w:rFonts w:eastAsia="Calibri"/>
          <w:spacing w:val="-2"/>
          <w:sz w:val="16"/>
          <w:szCs w:val="16"/>
        </w:rPr>
        <w:t>only</w:t>
      </w:r>
      <w:proofErr w:type="spellEnd"/>
      <w:r w:rsidRPr="005F7B4A">
        <w:rPr>
          <w:rFonts w:eastAsia="Calibri"/>
          <w:spacing w:val="-2"/>
          <w:sz w:val="16"/>
          <w:szCs w:val="16"/>
        </w:rPr>
        <w:t xml:space="preserve"> </w:t>
      </w:r>
      <w:proofErr w:type="spellStart"/>
      <w:r w:rsidRPr="005F7B4A">
        <w:rPr>
          <w:rFonts w:eastAsia="Calibri"/>
          <w:spacing w:val="-2"/>
          <w:sz w:val="16"/>
          <w:szCs w:val="16"/>
        </w:rPr>
        <w:t>slightly</w:t>
      </w:r>
      <w:proofErr w:type="spellEnd"/>
      <w:r w:rsidRPr="005F7B4A">
        <w:rPr>
          <w:rFonts w:eastAsia="Calibri"/>
          <w:spacing w:val="-2"/>
          <w:sz w:val="16"/>
          <w:szCs w:val="16"/>
        </w:rPr>
        <w:t xml:space="preserve"> </w:t>
      </w:r>
      <w:proofErr w:type="spellStart"/>
      <w:r w:rsidRPr="005F7B4A">
        <w:rPr>
          <w:rFonts w:eastAsia="Calibri"/>
          <w:spacing w:val="-2"/>
          <w:sz w:val="16"/>
          <w:szCs w:val="16"/>
        </w:rPr>
        <w:t>less</w:t>
      </w:r>
      <w:proofErr w:type="spellEnd"/>
      <w:r w:rsidRPr="005F7B4A">
        <w:rPr>
          <w:rFonts w:eastAsia="Calibri"/>
          <w:spacing w:val="-2"/>
          <w:sz w:val="16"/>
          <w:szCs w:val="16"/>
        </w:rPr>
        <w:t xml:space="preserve"> </w:t>
      </w:r>
      <w:proofErr w:type="spellStart"/>
      <w:r w:rsidRPr="005F7B4A">
        <w:rPr>
          <w:rFonts w:eastAsia="Calibri"/>
          <w:spacing w:val="-2"/>
          <w:sz w:val="16"/>
          <w:szCs w:val="16"/>
        </w:rPr>
        <w:t>than</w:t>
      </w:r>
      <w:proofErr w:type="spellEnd"/>
      <w:r w:rsidRPr="005F7B4A">
        <w:rPr>
          <w:rFonts w:eastAsia="Calibri"/>
          <w:spacing w:val="-2"/>
          <w:sz w:val="16"/>
          <w:szCs w:val="16"/>
        </w:rPr>
        <w:t xml:space="preserve"> in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record</w:t>
      </w:r>
      <w:proofErr w:type="spellEnd"/>
      <w:r w:rsidRPr="005F7B4A">
        <w:rPr>
          <w:rFonts w:eastAsia="Calibri"/>
          <w:spacing w:val="-2"/>
          <w:sz w:val="16"/>
          <w:szCs w:val="16"/>
        </w:rPr>
        <w:t xml:space="preserve"> last </w:t>
      </w:r>
      <w:proofErr w:type="spellStart"/>
      <w:r w:rsidRPr="005F7B4A">
        <w:rPr>
          <w:rFonts w:eastAsia="Calibri"/>
          <w:spacing w:val="-2"/>
          <w:sz w:val="16"/>
          <w:szCs w:val="16"/>
        </w:rPr>
        <w:t>year</w:t>
      </w:r>
      <w:proofErr w:type="spellEnd"/>
      <w:r w:rsidRPr="005F7B4A">
        <w:rPr>
          <w:rFonts w:eastAsia="Calibri"/>
          <w:spacing w:val="-2"/>
          <w:sz w:val="16"/>
          <w:szCs w:val="16"/>
        </w:rPr>
        <w:t xml:space="preserve"> (151 </w:t>
      </w:r>
      <w:proofErr w:type="spellStart"/>
      <w:r w:rsidRPr="005F7B4A">
        <w:rPr>
          <w:rFonts w:eastAsia="Calibri"/>
          <w:spacing w:val="-2"/>
          <w:sz w:val="16"/>
          <w:szCs w:val="16"/>
        </w:rPr>
        <w:t>bn</w:t>
      </w:r>
      <w:proofErr w:type="spellEnd"/>
      <w:r w:rsidRPr="005F7B4A">
        <w:rPr>
          <w:rFonts w:eastAsia="Calibri"/>
          <w:spacing w:val="-2"/>
          <w:sz w:val="16"/>
          <w:szCs w:val="16"/>
        </w:rPr>
        <w:t xml:space="preserve"> CZK). In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future</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construction</w:t>
      </w:r>
      <w:proofErr w:type="spellEnd"/>
      <w:r w:rsidRPr="005F7B4A">
        <w:rPr>
          <w:rFonts w:eastAsia="Calibri"/>
          <w:spacing w:val="-2"/>
          <w:sz w:val="16"/>
          <w:szCs w:val="16"/>
        </w:rPr>
        <w:t xml:space="preserve"> </w:t>
      </w:r>
      <w:proofErr w:type="spellStart"/>
      <w:r w:rsidRPr="005F7B4A">
        <w:rPr>
          <w:rFonts w:eastAsia="Calibri"/>
          <w:spacing w:val="-2"/>
          <w:sz w:val="16"/>
          <w:szCs w:val="16"/>
        </w:rPr>
        <w:t>industry</w:t>
      </w:r>
      <w:proofErr w:type="spellEnd"/>
      <w:r w:rsidRPr="005F7B4A">
        <w:rPr>
          <w:rFonts w:eastAsia="Calibri"/>
          <w:spacing w:val="-2"/>
          <w:sz w:val="16"/>
          <w:szCs w:val="16"/>
        </w:rPr>
        <w:t xml:space="preserve"> </w:t>
      </w:r>
      <w:proofErr w:type="spellStart"/>
      <w:r w:rsidRPr="005F7B4A">
        <w:rPr>
          <w:rFonts w:eastAsia="Calibri"/>
          <w:spacing w:val="-2"/>
          <w:sz w:val="16"/>
          <w:szCs w:val="16"/>
        </w:rPr>
        <w:t>should</w:t>
      </w:r>
      <w:proofErr w:type="spellEnd"/>
      <w:r w:rsidRPr="005F7B4A">
        <w:rPr>
          <w:rFonts w:eastAsia="Calibri"/>
          <w:spacing w:val="-2"/>
          <w:sz w:val="16"/>
          <w:szCs w:val="16"/>
        </w:rPr>
        <w:t xml:space="preserve"> </w:t>
      </w:r>
      <w:proofErr w:type="spellStart"/>
      <w:r w:rsidRPr="005F7B4A">
        <w:rPr>
          <w:rFonts w:eastAsia="Calibri"/>
          <w:spacing w:val="-2"/>
          <w:sz w:val="16"/>
          <w:szCs w:val="16"/>
        </w:rPr>
        <w:t>also</w:t>
      </w:r>
      <w:proofErr w:type="spellEnd"/>
      <w:r w:rsidRPr="005F7B4A">
        <w:rPr>
          <w:rFonts w:eastAsia="Calibri"/>
          <w:spacing w:val="-2"/>
          <w:sz w:val="16"/>
          <w:szCs w:val="16"/>
        </w:rPr>
        <w:t xml:space="preserve"> benefit </w:t>
      </w:r>
      <w:proofErr w:type="spellStart"/>
      <w:r w:rsidRPr="005F7B4A">
        <w:rPr>
          <w:rFonts w:eastAsia="Calibri"/>
          <w:spacing w:val="-2"/>
          <w:sz w:val="16"/>
          <w:szCs w:val="16"/>
        </w:rPr>
        <w:t>still</w:t>
      </w:r>
      <w:proofErr w:type="spellEnd"/>
      <w:r w:rsidRPr="005F7B4A">
        <w:rPr>
          <w:rFonts w:eastAsia="Calibri"/>
          <w:spacing w:val="-2"/>
          <w:sz w:val="16"/>
          <w:szCs w:val="16"/>
        </w:rPr>
        <w:t xml:space="preserve"> more </w:t>
      </w:r>
      <w:proofErr w:type="spellStart"/>
      <w:r w:rsidRPr="005F7B4A">
        <w:rPr>
          <w:rFonts w:eastAsia="Calibri"/>
          <w:spacing w:val="-2"/>
          <w:sz w:val="16"/>
          <w:szCs w:val="16"/>
        </w:rPr>
        <w:t>intensively</w:t>
      </w:r>
      <w:proofErr w:type="spellEnd"/>
      <w:r w:rsidRPr="005F7B4A">
        <w:rPr>
          <w:rFonts w:eastAsia="Calibri"/>
          <w:spacing w:val="-2"/>
          <w:sz w:val="16"/>
          <w:szCs w:val="16"/>
        </w:rPr>
        <w:t xml:space="preserve"> </w:t>
      </w:r>
      <w:proofErr w:type="spellStart"/>
      <w:r w:rsidRPr="005F7B4A">
        <w:rPr>
          <w:rFonts w:eastAsia="Calibri"/>
          <w:spacing w:val="-2"/>
          <w:sz w:val="16"/>
          <w:szCs w:val="16"/>
        </w:rPr>
        <w:t>from</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funds</w:t>
      </w:r>
      <w:proofErr w:type="spellEnd"/>
      <w:r w:rsidRPr="005F7B4A">
        <w:rPr>
          <w:rFonts w:eastAsia="Calibri"/>
          <w:spacing w:val="-2"/>
          <w:sz w:val="16"/>
          <w:szCs w:val="16"/>
        </w:rPr>
        <w:t xml:space="preserve"> </w:t>
      </w:r>
      <w:proofErr w:type="spellStart"/>
      <w:r w:rsidRPr="005F7B4A">
        <w:rPr>
          <w:rFonts w:eastAsia="Calibri"/>
          <w:spacing w:val="-2"/>
          <w:sz w:val="16"/>
          <w:szCs w:val="16"/>
        </w:rPr>
        <w:t>of</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National</w:t>
      </w:r>
      <w:proofErr w:type="spellEnd"/>
      <w:r w:rsidRPr="005F7B4A">
        <w:rPr>
          <w:rFonts w:eastAsia="Calibri"/>
          <w:spacing w:val="-2"/>
          <w:sz w:val="16"/>
          <w:szCs w:val="16"/>
        </w:rPr>
        <w:t xml:space="preserve"> </w:t>
      </w:r>
      <w:proofErr w:type="spellStart"/>
      <w:r w:rsidRPr="005F7B4A">
        <w:rPr>
          <w:rFonts w:eastAsia="Calibri"/>
          <w:spacing w:val="-2"/>
          <w:sz w:val="16"/>
          <w:szCs w:val="16"/>
        </w:rPr>
        <w:t>Recovery</w:t>
      </w:r>
      <w:proofErr w:type="spellEnd"/>
      <w:r w:rsidRPr="005F7B4A">
        <w:rPr>
          <w:rFonts w:eastAsia="Calibri"/>
          <w:spacing w:val="-2"/>
          <w:sz w:val="16"/>
          <w:szCs w:val="16"/>
        </w:rPr>
        <w:t xml:space="preserve"> </w:t>
      </w:r>
      <w:proofErr w:type="spellStart"/>
      <w:r w:rsidRPr="005F7B4A">
        <w:rPr>
          <w:rFonts w:eastAsia="Calibri"/>
          <w:spacing w:val="-2"/>
          <w:sz w:val="16"/>
          <w:szCs w:val="16"/>
        </w:rPr>
        <w:t>Plan</w:t>
      </w:r>
      <w:proofErr w:type="spellEnd"/>
      <w:r w:rsidRPr="005F7B4A">
        <w:rPr>
          <w:rFonts w:eastAsia="Calibri"/>
          <w:spacing w:val="-2"/>
          <w:sz w:val="16"/>
          <w:szCs w:val="16"/>
        </w:rPr>
        <w:t xml:space="preserve"> </w:t>
      </w:r>
      <w:proofErr w:type="spellStart"/>
      <w:r w:rsidRPr="005F7B4A">
        <w:rPr>
          <w:rFonts w:eastAsia="Calibri"/>
          <w:spacing w:val="-2"/>
          <w:sz w:val="16"/>
          <w:szCs w:val="16"/>
        </w:rPr>
        <w:t>intended</w:t>
      </w:r>
      <w:proofErr w:type="spellEnd"/>
      <w:r w:rsidRPr="005F7B4A">
        <w:rPr>
          <w:rFonts w:eastAsia="Calibri"/>
          <w:spacing w:val="-2"/>
          <w:sz w:val="16"/>
          <w:szCs w:val="16"/>
        </w:rPr>
        <w:t xml:space="preserve"> </w:t>
      </w:r>
      <w:proofErr w:type="spellStart"/>
      <w:r w:rsidRPr="005F7B4A">
        <w:rPr>
          <w:rFonts w:eastAsia="Calibri"/>
          <w:spacing w:val="-2"/>
          <w:sz w:val="16"/>
          <w:szCs w:val="16"/>
        </w:rPr>
        <w:t>for</w:t>
      </w:r>
      <w:proofErr w:type="spellEnd"/>
      <w:r w:rsidRPr="005F7B4A">
        <w:rPr>
          <w:rFonts w:eastAsia="Calibri"/>
          <w:spacing w:val="-2"/>
          <w:sz w:val="16"/>
          <w:szCs w:val="16"/>
        </w:rPr>
        <w:t xml:space="preserve"> </w:t>
      </w:r>
      <w:proofErr w:type="spellStart"/>
      <w:r w:rsidRPr="005F7B4A">
        <w:rPr>
          <w:rFonts w:eastAsia="Calibri"/>
          <w:spacing w:val="-2"/>
          <w:sz w:val="16"/>
          <w:szCs w:val="16"/>
        </w:rPr>
        <w:t>example</w:t>
      </w:r>
      <w:proofErr w:type="spellEnd"/>
      <w:r w:rsidRPr="005F7B4A">
        <w:rPr>
          <w:rFonts w:eastAsia="Calibri"/>
          <w:spacing w:val="-2"/>
          <w:sz w:val="16"/>
          <w:szCs w:val="16"/>
        </w:rPr>
        <w:t xml:space="preserve"> to </w:t>
      </w:r>
      <w:proofErr w:type="spellStart"/>
      <w:r w:rsidRPr="005F7B4A">
        <w:rPr>
          <w:rFonts w:eastAsia="Calibri"/>
          <w:spacing w:val="-2"/>
          <w:sz w:val="16"/>
          <w:szCs w:val="16"/>
        </w:rPr>
        <w:t>reduce</w:t>
      </w:r>
      <w:proofErr w:type="spellEnd"/>
      <w:r w:rsidRPr="005F7B4A">
        <w:rPr>
          <w:rFonts w:eastAsia="Calibri"/>
          <w:spacing w:val="-2"/>
          <w:sz w:val="16"/>
          <w:szCs w:val="16"/>
        </w:rPr>
        <w:t xml:space="preserve"> </w:t>
      </w:r>
      <w:proofErr w:type="spellStart"/>
      <w:r w:rsidRPr="005F7B4A">
        <w:rPr>
          <w:rFonts w:eastAsia="Calibri"/>
          <w:spacing w:val="-2"/>
          <w:sz w:val="16"/>
          <w:szCs w:val="16"/>
        </w:rPr>
        <w:t>the</w:t>
      </w:r>
      <w:proofErr w:type="spellEnd"/>
      <w:r w:rsidRPr="005F7B4A">
        <w:rPr>
          <w:rFonts w:eastAsia="Calibri"/>
          <w:spacing w:val="-2"/>
          <w:sz w:val="16"/>
          <w:szCs w:val="16"/>
        </w:rPr>
        <w:t xml:space="preserve"> </w:t>
      </w:r>
      <w:proofErr w:type="spellStart"/>
      <w:r w:rsidRPr="005F7B4A">
        <w:rPr>
          <w:rFonts w:eastAsia="Calibri"/>
          <w:spacing w:val="-2"/>
          <w:sz w:val="16"/>
          <w:szCs w:val="16"/>
        </w:rPr>
        <w:t>energy</w:t>
      </w:r>
      <w:proofErr w:type="spellEnd"/>
      <w:r w:rsidRPr="005F7B4A">
        <w:rPr>
          <w:rFonts w:eastAsia="Calibri"/>
          <w:spacing w:val="-2"/>
          <w:sz w:val="16"/>
          <w:szCs w:val="16"/>
        </w:rPr>
        <w:t xml:space="preserve"> performance </w:t>
      </w:r>
      <w:proofErr w:type="spellStart"/>
      <w:r w:rsidRPr="005F7B4A">
        <w:rPr>
          <w:rFonts w:eastAsia="Calibri"/>
          <w:spacing w:val="-2"/>
          <w:sz w:val="16"/>
          <w:szCs w:val="16"/>
        </w:rPr>
        <w:t>of</w:t>
      </w:r>
      <w:proofErr w:type="spellEnd"/>
      <w:r w:rsidRPr="005F7B4A">
        <w:rPr>
          <w:rFonts w:eastAsia="Calibri"/>
          <w:spacing w:val="-2"/>
          <w:sz w:val="16"/>
          <w:szCs w:val="16"/>
        </w:rPr>
        <w:t xml:space="preserve"> </w:t>
      </w:r>
      <w:proofErr w:type="spellStart"/>
      <w:r w:rsidRPr="005F7B4A">
        <w:rPr>
          <w:rFonts w:eastAsia="Calibri"/>
          <w:spacing w:val="-2"/>
          <w:sz w:val="16"/>
          <w:szCs w:val="16"/>
        </w:rPr>
        <w:t>buildings</w:t>
      </w:r>
      <w:proofErr w:type="spellEnd"/>
      <w:r w:rsidRPr="005F7B4A">
        <w:rPr>
          <w:rFonts w:eastAsia="Calibri"/>
          <w:spacing w:val="-2"/>
          <w:sz w:val="16"/>
          <w:szCs w:val="16"/>
        </w:rPr>
        <w:t xml:space="preserve">. </w:t>
      </w:r>
      <w:bookmarkEnd w:id="34"/>
    </w:p>
  </w:footnote>
  <w:footnote w:id="34">
    <w:p w14:paraId="1AF37462" w14:textId="77777777" w:rsidR="00165465" w:rsidRPr="00576982" w:rsidRDefault="00165465" w:rsidP="005F7B4A">
      <w:pPr>
        <w:pStyle w:val="Textpoznpodarou"/>
        <w:jc w:val="both"/>
        <w:rPr>
          <w:sz w:val="16"/>
          <w:szCs w:val="16"/>
          <w:lang w:val="en-GB"/>
        </w:rPr>
      </w:pPr>
      <w:r w:rsidRPr="005F7B4A">
        <w:rPr>
          <w:rStyle w:val="Znakapoznpodarou"/>
          <w:rFonts w:cs="Arial"/>
          <w:color w:val="0D0D0D" w:themeColor="text1" w:themeTint="F2"/>
          <w:spacing w:val="-2"/>
          <w:sz w:val="16"/>
          <w:szCs w:val="16"/>
          <w:lang w:val="en-GB"/>
        </w:rPr>
        <w:footnoteRef/>
      </w:r>
      <w:r w:rsidRPr="005F7B4A">
        <w:rPr>
          <w:rFonts w:cs="Arial"/>
          <w:color w:val="0D0D0D" w:themeColor="text1" w:themeTint="F2"/>
          <w:spacing w:val="-2"/>
          <w:sz w:val="16"/>
          <w:szCs w:val="16"/>
          <w:lang w:val="en-GB"/>
        </w:rPr>
        <w:t xml:space="preserve"> Data regarding the construction output are in constant prices, year-on-year rates of growth are adjusted for calendar effects, quarter-on-quarter rates also for seasonality effects.</w:t>
      </w:r>
    </w:p>
  </w:footnote>
  <w:footnote w:id="35">
    <w:p w14:paraId="08C499AA" w14:textId="77777777" w:rsidR="00165465" w:rsidRPr="009D0B93" w:rsidRDefault="00165465" w:rsidP="00E551F6">
      <w:pPr>
        <w:spacing w:after="0" w:line="240" w:lineRule="auto"/>
        <w:rPr>
          <w:spacing w:val="-2"/>
          <w:lang w:val="en-GB"/>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w:t>
      </w:r>
      <w:r w:rsidRPr="009D0B93">
        <w:rPr>
          <w:color w:val="0D0D0D" w:themeColor="text1" w:themeTint="F2"/>
          <w:spacing w:val="-2"/>
          <w:sz w:val="16"/>
          <w:szCs w:val="16"/>
          <w:lang w:val="en-GB"/>
        </w:rPr>
        <w:t xml:space="preserve">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 </w:t>
      </w:r>
    </w:p>
  </w:footnote>
  <w:footnote w:id="36">
    <w:p w14:paraId="7947BBDD" w14:textId="729C8839" w:rsidR="00165465" w:rsidRPr="009D0B93" w:rsidRDefault="00165465" w:rsidP="00E551F6">
      <w:pPr>
        <w:pStyle w:val="Textpoznpodarou"/>
        <w:jc w:val="both"/>
        <w:rPr>
          <w:spacing w:val="-2"/>
          <w:sz w:val="16"/>
          <w:szCs w:val="16"/>
          <w:lang w:val="en-GB"/>
        </w:rPr>
      </w:pPr>
      <w:r w:rsidRPr="009D0B93">
        <w:rPr>
          <w:rStyle w:val="Znakapoznpodarou"/>
          <w:spacing w:val="-2"/>
          <w:sz w:val="16"/>
          <w:szCs w:val="16"/>
          <w:lang w:val="en-GB"/>
        </w:rPr>
        <w:footnoteRef/>
      </w:r>
      <w:r w:rsidRPr="009D0B93">
        <w:rPr>
          <w:spacing w:val="-2"/>
          <w:sz w:val="16"/>
          <w:szCs w:val="16"/>
          <w:lang w:val="en-GB"/>
        </w:rPr>
        <w:t xml:space="preserve"> </w:t>
      </w:r>
      <w:r>
        <w:rPr>
          <w:spacing w:val="-2"/>
          <w:sz w:val="16"/>
          <w:szCs w:val="16"/>
          <w:lang w:val="en-GB"/>
        </w:rPr>
        <w:t xml:space="preserve">Among the main branches, the sales lagged the most behind the level of Q2 2019 in accommodation, food service and restaurants </w:t>
      </w:r>
      <w:r w:rsidRPr="009D0B93">
        <w:rPr>
          <w:spacing w:val="-2"/>
          <w:sz w:val="16"/>
          <w:szCs w:val="16"/>
          <w:lang w:val="en-GB"/>
        </w:rPr>
        <w:t>(</w:t>
      </w:r>
      <w:r w:rsidRPr="009D0B93">
        <w:rPr>
          <w:color w:val="0D0D0D" w:themeColor="text1" w:themeTint="F2"/>
          <w:spacing w:val="-2"/>
          <w:sz w:val="16"/>
          <w:szCs w:val="16"/>
          <w:lang w:val="en-GB"/>
        </w:rPr>
        <w:t>−</w:t>
      </w:r>
      <w:r w:rsidRPr="009D0B93">
        <w:rPr>
          <w:spacing w:val="-2"/>
          <w:sz w:val="16"/>
          <w:szCs w:val="16"/>
          <w:lang w:val="en-GB"/>
        </w:rPr>
        <w:t>10</w:t>
      </w:r>
      <w:r>
        <w:rPr>
          <w:spacing w:val="-2"/>
          <w:sz w:val="16"/>
          <w:szCs w:val="16"/>
          <w:lang w:val="en-GB"/>
        </w:rPr>
        <w:t>.</w:t>
      </w:r>
      <w:r w:rsidRPr="009D0B93">
        <w:rPr>
          <w:spacing w:val="-2"/>
          <w:sz w:val="16"/>
          <w:szCs w:val="16"/>
          <w:lang w:val="en-GB"/>
        </w:rPr>
        <w:t>7%)</w:t>
      </w:r>
      <w:r>
        <w:rPr>
          <w:spacing w:val="-2"/>
          <w:sz w:val="16"/>
          <w:szCs w:val="16"/>
          <w:lang w:val="en-GB"/>
        </w:rPr>
        <w:t xml:space="preserve"> and in administrative and support service activities </w:t>
      </w:r>
      <w:r w:rsidRPr="009D0B93">
        <w:rPr>
          <w:rFonts w:cs="Arial"/>
          <w:color w:val="0D0D0D" w:themeColor="text1" w:themeTint="F2"/>
          <w:spacing w:val="-2"/>
          <w:sz w:val="16"/>
          <w:szCs w:val="16"/>
          <w:lang w:val="en-GB"/>
        </w:rPr>
        <w:t>(</w:t>
      </w:r>
      <w:r w:rsidRPr="009D0B93">
        <w:rPr>
          <w:color w:val="0D0D0D" w:themeColor="text1" w:themeTint="F2"/>
          <w:spacing w:val="-2"/>
          <w:sz w:val="16"/>
          <w:szCs w:val="16"/>
          <w:lang w:val="en-GB"/>
        </w:rPr>
        <w:t>−</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4%)</w:t>
      </w:r>
      <w:r>
        <w:rPr>
          <w:rFonts w:cs="Arial"/>
          <w:color w:val="0D0D0D" w:themeColor="text1" w:themeTint="F2"/>
          <w:spacing w:val="-2"/>
          <w:sz w:val="16"/>
          <w:szCs w:val="16"/>
          <w:lang w:val="en-GB"/>
        </w:rPr>
        <w:t xml:space="preserve"> this year</w:t>
      </w:r>
      <w:r w:rsidRPr="009D0B93">
        <w:rPr>
          <w:rFonts w:cs="Arial"/>
          <w:color w:val="0D0D0D" w:themeColor="text1" w:themeTint="F2"/>
          <w:spacing w:val="-2"/>
          <w:sz w:val="16"/>
          <w:szCs w:val="16"/>
          <w:lang w:val="en-GB"/>
        </w:rPr>
        <w:t xml:space="preserve">. </w:t>
      </w:r>
      <w:proofErr w:type="spellStart"/>
      <w:r>
        <w:rPr>
          <w:rFonts w:cs="Arial"/>
          <w:color w:val="0D0D0D" w:themeColor="text1" w:themeTint="F2"/>
          <w:spacing w:val="-2"/>
          <w:sz w:val="16"/>
          <w:szCs w:val="16"/>
          <w:lang w:val="en-GB"/>
        </w:rPr>
        <w:t>Oo</w:t>
      </w:r>
      <w:proofErr w:type="spellEnd"/>
      <w:r>
        <w:rPr>
          <w:rFonts w:cs="Arial"/>
          <w:color w:val="0D0D0D" w:themeColor="text1" w:themeTint="F2"/>
          <w:spacing w:val="-2"/>
          <w:sz w:val="16"/>
          <w:szCs w:val="16"/>
          <w:lang w:val="en-GB"/>
        </w:rPr>
        <w:t xml:space="preserve"> the other hand mainly information and communication </w:t>
      </w:r>
      <w:r w:rsidRPr="009D0B93">
        <w:rPr>
          <w:rFonts w:cs="Arial"/>
          <w:color w:val="0D0D0D" w:themeColor="text1" w:themeTint="F2"/>
          <w:spacing w:val="-2"/>
          <w:sz w:val="16"/>
          <w:szCs w:val="16"/>
          <w:lang w:val="en-GB"/>
        </w:rPr>
        <w:t>(+12</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4%) a</w:t>
      </w:r>
      <w:r>
        <w:rPr>
          <w:rFonts w:cs="Arial"/>
          <w:color w:val="0D0D0D" w:themeColor="text1" w:themeTint="F2"/>
          <w:spacing w:val="-2"/>
          <w:sz w:val="16"/>
          <w:szCs w:val="16"/>
          <w:lang w:val="en-GB"/>
        </w:rPr>
        <w:t xml:space="preserve">nd real estate activities </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w:t>
      </w:r>
      <w:r w:rsidRPr="009D0B93">
        <w:rPr>
          <w:rFonts w:cs="Arial"/>
          <w:color w:val="0D0D0D" w:themeColor="text1" w:themeTint="F2"/>
          <w:spacing w:val="-2"/>
          <w:sz w:val="16"/>
          <w:szCs w:val="16"/>
          <w:lang w:val="en-GB"/>
        </w:rPr>
        <w:t>6%)</w:t>
      </w:r>
      <w:r>
        <w:rPr>
          <w:rFonts w:cs="Arial"/>
          <w:color w:val="0D0D0D" w:themeColor="text1" w:themeTint="F2"/>
          <w:spacing w:val="-2"/>
          <w:sz w:val="16"/>
          <w:szCs w:val="16"/>
          <w:lang w:val="en-GB"/>
        </w:rPr>
        <w:t xml:space="preserve"> overtook this level</w:t>
      </w:r>
      <w:r w:rsidRPr="009D0B93">
        <w:rPr>
          <w:rFonts w:cs="Arial"/>
          <w:color w:val="0D0D0D" w:themeColor="text1" w:themeTint="F2"/>
          <w:spacing w:val="-2"/>
          <w:sz w:val="16"/>
          <w:szCs w:val="16"/>
          <w:lang w:val="en-GB"/>
        </w:rPr>
        <w:t>.</w:t>
      </w:r>
    </w:p>
  </w:footnote>
  <w:footnote w:id="37">
    <w:p w14:paraId="4FFEF476" w14:textId="6581D1D2"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While the number of guests was higher by 3.1% compared to Q2 2019, the number of overnight stays still slightly lagged behind (by 0.8%).</w:t>
      </w:r>
    </w:p>
  </w:footnote>
  <w:footnote w:id="38">
    <w:p w14:paraId="02F5315B" w14:textId="77777777" w:rsidR="00165465" w:rsidRPr="005F7B4A" w:rsidRDefault="00165465" w:rsidP="005F7B4A">
      <w:pPr>
        <w:spacing w:after="0" w:line="240" w:lineRule="auto"/>
        <w:rPr>
          <w:color w:val="0D0D0D" w:themeColor="text1" w:themeTint="F2"/>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year-on-year increase in the number of arrivals of foreign guests to the Czech Republic was 9.3% in Q2 and their overnight stays 6.6%. All categories of accommodation facilities and at the same time all regions except for the </w:t>
      </w:r>
      <w:proofErr w:type="spellStart"/>
      <w:r w:rsidRPr="005F7B4A">
        <w:rPr>
          <w:i/>
          <w:iCs/>
          <w:spacing w:val="-2"/>
          <w:sz w:val="16"/>
          <w:szCs w:val="16"/>
          <w:lang w:val="en-GB"/>
        </w:rPr>
        <w:t>Ústecký</w:t>
      </w:r>
      <w:proofErr w:type="spellEnd"/>
      <w:r w:rsidRPr="005F7B4A">
        <w:rPr>
          <w:spacing w:val="-2"/>
          <w:sz w:val="16"/>
          <w:szCs w:val="16"/>
          <w:lang w:val="en-GB"/>
        </w:rPr>
        <w:t xml:space="preserve"> region experienced greater demand. </w:t>
      </w:r>
      <w:r w:rsidRPr="005F7B4A">
        <w:rPr>
          <w:rStyle w:val="normaltextrun"/>
          <w:rFonts w:eastAsia="MS Gothic" w:cs="Arial"/>
          <w:color w:val="000000"/>
          <w:spacing w:val="-2"/>
          <w:sz w:val="16"/>
          <w:szCs w:val="16"/>
          <w:lang w:val="en-GB"/>
        </w:rPr>
        <w:t xml:space="preserve"> </w:t>
      </w:r>
    </w:p>
  </w:footnote>
  <w:footnote w:id="39">
    <w:p w14:paraId="13732569" w14:textId="42E71C61" w:rsidR="00165465" w:rsidRPr="005F7B4A" w:rsidRDefault="00165465" w:rsidP="005F7B4A">
      <w:pPr>
        <w:spacing w:after="0" w:line="240" w:lineRule="auto"/>
        <w:rPr>
          <w:spacing w:val="-2"/>
          <w:lang w:val="en-GB"/>
        </w:rPr>
      </w:pPr>
      <w:r w:rsidRPr="005F7B4A">
        <w:rPr>
          <w:rStyle w:val="Znakapoznpodarou"/>
          <w:spacing w:val="-2"/>
          <w:sz w:val="16"/>
          <w:szCs w:val="16"/>
          <w:lang w:val="en-GB"/>
        </w:rPr>
        <w:footnoteRef/>
      </w:r>
      <w:r w:rsidRPr="005F7B4A">
        <w:rPr>
          <w:spacing w:val="-2"/>
          <w:sz w:val="16"/>
          <w:szCs w:val="16"/>
          <w:lang w:val="en-GB"/>
        </w:rPr>
        <w:t xml:space="preserve"> </w:t>
      </w:r>
      <w:bookmarkStart w:id="46" w:name="_Hlk178460530"/>
      <w:r w:rsidRPr="005F7B4A">
        <w:rPr>
          <w:spacing w:val="-2"/>
          <w:sz w:val="16"/>
          <w:szCs w:val="16"/>
          <w:lang w:val="en-GB"/>
        </w:rPr>
        <w:t>T</w:t>
      </w:r>
      <w:r w:rsidRPr="005F7B4A">
        <w:rPr>
          <w:rFonts w:eastAsia="Calibri"/>
          <w:spacing w:val="-2"/>
          <w:sz w:val="16"/>
          <w:szCs w:val="16"/>
          <w:lang w:val="en-GB"/>
        </w:rPr>
        <w:t xml:space="preserve">he number of these guest </w:t>
      </w:r>
      <w:r>
        <w:rPr>
          <w:rFonts w:eastAsia="Calibri"/>
          <w:spacing w:val="-2"/>
          <w:sz w:val="16"/>
          <w:szCs w:val="16"/>
          <w:lang w:val="en-GB"/>
        </w:rPr>
        <w:t>accommodated</w:t>
      </w:r>
      <w:r w:rsidRPr="005F7B4A">
        <w:rPr>
          <w:rFonts w:eastAsia="Calibri"/>
          <w:spacing w:val="-2"/>
          <w:sz w:val="16"/>
          <w:szCs w:val="16"/>
          <w:lang w:val="en-GB"/>
        </w:rPr>
        <w:t xml:space="preserve"> in the Czech Republic increased by 126%, year-on-year, in Q2 and the number of their overnight stays increased by 77% (these represent the maximums among all almost 60 monitored groups of foreigners in both cases). The high growth resulted from a very low comparative ba</w:t>
      </w:r>
      <w:r>
        <w:rPr>
          <w:rFonts w:eastAsia="Calibri"/>
          <w:spacing w:val="-2"/>
          <w:sz w:val="16"/>
          <w:szCs w:val="16"/>
          <w:lang w:val="en-GB"/>
        </w:rPr>
        <w:t>se. In addition, a direct airline</w:t>
      </w:r>
      <w:r w:rsidRPr="005F7B4A">
        <w:rPr>
          <w:rFonts w:eastAsia="Calibri"/>
          <w:spacing w:val="-2"/>
          <w:sz w:val="16"/>
          <w:szCs w:val="16"/>
          <w:lang w:val="en-GB"/>
        </w:rPr>
        <w:t xml:space="preserve"> between Prague and Beijing was reinstated on June 25, 2024, with the aim to promote mutual trade relations (a similar step was taken in case of Seoul a year earlier).</w:t>
      </w:r>
    </w:p>
    <w:bookmarkEnd w:id="46"/>
  </w:footnote>
  <w:footnote w:id="40">
    <w:p w14:paraId="436EED36" w14:textId="77777777" w:rsidR="00165465" w:rsidRPr="005F7B4A" w:rsidRDefault="00165465" w:rsidP="005F7B4A">
      <w:pPr>
        <w:pStyle w:val="Textpoznpodarou"/>
        <w:jc w:val="both"/>
        <w:rPr>
          <w:spacing w:val="-2"/>
          <w:sz w:val="16"/>
          <w:szCs w:val="16"/>
          <w:lang w:val="en-GB"/>
        </w:rPr>
      </w:pPr>
      <w:r w:rsidRPr="005F7B4A">
        <w:rPr>
          <w:rStyle w:val="Znakapoznpodarou"/>
          <w:spacing w:val="-2"/>
          <w:sz w:val="16"/>
          <w:szCs w:val="16"/>
          <w:lang w:val="en-GB"/>
        </w:rPr>
        <w:footnoteRef/>
      </w:r>
      <w:r w:rsidRPr="005F7B4A">
        <w:rPr>
          <w:spacing w:val="-2"/>
          <w:sz w:val="16"/>
          <w:szCs w:val="16"/>
          <w:lang w:val="en-GB"/>
        </w:rPr>
        <w:t xml:space="preserve"> The number of overnight stays of non-residents increased by 29.5%, year-on-year, in the </w:t>
      </w:r>
      <w:proofErr w:type="spellStart"/>
      <w:r w:rsidRPr="005F7B4A">
        <w:rPr>
          <w:i/>
          <w:iCs/>
          <w:spacing w:val="-2"/>
          <w:sz w:val="16"/>
          <w:szCs w:val="16"/>
          <w:lang w:val="en-GB"/>
        </w:rPr>
        <w:t>Moravskoslezský</w:t>
      </w:r>
      <w:proofErr w:type="spellEnd"/>
      <w:r w:rsidRPr="005F7B4A">
        <w:rPr>
          <w:spacing w:val="-2"/>
          <w:sz w:val="16"/>
          <w:szCs w:val="16"/>
          <w:lang w:val="en-GB"/>
        </w:rPr>
        <w:t xml:space="preserve"> region in Q2 2024. The number of accommodated guests also considerably increased with respect to the states, who were the participants of the Ice Hockey World Championship.  </w:t>
      </w:r>
    </w:p>
  </w:footnote>
  <w:footnote w:id="41">
    <w:p w14:paraId="155C8581" w14:textId="03448285" w:rsidR="00165465" w:rsidRPr="001650B9" w:rsidRDefault="00165465" w:rsidP="00165465">
      <w:pPr>
        <w:pStyle w:val="Textpoznpodarou"/>
        <w:jc w:val="both"/>
        <w:rPr>
          <w:sz w:val="16"/>
          <w:szCs w:val="16"/>
          <w:lang w:val="en-GB"/>
        </w:rPr>
      </w:pPr>
      <w:r w:rsidRPr="005F7B4A">
        <w:rPr>
          <w:rStyle w:val="Znakapoznpodarou"/>
          <w:spacing w:val="-2"/>
          <w:sz w:val="16"/>
          <w:szCs w:val="16"/>
        </w:rPr>
        <w:footnoteRef/>
      </w:r>
      <w:r w:rsidRPr="005F7B4A">
        <w:rPr>
          <w:spacing w:val="-2"/>
          <w:sz w:val="16"/>
          <w:szCs w:val="16"/>
        </w:rPr>
        <w:t xml:space="preserve"> </w:t>
      </w:r>
      <w:r w:rsidRPr="005F7B4A">
        <w:rPr>
          <w:spacing w:val="-2"/>
          <w:sz w:val="16"/>
          <w:szCs w:val="16"/>
          <w:lang w:val="en-GB"/>
        </w:rPr>
        <w:t xml:space="preserve">The decline in sales occurred here while the number of working foreigners was rising swiftly in the Czech Republic. Refugees from Ukraine have played a significant role in this growth over the past two years. With respect to the Temporary protected status, which was granted to these persons, their employment in the CR is administratively easier (compared to other groups of migrants from the so-called third countries) and thus they can seek employment more easily “directly” (without intermediary). In addition to the above stated, the reduced demand of employment placement agencies </w:t>
      </w:r>
      <w:r>
        <w:rPr>
          <w:spacing w:val="-2"/>
          <w:sz w:val="16"/>
          <w:szCs w:val="16"/>
          <w:lang w:val="en-GB"/>
        </w:rPr>
        <w:t>due to</w:t>
      </w:r>
      <w:r w:rsidRPr="005F7B4A">
        <w:rPr>
          <w:spacing w:val="-2"/>
          <w:sz w:val="16"/>
          <w:szCs w:val="16"/>
          <w:lang w:val="en-GB"/>
        </w:rPr>
        <w:t xml:space="preserve"> manufacturing branches undergoing recession (industry and construction) can also </w:t>
      </w:r>
      <w:r>
        <w:rPr>
          <w:spacing w:val="-2"/>
          <w:sz w:val="16"/>
          <w:szCs w:val="16"/>
          <w:lang w:val="en-GB"/>
        </w:rPr>
        <w:t>play a role.</w:t>
      </w:r>
    </w:p>
  </w:footnote>
  <w:footnote w:id="42">
    <w:p w14:paraId="370142A5" w14:textId="57E8CBCD" w:rsidR="00165465" w:rsidRPr="00374AA4" w:rsidRDefault="00165465" w:rsidP="006233F9">
      <w:pPr>
        <w:pStyle w:val="Textpoznpodarou"/>
        <w:jc w:val="both"/>
        <w:rPr>
          <w:spacing w:val="-2"/>
          <w:sz w:val="16"/>
          <w:szCs w:val="16"/>
          <w:lang w:val="en-GB"/>
        </w:rPr>
      </w:pPr>
      <w:r w:rsidRPr="00D1561C">
        <w:rPr>
          <w:rStyle w:val="Znakapoznpodarou"/>
          <w:spacing w:val="-2"/>
          <w:sz w:val="16"/>
          <w:szCs w:val="16"/>
        </w:rPr>
        <w:footnoteRef/>
      </w:r>
      <w:r w:rsidRPr="00D1561C">
        <w:rPr>
          <w:spacing w:val="-2"/>
          <w:sz w:val="16"/>
          <w:szCs w:val="16"/>
        </w:rPr>
        <w:t xml:space="preserve"> </w:t>
      </w:r>
      <w:bookmarkStart w:id="51" w:name="_Hlk178531431"/>
      <w:proofErr w:type="spellStart"/>
      <w:r w:rsidRPr="006B023D">
        <w:rPr>
          <w:spacing w:val="-2"/>
          <w:sz w:val="16"/>
          <w:szCs w:val="16"/>
        </w:rPr>
        <w:t>The</w:t>
      </w:r>
      <w:proofErr w:type="spellEnd"/>
      <w:r w:rsidRPr="006B023D">
        <w:rPr>
          <w:spacing w:val="-2"/>
          <w:sz w:val="16"/>
          <w:szCs w:val="16"/>
        </w:rPr>
        <w:t xml:space="preserve"> </w:t>
      </w:r>
      <w:r>
        <w:rPr>
          <w:spacing w:val="-2"/>
          <w:sz w:val="16"/>
          <w:szCs w:val="16"/>
        </w:rPr>
        <w:t xml:space="preserve">segment </w:t>
      </w:r>
      <w:proofErr w:type="spellStart"/>
      <w:r>
        <w:rPr>
          <w:spacing w:val="-2"/>
          <w:sz w:val="16"/>
          <w:szCs w:val="16"/>
        </w:rPr>
        <w:t>of</w:t>
      </w:r>
      <w:proofErr w:type="spellEnd"/>
      <w:r>
        <w:rPr>
          <w:spacing w:val="-2"/>
          <w:sz w:val="16"/>
          <w:szCs w:val="16"/>
        </w:rPr>
        <w:t xml:space="preserve"> </w:t>
      </w:r>
      <w:proofErr w:type="spellStart"/>
      <w:r>
        <w:rPr>
          <w:spacing w:val="-2"/>
          <w:sz w:val="16"/>
          <w:szCs w:val="16"/>
        </w:rPr>
        <w:t>motion</w:t>
      </w:r>
      <w:proofErr w:type="spellEnd"/>
      <w:r>
        <w:rPr>
          <w:spacing w:val="-2"/>
          <w:sz w:val="16"/>
          <w:szCs w:val="16"/>
        </w:rPr>
        <w:t xml:space="preserve"> </w:t>
      </w:r>
      <w:proofErr w:type="spellStart"/>
      <w:r>
        <w:rPr>
          <w:spacing w:val="-2"/>
          <w:sz w:val="16"/>
          <w:szCs w:val="16"/>
        </w:rPr>
        <w:t>picture</w:t>
      </w:r>
      <w:proofErr w:type="spellEnd"/>
      <w:r>
        <w:rPr>
          <w:spacing w:val="-2"/>
          <w:sz w:val="16"/>
          <w:szCs w:val="16"/>
        </w:rPr>
        <w:t xml:space="preserve"> </w:t>
      </w:r>
      <w:proofErr w:type="spellStart"/>
      <w:r w:rsidRPr="006B023D">
        <w:rPr>
          <w:spacing w:val="-2"/>
          <w:sz w:val="16"/>
          <w:szCs w:val="16"/>
        </w:rPr>
        <w:t>distribution</w:t>
      </w:r>
      <w:proofErr w:type="spellEnd"/>
      <w:r w:rsidRPr="006B023D">
        <w:rPr>
          <w:spacing w:val="-2"/>
          <w:sz w:val="16"/>
          <w:szCs w:val="16"/>
        </w:rPr>
        <w:t xml:space="preserve"> </w:t>
      </w:r>
      <w:proofErr w:type="spellStart"/>
      <w:r w:rsidRPr="006B023D">
        <w:rPr>
          <w:spacing w:val="-2"/>
          <w:sz w:val="16"/>
          <w:szCs w:val="16"/>
        </w:rPr>
        <w:t>performed</w:t>
      </w:r>
      <w:proofErr w:type="spellEnd"/>
      <w:r w:rsidRPr="006B023D">
        <w:rPr>
          <w:spacing w:val="-2"/>
          <w:sz w:val="16"/>
          <w:szCs w:val="16"/>
        </w:rPr>
        <w:t xml:space="preserve"> </w:t>
      </w:r>
      <w:proofErr w:type="spellStart"/>
      <w:r w:rsidRPr="006B023D">
        <w:rPr>
          <w:spacing w:val="-2"/>
          <w:sz w:val="16"/>
          <w:szCs w:val="16"/>
        </w:rPr>
        <w:t>better</w:t>
      </w:r>
      <w:proofErr w:type="spellEnd"/>
      <w:r w:rsidRPr="006B023D">
        <w:rPr>
          <w:spacing w:val="-2"/>
          <w:sz w:val="16"/>
          <w:szCs w:val="16"/>
        </w:rPr>
        <w:t xml:space="preserve">. </w:t>
      </w:r>
      <w:proofErr w:type="spellStart"/>
      <w:r w:rsidRPr="006B023D">
        <w:rPr>
          <w:spacing w:val="-2"/>
          <w:sz w:val="16"/>
          <w:szCs w:val="16"/>
        </w:rPr>
        <w:t>According</w:t>
      </w:r>
      <w:proofErr w:type="spellEnd"/>
      <w:r w:rsidRPr="006B023D">
        <w:rPr>
          <w:spacing w:val="-2"/>
          <w:sz w:val="16"/>
          <w:szCs w:val="16"/>
        </w:rPr>
        <w:t xml:space="preserve"> to data </w:t>
      </w:r>
      <w:proofErr w:type="spellStart"/>
      <w:r w:rsidRPr="006B023D">
        <w:rPr>
          <w:spacing w:val="-2"/>
          <w:sz w:val="16"/>
          <w:szCs w:val="16"/>
        </w:rPr>
        <w:t>from</w:t>
      </w:r>
      <w:proofErr w:type="spellEnd"/>
      <w:r w:rsidRPr="006B023D">
        <w:rPr>
          <w:spacing w:val="-2"/>
          <w:sz w:val="16"/>
          <w:szCs w:val="16"/>
        </w:rPr>
        <w:t xml:space="preserve"> </w:t>
      </w:r>
      <w:proofErr w:type="spellStart"/>
      <w:r w:rsidRPr="00F7194B">
        <w:rPr>
          <w:spacing w:val="-2"/>
          <w:sz w:val="16"/>
          <w:szCs w:val="16"/>
        </w:rPr>
        <w:t>the</w:t>
      </w:r>
      <w:proofErr w:type="spellEnd"/>
      <w:r w:rsidRPr="00F7194B">
        <w:rPr>
          <w:spacing w:val="-2"/>
          <w:sz w:val="16"/>
          <w:szCs w:val="16"/>
        </w:rPr>
        <w:t xml:space="preserve"> Union </w:t>
      </w:r>
      <w:proofErr w:type="spellStart"/>
      <w:r w:rsidRPr="00F7194B">
        <w:rPr>
          <w:spacing w:val="-2"/>
          <w:sz w:val="16"/>
          <w:szCs w:val="16"/>
        </w:rPr>
        <w:t>of</w:t>
      </w:r>
      <w:proofErr w:type="spellEnd"/>
      <w:r w:rsidRPr="00F7194B">
        <w:rPr>
          <w:spacing w:val="-2"/>
          <w:sz w:val="16"/>
          <w:szCs w:val="16"/>
        </w:rPr>
        <w:t xml:space="preserve"> </w:t>
      </w:r>
      <w:proofErr w:type="spellStart"/>
      <w:r w:rsidR="00914DDD">
        <w:rPr>
          <w:spacing w:val="-2"/>
          <w:sz w:val="16"/>
          <w:szCs w:val="16"/>
        </w:rPr>
        <w:t>M</w:t>
      </w:r>
      <w:r w:rsidRPr="00F7194B">
        <w:rPr>
          <w:spacing w:val="-2"/>
          <w:sz w:val="16"/>
          <w:szCs w:val="16"/>
        </w:rPr>
        <w:t>otion</w:t>
      </w:r>
      <w:proofErr w:type="spellEnd"/>
      <w:r w:rsidRPr="00F7194B">
        <w:rPr>
          <w:spacing w:val="-2"/>
          <w:sz w:val="16"/>
          <w:szCs w:val="16"/>
        </w:rPr>
        <w:t xml:space="preserve"> </w:t>
      </w:r>
      <w:r w:rsidR="00914DDD">
        <w:rPr>
          <w:spacing w:val="-2"/>
          <w:sz w:val="16"/>
          <w:szCs w:val="16"/>
        </w:rPr>
        <w:t>P</w:t>
      </w:r>
      <w:r w:rsidRPr="00F7194B">
        <w:rPr>
          <w:spacing w:val="-2"/>
          <w:sz w:val="16"/>
          <w:szCs w:val="16"/>
        </w:rPr>
        <w:t xml:space="preserve">icture </w:t>
      </w:r>
      <w:proofErr w:type="spellStart"/>
      <w:r w:rsidR="00914DDD">
        <w:rPr>
          <w:spacing w:val="-2"/>
          <w:sz w:val="16"/>
          <w:szCs w:val="16"/>
        </w:rPr>
        <w:t>D</w:t>
      </w:r>
      <w:r w:rsidRPr="00F7194B">
        <w:rPr>
          <w:spacing w:val="-2"/>
          <w:sz w:val="16"/>
          <w:szCs w:val="16"/>
        </w:rPr>
        <w:t>istributors</w:t>
      </w:r>
      <w:proofErr w:type="spellEnd"/>
      <w:r w:rsidRPr="00F7194B">
        <w:rPr>
          <w:spacing w:val="-2"/>
          <w:sz w:val="16"/>
          <w:szCs w:val="16"/>
        </w:rPr>
        <w:t xml:space="preserve"> </w:t>
      </w:r>
      <w:r>
        <w:rPr>
          <w:sz w:val="16"/>
          <w:szCs w:val="16"/>
          <w:lang w:val="en-GB"/>
        </w:rPr>
        <w:t>the gross nominal sales of the domestic cinema operators</w:t>
      </w:r>
      <w:r w:rsidRPr="006B023D">
        <w:rPr>
          <w:spacing w:val="-2"/>
          <w:sz w:val="16"/>
          <w:szCs w:val="16"/>
        </w:rPr>
        <w:t xml:space="preserve"> </w:t>
      </w:r>
      <w:proofErr w:type="spellStart"/>
      <w:r w:rsidRPr="006B023D">
        <w:rPr>
          <w:spacing w:val="-2"/>
          <w:sz w:val="16"/>
          <w:szCs w:val="16"/>
        </w:rPr>
        <w:t>fell</w:t>
      </w:r>
      <w:proofErr w:type="spellEnd"/>
      <w:r w:rsidRPr="006B023D">
        <w:rPr>
          <w:spacing w:val="-2"/>
          <w:sz w:val="16"/>
          <w:szCs w:val="16"/>
        </w:rPr>
        <w:t xml:space="preserve"> by 4.3%</w:t>
      </w:r>
      <w:r>
        <w:rPr>
          <w:spacing w:val="-2"/>
          <w:sz w:val="16"/>
          <w:szCs w:val="16"/>
        </w:rPr>
        <w:t>,</w:t>
      </w:r>
      <w:r w:rsidRPr="006B023D">
        <w:rPr>
          <w:spacing w:val="-2"/>
          <w:sz w:val="16"/>
          <w:szCs w:val="16"/>
        </w:rPr>
        <w:t xml:space="preserve"> </w:t>
      </w:r>
      <w:proofErr w:type="spellStart"/>
      <w:r w:rsidRPr="006B023D">
        <w:rPr>
          <w:spacing w:val="-2"/>
          <w:sz w:val="16"/>
          <w:szCs w:val="16"/>
        </w:rPr>
        <w:t>year</w:t>
      </w:r>
      <w:proofErr w:type="spellEnd"/>
      <w:r w:rsidRPr="006B023D">
        <w:rPr>
          <w:spacing w:val="-2"/>
          <w:sz w:val="16"/>
          <w:szCs w:val="16"/>
        </w:rPr>
        <w:t>-on-</w:t>
      </w:r>
      <w:proofErr w:type="spellStart"/>
      <w:r w:rsidRPr="006B023D">
        <w:rPr>
          <w:spacing w:val="-2"/>
          <w:sz w:val="16"/>
          <w:szCs w:val="16"/>
        </w:rPr>
        <w:t>year</w:t>
      </w:r>
      <w:proofErr w:type="spellEnd"/>
      <w:r>
        <w:rPr>
          <w:spacing w:val="-2"/>
          <w:sz w:val="16"/>
          <w:szCs w:val="16"/>
        </w:rPr>
        <w:t>,</w:t>
      </w:r>
      <w:r w:rsidRPr="006B023D">
        <w:rPr>
          <w:spacing w:val="-2"/>
          <w:sz w:val="16"/>
          <w:szCs w:val="16"/>
        </w:rPr>
        <w:t xml:space="preserve"> </w:t>
      </w:r>
      <w:proofErr w:type="spellStart"/>
      <w:r w:rsidRPr="006B023D">
        <w:rPr>
          <w:spacing w:val="-2"/>
          <w:sz w:val="16"/>
          <w:szCs w:val="16"/>
        </w:rPr>
        <w:t>from</w:t>
      </w:r>
      <w:proofErr w:type="spellEnd"/>
      <w:r w:rsidRPr="006B023D">
        <w:rPr>
          <w:spacing w:val="-2"/>
          <w:sz w:val="16"/>
          <w:szCs w:val="16"/>
        </w:rPr>
        <w:t xml:space="preserve"> </w:t>
      </w:r>
      <w:proofErr w:type="spellStart"/>
      <w:r w:rsidRPr="006B023D">
        <w:rPr>
          <w:spacing w:val="-2"/>
          <w:sz w:val="16"/>
          <w:szCs w:val="16"/>
        </w:rPr>
        <w:t>January</w:t>
      </w:r>
      <w:proofErr w:type="spellEnd"/>
      <w:r w:rsidRPr="006B023D">
        <w:rPr>
          <w:spacing w:val="-2"/>
          <w:sz w:val="16"/>
          <w:szCs w:val="16"/>
        </w:rPr>
        <w:t xml:space="preserve"> to July </w:t>
      </w:r>
      <w:proofErr w:type="spellStart"/>
      <w:r w:rsidRPr="006B023D">
        <w:rPr>
          <w:spacing w:val="-2"/>
          <w:sz w:val="16"/>
          <w:szCs w:val="16"/>
        </w:rPr>
        <w:t>this</w:t>
      </w:r>
      <w:proofErr w:type="spellEnd"/>
      <w:r w:rsidRPr="006B023D">
        <w:rPr>
          <w:spacing w:val="-2"/>
          <w:sz w:val="16"/>
          <w:szCs w:val="16"/>
        </w:rPr>
        <w:t xml:space="preserve"> </w:t>
      </w:r>
      <w:proofErr w:type="spellStart"/>
      <w:r w:rsidRPr="006B023D">
        <w:rPr>
          <w:spacing w:val="-2"/>
          <w:sz w:val="16"/>
          <w:szCs w:val="16"/>
        </w:rPr>
        <w:t>year</w:t>
      </w:r>
      <w:proofErr w:type="spellEnd"/>
      <w:r w:rsidRPr="006B023D">
        <w:rPr>
          <w:spacing w:val="-2"/>
          <w:sz w:val="16"/>
          <w:szCs w:val="16"/>
        </w:rPr>
        <w:t xml:space="preserve">. </w:t>
      </w:r>
      <w:proofErr w:type="spellStart"/>
      <w:r w:rsidRPr="006B023D">
        <w:rPr>
          <w:spacing w:val="-2"/>
          <w:sz w:val="16"/>
          <w:szCs w:val="16"/>
        </w:rPr>
        <w:t>The</w:t>
      </w:r>
      <w:proofErr w:type="spellEnd"/>
      <w:r w:rsidRPr="006B023D">
        <w:rPr>
          <w:spacing w:val="-2"/>
          <w:sz w:val="16"/>
          <w:szCs w:val="16"/>
        </w:rPr>
        <w:t xml:space="preserve"> </w:t>
      </w:r>
      <w:proofErr w:type="spellStart"/>
      <w:r w:rsidRPr="006B023D">
        <w:rPr>
          <w:spacing w:val="-2"/>
          <w:sz w:val="16"/>
          <w:szCs w:val="16"/>
        </w:rPr>
        <w:t>total</w:t>
      </w:r>
      <w:proofErr w:type="spellEnd"/>
      <w:r w:rsidRPr="006B023D">
        <w:rPr>
          <w:spacing w:val="-2"/>
          <w:sz w:val="16"/>
          <w:szCs w:val="16"/>
        </w:rPr>
        <w:t xml:space="preserve"> </w:t>
      </w:r>
      <w:proofErr w:type="spellStart"/>
      <w:r w:rsidRPr="006B023D">
        <w:rPr>
          <w:spacing w:val="-2"/>
          <w:sz w:val="16"/>
          <w:szCs w:val="16"/>
        </w:rPr>
        <w:t>attendance</w:t>
      </w:r>
      <w:proofErr w:type="spellEnd"/>
      <w:r w:rsidRPr="006B023D">
        <w:rPr>
          <w:spacing w:val="-2"/>
          <w:sz w:val="16"/>
          <w:szCs w:val="16"/>
        </w:rPr>
        <w:t xml:space="preserve"> </w:t>
      </w:r>
      <w:proofErr w:type="spellStart"/>
      <w:r w:rsidRPr="006B023D">
        <w:rPr>
          <w:spacing w:val="-2"/>
          <w:sz w:val="16"/>
          <w:szCs w:val="16"/>
        </w:rPr>
        <w:t>decreased</w:t>
      </w:r>
      <w:proofErr w:type="spellEnd"/>
      <w:r w:rsidRPr="006B023D">
        <w:rPr>
          <w:spacing w:val="-2"/>
          <w:sz w:val="16"/>
          <w:szCs w:val="16"/>
        </w:rPr>
        <w:t xml:space="preserve"> by 7.5% </w:t>
      </w:r>
      <w:proofErr w:type="spellStart"/>
      <w:r w:rsidRPr="006B023D">
        <w:rPr>
          <w:spacing w:val="-2"/>
          <w:sz w:val="16"/>
          <w:szCs w:val="16"/>
        </w:rPr>
        <w:t>analogously</w:t>
      </w:r>
      <w:proofErr w:type="spellEnd"/>
      <w:r w:rsidRPr="006B023D">
        <w:rPr>
          <w:spacing w:val="-2"/>
          <w:sz w:val="16"/>
          <w:szCs w:val="16"/>
        </w:rPr>
        <w:t xml:space="preserve">, </w:t>
      </w:r>
      <w:r>
        <w:rPr>
          <w:spacing w:val="-2"/>
          <w:sz w:val="16"/>
          <w:szCs w:val="16"/>
        </w:rPr>
        <w:t xml:space="preserve">on </w:t>
      </w:r>
      <w:proofErr w:type="spellStart"/>
      <w:r>
        <w:rPr>
          <w:spacing w:val="-2"/>
          <w:sz w:val="16"/>
          <w:szCs w:val="16"/>
        </w:rPr>
        <w:t>the</w:t>
      </w:r>
      <w:proofErr w:type="spellEnd"/>
      <w:r>
        <w:rPr>
          <w:spacing w:val="-2"/>
          <w:sz w:val="16"/>
          <w:szCs w:val="16"/>
        </w:rPr>
        <w:t xml:space="preserve"> </w:t>
      </w:r>
      <w:proofErr w:type="spellStart"/>
      <w:r>
        <w:rPr>
          <w:spacing w:val="-2"/>
          <w:sz w:val="16"/>
          <w:szCs w:val="16"/>
        </w:rPr>
        <w:t>contrary</w:t>
      </w:r>
      <w:proofErr w:type="spellEnd"/>
      <w:r>
        <w:rPr>
          <w:spacing w:val="-2"/>
          <w:sz w:val="16"/>
          <w:szCs w:val="16"/>
        </w:rPr>
        <w:t xml:space="preserve"> </w:t>
      </w:r>
      <w:proofErr w:type="spellStart"/>
      <w:r>
        <w:rPr>
          <w:spacing w:val="-2"/>
          <w:sz w:val="16"/>
          <w:szCs w:val="16"/>
        </w:rPr>
        <w:t>the</w:t>
      </w:r>
      <w:proofErr w:type="spellEnd"/>
      <w:r>
        <w:rPr>
          <w:spacing w:val="-2"/>
          <w:sz w:val="16"/>
          <w:szCs w:val="16"/>
        </w:rPr>
        <w:t xml:space="preserve"> </w:t>
      </w:r>
      <w:proofErr w:type="spellStart"/>
      <w:r w:rsidRPr="006B023D">
        <w:rPr>
          <w:spacing w:val="-2"/>
          <w:sz w:val="16"/>
          <w:szCs w:val="16"/>
        </w:rPr>
        <w:t>number</w:t>
      </w:r>
      <w:proofErr w:type="spellEnd"/>
      <w:r w:rsidRPr="006B023D">
        <w:rPr>
          <w:spacing w:val="-2"/>
          <w:sz w:val="16"/>
          <w:szCs w:val="16"/>
        </w:rPr>
        <w:t xml:space="preserve"> </w:t>
      </w:r>
      <w:proofErr w:type="spellStart"/>
      <w:r w:rsidRPr="006B023D">
        <w:rPr>
          <w:spacing w:val="-2"/>
          <w:sz w:val="16"/>
          <w:szCs w:val="16"/>
        </w:rPr>
        <w:t>of</w:t>
      </w:r>
      <w:proofErr w:type="spellEnd"/>
      <w:r w:rsidRPr="006B023D">
        <w:rPr>
          <w:spacing w:val="-2"/>
          <w:sz w:val="16"/>
          <w:szCs w:val="16"/>
        </w:rPr>
        <w:t xml:space="preserve"> </w:t>
      </w:r>
      <w:proofErr w:type="spellStart"/>
      <w:r>
        <w:rPr>
          <w:spacing w:val="-2"/>
          <w:sz w:val="16"/>
          <w:szCs w:val="16"/>
        </w:rPr>
        <w:t>shows</w:t>
      </w:r>
      <w:proofErr w:type="spellEnd"/>
      <w:r>
        <w:rPr>
          <w:spacing w:val="-2"/>
          <w:sz w:val="16"/>
          <w:szCs w:val="16"/>
        </w:rPr>
        <w:t xml:space="preserve"> </w:t>
      </w:r>
      <w:proofErr w:type="spellStart"/>
      <w:r>
        <w:rPr>
          <w:spacing w:val="-2"/>
          <w:sz w:val="16"/>
          <w:szCs w:val="16"/>
        </w:rPr>
        <w:t>went</w:t>
      </w:r>
      <w:proofErr w:type="spellEnd"/>
      <w:r>
        <w:rPr>
          <w:spacing w:val="-2"/>
          <w:sz w:val="16"/>
          <w:szCs w:val="16"/>
        </w:rPr>
        <w:t xml:space="preserve"> up by </w:t>
      </w:r>
      <w:r w:rsidRPr="006B023D">
        <w:rPr>
          <w:spacing w:val="-2"/>
          <w:sz w:val="16"/>
          <w:szCs w:val="16"/>
        </w:rPr>
        <w:t xml:space="preserve">3.3%. </w:t>
      </w:r>
      <w:r w:rsidRPr="00374AA4">
        <w:rPr>
          <w:spacing w:val="-2"/>
          <w:sz w:val="16"/>
          <w:szCs w:val="16"/>
          <w:lang w:val="en-GB"/>
        </w:rPr>
        <w:t xml:space="preserve">The very weak demand in the </w:t>
      </w:r>
      <w:proofErr w:type="gramStart"/>
      <w:r>
        <w:rPr>
          <w:spacing w:val="-2"/>
          <w:sz w:val="16"/>
          <w:szCs w:val="16"/>
          <w:lang w:val="en-GB"/>
        </w:rPr>
        <w:t>S</w:t>
      </w:r>
      <w:r w:rsidRPr="00374AA4">
        <w:rPr>
          <w:spacing w:val="-2"/>
          <w:sz w:val="16"/>
          <w:szCs w:val="16"/>
          <w:lang w:val="en-GB"/>
        </w:rPr>
        <w:t>pring</w:t>
      </w:r>
      <w:proofErr w:type="gramEnd"/>
      <w:r>
        <w:rPr>
          <w:spacing w:val="-2"/>
          <w:sz w:val="16"/>
          <w:szCs w:val="16"/>
          <w:lang w:val="en-GB"/>
        </w:rPr>
        <w:t xml:space="preserve"> period </w:t>
      </w:r>
      <w:r w:rsidRPr="00374AA4">
        <w:rPr>
          <w:spacing w:val="-2"/>
          <w:sz w:val="16"/>
          <w:szCs w:val="16"/>
          <w:lang w:val="en-GB"/>
        </w:rPr>
        <w:t>was partially</w:t>
      </w:r>
      <w:r>
        <w:rPr>
          <w:spacing w:val="-2"/>
          <w:sz w:val="16"/>
          <w:szCs w:val="16"/>
          <w:lang w:val="en-GB"/>
        </w:rPr>
        <w:t xml:space="preserve"> offset by </w:t>
      </w:r>
      <w:r w:rsidRPr="00374AA4">
        <w:rPr>
          <w:spacing w:val="-2"/>
          <w:sz w:val="16"/>
          <w:szCs w:val="16"/>
          <w:lang w:val="en-GB"/>
        </w:rPr>
        <w:t>the July</w:t>
      </w:r>
      <w:r>
        <w:rPr>
          <w:spacing w:val="-2"/>
          <w:sz w:val="16"/>
          <w:szCs w:val="16"/>
          <w:lang w:val="en-GB"/>
        </w:rPr>
        <w:t xml:space="preserve"> attendance </w:t>
      </w:r>
      <w:r w:rsidRPr="00374AA4">
        <w:rPr>
          <w:spacing w:val="-2"/>
          <w:sz w:val="16"/>
          <w:szCs w:val="16"/>
          <w:lang w:val="en-GB"/>
        </w:rPr>
        <w:t>(1.64 million, a record</w:t>
      </w:r>
      <w:r>
        <w:rPr>
          <w:spacing w:val="-2"/>
          <w:sz w:val="16"/>
          <w:szCs w:val="16"/>
          <w:lang w:val="en-GB"/>
        </w:rPr>
        <w:t xml:space="preserve"> figure</w:t>
      </w:r>
      <w:r w:rsidRPr="00374AA4">
        <w:rPr>
          <w:spacing w:val="-2"/>
          <w:sz w:val="16"/>
          <w:szCs w:val="16"/>
          <w:lang w:val="en-GB"/>
        </w:rPr>
        <w:t xml:space="preserve"> in the comparable period after </w:t>
      </w:r>
      <w:r>
        <w:rPr>
          <w:spacing w:val="-2"/>
          <w:sz w:val="16"/>
          <w:szCs w:val="16"/>
          <w:lang w:val="en-GB"/>
        </w:rPr>
        <w:t xml:space="preserve">year </w:t>
      </w:r>
      <w:r w:rsidRPr="00374AA4">
        <w:rPr>
          <w:spacing w:val="-2"/>
          <w:sz w:val="16"/>
          <w:szCs w:val="16"/>
          <w:lang w:val="en-GB"/>
        </w:rPr>
        <w:t xml:space="preserve">2000). </w:t>
      </w:r>
      <w:r>
        <w:rPr>
          <w:spacing w:val="-2"/>
          <w:sz w:val="16"/>
          <w:szCs w:val="16"/>
          <w:lang w:val="en-GB"/>
        </w:rPr>
        <w:t xml:space="preserve">Nevertheless, nearly one </w:t>
      </w:r>
      <w:r w:rsidRPr="00374AA4">
        <w:rPr>
          <w:spacing w:val="-2"/>
          <w:sz w:val="16"/>
          <w:szCs w:val="16"/>
          <w:lang w:val="en-GB"/>
        </w:rPr>
        <w:t xml:space="preserve">third of </w:t>
      </w:r>
      <w:r>
        <w:rPr>
          <w:spacing w:val="-2"/>
          <w:sz w:val="16"/>
          <w:szCs w:val="16"/>
          <w:lang w:val="en-GB"/>
        </w:rPr>
        <w:t xml:space="preserve">audience </w:t>
      </w:r>
      <w:r w:rsidRPr="00374AA4">
        <w:rPr>
          <w:spacing w:val="-2"/>
          <w:sz w:val="16"/>
          <w:szCs w:val="16"/>
          <w:lang w:val="en-GB"/>
        </w:rPr>
        <w:t>and</w:t>
      </w:r>
      <w:r>
        <w:rPr>
          <w:spacing w:val="-2"/>
          <w:sz w:val="16"/>
          <w:szCs w:val="16"/>
          <w:lang w:val="en-GB"/>
        </w:rPr>
        <w:t xml:space="preserve"> nearly one </w:t>
      </w:r>
      <w:r w:rsidRPr="00374AA4">
        <w:rPr>
          <w:spacing w:val="-2"/>
          <w:sz w:val="16"/>
          <w:szCs w:val="16"/>
          <w:lang w:val="en-GB"/>
        </w:rPr>
        <w:t xml:space="preserve">sixth of </w:t>
      </w:r>
      <w:r>
        <w:rPr>
          <w:spacing w:val="-2"/>
          <w:sz w:val="16"/>
          <w:szCs w:val="16"/>
          <w:lang w:val="en-GB"/>
        </w:rPr>
        <w:t xml:space="preserve">sales </w:t>
      </w:r>
      <w:r w:rsidRPr="00374AA4">
        <w:rPr>
          <w:spacing w:val="-2"/>
          <w:sz w:val="16"/>
          <w:szCs w:val="16"/>
          <w:lang w:val="en-GB"/>
        </w:rPr>
        <w:t>were still missing</w:t>
      </w:r>
      <w:r>
        <w:rPr>
          <w:spacing w:val="-2"/>
          <w:sz w:val="16"/>
          <w:szCs w:val="16"/>
          <w:lang w:val="en-GB"/>
        </w:rPr>
        <w:t xml:space="preserve"> this year in comparison to </w:t>
      </w:r>
      <w:r w:rsidRPr="00374AA4">
        <w:rPr>
          <w:spacing w:val="-2"/>
          <w:sz w:val="16"/>
          <w:szCs w:val="16"/>
          <w:lang w:val="en-GB"/>
        </w:rPr>
        <w:t>the first seven months of the record-breaking year 2019</w:t>
      </w:r>
      <w:r>
        <w:rPr>
          <w:spacing w:val="-2"/>
          <w:sz w:val="16"/>
          <w:szCs w:val="16"/>
          <w:lang w:val="en-GB"/>
        </w:rPr>
        <w:t xml:space="preserve">. </w:t>
      </w:r>
    </w:p>
    <w:bookmarkEnd w:id="51"/>
  </w:footnote>
  <w:footnote w:id="43">
    <w:p w14:paraId="46667534" w14:textId="77777777" w:rsidR="00165465" w:rsidRPr="00374AA4" w:rsidRDefault="00165465" w:rsidP="006233F9">
      <w:pPr>
        <w:spacing w:after="0" w:line="240" w:lineRule="auto"/>
        <w:rPr>
          <w:lang w:val="en-GB"/>
        </w:rPr>
      </w:pPr>
      <w:r w:rsidRPr="00374AA4">
        <w:rPr>
          <w:rStyle w:val="Znakapoznpodarou"/>
          <w:sz w:val="16"/>
          <w:szCs w:val="16"/>
          <w:lang w:val="en-GB"/>
        </w:rPr>
        <w:footnoteRef/>
      </w:r>
      <w:r w:rsidRPr="00374AA4">
        <w:rPr>
          <w:sz w:val="16"/>
          <w:szCs w:val="16"/>
          <w:lang w:val="en-GB"/>
        </w:rPr>
        <w:t xml:space="preserve"> </w:t>
      </w:r>
      <w:bookmarkStart w:id="52" w:name="_Hlk178533403"/>
      <w:r w:rsidRPr="00F337C1">
        <w:rPr>
          <w:rFonts w:eastAsia="Calibri"/>
          <w:sz w:val="16"/>
          <w:szCs w:val="16"/>
          <w:lang w:val="en-GB"/>
        </w:rPr>
        <w:t xml:space="preserve">This year's development in the Czech Republic could also have been influenced by the indirect </w:t>
      </w:r>
      <w:r>
        <w:rPr>
          <w:rFonts w:eastAsia="Calibri"/>
          <w:sz w:val="16"/>
          <w:szCs w:val="16"/>
          <w:lang w:val="en-GB"/>
        </w:rPr>
        <w:t xml:space="preserve">impacts </w:t>
      </w:r>
      <w:r w:rsidRPr="00F337C1">
        <w:rPr>
          <w:rFonts w:eastAsia="Calibri"/>
          <w:sz w:val="16"/>
          <w:szCs w:val="16"/>
          <w:lang w:val="en-GB"/>
        </w:rPr>
        <w:t>of a longer strike in Hollywood at the end of last year</w:t>
      </w:r>
      <w:r>
        <w:rPr>
          <w:rFonts w:eastAsia="Calibri"/>
          <w:sz w:val="16"/>
          <w:szCs w:val="16"/>
          <w:lang w:val="en-GB"/>
        </w:rPr>
        <w:t>.</w:t>
      </w:r>
    </w:p>
    <w:bookmarkEnd w:id="52"/>
  </w:footnote>
  <w:footnote w:id="44">
    <w:p w14:paraId="63AB2DBF" w14:textId="77777777" w:rsidR="00165465" w:rsidRPr="00374AA4" w:rsidRDefault="00165465" w:rsidP="006233F9">
      <w:pPr>
        <w:pStyle w:val="Textpoznpodarou"/>
        <w:jc w:val="both"/>
        <w:rPr>
          <w:sz w:val="16"/>
          <w:szCs w:val="16"/>
          <w:lang w:val="en-GB"/>
        </w:rPr>
      </w:pPr>
      <w:r w:rsidRPr="00374AA4">
        <w:rPr>
          <w:rStyle w:val="Znakapoznpodarou"/>
          <w:sz w:val="16"/>
          <w:szCs w:val="16"/>
          <w:lang w:val="en-GB"/>
        </w:rPr>
        <w:footnoteRef/>
      </w:r>
      <w:r w:rsidRPr="00374AA4">
        <w:rPr>
          <w:sz w:val="16"/>
          <w:szCs w:val="16"/>
          <w:lang w:val="en-GB"/>
        </w:rPr>
        <w:t xml:space="preserve"> </w:t>
      </w:r>
      <w:bookmarkStart w:id="53" w:name="_Hlk178533500"/>
      <w:r w:rsidRPr="00D237F1">
        <w:rPr>
          <w:sz w:val="16"/>
          <w:szCs w:val="16"/>
          <w:lang w:val="en-GB"/>
        </w:rPr>
        <w:t>They include</w:t>
      </w:r>
      <w:r>
        <w:rPr>
          <w:sz w:val="16"/>
          <w:szCs w:val="16"/>
          <w:lang w:val="en-GB"/>
        </w:rPr>
        <w:t>, in particular,</w:t>
      </w:r>
      <w:r w:rsidRPr="00D237F1">
        <w:rPr>
          <w:sz w:val="16"/>
          <w:szCs w:val="16"/>
          <w:lang w:val="en-GB"/>
        </w:rPr>
        <w:t xml:space="preserve"> the activities of web portals, news agencies </w:t>
      </w:r>
      <w:r>
        <w:rPr>
          <w:sz w:val="16"/>
          <w:szCs w:val="16"/>
          <w:lang w:val="en-GB"/>
        </w:rPr>
        <w:t xml:space="preserve">or data processing and hosting. </w:t>
      </w:r>
      <w:bookmarkEnd w:id="53"/>
    </w:p>
  </w:footnote>
  <w:footnote w:id="45">
    <w:p w14:paraId="3906DAC5" w14:textId="2D8CE250" w:rsidR="00165465" w:rsidRPr="00152A63" w:rsidRDefault="00165465" w:rsidP="00E551F6">
      <w:pPr>
        <w:spacing w:after="0" w:line="240" w:lineRule="auto"/>
        <w:rPr>
          <w:spacing w:val="-2"/>
          <w:lang w:val="en-GB"/>
        </w:rPr>
      </w:pPr>
      <w:r w:rsidRPr="00374AA4">
        <w:rPr>
          <w:rStyle w:val="Znakapoznpodarou"/>
          <w:color w:val="0D0D0D" w:themeColor="text1" w:themeTint="F2"/>
          <w:spacing w:val="-2"/>
          <w:sz w:val="16"/>
          <w:szCs w:val="16"/>
          <w:lang w:val="en-GB"/>
        </w:rPr>
        <w:footnoteRef/>
      </w:r>
      <w:r w:rsidRPr="00374AA4">
        <w:rPr>
          <w:color w:val="0D0D0D" w:themeColor="text1" w:themeTint="F2"/>
          <w:spacing w:val="-2"/>
          <w:sz w:val="16"/>
          <w:szCs w:val="16"/>
          <w:lang w:val="en-GB"/>
        </w:rPr>
        <w:t xml:space="preserve"> </w:t>
      </w:r>
      <w:r w:rsidRPr="00EC67E9">
        <w:rPr>
          <w:color w:val="0D0D0D" w:themeColor="text1" w:themeTint="F2"/>
          <w:spacing w:val="-2"/>
          <w:sz w:val="16"/>
          <w:szCs w:val="16"/>
          <w:lang w:val="en-GB"/>
        </w:rPr>
        <w:t>All year-on-year rates of growth of retail sales are stated in constant prices and adjusted for calendar effects, quarter-on-quarter rates are adjusted for seasonal effects (including the number of working days). Ret</w:t>
      </w:r>
      <w:r w:rsidR="00C04E28">
        <w:rPr>
          <w:color w:val="0D0D0D" w:themeColor="text1" w:themeTint="F2"/>
          <w:spacing w:val="-2"/>
          <w:sz w:val="16"/>
          <w:szCs w:val="16"/>
          <w:lang w:val="en-GB"/>
        </w:rPr>
        <w:t>ail includes branch CZ NACE 47.</w:t>
      </w:r>
    </w:p>
  </w:footnote>
  <w:footnote w:id="46">
    <w:p w14:paraId="57037DFF" w14:textId="578982E4" w:rsidR="00165465" w:rsidRPr="00BE229C" w:rsidRDefault="00165465" w:rsidP="00E551F6">
      <w:pPr>
        <w:pStyle w:val="Textpoznpodarou"/>
        <w:jc w:val="both"/>
        <w:rPr>
          <w:sz w:val="16"/>
          <w:szCs w:val="16"/>
          <w:lang w:val="en-GB"/>
        </w:rPr>
      </w:pPr>
      <w:r w:rsidRPr="00822DEB">
        <w:rPr>
          <w:rStyle w:val="Znakapoznpodarou"/>
          <w:sz w:val="16"/>
          <w:szCs w:val="16"/>
        </w:rPr>
        <w:footnoteRef/>
      </w:r>
      <w:r w:rsidRPr="00822DEB">
        <w:rPr>
          <w:sz w:val="16"/>
          <w:szCs w:val="16"/>
        </w:rPr>
        <w:t xml:space="preserve"> </w:t>
      </w:r>
      <w:proofErr w:type="spellStart"/>
      <w:r>
        <w:rPr>
          <w:sz w:val="16"/>
          <w:szCs w:val="16"/>
        </w:rPr>
        <w:t>It</w:t>
      </w:r>
      <w:proofErr w:type="spellEnd"/>
      <w:r>
        <w:rPr>
          <w:sz w:val="16"/>
          <w:szCs w:val="16"/>
        </w:rPr>
        <w:t xml:space="preserve"> </w:t>
      </w:r>
      <w:proofErr w:type="spellStart"/>
      <w:r w:rsidRPr="00BE229C">
        <w:rPr>
          <w:sz w:val="16"/>
          <w:szCs w:val="16"/>
        </w:rPr>
        <w:t>primarily</w:t>
      </w:r>
      <w:proofErr w:type="spellEnd"/>
      <w:r w:rsidRPr="00BE229C">
        <w:rPr>
          <w:sz w:val="16"/>
          <w:szCs w:val="16"/>
        </w:rPr>
        <w:t xml:space="preserve"> </w:t>
      </w:r>
      <w:proofErr w:type="spellStart"/>
      <w:r w:rsidRPr="00BE229C">
        <w:rPr>
          <w:sz w:val="16"/>
          <w:szCs w:val="16"/>
        </w:rPr>
        <w:t>relate</w:t>
      </w:r>
      <w:r>
        <w:rPr>
          <w:sz w:val="16"/>
          <w:szCs w:val="16"/>
        </w:rPr>
        <w:t>s</w:t>
      </w:r>
      <w:proofErr w:type="spellEnd"/>
      <w:r w:rsidRPr="00BE229C">
        <w:rPr>
          <w:sz w:val="16"/>
          <w:szCs w:val="16"/>
        </w:rPr>
        <w:t xml:space="preserve"> to </w:t>
      </w:r>
      <w:proofErr w:type="spellStart"/>
      <w:r>
        <w:rPr>
          <w:sz w:val="16"/>
          <w:szCs w:val="16"/>
        </w:rPr>
        <w:t>decreased</w:t>
      </w:r>
      <w:proofErr w:type="spellEnd"/>
      <w:r>
        <w:rPr>
          <w:sz w:val="16"/>
          <w:szCs w:val="16"/>
        </w:rPr>
        <w:t xml:space="preserve"> </w:t>
      </w:r>
      <w:r w:rsidRPr="00BE229C">
        <w:rPr>
          <w:sz w:val="16"/>
          <w:szCs w:val="16"/>
        </w:rPr>
        <w:t xml:space="preserve">sales </w:t>
      </w:r>
      <w:proofErr w:type="spellStart"/>
      <w:r w:rsidRPr="00BE229C">
        <w:rPr>
          <w:sz w:val="16"/>
          <w:szCs w:val="16"/>
        </w:rPr>
        <w:t>for</w:t>
      </w:r>
      <w:proofErr w:type="spellEnd"/>
      <w:r w:rsidRPr="00BE229C">
        <w:rPr>
          <w:sz w:val="16"/>
          <w:szCs w:val="16"/>
        </w:rPr>
        <w:t xml:space="preserve"> </w:t>
      </w:r>
      <w:proofErr w:type="gramStart"/>
      <w:r w:rsidRPr="00BE229C">
        <w:rPr>
          <w:sz w:val="16"/>
          <w:szCs w:val="16"/>
        </w:rPr>
        <w:t>food (−9.3%</w:t>
      </w:r>
      <w:proofErr w:type="gramEnd"/>
      <w:r w:rsidRPr="00BE229C">
        <w:rPr>
          <w:sz w:val="16"/>
          <w:szCs w:val="16"/>
        </w:rPr>
        <w:t xml:space="preserve">), </w:t>
      </w:r>
      <w:proofErr w:type="spellStart"/>
      <w:r w:rsidRPr="00BE229C">
        <w:rPr>
          <w:sz w:val="16"/>
          <w:szCs w:val="16"/>
        </w:rPr>
        <w:t>while</w:t>
      </w:r>
      <w:proofErr w:type="spellEnd"/>
      <w:r w:rsidRPr="00BE229C">
        <w:rPr>
          <w:sz w:val="16"/>
          <w:szCs w:val="16"/>
        </w:rPr>
        <w:t xml:space="preserve"> </w:t>
      </w:r>
      <w:proofErr w:type="spellStart"/>
      <w:r w:rsidRPr="00BE229C">
        <w:rPr>
          <w:sz w:val="16"/>
          <w:szCs w:val="16"/>
        </w:rPr>
        <w:t>the</w:t>
      </w:r>
      <w:proofErr w:type="spellEnd"/>
      <w:r w:rsidRPr="00BE229C">
        <w:rPr>
          <w:sz w:val="16"/>
          <w:szCs w:val="16"/>
        </w:rPr>
        <w:t xml:space="preserve"> </w:t>
      </w:r>
      <w:proofErr w:type="spellStart"/>
      <w:r w:rsidRPr="00BE229C">
        <w:rPr>
          <w:sz w:val="16"/>
          <w:szCs w:val="16"/>
        </w:rPr>
        <w:t>current</w:t>
      </w:r>
      <w:proofErr w:type="spellEnd"/>
      <w:r w:rsidRPr="00BE229C">
        <w:rPr>
          <w:sz w:val="16"/>
          <w:szCs w:val="16"/>
        </w:rPr>
        <w:t xml:space="preserve"> </w:t>
      </w:r>
      <w:proofErr w:type="spellStart"/>
      <w:r w:rsidRPr="00BE229C">
        <w:rPr>
          <w:sz w:val="16"/>
          <w:szCs w:val="16"/>
        </w:rPr>
        <w:t>demand</w:t>
      </w:r>
      <w:proofErr w:type="spellEnd"/>
      <w:r w:rsidRPr="00BE229C">
        <w:rPr>
          <w:sz w:val="16"/>
          <w:szCs w:val="16"/>
        </w:rPr>
        <w:t xml:space="preserve"> </w:t>
      </w:r>
      <w:proofErr w:type="spellStart"/>
      <w:r w:rsidRPr="00BE229C">
        <w:rPr>
          <w:sz w:val="16"/>
          <w:szCs w:val="16"/>
        </w:rPr>
        <w:t>for</w:t>
      </w:r>
      <w:proofErr w:type="spellEnd"/>
      <w:r w:rsidRPr="00BE229C">
        <w:rPr>
          <w:sz w:val="16"/>
          <w:szCs w:val="16"/>
        </w:rPr>
        <w:t xml:space="preserve"> non-food </w:t>
      </w:r>
      <w:proofErr w:type="spellStart"/>
      <w:r w:rsidRPr="00BE229C">
        <w:rPr>
          <w:sz w:val="16"/>
          <w:szCs w:val="16"/>
        </w:rPr>
        <w:t>goods</w:t>
      </w:r>
      <w:proofErr w:type="spellEnd"/>
      <w:r w:rsidRPr="00BE229C">
        <w:rPr>
          <w:sz w:val="16"/>
          <w:szCs w:val="16"/>
        </w:rPr>
        <w:t xml:space="preserve"> </w:t>
      </w:r>
      <w:proofErr w:type="spellStart"/>
      <w:r w:rsidRPr="00BE229C">
        <w:rPr>
          <w:sz w:val="16"/>
          <w:szCs w:val="16"/>
        </w:rPr>
        <w:t>is</w:t>
      </w:r>
      <w:proofErr w:type="spellEnd"/>
      <w:r w:rsidRPr="00BE229C">
        <w:rPr>
          <w:sz w:val="16"/>
          <w:szCs w:val="16"/>
        </w:rPr>
        <w:t xml:space="preserve"> </w:t>
      </w:r>
      <w:proofErr w:type="spellStart"/>
      <w:r w:rsidRPr="00BE229C">
        <w:rPr>
          <w:sz w:val="16"/>
          <w:szCs w:val="16"/>
        </w:rPr>
        <w:t>slightly</w:t>
      </w:r>
      <w:proofErr w:type="spellEnd"/>
      <w:r w:rsidRPr="00BE229C">
        <w:rPr>
          <w:sz w:val="16"/>
          <w:szCs w:val="16"/>
        </w:rPr>
        <w:t xml:space="preserve"> </w:t>
      </w:r>
      <w:proofErr w:type="spellStart"/>
      <w:r w:rsidRPr="00BE229C">
        <w:rPr>
          <w:sz w:val="16"/>
          <w:szCs w:val="16"/>
        </w:rPr>
        <w:t>above</w:t>
      </w:r>
      <w:proofErr w:type="spellEnd"/>
      <w:r w:rsidRPr="00BE229C">
        <w:rPr>
          <w:sz w:val="16"/>
          <w:szCs w:val="16"/>
        </w:rPr>
        <w:t xml:space="preserve"> </w:t>
      </w:r>
      <w:proofErr w:type="spellStart"/>
      <w:r w:rsidRPr="00BE229C">
        <w:rPr>
          <w:sz w:val="16"/>
          <w:szCs w:val="16"/>
        </w:rPr>
        <w:t>the</w:t>
      </w:r>
      <w:proofErr w:type="spellEnd"/>
      <w:r w:rsidRPr="00BE229C">
        <w:rPr>
          <w:sz w:val="16"/>
          <w:szCs w:val="16"/>
        </w:rPr>
        <w:t xml:space="preserve"> </w:t>
      </w:r>
      <w:proofErr w:type="spellStart"/>
      <w:r w:rsidRPr="00BE229C">
        <w:rPr>
          <w:sz w:val="16"/>
          <w:szCs w:val="16"/>
        </w:rPr>
        <w:t>level</w:t>
      </w:r>
      <w:proofErr w:type="spellEnd"/>
      <w:r w:rsidRPr="00BE229C">
        <w:rPr>
          <w:sz w:val="16"/>
          <w:szCs w:val="16"/>
        </w:rPr>
        <w:t xml:space="preserve"> </w:t>
      </w:r>
      <w:proofErr w:type="spellStart"/>
      <w:r>
        <w:rPr>
          <w:sz w:val="16"/>
          <w:szCs w:val="16"/>
        </w:rPr>
        <w:t>from</w:t>
      </w:r>
      <w:proofErr w:type="spellEnd"/>
      <w:r>
        <w:rPr>
          <w:sz w:val="16"/>
          <w:szCs w:val="16"/>
        </w:rPr>
        <w:t xml:space="preserve"> </w:t>
      </w:r>
      <w:proofErr w:type="spellStart"/>
      <w:r w:rsidRPr="00BE229C">
        <w:rPr>
          <w:sz w:val="16"/>
          <w:szCs w:val="16"/>
        </w:rPr>
        <w:t>the</w:t>
      </w:r>
      <w:proofErr w:type="spellEnd"/>
      <w:r w:rsidRPr="00BE229C">
        <w:rPr>
          <w:sz w:val="16"/>
          <w:szCs w:val="16"/>
        </w:rPr>
        <w:t xml:space="preserve"> end </w:t>
      </w:r>
      <w:proofErr w:type="spellStart"/>
      <w:r w:rsidRPr="00BE229C">
        <w:rPr>
          <w:sz w:val="16"/>
          <w:szCs w:val="16"/>
        </w:rPr>
        <w:t>of</w:t>
      </w:r>
      <w:proofErr w:type="spellEnd"/>
      <w:r w:rsidRPr="00BE229C">
        <w:rPr>
          <w:sz w:val="16"/>
          <w:szCs w:val="16"/>
        </w:rPr>
        <w:t xml:space="preserve"> 2019 (+0.3%), </w:t>
      </w:r>
      <w:proofErr w:type="spellStart"/>
      <w:r w:rsidRPr="00BE229C">
        <w:rPr>
          <w:sz w:val="16"/>
          <w:szCs w:val="16"/>
        </w:rPr>
        <w:t>mainly</w:t>
      </w:r>
      <w:proofErr w:type="spellEnd"/>
      <w:r w:rsidRPr="00BE229C">
        <w:rPr>
          <w:sz w:val="16"/>
          <w:szCs w:val="16"/>
        </w:rPr>
        <w:t xml:space="preserve"> </w:t>
      </w:r>
      <w:proofErr w:type="spellStart"/>
      <w:r w:rsidRPr="00BE229C">
        <w:rPr>
          <w:sz w:val="16"/>
          <w:szCs w:val="16"/>
        </w:rPr>
        <w:t>due</w:t>
      </w:r>
      <w:proofErr w:type="spellEnd"/>
      <w:r w:rsidRPr="00BE229C">
        <w:rPr>
          <w:sz w:val="16"/>
          <w:szCs w:val="16"/>
        </w:rPr>
        <w:t xml:space="preserve"> to sales</w:t>
      </w:r>
      <w:r>
        <w:rPr>
          <w:sz w:val="16"/>
          <w:szCs w:val="16"/>
        </w:rPr>
        <w:t xml:space="preserve"> via internet</w:t>
      </w:r>
      <w:r w:rsidRPr="00BE229C">
        <w:rPr>
          <w:sz w:val="16"/>
          <w:szCs w:val="16"/>
        </w:rPr>
        <w:t xml:space="preserve"> (+38.8%).</w:t>
      </w:r>
      <w:r>
        <w:rPr>
          <w:sz w:val="16"/>
          <w:szCs w:val="16"/>
        </w:rPr>
        <w:t xml:space="preserve"> </w:t>
      </w:r>
      <w:proofErr w:type="spellStart"/>
      <w:r>
        <w:rPr>
          <w:sz w:val="16"/>
          <w:szCs w:val="16"/>
        </w:rPr>
        <w:t>T</w:t>
      </w:r>
      <w:r w:rsidRPr="00BE229C">
        <w:rPr>
          <w:sz w:val="16"/>
          <w:szCs w:val="16"/>
        </w:rPr>
        <w:t>he</w:t>
      </w:r>
      <w:proofErr w:type="spellEnd"/>
      <w:r w:rsidRPr="00BE229C">
        <w:rPr>
          <w:sz w:val="16"/>
          <w:szCs w:val="16"/>
        </w:rPr>
        <w:t xml:space="preserve"> </w:t>
      </w:r>
      <w:proofErr w:type="spellStart"/>
      <w:r w:rsidRPr="00BE229C">
        <w:rPr>
          <w:sz w:val="16"/>
          <w:szCs w:val="16"/>
        </w:rPr>
        <w:t>development</w:t>
      </w:r>
      <w:proofErr w:type="spellEnd"/>
      <w:r w:rsidRPr="00BE229C">
        <w:rPr>
          <w:sz w:val="16"/>
          <w:szCs w:val="16"/>
        </w:rPr>
        <w:t xml:space="preserve"> </w:t>
      </w:r>
      <w:proofErr w:type="spellStart"/>
      <w:r>
        <w:rPr>
          <w:sz w:val="16"/>
          <w:szCs w:val="16"/>
        </w:rPr>
        <w:t>rather</w:t>
      </w:r>
      <w:proofErr w:type="spellEnd"/>
      <w:r>
        <w:rPr>
          <w:sz w:val="16"/>
          <w:szCs w:val="16"/>
        </w:rPr>
        <w:t xml:space="preserve"> </w:t>
      </w:r>
      <w:proofErr w:type="spellStart"/>
      <w:r>
        <w:rPr>
          <w:sz w:val="16"/>
          <w:szCs w:val="16"/>
        </w:rPr>
        <w:t>varied</w:t>
      </w:r>
      <w:proofErr w:type="spellEnd"/>
      <w:r>
        <w:rPr>
          <w:sz w:val="16"/>
          <w:szCs w:val="16"/>
        </w:rPr>
        <w:t xml:space="preserve"> </w:t>
      </w:r>
      <w:proofErr w:type="spellStart"/>
      <w:r>
        <w:rPr>
          <w:sz w:val="16"/>
          <w:szCs w:val="16"/>
        </w:rPr>
        <w:t>a</w:t>
      </w:r>
      <w:r w:rsidRPr="00BE229C">
        <w:rPr>
          <w:sz w:val="16"/>
          <w:szCs w:val="16"/>
        </w:rPr>
        <w:t>t</w:t>
      </w:r>
      <w:proofErr w:type="spellEnd"/>
      <w:r w:rsidRPr="00BE229C">
        <w:rPr>
          <w:sz w:val="16"/>
          <w:szCs w:val="16"/>
        </w:rPr>
        <w:t xml:space="preserve"> </w:t>
      </w:r>
      <w:proofErr w:type="spellStart"/>
      <w:r w:rsidRPr="00BE229C">
        <w:rPr>
          <w:sz w:val="16"/>
          <w:szCs w:val="16"/>
        </w:rPr>
        <w:t>the</w:t>
      </w:r>
      <w:proofErr w:type="spellEnd"/>
      <w:r w:rsidRPr="00BE229C">
        <w:rPr>
          <w:sz w:val="16"/>
          <w:szCs w:val="16"/>
        </w:rPr>
        <w:t xml:space="preserve"> </w:t>
      </w:r>
      <w:proofErr w:type="spellStart"/>
      <w:r w:rsidRPr="00BE229C">
        <w:rPr>
          <w:sz w:val="16"/>
          <w:szCs w:val="16"/>
        </w:rPr>
        <w:t>level</w:t>
      </w:r>
      <w:proofErr w:type="spellEnd"/>
      <w:r w:rsidRPr="00BE229C">
        <w:rPr>
          <w:sz w:val="16"/>
          <w:szCs w:val="16"/>
        </w:rPr>
        <w:t xml:space="preserve"> </w:t>
      </w:r>
      <w:proofErr w:type="spellStart"/>
      <w:r w:rsidRPr="00BE229C">
        <w:rPr>
          <w:sz w:val="16"/>
          <w:szCs w:val="16"/>
        </w:rPr>
        <w:t>of</w:t>
      </w:r>
      <w:proofErr w:type="spellEnd"/>
      <w:r w:rsidRPr="00BE229C">
        <w:rPr>
          <w:sz w:val="16"/>
          <w:szCs w:val="16"/>
        </w:rPr>
        <w:t xml:space="preserve"> </w:t>
      </w:r>
      <w:proofErr w:type="spellStart"/>
      <w:r w:rsidRPr="00BE229C">
        <w:rPr>
          <w:sz w:val="16"/>
          <w:szCs w:val="16"/>
        </w:rPr>
        <w:t>different</w:t>
      </w:r>
      <w:proofErr w:type="spellEnd"/>
      <w:r w:rsidRPr="00BE229C">
        <w:rPr>
          <w:sz w:val="16"/>
          <w:szCs w:val="16"/>
        </w:rPr>
        <w:t xml:space="preserve"> </w:t>
      </w:r>
      <w:proofErr w:type="spellStart"/>
      <w:r w:rsidRPr="00BE229C">
        <w:rPr>
          <w:sz w:val="16"/>
          <w:szCs w:val="16"/>
        </w:rPr>
        <w:t>specialised</w:t>
      </w:r>
      <w:proofErr w:type="spellEnd"/>
      <w:r w:rsidRPr="00BE229C">
        <w:rPr>
          <w:sz w:val="16"/>
          <w:szCs w:val="16"/>
        </w:rPr>
        <w:t xml:space="preserve"> </w:t>
      </w:r>
      <w:proofErr w:type="spellStart"/>
      <w:proofErr w:type="gramStart"/>
      <w:r>
        <w:rPr>
          <w:sz w:val="16"/>
          <w:szCs w:val="16"/>
        </w:rPr>
        <w:t>stores</w:t>
      </w:r>
      <w:proofErr w:type="spellEnd"/>
      <w:r w:rsidRPr="00BE229C">
        <w:rPr>
          <w:sz w:val="16"/>
          <w:szCs w:val="16"/>
        </w:rPr>
        <w:t>,</w:t>
      </w:r>
      <w:r w:rsidR="00C04E28">
        <w:rPr>
          <w:sz w:val="16"/>
          <w:szCs w:val="16"/>
        </w:rPr>
        <w:t xml:space="preserve"> </w:t>
      </w:r>
      <w:proofErr w:type="spellStart"/>
      <w:r w:rsidR="00C04E28">
        <w:rPr>
          <w:sz w:val="16"/>
          <w:szCs w:val="16"/>
        </w:rPr>
        <w:t>e.g</w:t>
      </w:r>
      <w:proofErr w:type="spellEnd"/>
      <w:r w:rsidR="00C04E28">
        <w:rPr>
          <w:sz w:val="16"/>
          <w:szCs w:val="16"/>
        </w:rPr>
        <w:t xml:space="preserve">. </w:t>
      </w:r>
      <w:proofErr w:type="spellStart"/>
      <w:r w:rsidR="00C04E28" w:rsidRPr="00C04E28">
        <w:rPr>
          <w:sz w:val="16"/>
          <w:szCs w:val="16"/>
        </w:rPr>
        <w:t>household</w:t>
      </w:r>
      <w:proofErr w:type="spellEnd"/>
      <w:proofErr w:type="gramEnd"/>
      <w:r w:rsidR="00C04E28" w:rsidRPr="00C04E28">
        <w:rPr>
          <w:sz w:val="16"/>
          <w:szCs w:val="16"/>
        </w:rPr>
        <w:t xml:space="preserve"> </w:t>
      </w:r>
      <w:proofErr w:type="spellStart"/>
      <w:r w:rsidR="00C04E28" w:rsidRPr="00C04E28">
        <w:rPr>
          <w:sz w:val="16"/>
          <w:szCs w:val="16"/>
        </w:rPr>
        <w:t>equipment</w:t>
      </w:r>
      <w:proofErr w:type="spellEnd"/>
      <w:r w:rsidRPr="00BE229C">
        <w:rPr>
          <w:sz w:val="16"/>
          <w:szCs w:val="16"/>
        </w:rPr>
        <w:t xml:space="preserve"> (−14%) vs. </w:t>
      </w:r>
      <w:proofErr w:type="spellStart"/>
      <w:r w:rsidRPr="00BE229C">
        <w:rPr>
          <w:sz w:val="16"/>
          <w:szCs w:val="16"/>
        </w:rPr>
        <w:t>cosmetic</w:t>
      </w:r>
      <w:proofErr w:type="spellEnd"/>
      <w:r w:rsidRPr="00BE229C">
        <w:rPr>
          <w:sz w:val="16"/>
          <w:szCs w:val="16"/>
        </w:rPr>
        <w:t xml:space="preserve"> and </w:t>
      </w:r>
      <w:proofErr w:type="spellStart"/>
      <w:r w:rsidRPr="00BE229C">
        <w:rPr>
          <w:sz w:val="16"/>
          <w:szCs w:val="16"/>
        </w:rPr>
        <w:t>toilet</w:t>
      </w:r>
      <w:proofErr w:type="spellEnd"/>
      <w:r w:rsidRPr="00BE229C">
        <w:rPr>
          <w:sz w:val="16"/>
          <w:szCs w:val="16"/>
        </w:rPr>
        <w:t xml:space="preserve"> </w:t>
      </w:r>
      <w:proofErr w:type="spellStart"/>
      <w:r>
        <w:rPr>
          <w:sz w:val="16"/>
          <w:szCs w:val="16"/>
        </w:rPr>
        <w:t>articles</w:t>
      </w:r>
      <w:proofErr w:type="spellEnd"/>
      <w:r>
        <w:rPr>
          <w:sz w:val="16"/>
          <w:szCs w:val="16"/>
        </w:rPr>
        <w:t xml:space="preserve"> </w:t>
      </w:r>
      <w:r w:rsidRPr="00BE229C">
        <w:rPr>
          <w:sz w:val="16"/>
          <w:szCs w:val="16"/>
          <w:lang w:val="en-GB"/>
        </w:rPr>
        <w:t xml:space="preserve">(+26%). </w:t>
      </w:r>
    </w:p>
  </w:footnote>
  <w:footnote w:id="47">
    <w:p w14:paraId="3C0595F3" w14:textId="77777777" w:rsidR="00165465" w:rsidRPr="00BE229C" w:rsidRDefault="00165465" w:rsidP="00E551F6">
      <w:pPr>
        <w:pStyle w:val="Textpoznpodarou"/>
        <w:jc w:val="both"/>
        <w:rPr>
          <w:spacing w:val="-5"/>
          <w:sz w:val="16"/>
          <w:szCs w:val="16"/>
          <w:lang w:val="en-GB"/>
        </w:rPr>
      </w:pPr>
      <w:r w:rsidRPr="00BE229C">
        <w:rPr>
          <w:rStyle w:val="Znakapoznpodarou"/>
          <w:spacing w:val="-5"/>
          <w:sz w:val="16"/>
          <w:szCs w:val="16"/>
          <w:lang w:val="en-GB"/>
        </w:rPr>
        <w:footnoteRef/>
      </w:r>
      <w:r w:rsidRPr="00BE229C">
        <w:rPr>
          <w:spacing w:val="-5"/>
          <w:sz w:val="16"/>
          <w:szCs w:val="16"/>
          <w:lang w:val="en-GB"/>
        </w:rPr>
        <w:t xml:space="preserve"> T</w:t>
      </w:r>
      <w:r>
        <w:rPr>
          <w:spacing w:val="-5"/>
          <w:sz w:val="16"/>
          <w:szCs w:val="16"/>
          <w:lang w:val="en-GB"/>
        </w:rPr>
        <w:t>hese contain metal hardware, building materials, paints, glass, DIY supplies</w:t>
      </w:r>
      <w:r w:rsidRPr="00BE229C">
        <w:rPr>
          <w:rStyle w:val="normaltextrun"/>
          <w:rFonts w:eastAsia="MS Gothic" w:cs="Arial"/>
          <w:spacing w:val="-5"/>
          <w:sz w:val="16"/>
          <w:szCs w:val="16"/>
          <w:lang w:val="en-GB"/>
        </w:rPr>
        <w:t xml:space="preserve">, </w:t>
      </w:r>
      <w:r>
        <w:rPr>
          <w:rStyle w:val="normaltextrun"/>
          <w:rFonts w:eastAsia="MS Gothic" w:cs="Arial"/>
          <w:spacing w:val="-5"/>
          <w:sz w:val="16"/>
          <w:szCs w:val="16"/>
          <w:lang w:val="en-GB"/>
        </w:rPr>
        <w:t>electro supplies, furniture, lighting, carpets or home textiles.</w:t>
      </w:r>
    </w:p>
  </w:footnote>
  <w:footnote w:id="48">
    <w:p w14:paraId="3D565DD9" w14:textId="450B0362" w:rsidR="00165465" w:rsidRPr="00BE6FF8" w:rsidRDefault="00165465" w:rsidP="00E551F6">
      <w:pPr>
        <w:pStyle w:val="Textpoznpodarou"/>
        <w:jc w:val="both"/>
        <w:rPr>
          <w:spacing w:val="-2"/>
          <w:sz w:val="16"/>
          <w:szCs w:val="16"/>
          <w:lang w:val="en-GB"/>
        </w:rPr>
      </w:pPr>
      <w:r w:rsidRPr="00BE6FF8">
        <w:rPr>
          <w:rStyle w:val="Znakapoznpodarou"/>
          <w:spacing w:val="-2"/>
          <w:sz w:val="16"/>
          <w:szCs w:val="16"/>
          <w:lang w:val="en-GB"/>
        </w:rPr>
        <w:footnoteRef/>
      </w:r>
      <w:r w:rsidRPr="00BE6FF8">
        <w:rPr>
          <w:spacing w:val="-2"/>
          <w:sz w:val="16"/>
          <w:szCs w:val="16"/>
          <w:lang w:val="en-GB"/>
        </w:rPr>
        <w:t xml:space="preserve"> </w:t>
      </w:r>
      <w:bookmarkStart w:id="56" w:name="_Hlk178538649"/>
      <w:r w:rsidRPr="00BE6FF8">
        <w:rPr>
          <w:spacing w:val="-2"/>
          <w:sz w:val="16"/>
          <w:szCs w:val="16"/>
          <w:lang w:val="en-GB"/>
        </w:rPr>
        <w:t xml:space="preserve">Demand in both of these categories of specialised stores was strongly impacted by the restrictions during the pandemic period. Compared to the beginning of 2019, for example, the current sales for wearing apparel, footwear and leather goods were still </w:t>
      </w:r>
      <w:r>
        <w:rPr>
          <w:spacing w:val="-2"/>
          <w:sz w:val="16"/>
          <w:szCs w:val="16"/>
          <w:lang w:val="en-GB"/>
        </w:rPr>
        <w:t xml:space="preserve">almost </w:t>
      </w:r>
      <w:r w:rsidRPr="00BE6FF8">
        <w:rPr>
          <w:spacing w:val="-2"/>
          <w:sz w:val="16"/>
          <w:szCs w:val="16"/>
          <w:lang w:val="en-GB"/>
        </w:rPr>
        <w:t>one quarter lower.</w:t>
      </w:r>
      <w:bookmarkEnd w:id="56"/>
    </w:p>
  </w:footnote>
  <w:footnote w:id="49">
    <w:p w14:paraId="355B2E1E" w14:textId="77777777" w:rsidR="00165465" w:rsidRPr="004B1DE0" w:rsidRDefault="00165465" w:rsidP="006233F9">
      <w:pPr>
        <w:spacing w:after="0" w:line="240" w:lineRule="auto"/>
        <w:rPr>
          <w:sz w:val="16"/>
          <w:szCs w:val="16"/>
          <w:lang w:val="en-GB"/>
        </w:rPr>
      </w:pPr>
      <w:r w:rsidRPr="00BE229C">
        <w:rPr>
          <w:rStyle w:val="Znakapoznpodarou"/>
          <w:sz w:val="16"/>
          <w:szCs w:val="16"/>
          <w:lang w:val="en-GB"/>
        </w:rPr>
        <w:footnoteRef/>
      </w:r>
      <w:r w:rsidRPr="00BE229C">
        <w:rPr>
          <w:sz w:val="16"/>
          <w:szCs w:val="16"/>
          <w:lang w:val="en-GB"/>
        </w:rPr>
        <w:t xml:space="preserve"> </w:t>
      </w:r>
      <w:bookmarkStart w:id="57" w:name="_Hlk178538878"/>
      <w:r w:rsidRPr="00CF1E07">
        <w:rPr>
          <w:rFonts w:eastAsia="Calibri"/>
          <w:sz w:val="16"/>
          <w:szCs w:val="16"/>
          <w:lang w:val="en-GB"/>
        </w:rPr>
        <w:t xml:space="preserve">Apart from </w:t>
      </w:r>
      <w:r>
        <w:rPr>
          <w:rFonts w:eastAsia="Calibri"/>
          <w:sz w:val="16"/>
          <w:szCs w:val="16"/>
          <w:lang w:val="en-GB"/>
        </w:rPr>
        <w:t xml:space="preserve">the </w:t>
      </w:r>
      <w:r w:rsidRPr="00CF1E07">
        <w:rPr>
          <w:rFonts w:eastAsia="Calibri"/>
          <w:sz w:val="16"/>
          <w:szCs w:val="16"/>
          <w:lang w:val="en-GB"/>
        </w:rPr>
        <w:t xml:space="preserve">specialised stores, sales grew briskly in the small segment of other retail trade with a predominance of non-food goods (by </w:t>
      </w:r>
      <w:r>
        <w:rPr>
          <w:rFonts w:eastAsia="Calibri"/>
          <w:sz w:val="16"/>
          <w:szCs w:val="16"/>
          <w:lang w:val="en-GB"/>
        </w:rPr>
        <w:t xml:space="preserve">one </w:t>
      </w:r>
      <w:r w:rsidRPr="00CF1E07">
        <w:rPr>
          <w:rFonts w:eastAsia="Calibri"/>
          <w:sz w:val="16"/>
          <w:szCs w:val="16"/>
          <w:lang w:val="en-GB"/>
        </w:rPr>
        <w:t>sixth this year)</w:t>
      </w:r>
      <w:r>
        <w:rPr>
          <w:rFonts w:eastAsia="Calibri"/>
          <w:sz w:val="16"/>
          <w:szCs w:val="16"/>
          <w:lang w:val="en-GB"/>
        </w:rPr>
        <w:t xml:space="preserve"> </w:t>
      </w:r>
      <w:r w:rsidRPr="00CF1E07">
        <w:rPr>
          <w:rFonts w:eastAsia="Calibri"/>
          <w:sz w:val="16"/>
          <w:szCs w:val="16"/>
          <w:lang w:val="en-GB"/>
        </w:rPr>
        <w:t>for the third year in a row (</w:t>
      </w:r>
      <w:r>
        <w:rPr>
          <w:rFonts w:eastAsia="Calibri"/>
          <w:sz w:val="16"/>
          <w:szCs w:val="16"/>
          <w:lang w:val="en-GB"/>
        </w:rPr>
        <w:t xml:space="preserve">apart from </w:t>
      </w:r>
      <w:r w:rsidRPr="00CF1E07">
        <w:rPr>
          <w:rFonts w:eastAsia="Calibri"/>
          <w:sz w:val="16"/>
          <w:szCs w:val="16"/>
          <w:lang w:val="en-GB"/>
        </w:rPr>
        <w:t>a short-term dec</w:t>
      </w:r>
      <w:r>
        <w:rPr>
          <w:rFonts w:eastAsia="Calibri"/>
          <w:sz w:val="16"/>
          <w:szCs w:val="16"/>
          <w:lang w:val="en-GB"/>
        </w:rPr>
        <w:t xml:space="preserve">rease </w:t>
      </w:r>
      <w:r w:rsidRPr="00CF1E07">
        <w:rPr>
          <w:rFonts w:eastAsia="Calibri"/>
          <w:sz w:val="16"/>
          <w:szCs w:val="16"/>
          <w:lang w:val="en-GB"/>
        </w:rPr>
        <w:t>in Q2 last year)</w:t>
      </w:r>
      <w:r>
        <w:rPr>
          <w:rFonts w:eastAsia="Calibri"/>
          <w:sz w:val="16"/>
          <w:szCs w:val="16"/>
          <w:lang w:val="en-GB"/>
        </w:rPr>
        <w:t xml:space="preserve">. </w:t>
      </w:r>
      <w:r w:rsidRPr="00CF1E07">
        <w:rPr>
          <w:rFonts w:eastAsia="Calibri"/>
          <w:sz w:val="16"/>
          <w:szCs w:val="16"/>
          <w:lang w:val="en-GB"/>
        </w:rPr>
        <w:t>This typically includes smaller</w:t>
      </w:r>
      <w:r>
        <w:rPr>
          <w:rFonts w:eastAsia="Calibri"/>
          <w:sz w:val="16"/>
          <w:szCs w:val="16"/>
          <w:lang w:val="en-GB"/>
        </w:rPr>
        <w:t xml:space="preserve"> stores </w:t>
      </w:r>
      <w:r w:rsidRPr="00CF1E07">
        <w:rPr>
          <w:rFonts w:eastAsia="Calibri"/>
          <w:sz w:val="16"/>
          <w:szCs w:val="16"/>
          <w:lang w:val="en-GB"/>
        </w:rPr>
        <w:t>focused on the sale of various small goods, usually in discount events.</w:t>
      </w:r>
      <w:r>
        <w:rPr>
          <w:rFonts w:eastAsia="Calibri"/>
          <w:sz w:val="16"/>
          <w:szCs w:val="16"/>
          <w:lang w:val="en-GB"/>
        </w:rPr>
        <w:t xml:space="preserve"> </w:t>
      </w:r>
      <w:bookmarkEnd w:id="57"/>
    </w:p>
  </w:footnote>
  <w:footnote w:id="50">
    <w:p w14:paraId="0604F80A" w14:textId="5520D918" w:rsidR="00165465" w:rsidRPr="00B5628E" w:rsidRDefault="00165465" w:rsidP="00E551F6">
      <w:pPr>
        <w:pStyle w:val="Textpoznpodarou"/>
        <w:jc w:val="both"/>
        <w:rPr>
          <w:rFonts w:cs="Arial"/>
          <w:sz w:val="16"/>
          <w:szCs w:val="16"/>
          <w:lang w:val="en-GB"/>
        </w:rPr>
      </w:pPr>
      <w:r w:rsidRPr="001F1881">
        <w:rPr>
          <w:rStyle w:val="Znakapoznpodarou"/>
          <w:rFonts w:cs="Arial"/>
          <w:i/>
          <w:sz w:val="16"/>
          <w:szCs w:val="16"/>
        </w:rPr>
        <w:footnoteRef/>
      </w:r>
      <w:r w:rsidRPr="001F1881">
        <w:rPr>
          <w:rFonts w:cs="Arial"/>
          <w:i/>
          <w:iCs/>
          <w:sz w:val="16"/>
          <w:szCs w:val="16"/>
        </w:rPr>
        <w:t xml:space="preserve"> </w:t>
      </w:r>
      <w:r w:rsidRPr="00B5628E">
        <w:rPr>
          <w:rFonts w:cs="Arial"/>
          <w:sz w:val="16"/>
          <w:szCs w:val="16"/>
          <w:lang w:val="en-GB"/>
        </w:rPr>
        <w:t xml:space="preserve">Data for foreign trade with goods are recalculated using the updated method based on higher rate of detail since year 2020, see </w:t>
      </w:r>
      <w:hyperlink r:id="rId1" w:history="1">
        <w:r>
          <w:rPr>
            <w:rStyle w:val="Hypertextovodkaz"/>
            <w:rFonts w:cs="Arial"/>
            <w:sz w:val="16"/>
            <w:szCs w:val="16"/>
            <w:bdr w:val="none" w:sz="0" w:space="0" w:color="auto" w:frame="1"/>
            <w:shd w:val="clear" w:color="auto" w:fill="FFFFFF"/>
            <w:lang w:val="en-GB"/>
          </w:rPr>
          <w:t>https://csu.gov.cz/update-of-the-compilation-method-international-trade-in-goods-change-of-ownership</w:t>
        </w:r>
      </w:hyperlink>
      <w:r w:rsidRPr="00B5628E">
        <w:rPr>
          <w:rStyle w:val="Hypertextovodkaz"/>
          <w:rFonts w:cs="Arial"/>
          <w:sz w:val="16"/>
          <w:szCs w:val="16"/>
          <w:bdr w:val="none" w:sz="0" w:space="0" w:color="auto" w:frame="1"/>
          <w:shd w:val="clear" w:color="auto" w:fill="FFFFFF"/>
          <w:lang w:val="en-GB"/>
        </w:rPr>
        <w:t>.</w:t>
      </w:r>
      <w:r w:rsidRPr="00B5628E">
        <w:rPr>
          <w:rFonts w:cs="Arial"/>
          <w:sz w:val="16"/>
          <w:szCs w:val="16"/>
          <w:lang w:val="en-GB"/>
        </w:rPr>
        <w:t xml:space="preserve"> Unless stated otherwise, all figures are without seasonal adjustment and in current prices. </w:t>
      </w:r>
    </w:p>
  </w:footnote>
  <w:footnote w:id="51">
    <w:p w14:paraId="07AC4186" w14:textId="77777777" w:rsidR="00165465" w:rsidRPr="00B5628E" w:rsidRDefault="00165465" w:rsidP="00E551F6">
      <w:pPr>
        <w:pStyle w:val="Textpoznpodarou"/>
        <w:jc w:val="both"/>
        <w:rPr>
          <w:sz w:val="16"/>
          <w:szCs w:val="16"/>
          <w:lang w:val="en-GB"/>
        </w:rPr>
      </w:pPr>
      <w:r w:rsidRPr="00B5628E">
        <w:rPr>
          <w:rStyle w:val="Znakapoznpodarou"/>
          <w:sz w:val="16"/>
          <w:szCs w:val="16"/>
          <w:lang w:val="en-GB"/>
        </w:rPr>
        <w:footnoteRef/>
      </w:r>
      <w:r w:rsidRPr="00B5628E">
        <w:rPr>
          <w:sz w:val="16"/>
          <w:szCs w:val="16"/>
          <w:lang w:val="en-GB"/>
        </w:rPr>
        <w:t xml:space="preserve"> </w:t>
      </w:r>
      <w:r w:rsidRPr="005F1AFC">
        <w:rPr>
          <w:sz w:val="16"/>
          <w:szCs w:val="16"/>
          <w:lang w:val="en-GB"/>
        </w:rPr>
        <w:t xml:space="preserve">Prices of exports of goods </w:t>
      </w:r>
      <w:r>
        <w:rPr>
          <w:sz w:val="16"/>
          <w:szCs w:val="16"/>
          <w:lang w:val="en-GB"/>
        </w:rPr>
        <w:t xml:space="preserve">were </w:t>
      </w:r>
      <w:r w:rsidRPr="005F1AFC">
        <w:rPr>
          <w:sz w:val="16"/>
          <w:szCs w:val="16"/>
          <w:lang w:val="en-GB"/>
        </w:rPr>
        <w:t xml:space="preserve">by </w:t>
      </w:r>
      <w:r>
        <w:rPr>
          <w:sz w:val="16"/>
          <w:szCs w:val="16"/>
          <w:lang w:val="en-GB"/>
        </w:rPr>
        <w:t>3</w:t>
      </w:r>
      <w:r w:rsidRPr="005F1AFC">
        <w:rPr>
          <w:sz w:val="16"/>
          <w:szCs w:val="16"/>
          <w:lang w:val="en-GB"/>
        </w:rPr>
        <w:t>.7%</w:t>
      </w:r>
      <w:r>
        <w:rPr>
          <w:sz w:val="16"/>
          <w:szCs w:val="16"/>
          <w:lang w:val="en-GB"/>
        </w:rPr>
        <w:t xml:space="preserve"> higher, year-on-year, in Q2. </w:t>
      </w:r>
      <w:r w:rsidRPr="005F1AFC">
        <w:rPr>
          <w:sz w:val="16"/>
          <w:szCs w:val="16"/>
          <w:lang w:val="en-GB"/>
        </w:rPr>
        <w:t>Quarter-on-quarter, the</w:t>
      </w:r>
      <w:r>
        <w:rPr>
          <w:sz w:val="16"/>
          <w:szCs w:val="16"/>
          <w:lang w:val="en-GB"/>
        </w:rPr>
        <w:t xml:space="preserve">y </w:t>
      </w:r>
      <w:r w:rsidRPr="005F1AFC">
        <w:rPr>
          <w:sz w:val="16"/>
          <w:szCs w:val="16"/>
          <w:lang w:val="en-GB"/>
        </w:rPr>
        <w:t>increased by 0.6%. Prices of other materials plunged by 18.6% last year and mineral fuels by 0.9%. But prices of mineral fuels decreased by 13.7%</w:t>
      </w:r>
      <w:r>
        <w:rPr>
          <w:sz w:val="16"/>
          <w:szCs w:val="16"/>
          <w:lang w:val="en-GB"/>
        </w:rPr>
        <w:t>,</w:t>
      </w:r>
      <w:r w:rsidRPr="005F1AFC">
        <w:rPr>
          <w:sz w:val="16"/>
          <w:szCs w:val="16"/>
          <w:lang w:val="en-GB"/>
        </w:rPr>
        <w:t xml:space="preserve"> year-on-year</w:t>
      </w:r>
      <w:r>
        <w:rPr>
          <w:sz w:val="16"/>
          <w:szCs w:val="16"/>
          <w:lang w:val="en-GB"/>
        </w:rPr>
        <w:t>,</w:t>
      </w:r>
      <w:r w:rsidRPr="005F1AFC">
        <w:rPr>
          <w:sz w:val="16"/>
          <w:szCs w:val="16"/>
          <w:lang w:val="en-GB"/>
        </w:rPr>
        <w:t xml:space="preserve"> in Q4.</w:t>
      </w:r>
      <w:r>
        <w:rPr>
          <w:sz w:val="16"/>
          <w:szCs w:val="16"/>
          <w:lang w:val="en-GB"/>
        </w:rPr>
        <w:t xml:space="preserve"> </w:t>
      </w:r>
    </w:p>
  </w:footnote>
  <w:footnote w:id="52">
    <w:p w14:paraId="765A5365" w14:textId="77777777" w:rsidR="00165465" w:rsidRPr="00B5628E" w:rsidRDefault="00165465" w:rsidP="00E551F6">
      <w:pPr>
        <w:pStyle w:val="Textpoznpodarou"/>
        <w:jc w:val="both"/>
        <w:rPr>
          <w:sz w:val="16"/>
          <w:szCs w:val="16"/>
          <w:lang w:val="en-GB"/>
        </w:rPr>
      </w:pPr>
      <w:r w:rsidRPr="00B5628E">
        <w:rPr>
          <w:rStyle w:val="Znakapoznpodarou"/>
          <w:sz w:val="16"/>
          <w:szCs w:val="16"/>
          <w:lang w:val="en-GB"/>
        </w:rPr>
        <w:footnoteRef/>
      </w:r>
      <w:r w:rsidRPr="00B5628E">
        <w:rPr>
          <w:sz w:val="16"/>
          <w:szCs w:val="16"/>
          <w:lang w:val="en-GB"/>
        </w:rPr>
        <w:t xml:space="preserve"> </w:t>
      </w:r>
      <w:r>
        <w:rPr>
          <w:sz w:val="16"/>
          <w:szCs w:val="16"/>
          <w:lang w:val="en-GB"/>
        </w:rPr>
        <w:t xml:space="preserve">Mainly the export of motor vehicles grew sharply. </w:t>
      </w:r>
    </w:p>
  </w:footnote>
  <w:footnote w:id="53">
    <w:p w14:paraId="023E3FDC" w14:textId="77777777" w:rsidR="00165465" w:rsidRPr="001F1881" w:rsidRDefault="00165465" w:rsidP="00E551F6">
      <w:pPr>
        <w:pStyle w:val="Textpoznpodarou"/>
        <w:rPr>
          <w:sz w:val="16"/>
          <w:szCs w:val="16"/>
        </w:rPr>
      </w:pPr>
      <w:r w:rsidRPr="001F1881">
        <w:rPr>
          <w:rStyle w:val="Znakapoznpodarou"/>
          <w:sz w:val="16"/>
          <w:szCs w:val="16"/>
        </w:rPr>
        <w:footnoteRef/>
      </w:r>
      <w:r w:rsidRPr="001F1881">
        <w:rPr>
          <w:sz w:val="16"/>
          <w:szCs w:val="16"/>
        </w:rPr>
        <w:t xml:space="preserve"> </w:t>
      </w:r>
      <w:proofErr w:type="spellStart"/>
      <w:r>
        <w:rPr>
          <w:sz w:val="16"/>
          <w:szCs w:val="16"/>
        </w:rPr>
        <w:t>Prices</w:t>
      </w:r>
      <w:proofErr w:type="spellEnd"/>
      <w:r>
        <w:rPr>
          <w:sz w:val="16"/>
          <w:szCs w:val="16"/>
        </w:rPr>
        <w:t xml:space="preserve"> </w:t>
      </w:r>
      <w:proofErr w:type="spellStart"/>
      <w:r>
        <w:rPr>
          <w:sz w:val="16"/>
          <w:szCs w:val="16"/>
        </w:rPr>
        <w:t>of</w:t>
      </w:r>
      <w:proofErr w:type="spellEnd"/>
      <w:r>
        <w:rPr>
          <w:sz w:val="16"/>
          <w:szCs w:val="16"/>
        </w:rPr>
        <w:t xml:space="preserve"> </w:t>
      </w:r>
      <w:proofErr w:type="spellStart"/>
      <w:r>
        <w:rPr>
          <w:sz w:val="16"/>
          <w:szCs w:val="16"/>
        </w:rPr>
        <w:t>imports</w:t>
      </w:r>
      <w:proofErr w:type="spellEnd"/>
      <w:r>
        <w:rPr>
          <w:sz w:val="16"/>
          <w:szCs w:val="16"/>
        </w:rPr>
        <w:t xml:space="preserve"> </w:t>
      </w:r>
      <w:proofErr w:type="spellStart"/>
      <w:r>
        <w:rPr>
          <w:sz w:val="16"/>
          <w:szCs w:val="16"/>
        </w:rPr>
        <w:t>of</w:t>
      </w:r>
      <w:proofErr w:type="spellEnd"/>
      <w:r>
        <w:rPr>
          <w:sz w:val="16"/>
          <w:szCs w:val="16"/>
        </w:rPr>
        <w:t xml:space="preserve"> </w:t>
      </w:r>
      <w:proofErr w:type="spellStart"/>
      <w:r>
        <w:rPr>
          <w:sz w:val="16"/>
          <w:szCs w:val="16"/>
        </w:rPr>
        <w:t>goods</w:t>
      </w:r>
      <w:proofErr w:type="spellEnd"/>
      <w:r>
        <w:rPr>
          <w:sz w:val="16"/>
          <w:szCs w:val="16"/>
        </w:rPr>
        <w:t xml:space="preserve"> </w:t>
      </w:r>
      <w:proofErr w:type="spellStart"/>
      <w:r>
        <w:rPr>
          <w:sz w:val="16"/>
          <w:szCs w:val="16"/>
        </w:rPr>
        <w:t>were</w:t>
      </w:r>
      <w:proofErr w:type="spellEnd"/>
      <w:r>
        <w:rPr>
          <w:sz w:val="16"/>
          <w:szCs w:val="16"/>
        </w:rPr>
        <w:t xml:space="preserve"> by 3.0% </w:t>
      </w:r>
      <w:proofErr w:type="spellStart"/>
      <w:r>
        <w:rPr>
          <w:sz w:val="16"/>
          <w:szCs w:val="16"/>
        </w:rPr>
        <w:t>higher</w:t>
      </w:r>
      <w:proofErr w:type="spellEnd"/>
      <w:r>
        <w:rPr>
          <w:sz w:val="16"/>
          <w:szCs w:val="16"/>
        </w:rPr>
        <w:t xml:space="preserve">, </w:t>
      </w:r>
      <w:proofErr w:type="spellStart"/>
      <w:r>
        <w:rPr>
          <w:sz w:val="16"/>
          <w:szCs w:val="16"/>
        </w:rPr>
        <w:t>year</w:t>
      </w:r>
      <w:proofErr w:type="spellEnd"/>
      <w:r>
        <w:rPr>
          <w:sz w:val="16"/>
          <w:szCs w:val="16"/>
        </w:rPr>
        <w:t>-on-</w:t>
      </w:r>
      <w:proofErr w:type="spellStart"/>
      <w:r>
        <w:rPr>
          <w:sz w:val="16"/>
          <w:szCs w:val="16"/>
        </w:rPr>
        <w:t>year</w:t>
      </w:r>
      <w:proofErr w:type="spellEnd"/>
      <w:r>
        <w:rPr>
          <w:sz w:val="16"/>
          <w:szCs w:val="16"/>
        </w:rPr>
        <w:t xml:space="preserve">, in Q2 and by 0.1%, </w:t>
      </w:r>
      <w:proofErr w:type="spellStart"/>
      <w:r>
        <w:rPr>
          <w:sz w:val="16"/>
          <w:szCs w:val="16"/>
        </w:rPr>
        <w:t>quarter</w:t>
      </w:r>
      <w:proofErr w:type="spellEnd"/>
      <w:r>
        <w:rPr>
          <w:sz w:val="16"/>
          <w:szCs w:val="16"/>
        </w:rPr>
        <w:t>-on-</w:t>
      </w:r>
      <w:proofErr w:type="spellStart"/>
      <w:r>
        <w:rPr>
          <w:sz w:val="16"/>
          <w:szCs w:val="16"/>
        </w:rPr>
        <w:t>quarter</w:t>
      </w:r>
      <w:proofErr w:type="spellEnd"/>
      <w:r>
        <w:rPr>
          <w:sz w:val="16"/>
          <w:szCs w:val="16"/>
        </w:rPr>
        <w:t>.</w:t>
      </w:r>
    </w:p>
  </w:footnote>
  <w:footnote w:id="54">
    <w:p w14:paraId="29247945" w14:textId="77777777" w:rsidR="00165465" w:rsidRPr="001F1881" w:rsidRDefault="00165465" w:rsidP="00E551F6">
      <w:pPr>
        <w:pStyle w:val="Textpoznpodarou"/>
        <w:rPr>
          <w:sz w:val="16"/>
          <w:szCs w:val="16"/>
        </w:rPr>
      </w:pPr>
      <w:r w:rsidRPr="001F1881">
        <w:rPr>
          <w:rStyle w:val="Znakapoznpodarou"/>
          <w:sz w:val="16"/>
          <w:szCs w:val="16"/>
        </w:rPr>
        <w:footnoteRef/>
      </w:r>
      <w:r w:rsidRPr="001F1881">
        <w:rPr>
          <w:sz w:val="16"/>
          <w:szCs w:val="16"/>
        </w:rPr>
        <w:t xml:space="preserve"> </w:t>
      </w:r>
      <w:bookmarkStart w:id="71" w:name="_Hlk178547729"/>
      <w:proofErr w:type="spellStart"/>
      <w:r w:rsidRPr="009224E9">
        <w:rPr>
          <w:sz w:val="16"/>
          <w:szCs w:val="16"/>
        </w:rPr>
        <w:t>The</w:t>
      </w:r>
      <w:proofErr w:type="spellEnd"/>
      <w:r w:rsidRPr="009224E9">
        <w:rPr>
          <w:sz w:val="16"/>
          <w:szCs w:val="16"/>
        </w:rPr>
        <w:t xml:space="preserve"> </w:t>
      </w:r>
      <w:proofErr w:type="spellStart"/>
      <w:r w:rsidRPr="009224E9">
        <w:rPr>
          <w:sz w:val="16"/>
          <w:szCs w:val="16"/>
        </w:rPr>
        <w:t>increase</w:t>
      </w:r>
      <w:proofErr w:type="spellEnd"/>
      <w:r w:rsidRPr="009224E9">
        <w:rPr>
          <w:sz w:val="16"/>
          <w:szCs w:val="16"/>
        </w:rPr>
        <w:t xml:space="preserve"> </w:t>
      </w:r>
      <w:proofErr w:type="spellStart"/>
      <w:r>
        <w:rPr>
          <w:sz w:val="16"/>
          <w:szCs w:val="16"/>
        </w:rPr>
        <w:t>for</w:t>
      </w:r>
      <w:proofErr w:type="spellEnd"/>
      <w:r w:rsidRPr="009224E9">
        <w:rPr>
          <w:sz w:val="16"/>
          <w:szCs w:val="16"/>
        </w:rPr>
        <w:t xml:space="preserve"> </w:t>
      </w:r>
      <w:proofErr w:type="spellStart"/>
      <w:r w:rsidRPr="009224E9">
        <w:rPr>
          <w:sz w:val="16"/>
          <w:szCs w:val="16"/>
        </w:rPr>
        <w:t>Taiwan</w:t>
      </w:r>
      <w:proofErr w:type="spellEnd"/>
      <w:r w:rsidRPr="009224E9">
        <w:rPr>
          <w:sz w:val="16"/>
          <w:szCs w:val="16"/>
        </w:rPr>
        <w:t xml:space="preserve"> </w:t>
      </w:r>
      <w:proofErr w:type="spellStart"/>
      <w:r w:rsidRPr="009224E9">
        <w:rPr>
          <w:sz w:val="16"/>
          <w:szCs w:val="16"/>
        </w:rPr>
        <w:t>was</w:t>
      </w:r>
      <w:proofErr w:type="spellEnd"/>
      <w:r w:rsidRPr="009224E9">
        <w:rPr>
          <w:sz w:val="16"/>
          <w:szCs w:val="16"/>
        </w:rPr>
        <w:t xml:space="preserve"> </w:t>
      </w:r>
      <w:proofErr w:type="spellStart"/>
      <w:r w:rsidRPr="009224E9">
        <w:rPr>
          <w:sz w:val="16"/>
          <w:szCs w:val="16"/>
        </w:rPr>
        <w:t>related</w:t>
      </w:r>
      <w:proofErr w:type="spellEnd"/>
      <w:r w:rsidRPr="009224E9">
        <w:rPr>
          <w:sz w:val="16"/>
          <w:szCs w:val="16"/>
        </w:rPr>
        <w:t xml:space="preserve"> to </w:t>
      </w:r>
      <w:proofErr w:type="spellStart"/>
      <w:r w:rsidRPr="009224E9">
        <w:rPr>
          <w:sz w:val="16"/>
          <w:szCs w:val="16"/>
        </w:rPr>
        <w:t>an</w:t>
      </w:r>
      <w:proofErr w:type="spellEnd"/>
      <w:r w:rsidRPr="009224E9">
        <w:rPr>
          <w:sz w:val="16"/>
          <w:szCs w:val="16"/>
        </w:rPr>
        <w:t xml:space="preserve"> </w:t>
      </w:r>
      <w:proofErr w:type="spellStart"/>
      <w:r w:rsidRPr="009224E9">
        <w:rPr>
          <w:sz w:val="16"/>
          <w:szCs w:val="16"/>
        </w:rPr>
        <w:t>increase</w:t>
      </w:r>
      <w:proofErr w:type="spellEnd"/>
      <w:r w:rsidRPr="009224E9">
        <w:rPr>
          <w:sz w:val="16"/>
          <w:szCs w:val="16"/>
        </w:rPr>
        <w:t xml:space="preserve"> in </w:t>
      </w:r>
      <w:proofErr w:type="spellStart"/>
      <w:r w:rsidRPr="009224E9">
        <w:rPr>
          <w:sz w:val="16"/>
          <w:szCs w:val="16"/>
        </w:rPr>
        <w:t>imports</w:t>
      </w:r>
      <w:proofErr w:type="spellEnd"/>
      <w:r w:rsidRPr="009224E9">
        <w:rPr>
          <w:sz w:val="16"/>
          <w:szCs w:val="16"/>
        </w:rPr>
        <w:t xml:space="preserve"> </w:t>
      </w:r>
      <w:proofErr w:type="spellStart"/>
      <w:r w:rsidRPr="009224E9">
        <w:rPr>
          <w:sz w:val="16"/>
          <w:szCs w:val="16"/>
        </w:rPr>
        <w:t>of</w:t>
      </w:r>
      <w:proofErr w:type="spellEnd"/>
      <w:r w:rsidRPr="009224E9">
        <w:rPr>
          <w:sz w:val="16"/>
          <w:szCs w:val="16"/>
        </w:rPr>
        <w:t xml:space="preserve"> </w:t>
      </w:r>
      <w:proofErr w:type="spellStart"/>
      <w:r w:rsidRPr="009224E9">
        <w:rPr>
          <w:sz w:val="16"/>
          <w:szCs w:val="16"/>
        </w:rPr>
        <w:t>computers</w:t>
      </w:r>
      <w:proofErr w:type="spellEnd"/>
      <w:r w:rsidRPr="009224E9">
        <w:rPr>
          <w:sz w:val="16"/>
          <w:szCs w:val="16"/>
        </w:rPr>
        <w:t xml:space="preserve"> and </w:t>
      </w:r>
      <w:proofErr w:type="spellStart"/>
      <w:r w:rsidRPr="009224E9">
        <w:rPr>
          <w:sz w:val="16"/>
          <w:szCs w:val="16"/>
        </w:rPr>
        <w:t>electronic</w:t>
      </w:r>
      <w:proofErr w:type="spellEnd"/>
      <w:r w:rsidRPr="009224E9">
        <w:rPr>
          <w:sz w:val="16"/>
          <w:szCs w:val="16"/>
        </w:rPr>
        <w:t xml:space="preserve"> and </w:t>
      </w:r>
      <w:proofErr w:type="spellStart"/>
      <w:r w:rsidRPr="009224E9">
        <w:rPr>
          <w:sz w:val="16"/>
          <w:szCs w:val="16"/>
        </w:rPr>
        <w:t>optical</w:t>
      </w:r>
      <w:proofErr w:type="spellEnd"/>
      <w:r w:rsidRPr="009224E9">
        <w:rPr>
          <w:sz w:val="16"/>
          <w:szCs w:val="16"/>
        </w:rPr>
        <w:t xml:space="preserve"> </w:t>
      </w:r>
      <w:proofErr w:type="spellStart"/>
      <w:r>
        <w:rPr>
          <w:sz w:val="16"/>
          <w:szCs w:val="16"/>
        </w:rPr>
        <w:t>appliances</w:t>
      </w:r>
      <w:proofErr w:type="spellEnd"/>
      <w:r>
        <w:rPr>
          <w:sz w:val="16"/>
          <w:szCs w:val="16"/>
        </w:rPr>
        <w:t xml:space="preserve">. </w:t>
      </w:r>
      <w:bookmarkEnd w:id="71"/>
    </w:p>
  </w:footnote>
  <w:footnote w:id="55">
    <w:p w14:paraId="774D1532" w14:textId="77777777" w:rsidR="00165465" w:rsidRPr="00A00156" w:rsidRDefault="00165465" w:rsidP="00E551F6">
      <w:pPr>
        <w:pStyle w:val="Textpoznpodarou"/>
        <w:jc w:val="both"/>
        <w:rPr>
          <w:sz w:val="16"/>
          <w:szCs w:val="16"/>
          <w:lang w:val="en-GB"/>
        </w:rPr>
      </w:pPr>
      <w:r w:rsidRPr="00370717">
        <w:rPr>
          <w:rStyle w:val="Znakapoznpodarou"/>
          <w:sz w:val="16"/>
          <w:szCs w:val="16"/>
        </w:rPr>
        <w:footnoteRef/>
      </w:r>
      <w:r w:rsidRPr="00370717">
        <w:rPr>
          <w:sz w:val="16"/>
          <w:szCs w:val="16"/>
        </w:rPr>
        <w:t xml:space="preserve"> </w:t>
      </w:r>
      <w:r w:rsidRPr="00A00156">
        <w:rPr>
          <w:sz w:val="16"/>
          <w:szCs w:val="16"/>
          <w:lang w:val="en-GB"/>
        </w:rPr>
        <w:t>This year's dec</w:t>
      </w:r>
      <w:r>
        <w:rPr>
          <w:sz w:val="16"/>
          <w:szCs w:val="16"/>
          <w:lang w:val="en-GB"/>
        </w:rPr>
        <w:t xml:space="preserve">rease </w:t>
      </w:r>
      <w:r w:rsidRPr="00A00156">
        <w:rPr>
          <w:sz w:val="16"/>
          <w:szCs w:val="16"/>
          <w:lang w:val="en-GB"/>
        </w:rPr>
        <w:t xml:space="preserve">is </w:t>
      </w:r>
      <w:r>
        <w:rPr>
          <w:sz w:val="16"/>
          <w:szCs w:val="16"/>
          <w:lang w:val="en-GB"/>
        </w:rPr>
        <w:t xml:space="preserve">connected </w:t>
      </w:r>
      <w:r w:rsidRPr="00A00156">
        <w:rPr>
          <w:sz w:val="16"/>
          <w:szCs w:val="16"/>
          <w:lang w:val="en-GB"/>
        </w:rPr>
        <w:t xml:space="preserve">to </w:t>
      </w:r>
      <w:r>
        <w:rPr>
          <w:sz w:val="16"/>
          <w:szCs w:val="16"/>
          <w:lang w:val="en-GB"/>
        </w:rPr>
        <w:t xml:space="preserve">the </w:t>
      </w:r>
      <w:r w:rsidRPr="00A00156">
        <w:rPr>
          <w:sz w:val="16"/>
          <w:szCs w:val="16"/>
          <w:lang w:val="en-GB"/>
        </w:rPr>
        <w:t>last year's high compar</w:t>
      </w:r>
      <w:r>
        <w:rPr>
          <w:sz w:val="16"/>
          <w:szCs w:val="16"/>
          <w:lang w:val="en-GB"/>
        </w:rPr>
        <w:t xml:space="preserve">ative </w:t>
      </w:r>
      <w:r w:rsidRPr="00A00156">
        <w:rPr>
          <w:sz w:val="16"/>
          <w:szCs w:val="16"/>
          <w:lang w:val="en-GB"/>
        </w:rPr>
        <w:t>base for products needed to install photovoltaic power plants (especially batteries). Imports peaked in the first half of 2023 and subsequently started to fall.</w:t>
      </w:r>
      <w:r>
        <w:rPr>
          <w:sz w:val="16"/>
          <w:szCs w:val="16"/>
          <w:lang w:val="en-GB"/>
        </w:rPr>
        <w:t xml:space="preserve"> </w:t>
      </w:r>
      <w:r w:rsidRPr="00A00156">
        <w:rPr>
          <w:sz w:val="16"/>
          <w:szCs w:val="16"/>
          <w:lang w:val="en-GB"/>
        </w:rPr>
        <w:t xml:space="preserve">  </w:t>
      </w:r>
    </w:p>
  </w:footnote>
  <w:footnote w:id="56">
    <w:p w14:paraId="63331ACB" w14:textId="6F632D38" w:rsidR="00165465" w:rsidRDefault="00165465" w:rsidP="00E551F6">
      <w:pPr>
        <w:pStyle w:val="Textpoznpodarou"/>
        <w:jc w:val="both"/>
        <w:rPr>
          <w:sz w:val="16"/>
          <w:szCs w:val="16"/>
        </w:rPr>
      </w:pPr>
      <w:r>
        <w:rPr>
          <w:rStyle w:val="Znakapoznpodarou"/>
          <w:sz w:val="16"/>
          <w:szCs w:val="16"/>
        </w:rPr>
        <w:footnoteRef/>
      </w:r>
      <w:r>
        <w:rPr>
          <w:sz w:val="16"/>
          <w:szCs w:val="16"/>
        </w:rPr>
        <w:t xml:space="preserve"> </w:t>
      </w:r>
      <w:proofErr w:type="spellStart"/>
      <w:r w:rsidRPr="00AE6A6E">
        <w:rPr>
          <w:sz w:val="16"/>
          <w:szCs w:val="16"/>
        </w:rPr>
        <w:t>Imputed</w:t>
      </w:r>
      <w:proofErr w:type="spellEnd"/>
      <w:r w:rsidRPr="00AE6A6E">
        <w:rPr>
          <w:sz w:val="16"/>
          <w:szCs w:val="16"/>
        </w:rPr>
        <w:t xml:space="preserve"> rent </w:t>
      </w:r>
      <w:proofErr w:type="spellStart"/>
      <w:r w:rsidRPr="00AE6A6E">
        <w:rPr>
          <w:sz w:val="16"/>
          <w:szCs w:val="16"/>
        </w:rPr>
        <w:t>expresses</w:t>
      </w:r>
      <w:proofErr w:type="spellEnd"/>
      <w:r w:rsidRPr="00AE6A6E">
        <w:rPr>
          <w:sz w:val="16"/>
          <w:szCs w:val="16"/>
        </w:rPr>
        <w:t xml:space="preserve"> </w:t>
      </w:r>
      <w:proofErr w:type="spellStart"/>
      <w:r w:rsidRPr="00AE6A6E">
        <w:rPr>
          <w:sz w:val="16"/>
          <w:szCs w:val="16"/>
        </w:rPr>
        <w:t>the</w:t>
      </w:r>
      <w:proofErr w:type="spellEnd"/>
      <w:r w:rsidRPr="00AE6A6E">
        <w:rPr>
          <w:sz w:val="16"/>
          <w:szCs w:val="16"/>
        </w:rPr>
        <w:t xml:space="preserve"> </w:t>
      </w:r>
      <w:proofErr w:type="spellStart"/>
      <w:r w:rsidRPr="00AE6A6E">
        <w:rPr>
          <w:sz w:val="16"/>
          <w:szCs w:val="16"/>
        </w:rPr>
        <w:t>cost</w:t>
      </w:r>
      <w:proofErr w:type="spellEnd"/>
      <w:r w:rsidRPr="00AE6A6E">
        <w:rPr>
          <w:sz w:val="16"/>
          <w:szCs w:val="16"/>
        </w:rPr>
        <w:t xml:space="preserve"> </w:t>
      </w:r>
      <w:proofErr w:type="spellStart"/>
      <w:r w:rsidRPr="00AE6A6E">
        <w:rPr>
          <w:sz w:val="16"/>
          <w:szCs w:val="16"/>
        </w:rPr>
        <w:t>of</w:t>
      </w:r>
      <w:proofErr w:type="spellEnd"/>
      <w:r w:rsidRPr="00AE6A6E">
        <w:rPr>
          <w:sz w:val="16"/>
          <w:szCs w:val="16"/>
        </w:rPr>
        <w:t xml:space="preserve"> </w:t>
      </w:r>
      <w:proofErr w:type="spellStart"/>
      <w:r w:rsidRPr="00AE6A6E">
        <w:rPr>
          <w:sz w:val="16"/>
          <w:szCs w:val="16"/>
        </w:rPr>
        <w:t>owner</w:t>
      </w:r>
      <w:proofErr w:type="spellEnd"/>
      <w:r w:rsidRPr="00AE6A6E">
        <w:rPr>
          <w:sz w:val="16"/>
          <w:szCs w:val="16"/>
        </w:rPr>
        <w:t xml:space="preserve"> </w:t>
      </w:r>
      <w:proofErr w:type="spellStart"/>
      <w:r w:rsidRPr="00AE6A6E">
        <w:rPr>
          <w:sz w:val="16"/>
          <w:szCs w:val="16"/>
        </w:rPr>
        <w:t>living</w:t>
      </w:r>
      <w:proofErr w:type="spellEnd"/>
      <w:r w:rsidRPr="00AE6A6E">
        <w:rPr>
          <w:sz w:val="16"/>
          <w:szCs w:val="16"/>
        </w:rPr>
        <w:t xml:space="preserve">. </w:t>
      </w:r>
      <w:proofErr w:type="spellStart"/>
      <w:r w:rsidRPr="00AE6A6E">
        <w:rPr>
          <w:sz w:val="16"/>
          <w:szCs w:val="16"/>
        </w:rPr>
        <w:t>Apart</w:t>
      </w:r>
      <w:proofErr w:type="spellEnd"/>
      <w:r w:rsidRPr="00AE6A6E">
        <w:rPr>
          <w:sz w:val="16"/>
          <w:szCs w:val="16"/>
        </w:rPr>
        <w:t xml:space="preserve"> </w:t>
      </w:r>
      <w:proofErr w:type="spellStart"/>
      <w:r w:rsidRPr="00AE6A6E">
        <w:rPr>
          <w:sz w:val="16"/>
          <w:szCs w:val="16"/>
        </w:rPr>
        <w:t>from</w:t>
      </w:r>
      <w:proofErr w:type="spellEnd"/>
      <w:r w:rsidRPr="00AE6A6E">
        <w:rPr>
          <w:sz w:val="16"/>
          <w:szCs w:val="16"/>
        </w:rPr>
        <w:t xml:space="preserve"> </w:t>
      </w:r>
      <w:proofErr w:type="spellStart"/>
      <w:r w:rsidRPr="00AE6A6E">
        <w:rPr>
          <w:sz w:val="16"/>
          <w:szCs w:val="16"/>
        </w:rPr>
        <w:t>prices</w:t>
      </w:r>
      <w:proofErr w:type="spellEnd"/>
      <w:r w:rsidRPr="00AE6A6E">
        <w:rPr>
          <w:sz w:val="16"/>
          <w:szCs w:val="16"/>
        </w:rPr>
        <w:t xml:space="preserve"> </w:t>
      </w:r>
      <w:proofErr w:type="spellStart"/>
      <w:r w:rsidRPr="00AE6A6E">
        <w:rPr>
          <w:sz w:val="16"/>
          <w:szCs w:val="16"/>
        </w:rPr>
        <w:t>of</w:t>
      </w:r>
      <w:proofErr w:type="spellEnd"/>
      <w:r w:rsidRPr="00AE6A6E">
        <w:rPr>
          <w:sz w:val="16"/>
          <w:szCs w:val="16"/>
        </w:rPr>
        <w:t xml:space="preserve"> </w:t>
      </w:r>
      <w:proofErr w:type="spellStart"/>
      <w:r w:rsidRPr="00AE6A6E">
        <w:rPr>
          <w:sz w:val="16"/>
          <w:szCs w:val="16"/>
        </w:rPr>
        <w:t>housing</w:t>
      </w:r>
      <w:proofErr w:type="spellEnd"/>
      <w:r w:rsidRPr="00AE6A6E">
        <w:rPr>
          <w:sz w:val="16"/>
          <w:szCs w:val="16"/>
        </w:rPr>
        <w:t xml:space="preserve"> </w:t>
      </w:r>
      <w:proofErr w:type="spellStart"/>
      <w:r w:rsidRPr="00AE6A6E">
        <w:rPr>
          <w:sz w:val="16"/>
          <w:szCs w:val="16"/>
        </w:rPr>
        <w:t>themselves</w:t>
      </w:r>
      <w:proofErr w:type="spellEnd"/>
      <w:r w:rsidRPr="00AE6A6E">
        <w:rPr>
          <w:sz w:val="16"/>
          <w:szCs w:val="16"/>
        </w:rPr>
        <w:t xml:space="preserve">, </w:t>
      </w:r>
      <w:proofErr w:type="spellStart"/>
      <w:r w:rsidRPr="00AE6A6E">
        <w:rPr>
          <w:sz w:val="16"/>
          <w:szCs w:val="16"/>
        </w:rPr>
        <w:t>it</w:t>
      </w:r>
      <w:proofErr w:type="spellEnd"/>
      <w:r w:rsidRPr="00AE6A6E">
        <w:rPr>
          <w:sz w:val="16"/>
          <w:szCs w:val="16"/>
        </w:rPr>
        <w:t xml:space="preserve"> </w:t>
      </w:r>
      <w:proofErr w:type="spellStart"/>
      <w:r w:rsidRPr="00AE6A6E">
        <w:rPr>
          <w:sz w:val="16"/>
          <w:szCs w:val="16"/>
        </w:rPr>
        <w:t>also</w:t>
      </w:r>
      <w:proofErr w:type="spellEnd"/>
      <w:r w:rsidRPr="00AE6A6E">
        <w:rPr>
          <w:sz w:val="16"/>
          <w:szCs w:val="16"/>
        </w:rPr>
        <w:t xml:space="preserve"> </w:t>
      </w:r>
      <w:proofErr w:type="spellStart"/>
      <w:r w:rsidRPr="00AE6A6E">
        <w:rPr>
          <w:sz w:val="16"/>
          <w:szCs w:val="16"/>
        </w:rPr>
        <w:t>contains</w:t>
      </w:r>
      <w:proofErr w:type="spellEnd"/>
      <w:r w:rsidRPr="00AE6A6E">
        <w:rPr>
          <w:sz w:val="16"/>
          <w:szCs w:val="16"/>
        </w:rPr>
        <w:t xml:space="preserve"> </w:t>
      </w:r>
      <w:proofErr w:type="spellStart"/>
      <w:r w:rsidRPr="00AE6A6E">
        <w:rPr>
          <w:sz w:val="16"/>
          <w:szCs w:val="16"/>
        </w:rPr>
        <w:t>the</w:t>
      </w:r>
      <w:proofErr w:type="spellEnd"/>
      <w:r w:rsidRPr="00AE6A6E">
        <w:rPr>
          <w:sz w:val="16"/>
          <w:szCs w:val="16"/>
        </w:rPr>
        <w:t xml:space="preserve"> </w:t>
      </w:r>
      <w:proofErr w:type="spellStart"/>
      <w:r w:rsidRPr="00AE6A6E">
        <w:rPr>
          <w:sz w:val="16"/>
          <w:szCs w:val="16"/>
        </w:rPr>
        <w:t>cost</w:t>
      </w:r>
      <w:proofErr w:type="spellEnd"/>
      <w:r w:rsidRPr="00AE6A6E">
        <w:rPr>
          <w:sz w:val="16"/>
          <w:szCs w:val="16"/>
        </w:rPr>
        <w:t xml:space="preserve"> </w:t>
      </w:r>
      <w:proofErr w:type="spellStart"/>
      <w:r w:rsidRPr="00AE6A6E">
        <w:rPr>
          <w:sz w:val="16"/>
          <w:szCs w:val="16"/>
        </w:rPr>
        <w:t>of</w:t>
      </w:r>
      <w:proofErr w:type="spellEnd"/>
      <w:r w:rsidRPr="00AE6A6E">
        <w:rPr>
          <w:sz w:val="16"/>
          <w:szCs w:val="16"/>
        </w:rPr>
        <w:t xml:space="preserve"> </w:t>
      </w:r>
      <w:proofErr w:type="spellStart"/>
      <w:r w:rsidRPr="00AE6A6E">
        <w:rPr>
          <w:sz w:val="16"/>
          <w:szCs w:val="16"/>
        </w:rPr>
        <w:t>construction</w:t>
      </w:r>
      <w:proofErr w:type="spellEnd"/>
      <w:r w:rsidRPr="00AE6A6E">
        <w:rPr>
          <w:sz w:val="16"/>
          <w:szCs w:val="16"/>
        </w:rPr>
        <w:t xml:space="preserve"> and </w:t>
      </w:r>
      <w:proofErr w:type="spellStart"/>
      <w:r w:rsidRPr="00AE6A6E">
        <w:rPr>
          <w:sz w:val="16"/>
          <w:szCs w:val="16"/>
        </w:rPr>
        <w:t>renovation</w:t>
      </w:r>
      <w:proofErr w:type="spellEnd"/>
      <w:r w:rsidRPr="00AE6A6E">
        <w:rPr>
          <w:sz w:val="16"/>
          <w:szCs w:val="16"/>
        </w:rPr>
        <w:t xml:space="preserve"> and </w:t>
      </w:r>
      <w:proofErr w:type="spellStart"/>
      <w:r w:rsidRPr="00AE6A6E">
        <w:rPr>
          <w:sz w:val="16"/>
          <w:szCs w:val="16"/>
        </w:rPr>
        <w:t>further</w:t>
      </w:r>
      <w:proofErr w:type="spellEnd"/>
      <w:r w:rsidRPr="00AE6A6E">
        <w:rPr>
          <w:sz w:val="16"/>
          <w:szCs w:val="16"/>
        </w:rPr>
        <w:t xml:space="preserve"> </w:t>
      </w:r>
      <w:proofErr w:type="spellStart"/>
      <w:r w:rsidRPr="00AE6A6E">
        <w:rPr>
          <w:sz w:val="16"/>
          <w:szCs w:val="16"/>
        </w:rPr>
        <w:t>fees</w:t>
      </w:r>
      <w:proofErr w:type="spellEnd"/>
      <w:r>
        <w:rPr>
          <w:sz w:val="16"/>
          <w:szCs w:val="16"/>
        </w:rPr>
        <w:t xml:space="preserve">. </w:t>
      </w:r>
      <w:proofErr w:type="spellStart"/>
      <w:r>
        <w:rPr>
          <w:sz w:val="16"/>
          <w:szCs w:val="16"/>
        </w:rPr>
        <w:t>For</w:t>
      </w:r>
      <w:proofErr w:type="spellEnd"/>
      <w:r>
        <w:rPr>
          <w:sz w:val="16"/>
          <w:szCs w:val="16"/>
        </w:rPr>
        <w:t xml:space="preserve"> more </w:t>
      </w:r>
      <w:proofErr w:type="spellStart"/>
      <w:r>
        <w:rPr>
          <w:sz w:val="16"/>
          <w:szCs w:val="16"/>
        </w:rPr>
        <w:t>see</w:t>
      </w:r>
      <w:proofErr w:type="spellEnd"/>
      <w:r>
        <w:rPr>
          <w:sz w:val="16"/>
          <w:szCs w:val="16"/>
        </w:rPr>
        <w:t xml:space="preserve">: </w:t>
      </w:r>
      <w:hyperlink r:id="rId2" w:history="1">
        <w:r>
          <w:rPr>
            <w:rStyle w:val="Hypertextovodkaz"/>
            <w:sz w:val="16"/>
            <w:szCs w:val="16"/>
          </w:rPr>
          <w:t>https://csu.gov.cz/methodological-note-to-consumer-price-index-imputed-rentals</w:t>
        </w:r>
      </w:hyperlink>
      <w:r>
        <w:rPr>
          <w:rStyle w:val="Hypertextovodkaz"/>
          <w:sz w:val="16"/>
          <w:szCs w:val="16"/>
        </w:rPr>
        <w:t>.</w:t>
      </w:r>
    </w:p>
  </w:footnote>
  <w:footnote w:id="57">
    <w:p w14:paraId="3A97D2DC" w14:textId="77777777" w:rsidR="00165465" w:rsidRDefault="00165465" w:rsidP="00E551F6">
      <w:pPr>
        <w:pStyle w:val="Textpoznpodarou"/>
        <w:rPr>
          <w:sz w:val="16"/>
          <w:szCs w:val="16"/>
        </w:rPr>
      </w:pPr>
      <w:r>
        <w:rPr>
          <w:rStyle w:val="Znakapoznpodarou"/>
          <w:sz w:val="16"/>
          <w:szCs w:val="16"/>
        </w:rPr>
        <w:footnoteRef/>
      </w:r>
      <w:r>
        <w:rPr>
          <w:sz w:val="16"/>
          <w:szCs w:val="16"/>
        </w:rPr>
        <w:t xml:space="preserve"> </w:t>
      </w:r>
      <w:proofErr w:type="spellStart"/>
      <w:r w:rsidRPr="00A1555B">
        <w:rPr>
          <w:sz w:val="16"/>
          <w:szCs w:val="16"/>
        </w:rPr>
        <w:t>Contains</w:t>
      </w:r>
      <w:proofErr w:type="spellEnd"/>
      <w:r w:rsidRPr="00A1555B">
        <w:rPr>
          <w:sz w:val="16"/>
          <w:szCs w:val="16"/>
        </w:rPr>
        <w:t xml:space="preserve"> </w:t>
      </w:r>
      <w:proofErr w:type="spellStart"/>
      <w:r w:rsidRPr="00A1555B">
        <w:rPr>
          <w:sz w:val="16"/>
          <w:szCs w:val="16"/>
        </w:rPr>
        <w:t>services</w:t>
      </w:r>
      <w:proofErr w:type="spellEnd"/>
      <w:r w:rsidRPr="00A1555B">
        <w:rPr>
          <w:sz w:val="16"/>
          <w:szCs w:val="16"/>
        </w:rPr>
        <w:t xml:space="preserve"> </w:t>
      </w:r>
      <w:proofErr w:type="spellStart"/>
      <w:r w:rsidRPr="00A1555B">
        <w:rPr>
          <w:sz w:val="16"/>
          <w:szCs w:val="16"/>
        </w:rPr>
        <w:t>of</w:t>
      </w:r>
      <w:proofErr w:type="spellEnd"/>
      <w:r w:rsidRPr="00A1555B">
        <w:rPr>
          <w:sz w:val="16"/>
          <w:szCs w:val="16"/>
        </w:rPr>
        <w:t xml:space="preserve"> </w:t>
      </w:r>
      <w:proofErr w:type="spellStart"/>
      <w:r w:rsidRPr="00A1555B">
        <w:rPr>
          <w:sz w:val="16"/>
          <w:szCs w:val="16"/>
        </w:rPr>
        <w:t>personal</w:t>
      </w:r>
      <w:proofErr w:type="spellEnd"/>
      <w:r w:rsidRPr="00A1555B">
        <w:rPr>
          <w:sz w:val="16"/>
          <w:szCs w:val="16"/>
        </w:rPr>
        <w:t xml:space="preserve"> care and </w:t>
      </w:r>
      <w:proofErr w:type="spellStart"/>
      <w:r w:rsidRPr="00A1555B">
        <w:rPr>
          <w:sz w:val="16"/>
          <w:szCs w:val="16"/>
        </w:rPr>
        <w:t>personal</w:t>
      </w:r>
      <w:proofErr w:type="spellEnd"/>
      <w:r w:rsidRPr="00A1555B">
        <w:rPr>
          <w:sz w:val="16"/>
          <w:szCs w:val="16"/>
        </w:rPr>
        <w:t xml:space="preserve"> </w:t>
      </w:r>
      <w:proofErr w:type="spellStart"/>
      <w:r w:rsidRPr="00A1555B">
        <w:rPr>
          <w:sz w:val="16"/>
          <w:szCs w:val="16"/>
        </w:rPr>
        <w:t>needs</w:t>
      </w:r>
      <w:proofErr w:type="spellEnd"/>
      <w:r w:rsidRPr="00A1555B">
        <w:rPr>
          <w:sz w:val="16"/>
          <w:szCs w:val="16"/>
        </w:rPr>
        <w:t xml:space="preserve"> and </w:t>
      </w:r>
      <w:proofErr w:type="spellStart"/>
      <w:r w:rsidRPr="00A1555B">
        <w:rPr>
          <w:sz w:val="16"/>
          <w:szCs w:val="16"/>
        </w:rPr>
        <w:t>accessories</w:t>
      </w:r>
      <w:proofErr w:type="spellEnd"/>
      <w:r w:rsidRPr="00A1555B">
        <w:rPr>
          <w:sz w:val="16"/>
          <w:szCs w:val="16"/>
        </w:rPr>
        <w:t xml:space="preserve">, </w:t>
      </w:r>
      <w:proofErr w:type="spellStart"/>
      <w:r w:rsidRPr="00A1555B">
        <w:rPr>
          <w:sz w:val="16"/>
          <w:szCs w:val="16"/>
        </w:rPr>
        <w:t>social</w:t>
      </w:r>
      <w:proofErr w:type="spellEnd"/>
      <w:r w:rsidRPr="00A1555B">
        <w:rPr>
          <w:sz w:val="16"/>
          <w:szCs w:val="16"/>
        </w:rPr>
        <w:t xml:space="preserve"> care, </w:t>
      </w:r>
      <w:proofErr w:type="spellStart"/>
      <w:r w:rsidRPr="00A1555B">
        <w:rPr>
          <w:sz w:val="16"/>
          <w:szCs w:val="16"/>
        </w:rPr>
        <w:t>insurance</w:t>
      </w:r>
      <w:proofErr w:type="spellEnd"/>
      <w:r w:rsidRPr="00A1555B">
        <w:rPr>
          <w:sz w:val="16"/>
          <w:szCs w:val="16"/>
        </w:rPr>
        <w:t xml:space="preserve"> and </w:t>
      </w:r>
      <w:proofErr w:type="spellStart"/>
      <w:r w:rsidRPr="00A1555B">
        <w:rPr>
          <w:sz w:val="16"/>
          <w:szCs w:val="16"/>
        </w:rPr>
        <w:t>further</w:t>
      </w:r>
      <w:proofErr w:type="spellEnd"/>
      <w:r w:rsidRPr="00A1555B">
        <w:rPr>
          <w:sz w:val="16"/>
          <w:szCs w:val="16"/>
        </w:rPr>
        <w:t xml:space="preserve"> </w:t>
      </w:r>
      <w:proofErr w:type="spellStart"/>
      <w:r w:rsidRPr="00A1555B">
        <w:rPr>
          <w:sz w:val="16"/>
          <w:szCs w:val="16"/>
        </w:rPr>
        <w:t>financial</w:t>
      </w:r>
      <w:proofErr w:type="spellEnd"/>
      <w:r w:rsidRPr="00A1555B">
        <w:rPr>
          <w:sz w:val="16"/>
          <w:szCs w:val="16"/>
        </w:rPr>
        <w:t xml:space="preserve"> </w:t>
      </w:r>
      <w:proofErr w:type="spellStart"/>
      <w:r w:rsidRPr="00A1555B">
        <w:rPr>
          <w:sz w:val="16"/>
          <w:szCs w:val="16"/>
        </w:rPr>
        <w:t>services</w:t>
      </w:r>
      <w:proofErr w:type="spellEnd"/>
      <w:r w:rsidRPr="00A1555B">
        <w:rPr>
          <w:sz w:val="16"/>
          <w:szCs w:val="16"/>
        </w:rPr>
        <w:t xml:space="preserve"> </w:t>
      </w:r>
      <w:proofErr w:type="spellStart"/>
      <w:r w:rsidRPr="00A1555B">
        <w:rPr>
          <w:sz w:val="16"/>
          <w:szCs w:val="16"/>
        </w:rPr>
        <w:t>etc</w:t>
      </w:r>
      <w:proofErr w:type="spellEnd"/>
      <w:r>
        <w:rPr>
          <w:sz w:val="16"/>
          <w:szCs w:val="16"/>
        </w:rPr>
        <w:t xml:space="preserve"> </w:t>
      </w:r>
    </w:p>
  </w:footnote>
  <w:footnote w:id="58">
    <w:p w14:paraId="6D811816" w14:textId="77777777" w:rsidR="00165465" w:rsidRPr="008D79F4"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r w:rsidRPr="008D79F4">
        <w:rPr>
          <w:sz w:val="16"/>
          <w:szCs w:val="16"/>
          <w:lang w:val="en-GB"/>
        </w:rPr>
        <w:t xml:space="preserve">Contrary to the consumer price index, which the CZSO compiles for the Czech economy, HICP does not contain imputed rent, which is the main reason for the difference between the HICP and Consumer price index. </w:t>
      </w:r>
    </w:p>
  </w:footnote>
  <w:footnote w:id="59">
    <w:p w14:paraId="0C85FFDA" w14:textId="77777777" w:rsidR="00165465" w:rsidRDefault="00165465" w:rsidP="00E551F6">
      <w:pPr>
        <w:pStyle w:val="Textpoznpodarou"/>
        <w:rPr>
          <w:sz w:val="16"/>
          <w:szCs w:val="16"/>
        </w:rPr>
      </w:pPr>
      <w:r>
        <w:rPr>
          <w:rStyle w:val="Znakapoznpodarou"/>
          <w:sz w:val="16"/>
          <w:szCs w:val="16"/>
        </w:rPr>
        <w:footnoteRef/>
      </w:r>
      <w:r>
        <w:rPr>
          <w:sz w:val="16"/>
          <w:szCs w:val="16"/>
        </w:rPr>
        <w:t xml:space="preserve"> </w:t>
      </w:r>
      <w:r w:rsidRPr="00DE6E29">
        <w:rPr>
          <w:sz w:val="16"/>
          <w:szCs w:val="16"/>
          <w:lang w:val="en-GB"/>
        </w:rPr>
        <w:t xml:space="preserve">Without prices of water distribution and </w:t>
      </w:r>
      <w:r>
        <w:rPr>
          <w:sz w:val="16"/>
          <w:szCs w:val="16"/>
          <w:lang w:val="en-GB"/>
        </w:rPr>
        <w:t>s</w:t>
      </w:r>
      <w:r w:rsidRPr="00DE6E29">
        <w:rPr>
          <w:sz w:val="16"/>
          <w:szCs w:val="16"/>
          <w:lang w:val="en-GB"/>
        </w:rPr>
        <w:t>ervices associated with wastewaters</w:t>
      </w:r>
      <w:r>
        <w:rPr>
          <w:sz w:val="16"/>
          <w:szCs w:val="16"/>
          <w:lang w:val="en-GB"/>
        </w:rPr>
        <w:t>.</w:t>
      </w:r>
      <w:r>
        <w:rPr>
          <w:sz w:val="16"/>
          <w:szCs w:val="16"/>
        </w:rPr>
        <w:t xml:space="preserve"> </w:t>
      </w:r>
    </w:p>
  </w:footnote>
  <w:footnote w:id="60">
    <w:p w14:paraId="0BB50B6A" w14:textId="77777777" w:rsidR="00165465" w:rsidRPr="00466D8B"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r w:rsidRPr="00466D8B">
        <w:rPr>
          <w:sz w:val="16"/>
          <w:szCs w:val="16"/>
          <w:lang w:val="en-GB"/>
        </w:rPr>
        <w:t xml:space="preserve">Based on the CNB data, the average koruna foreign exchange per euro was 24.958 CZK/EUR in Q2 2024. It was 23.588 CZK/EUR in Q2 2023. Koruna foreign exchange per dollar also weakened. The average was 23.179 CZK/USD in Q2 2024. It was 21.673 CZK/USD in the same period of year 2023. </w:t>
      </w:r>
    </w:p>
  </w:footnote>
  <w:footnote w:id="61">
    <w:p w14:paraId="3B83A458" w14:textId="77777777" w:rsidR="00165465" w:rsidRPr="00B333D0" w:rsidRDefault="00165465" w:rsidP="006233F9">
      <w:pPr>
        <w:pStyle w:val="Textpoznpodarou"/>
        <w:jc w:val="both"/>
        <w:rPr>
          <w:color w:val="0D0D0D" w:themeColor="text1" w:themeTint="F2"/>
          <w:spacing w:val="-2"/>
          <w:sz w:val="16"/>
          <w:szCs w:val="16"/>
          <w:lang w:val="en-GB"/>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w:t>
      </w:r>
      <w:r w:rsidRPr="006159F5">
        <w:rPr>
          <w:color w:val="0D0D0D" w:themeColor="text1" w:themeTint="F2"/>
          <w:spacing w:val="-2"/>
          <w:sz w:val="16"/>
          <w:szCs w:val="16"/>
        </w:rPr>
        <w:t xml:space="preserve">Data </w:t>
      </w:r>
      <w:proofErr w:type="spellStart"/>
      <w:r w:rsidRPr="006159F5">
        <w:rPr>
          <w:color w:val="0D0D0D" w:themeColor="text1" w:themeTint="F2"/>
          <w:spacing w:val="-2"/>
          <w:sz w:val="16"/>
          <w:szCs w:val="16"/>
        </w:rPr>
        <w:t>regarding</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employment</w:t>
      </w:r>
      <w:proofErr w:type="spellEnd"/>
      <w:r w:rsidRPr="006159F5">
        <w:rPr>
          <w:color w:val="0D0D0D" w:themeColor="text1" w:themeTint="F2"/>
          <w:spacing w:val="-2"/>
          <w:sz w:val="16"/>
          <w:szCs w:val="16"/>
        </w:rPr>
        <w:t xml:space="preserve"> stem </w:t>
      </w:r>
      <w:proofErr w:type="spellStart"/>
      <w:r w:rsidRPr="006159F5">
        <w:rPr>
          <w:color w:val="0D0D0D" w:themeColor="text1" w:themeTint="F2"/>
          <w:spacing w:val="-2"/>
          <w:sz w:val="16"/>
          <w:szCs w:val="16"/>
        </w:rPr>
        <w:t>from</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national</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accounts</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conception</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They</w:t>
      </w:r>
      <w:proofErr w:type="spellEnd"/>
      <w:r w:rsidRPr="006159F5">
        <w:rPr>
          <w:color w:val="0D0D0D" w:themeColor="text1" w:themeTint="F2"/>
          <w:spacing w:val="-2"/>
          <w:sz w:val="16"/>
          <w:szCs w:val="16"/>
        </w:rPr>
        <w:t xml:space="preserve"> are </w:t>
      </w:r>
      <w:proofErr w:type="spellStart"/>
      <w:r w:rsidRPr="006159F5">
        <w:rPr>
          <w:color w:val="0D0D0D" w:themeColor="text1" w:themeTint="F2"/>
          <w:spacing w:val="-2"/>
          <w:sz w:val="16"/>
          <w:szCs w:val="16"/>
        </w:rPr>
        <w:t>expressed</w:t>
      </w:r>
      <w:proofErr w:type="spellEnd"/>
      <w:r w:rsidRPr="006159F5">
        <w:rPr>
          <w:color w:val="0D0D0D" w:themeColor="text1" w:themeTint="F2"/>
          <w:spacing w:val="-2"/>
          <w:sz w:val="16"/>
          <w:szCs w:val="16"/>
        </w:rPr>
        <w:t xml:space="preserve"> in </w:t>
      </w:r>
      <w:proofErr w:type="spellStart"/>
      <w:r w:rsidRPr="006159F5">
        <w:rPr>
          <w:color w:val="0D0D0D" w:themeColor="text1" w:themeTint="F2"/>
          <w:spacing w:val="-2"/>
          <w:sz w:val="16"/>
          <w:szCs w:val="16"/>
        </w:rPr>
        <w:t>physical</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persons</w:t>
      </w:r>
      <w:proofErr w:type="spellEnd"/>
      <w:r w:rsidRPr="006159F5">
        <w:rPr>
          <w:color w:val="0D0D0D" w:themeColor="text1" w:themeTint="F2"/>
          <w:spacing w:val="-2"/>
          <w:sz w:val="16"/>
          <w:szCs w:val="16"/>
        </w:rPr>
        <w:t xml:space="preserve"> and </w:t>
      </w:r>
      <w:proofErr w:type="spellStart"/>
      <w:r w:rsidRPr="006159F5">
        <w:rPr>
          <w:color w:val="0D0D0D" w:themeColor="text1" w:themeTint="F2"/>
          <w:spacing w:val="-2"/>
          <w:sz w:val="16"/>
          <w:szCs w:val="16"/>
        </w:rPr>
        <w:t>adjusted</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for</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seasonal</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effects</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Unlike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data </w:t>
      </w:r>
      <w:proofErr w:type="spellStart"/>
      <w:r w:rsidRPr="006159F5">
        <w:rPr>
          <w:color w:val="0D0D0D" w:themeColor="text1" w:themeTint="F2"/>
          <w:spacing w:val="-2"/>
          <w:sz w:val="16"/>
          <w:szCs w:val="16"/>
        </w:rPr>
        <w:t>from</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business </w:t>
      </w:r>
      <w:proofErr w:type="spellStart"/>
      <w:r w:rsidRPr="006159F5">
        <w:rPr>
          <w:color w:val="0D0D0D" w:themeColor="text1" w:themeTint="F2"/>
          <w:spacing w:val="-2"/>
          <w:sz w:val="16"/>
          <w:szCs w:val="16"/>
        </w:rPr>
        <w:t>statistics</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or</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labour</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force</w:t>
      </w:r>
      <w:proofErr w:type="spellEnd"/>
      <w:r w:rsidRPr="006159F5">
        <w:rPr>
          <w:color w:val="0D0D0D" w:themeColor="text1" w:themeTint="F2"/>
          <w:spacing w:val="-2"/>
          <w:sz w:val="16"/>
          <w:szCs w:val="16"/>
        </w:rPr>
        <w:t xml:space="preserve"> sample </w:t>
      </w:r>
      <w:proofErr w:type="spellStart"/>
      <w:r w:rsidRPr="006159F5">
        <w:rPr>
          <w:color w:val="0D0D0D" w:themeColor="text1" w:themeTint="F2"/>
          <w:spacing w:val="-2"/>
          <w:sz w:val="16"/>
          <w:szCs w:val="16"/>
        </w:rPr>
        <w:t>survey</w:t>
      </w:r>
      <w:proofErr w:type="spellEnd"/>
      <w:r w:rsidRPr="006159F5">
        <w:rPr>
          <w:color w:val="0D0D0D" w:themeColor="text1" w:themeTint="F2"/>
          <w:spacing w:val="-2"/>
          <w:sz w:val="16"/>
          <w:szCs w:val="16"/>
        </w:rPr>
        <w:t xml:space="preserve"> (LFSS) </w:t>
      </w:r>
      <w:proofErr w:type="spellStart"/>
      <w:r w:rsidRPr="006159F5">
        <w:rPr>
          <w:color w:val="0D0D0D" w:themeColor="text1" w:themeTint="F2"/>
          <w:spacing w:val="-2"/>
          <w:sz w:val="16"/>
          <w:szCs w:val="16"/>
        </w:rPr>
        <w:t>also</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include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for</w:t>
      </w:r>
      <w:proofErr w:type="spellEnd"/>
      <w:r w:rsidRPr="006159F5">
        <w:rPr>
          <w:color w:val="0D0D0D" w:themeColor="text1" w:themeTint="F2"/>
          <w:spacing w:val="-2"/>
          <w:sz w:val="16"/>
          <w:szCs w:val="16"/>
        </w:rPr>
        <w:t xml:space="preserve"> instance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estimation</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of</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the</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grey</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economy</w:t>
      </w:r>
      <w:proofErr w:type="spellEnd"/>
      <w:r w:rsidRPr="006159F5">
        <w:rPr>
          <w:color w:val="0D0D0D" w:themeColor="text1" w:themeTint="F2"/>
          <w:spacing w:val="-2"/>
          <w:sz w:val="16"/>
          <w:szCs w:val="16"/>
        </w:rPr>
        <w:t xml:space="preserve"> </w:t>
      </w:r>
      <w:proofErr w:type="spellStart"/>
      <w:r w:rsidRPr="006159F5">
        <w:rPr>
          <w:color w:val="0D0D0D" w:themeColor="text1" w:themeTint="F2"/>
          <w:spacing w:val="-2"/>
          <w:sz w:val="16"/>
          <w:szCs w:val="16"/>
        </w:rPr>
        <w:t>impact</w:t>
      </w:r>
      <w:proofErr w:type="spellEnd"/>
      <w:r w:rsidRPr="006159F5">
        <w:rPr>
          <w:color w:val="0D0D0D" w:themeColor="text1" w:themeTint="F2"/>
          <w:spacing w:val="-2"/>
          <w:sz w:val="16"/>
          <w:szCs w:val="16"/>
        </w:rPr>
        <w:t>.</w:t>
      </w:r>
      <w:r>
        <w:rPr>
          <w:color w:val="0D0D0D" w:themeColor="text1" w:themeTint="F2"/>
          <w:spacing w:val="-2"/>
          <w:sz w:val="16"/>
          <w:szCs w:val="16"/>
        </w:rPr>
        <w:t xml:space="preserve"> </w:t>
      </w:r>
    </w:p>
  </w:footnote>
  <w:footnote w:id="62">
    <w:p w14:paraId="44449EB5" w14:textId="18374F58" w:rsidR="00165465" w:rsidRPr="00B333D0" w:rsidRDefault="00165465" w:rsidP="006233F9">
      <w:pPr>
        <w:spacing w:after="0" w:line="240" w:lineRule="auto"/>
        <w:rPr>
          <w:spacing w:val="-3"/>
          <w:sz w:val="16"/>
          <w:szCs w:val="16"/>
          <w:lang w:val="en-GB"/>
        </w:rPr>
      </w:pPr>
      <w:r w:rsidRPr="00B333D0">
        <w:rPr>
          <w:rStyle w:val="Znakapoznpodarou"/>
          <w:spacing w:val="-3"/>
          <w:sz w:val="16"/>
          <w:szCs w:val="16"/>
          <w:lang w:val="en-GB"/>
        </w:rPr>
        <w:footnoteRef/>
      </w:r>
      <w:r w:rsidRPr="00B333D0">
        <w:rPr>
          <w:spacing w:val="-3"/>
          <w:sz w:val="16"/>
          <w:szCs w:val="16"/>
          <w:lang w:val="en-GB"/>
        </w:rPr>
        <w:t xml:space="preserve"> </w:t>
      </w:r>
      <w:r w:rsidRPr="005748A2">
        <w:rPr>
          <w:spacing w:val="-3"/>
          <w:sz w:val="16"/>
          <w:szCs w:val="16"/>
          <w:lang w:val="en-GB"/>
        </w:rPr>
        <w:t xml:space="preserve">Employment in the Czech Republic has been growing more slowly than in the EU </w:t>
      </w:r>
      <w:r>
        <w:rPr>
          <w:spacing w:val="-3"/>
          <w:sz w:val="16"/>
          <w:szCs w:val="16"/>
          <w:lang w:val="en-GB"/>
        </w:rPr>
        <w:t>in the long-term</w:t>
      </w:r>
      <w:r w:rsidRPr="005748A2">
        <w:rPr>
          <w:spacing w:val="-3"/>
          <w:sz w:val="16"/>
          <w:szCs w:val="16"/>
          <w:lang w:val="en-GB"/>
        </w:rPr>
        <w:t xml:space="preserve">. </w:t>
      </w:r>
      <w:r>
        <w:rPr>
          <w:spacing w:val="-3"/>
          <w:sz w:val="16"/>
          <w:szCs w:val="16"/>
          <w:lang w:val="en-GB"/>
        </w:rPr>
        <w:t>T</w:t>
      </w:r>
      <w:r w:rsidR="0019301D">
        <w:rPr>
          <w:spacing w:val="-3"/>
          <w:sz w:val="16"/>
          <w:szCs w:val="16"/>
          <w:lang w:val="en-GB"/>
        </w:rPr>
        <w:t>he number of working persons</w:t>
      </w:r>
      <w:r w:rsidRPr="005748A2">
        <w:rPr>
          <w:spacing w:val="-3"/>
          <w:sz w:val="16"/>
          <w:szCs w:val="16"/>
          <w:lang w:val="en-GB"/>
        </w:rPr>
        <w:t xml:space="preserve"> increased by 1.0%</w:t>
      </w:r>
      <w:r>
        <w:rPr>
          <w:spacing w:val="-3"/>
          <w:sz w:val="16"/>
          <w:szCs w:val="16"/>
          <w:lang w:val="en-GB"/>
        </w:rPr>
        <w:t>,</w:t>
      </w:r>
      <w:r w:rsidRPr="005748A2">
        <w:rPr>
          <w:spacing w:val="-3"/>
          <w:sz w:val="16"/>
          <w:szCs w:val="16"/>
          <w:lang w:val="en-GB"/>
        </w:rPr>
        <w:t xml:space="preserve"> year-on-year</w:t>
      </w:r>
      <w:r>
        <w:rPr>
          <w:spacing w:val="-3"/>
          <w:sz w:val="16"/>
          <w:szCs w:val="16"/>
          <w:lang w:val="en-GB"/>
        </w:rPr>
        <w:t>,</w:t>
      </w:r>
      <w:r w:rsidRPr="005748A2">
        <w:rPr>
          <w:spacing w:val="-3"/>
          <w:sz w:val="16"/>
          <w:szCs w:val="16"/>
          <w:lang w:val="en-GB"/>
        </w:rPr>
        <w:t xml:space="preserve"> </w:t>
      </w:r>
      <w:r>
        <w:rPr>
          <w:spacing w:val="-3"/>
          <w:sz w:val="16"/>
          <w:szCs w:val="16"/>
          <w:lang w:val="en-GB"/>
        </w:rPr>
        <w:t xml:space="preserve">in the whole Union </w:t>
      </w:r>
      <w:r w:rsidRPr="005748A2">
        <w:rPr>
          <w:spacing w:val="-3"/>
          <w:sz w:val="16"/>
          <w:szCs w:val="16"/>
          <w:lang w:val="en-GB"/>
        </w:rPr>
        <w:t xml:space="preserve">in Q2 2024 (similarly to the domestic </w:t>
      </w:r>
      <w:r>
        <w:rPr>
          <w:spacing w:val="-3"/>
          <w:sz w:val="16"/>
          <w:szCs w:val="16"/>
          <w:lang w:val="en-GB"/>
        </w:rPr>
        <w:t>pace</w:t>
      </w:r>
      <w:r w:rsidRPr="005748A2">
        <w:rPr>
          <w:spacing w:val="-3"/>
          <w:sz w:val="16"/>
          <w:szCs w:val="16"/>
          <w:lang w:val="en-GB"/>
        </w:rPr>
        <w:t xml:space="preserve">, this was one of the lowest rates since </w:t>
      </w:r>
      <w:proofErr w:type="gramStart"/>
      <w:r>
        <w:rPr>
          <w:spacing w:val="-3"/>
          <w:sz w:val="16"/>
          <w:szCs w:val="16"/>
          <w:lang w:val="en-GB"/>
        </w:rPr>
        <w:t>S</w:t>
      </w:r>
      <w:r w:rsidRPr="005748A2">
        <w:rPr>
          <w:spacing w:val="-3"/>
          <w:sz w:val="16"/>
          <w:szCs w:val="16"/>
          <w:lang w:val="en-GB"/>
        </w:rPr>
        <w:t>pring</w:t>
      </w:r>
      <w:proofErr w:type="gramEnd"/>
      <w:r w:rsidRPr="005748A2">
        <w:rPr>
          <w:spacing w:val="-3"/>
          <w:sz w:val="16"/>
          <w:szCs w:val="16"/>
          <w:lang w:val="en-GB"/>
        </w:rPr>
        <w:t xml:space="preserve"> 2021). </w:t>
      </w:r>
      <w:r>
        <w:rPr>
          <w:spacing w:val="-3"/>
          <w:sz w:val="16"/>
          <w:szCs w:val="16"/>
          <w:lang w:val="en-GB"/>
        </w:rPr>
        <w:t>T</w:t>
      </w:r>
      <w:r w:rsidR="0019301D">
        <w:rPr>
          <w:spacing w:val="-3"/>
          <w:sz w:val="16"/>
          <w:szCs w:val="16"/>
          <w:lang w:val="en-GB"/>
        </w:rPr>
        <w:t>he key role in</w:t>
      </w:r>
      <w:r>
        <w:rPr>
          <w:spacing w:val="-3"/>
          <w:sz w:val="16"/>
          <w:szCs w:val="16"/>
          <w:lang w:val="en-GB"/>
        </w:rPr>
        <w:t xml:space="preserve"> employment growth </w:t>
      </w:r>
      <w:r w:rsidR="0019301D">
        <w:rPr>
          <w:spacing w:val="-3"/>
          <w:sz w:val="16"/>
          <w:szCs w:val="16"/>
          <w:lang w:val="en-GB"/>
        </w:rPr>
        <w:t>played</w:t>
      </w:r>
      <w:r w:rsidRPr="005748A2">
        <w:rPr>
          <w:spacing w:val="-3"/>
          <w:sz w:val="16"/>
          <w:szCs w:val="16"/>
          <w:lang w:val="en-GB"/>
        </w:rPr>
        <w:t xml:space="preserve"> services</w:t>
      </w:r>
      <w:r w:rsidR="0019301D">
        <w:rPr>
          <w:spacing w:val="-3"/>
          <w:sz w:val="16"/>
          <w:szCs w:val="16"/>
          <w:lang w:val="en-GB"/>
        </w:rPr>
        <w:t xml:space="preserve"> also </w:t>
      </w:r>
      <w:r>
        <w:rPr>
          <w:spacing w:val="-3"/>
          <w:sz w:val="16"/>
          <w:szCs w:val="16"/>
          <w:lang w:val="en-GB"/>
        </w:rPr>
        <w:t>in the EU – it grew the most in i</w:t>
      </w:r>
      <w:r w:rsidRPr="005748A2">
        <w:rPr>
          <w:spacing w:val="-3"/>
          <w:sz w:val="16"/>
          <w:szCs w:val="16"/>
          <w:lang w:val="en-GB"/>
        </w:rPr>
        <w:t>nformation and communication and in financ</w:t>
      </w:r>
      <w:r>
        <w:rPr>
          <w:spacing w:val="-3"/>
          <w:sz w:val="16"/>
          <w:szCs w:val="16"/>
          <w:lang w:val="en-GB"/>
        </w:rPr>
        <w:t>ial activities</w:t>
      </w:r>
      <w:r w:rsidRPr="005748A2">
        <w:rPr>
          <w:spacing w:val="-3"/>
          <w:sz w:val="16"/>
          <w:szCs w:val="16"/>
          <w:lang w:val="en-GB"/>
        </w:rPr>
        <w:t xml:space="preserve">. Industry only stagnated. Among the individual countries, the </w:t>
      </w:r>
      <w:r>
        <w:rPr>
          <w:spacing w:val="-3"/>
          <w:sz w:val="16"/>
          <w:szCs w:val="16"/>
          <w:lang w:val="en-GB"/>
        </w:rPr>
        <w:t xml:space="preserve">total number of </w:t>
      </w:r>
      <w:r w:rsidRPr="005748A2">
        <w:rPr>
          <w:spacing w:val="-3"/>
          <w:sz w:val="16"/>
          <w:szCs w:val="16"/>
          <w:lang w:val="en-GB"/>
        </w:rPr>
        <w:t xml:space="preserve">employees </w:t>
      </w:r>
      <w:r>
        <w:rPr>
          <w:spacing w:val="-3"/>
          <w:sz w:val="16"/>
          <w:szCs w:val="16"/>
          <w:lang w:val="en-GB"/>
        </w:rPr>
        <w:t xml:space="preserve">increased the most </w:t>
      </w:r>
      <w:r w:rsidRPr="005748A2">
        <w:rPr>
          <w:spacing w:val="-3"/>
          <w:sz w:val="16"/>
          <w:szCs w:val="16"/>
          <w:lang w:val="en-GB"/>
        </w:rPr>
        <w:t xml:space="preserve">in Lithuania (by 2.8%) and Croatia (+2.6%), and among the major economies in Spain (+2.2%) and Italy (+1.4%). The number of employees decreased only in five mostly smaller countries – especially in Finland (−1.5%), but also in Poland (−0.8%) </w:t>
      </w:r>
      <w:r>
        <w:rPr>
          <w:spacing w:val="-3"/>
          <w:sz w:val="16"/>
          <w:szCs w:val="16"/>
          <w:lang w:val="en-GB"/>
        </w:rPr>
        <w:t xml:space="preserve">or in </w:t>
      </w:r>
      <w:r w:rsidRPr="005748A2">
        <w:rPr>
          <w:spacing w:val="-3"/>
          <w:sz w:val="16"/>
          <w:szCs w:val="16"/>
          <w:lang w:val="en-GB"/>
        </w:rPr>
        <w:t xml:space="preserve">Slovakia (−0.2%). In Germany, as in the Czech Republic, the very modest </w:t>
      </w:r>
      <w:r>
        <w:rPr>
          <w:spacing w:val="-3"/>
          <w:sz w:val="16"/>
          <w:szCs w:val="16"/>
          <w:lang w:val="en-GB"/>
        </w:rPr>
        <w:t xml:space="preserve">total </w:t>
      </w:r>
      <w:r w:rsidRPr="005748A2">
        <w:rPr>
          <w:spacing w:val="-3"/>
          <w:sz w:val="16"/>
          <w:szCs w:val="16"/>
          <w:lang w:val="en-GB"/>
        </w:rPr>
        <w:t xml:space="preserve">growth (+0.4%) reflected the </w:t>
      </w:r>
      <w:r>
        <w:rPr>
          <w:spacing w:val="-3"/>
          <w:sz w:val="16"/>
          <w:szCs w:val="16"/>
          <w:lang w:val="en-GB"/>
        </w:rPr>
        <w:t xml:space="preserve">difficulties </w:t>
      </w:r>
      <w:r w:rsidRPr="005748A2">
        <w:rPr>
          <w:spacing w:val="-3"/>
          <w:sz w:val="16"/>
          <w:szCs w:val="16"/>
          <w:lang w:val="en-GB"/>
        </w:rPr>
        <w:t>of industry a</w:t>
      </w:r>
      <w:r>
        <w:rPr>
          <w:spacing w:val="-3"/>
          <w:sz w:val="16"/>
          <w:szCs w:val="16"/>
          <w:lang w:val="en-GB"/>
        </w:rPr>
        <w:t xml:space="preserve">s well as </w:t>
      </w:r>
      <w:r w:rsidRPr="005748A2">
        <w:rPr>
          <w:spacing w:val="-3"/>
          <w:sz w:val="16"/>
          <w:szCs w:val="16"/>
          <w:lang w:val="en-GB"/>
        </w:rPr>
        <w:t xml:space="preserve">construction, </w:t>
      </w:r>
      <w:r>
        <w:rPr>
          <w:spacing w:val="-3"/>
          <w:sz w:val="16"/>
          <w:szCs w:val="16"/>
          <w:lang w:val="en-GB"/>
        </w:rPr>
        <w:t xml:space="preserve">which were losing employees. </w:t>
      </w:r>
      <w:r w:rsidRPr="00492B25">
        <w:rPr>
          <w:rFonts w:eastAsia="Calibri"/>
          <w:spacing w:val="-3"/>
          <w:sz w:val="16"/>
          <w:szCs w:val="16"/>
          <w:lang w:val="en-GB"/>
        </w:rPr>
        <w:t xml:space="preserve">The number of employees in the EU increased </w:t>
      </w:r>
      <w:r>
        <w:rPr>
          <w:rFonts w:eastAsia="Calibri"/>
          <w:spacing w:val="-3"/>
          <w:sz w:val="16"/>
          <w:szCs w:val="16"/>
          <w:lang w:val="en-GB"/>
        </w:rPr>
        <w:t xml:space="preserve">by a </w:t>
      </w:r>
      <w:r w:rsidRPr="00492B25">
        <w:rPr>
          <w:rFonts w:eastAsia="Calibri"/>
          <w:spacing w:val="-3"/>
          <w:sz w:val="16"/>
          <w:szCs w:val="16"/>
          <w:lang w:val="en-GB"/>
        </w:rPr>
        <w:t xml:space="preserve">similar percentage </w:t>
      </w:r>
      <w:r>
        <w:rPr>
          <w:rFonts w:eastAsia="Calibri"/>
          <w:spacing w:val="-3"/>
          <w:sz w:val="16"/>
          <w:szCs w:val="16"/>
          <w:lang w:val="en-GB"/>
        </w:rPr>
        <w:t>as t</w:t>
      </w:r>
      <w:r w:rsidRPr="00492B25">
        <w:rPr>
          <w:rFonts w:eastAsia="Calibri"/>
          <w:spacing w:val="-3"/>
          <w:sz w:val="16"/>
          <w:szCs w:val="16"/>
          <w:lang w:val="en-GB"/>
        </w:rPr>
        <w:t>he number of self-employed.</w:t>
      </w:r>
      <w:r>
        <w:rPr>
          <w:rFonts w:eastAsia="Calibri"/>
          <w:spacing w:val="-3"/>
          <w:sz w:val="16"/>
          <w:szCs w:val="16"/>
          <w:lang w:val="en-GB"/>
        </w:rPr>
        <w:t xml:space="preserve"> </w:t>
      </w:r>
    </w:p>
  </w:footnote>
  <w:footnote w:id="63">
    <w:p w14:paraId="17895E52" w14:textId="152B1BF9" w:rsidR="00165465" w:rsidRDefault="00165465" w:rsidP="00E551F6">
      <w:pPr>
        <w:pStyle w:val="Textpoznpodarou"/>
      </w:pPr>
      <w:r w:rsidRPr="00442EDD">
        <w:rPr>
          <w:rStyle w:val="Znakapoznpodarou"/>
          <w:sz w:val="16"/>
          <w:szCs w:val="16"/>
        </w:rPr>
        <w:footnoteRef/>
      </w:r>
      <w:r w:rsidRPr="00442EDD">
        <w:rPr>
          <w:sz w:val="16"/>
          <w:szCs w:val="16"/>
        </w:rPr>
        <w:t xml:space="preserve"> </w:t>
      </w:r>
      <w:r>
        <w:rPr>
          <w:sz w:val="16"/>
          <w:szCs w:val="16"/>
          <w:lang w:val="en-GB"/>
        </w:rPr>
        <w:t xml:space="preserve">Include </w:t>
      </w:r>
      <w:r w:rsidR="00C2492A">
        <w:rPr>
          <w:sz w:val="16"/>
          <w:szCs w:val="16"/>
          <w:lang w:val="en-GB"/>
        </w:rPr>
        <w:t xml:space="preserve">here </w:t>
      </w:r>
      <w:r>
        <w:rPr>
          <w:sz w:val="16"/>
          <w:szCs w:val="16"/>
          <w:lang w:val="en-GB"/>
        </w:rPr>
        <w:t>branch p</w:t>
      </w:r>
      <w:r w:rsidRPr="00B92200">
        <w:rPr>
          <w:sz w:val="16"/>
          <w:szCs w:val="16"/>
          <w:lang w:val="en-GB"/>
        </w:rPr>
        <w:t>ublic administration, education, health and social work</w:t>
      </w:r>
      <w:r>
        <w:rPr>
          <w:sz w:val="16"/>
          <w:szCs w:val="16"/>
          <w:lang w:val="en-GB"/>
        </w:rPr>
        <w:t xml:space="preserve">. </w:t>
      </w:r>
    </w:p>
  </w:footnote>
  <w:footnote w:id="64">
    <w:p w14:paraId="0BF43E18" w14:textId="7014B56E" w:rsidR="00165465" w:rsidRPr="0051730A" w:rsidRDefault="00165465" w:rsidP="00E551F6">
      <w:pPr>
        <w:pStyle w:val="Textpoznpodarou"/>
        <w:jc w:val="both"/>
        <w:rPr>
          <w:sz w:val="16"/>
          <w:szCs w:val="16"/>
        </w:rPr>
      </w:pPr>
      <w:r w:rsidRPr="00FD646B">
        <w:rPr>
          <w:rStyle w:val="Znakapoznpodarou"/>
          <w:sz w:val="16"/>
          <w:szCs w:val="16"/>
        </w:rPr>
        <w:footnoteRef/>
      </w:r>
      <w:r w:rsidRPr="00FD646B">
        <w:rPr>
          <w:sz w:val="16"/>
          <w:szCs w:val="16"/>
        </w:rPr>
        <w:t xml:space="preserve"> </w:t>
      </w:r>
      <w:proofErr w:type="spellStart"/>
      <w:r w:rsidRPr="00954269">
        <w:rPr>
          <w:sz w:val="16"/>
          <w:szCs w:val="16"/>
        </w:rPr>
        <w:t>The</w:t>
      </w:r>
      <w:proofErr w:type="spellEnd"/>
      <w:r w:rsidRPr="00954269">
        <w:rPr>
          <w:sz w:val="16"/>
          <w:szCs w:val="16"/>
        </w:rPr>
        <w:t xml:space="preserve"> </w:t>
      </w:r>
      <w:proofErr w:type="spellStart"/>
      <w:r w:rsidRPr="00954269">
        <w:rPr>
          <w:sz w:val="16"/>
          <w:szCs w:val="16"/>
        </w:rPr>
        <w:t>increase</w:t>
      </w:r>
      <w:proofErr w:type="spellEnd"/>
      <w:r w:rsidRPr="00954269">
        <w:rPr>
          <w:sz w:val="16"/>
          <w:szCs w:val="16"/>
        </w:rPr>
        <w:t xml:space="preserve"> </w:t>
      </w:r>
      <w:proofErr w:type="spellStart"/>
      <w:r>
        <w:rPr>
          <w:sz w:val="16"/>
          <w:szCs w:val="16"/>
        </w:rPr>
        <w:t>of</w:t>
      </w:r>
      <w:proofErr w:type="spellEnd"/>
      <w:r w:rsidR="00C2492A">
        <w:rPr>
          <w:sz w:val="16"/>
          <w:szCs w:val="16"/>
        </w:rPr>
        <w:t xml:space="preserve"> </w:t>
      </w:r>
      <w:proofErr w:type="spellStart"/>
      <w:r w:rsidR="00C2492A">
        <w:rPr>
          <w:sz w:val="16"/>
          <w:szCs w:val="16"/>
        </w:rPr>
        <w:t>empolyment</w:t>
      </w:r>
      <w:proofErr w:type="spellEnd"/>
      <w:r w:rsidRPr="00954269">
        <w:rPr>
          <w:sz w:val="16"/>
          <w:szCs w:val="16"/>
        </w:rPr>
        <w:t xml:space="preserve"> </w:t>
      </w:r>
      <w:proofErr w:type="spellStart"/>
      <w:r w:rsidRPr="00954269">
        <w:rPr>
          <w:sz w:val="16"/>
          <w:szCs w:val="16"/>
        </w:rPr>
        <w:t>was</w:t>
      </w:r>
      <w:proofErr w:type="spellEnd"/>
      <w:r w:rsidRPr="00954269">
        <w:rPr>
          <w:sz w:val="16"/>
          <w:szCs w:val="16"/>
        </w:rPr>
        <w:t xml:space="preserve"> </w:t>
      </w:r>
      <w:proofErr w:type="spellStart"/>
      <w:r w:rsidRPr="00954269">
        <w:rPr>
          <w:sz w:val="16"/>
          <w:szCs w:val="16"/>
        </w:rPr>
        <w:t>the</w:t>
      </w:r>
      <w:proofErr w:type="spellEnd"/>
      <w:r w:rsidRPr="00954269">
        <w:rPr>
          <w:sz w:val="16"/>
          <w:szCs w:val="16"/>
        </w:rPr>
        <w:t xml:space="preserve"> </w:t>
      </w:r>
      <w:proofErr w:type="spellStart"/>
      <w:r w:rsidRPr="00954269">
        <w:rPr>
          <w:sz w:val="16"/>
          <w:szCs w:val="16"/>
        </w:rPr>
        <w:t>highest</w:t>
      </w:r>
      <w:proofErr w:type="spellEnd"/>
      <w:r w:rsidRPr="00954269">
        <w:rPr>
          <w:sz w:val="16"/>
          <w:szCs w:val="16"/>
        </w:rPr>
        <w:t xml:space="preserve"> in </w:t>
      </w:r>
      <w:proofErr w:type="spellStart"/>
      <w:r w:rsidRPr="00954269">
        <w:rPr>
          <w:sz w:val="16"/>
          <w:szCs w:val="16"/>
        </w:rPr>
        <w:t>the</w:t>
      </w:r>
      <w:proofErr w:type="spellEnd"/>
      <w:r w:rsidRPr="00954269">
        <w:rPr>
          <w:sz w:val="16"/>
          <w:szCs w:val="16"/>
        </w:rPr>
        <w:t xml:space="preserve"> </w:t>
      </w:r>
      <w:proofErr w:type="spellStart"/>
      <w:r w:rsidRPr="00954269">
        <w:rPr>
          <w:sz w:val="16"/>
          <w:szCs w:val="16"/>
        </w:rPr>
        <w:t>group</w:t>
      </w:r>
      <w:proofErr w:type="spellEnd"/>
      <w:r w:rsidRPr="00954269">
        <w:rPr>
          <w:sz w:val="16"/>
          <w:szCs w:val="16"/>
        </w:rPr>
        <w:t xml:space="preserve"> </w:t>
      </w:r>
      <w:proofErr w:type="spellStart"/>
      <w:r w:rsidRPr="00954269">
        <w:rPr>
          <w:sz w:val="16"/>
          <w:szCs w:val="16"/>
        </w:rPr>
        <w:t>of</w:t>
      </w:r>
      <w:proofErr w:type="spellEnd"/>
      <w:r w:rsidRPr="00954269">
        <w:rPr>
          <w:sz w:val="16"/>
          <w:szCs w:val="16"/>
        </w:rPr>
        <w:t xml:space="preserve"> </w:t>
      </w:r>
      <w:proofErr w:type="spellStart"/>
      <w:r w:rsidRPr="00954269">
        <w:rPr>
          <w:sz w:val="16"/>
          <w:szCs w:val="16"/>
        </w:rPr>
        <w:t>other</w:t>
      </w:r>
      <w:proofErr w:type="spellEnd"/>
      <w:r w:rsidRPr="00954269">
        <w:rPr>
          <w:sz w:val="16"/>
          <w:szCs w:val="16"/>
        </w:rPr>
        <w:t xml:space="preserve"> </w:t>
      </w:r>
      <w:proofErr w:type="spellStart"/>
      <w:r w:rsidRPr="00954269">
        <w:rPr>
          <w:sz w:val="16"/>
          <w:szCs w:val="16"/>
        </w:rPr>
        <w:t>services</w:t>
      </w:r>
      <w:proofErr w:type="spellEnd"/>
      <w:r w:rsidRPr="00954269">
        <w:rPr>
          <w:sz w:val="16"/>
          <w:szCs w:val="16"/>
        </w:rPr>
        <w:t xml:space="preserve"> (+2.0%), </w:t>
      </w:r>
      <w:proofErr w:type="spellStart"/>
      <w:r w:rsidRPr="00954269">
        <w:rPr>
          <w:sz w:val="16"/>
          <w:szCs w:val="16"/>
        </w:rPr>
        <w:t>which</w:t>
      </w:r>
      <w:proofErr w:type="spellEnd"/>
      <w:r w:rsidRPr="00954269">
        <w:rPr>
          <w:sz w:val="16"/>
          <w:szCs w:val="16"/>
        </w:rPr>
        <w:t xml:space="preserve"> </w:t>
      </w:r>
      <w:proofErr w:type="spellStart"/>
      <w:r w:rsidRPr="00954269">
        <w:rPr>
          <w:sz w:val="16"/>
          <w:szCs w:val="16"/>
        </w:rPr>
        <w:t>includes</w:t>
      </w:r>
      <w:proofErr w:type="spellEnd"/>
      <w:r w:rsidRPr="00954269">
        <w:rPr>
          <w:sz w:val="16"/>
          <w:szCs w:val="16"/>
        </w:rPr>
        <w:t xml:space="preserve">, in </w:t>
      </w:r>
      <w:proofErr w:type="spellStart"/>
      <w:r w:rsidRPr="00954269">
        <w:rPr>
          <w:sz w:val="16"/>
          <w:szCs w:val="16"/>
        </w:rPr>
        <w:t>addition</w:t>
      </w:r>
      <w:proofErr w:type="spellEnd"/>
      <w:r w:rsidRPr="00954269">
        <w:rPr>
          <w:sz w:val="16"/>
          <w:szCs w:val="16"/>
        </w:rPr>
        <w:t xml:space="preserve"> to </w:t>
      </w:r>
      <w:proofErr w:type="spellStart"/>
      <w:r>
        <w:rPr>
          <w:sz w:val="16"/>
          <w:szCs w:val="16"/>
        </w:rPr>
        <w:t>arts</w:t>
      </w:r>
      <w:proofErr w:type="spellEnd"/>
      <w:r w:rsidRPr="00954269">
        <w:rPr>
          <w:sz w:val="16"/>
          <w:szCs w:val="16"/>
        </w:rPr>
        <w:t>,</w:t>
      </w:r>
      <w:r>
        <w:rPr>
          <w:sz w:val="16"/>
          <w:szCs w:val="16"/>
        </w:rPr>
        <w:t xml:space="preserve"> </w:t>
      </w:r>
      <w:proofErr w:type="spellStart"/>
      <w:r>
        <w:rPr>
          <w:sz w:val="16"/>
          <w:szCs w:val="16"/>
        </w:rPr>
        <w:t>entertainment</w:t>
      </w:r>
      <w:proofErr w:type="spellEnd"/>
      <w:r>
        <w:rPr>
          <w:sz w:val="16"/>
          <w:szCs w:val="16"/>
        </w:rPr>
        <w:t xml:space="preserve"> and </w:t>
      </w:r>
      <w:proofErr w:type="spellStart"/>
      <w:r w:rsidRPr="00954269">
        <w:rPr>
          <w:sz w:val="16"/>
          <w:szCs w:val="16"/>
        </w:rPr>
        <w:t>recreation</w:t>
      </w:r>
      <w:proofErr w:type="spellEnd"/>
      <w:r w:rsidRPr="00954269">
        <w:rPr>
          <w:sz w:val="16"/>
          <w:szCs w:val="16"/>
        </w:rPr>
        <w:t xml:space="preserve"> </w:t>
      </w:r>
      <w:proofErr w:type="spellStart"/>
      <w:r w:rsidRPr="00954269">
        <w:rPr>
          <w:sz w:val="16"/>
          <w:szCs w:val="16"/>
        </w:rPr>
        <w:t>activities</w:t>
      </w:r>
      <w:proofErr w:type="spellEnd"/>
      <w:r>
        <w:rPr>
          <w:sz w:val="16"/>
          <w:szCs w:val="16"/>
        </w:rPr>
        <w:t xml:space="preserve"> </w:t>
      </w:r>
      <w:proofErr w:type="spellStart"/>
      <w:r w:rsidRPr="00954269">
        <w:rPr>
          <w:sz w:val="16"/>
          <w:szCs w:val="16"/>
        </w:rPr>
        <w:t>for</w:t>
      </w:r>
      <w:proofErr w:type="spellEnd"/>
      <w:r w:rsidRPr="00954269">
        <w:rPr>
          <w:sz w:val="16"/>
          <w:szCs w:val="16"/>
        </w:rPr>
        <w:t xml:space="preserve"> </w:t>
      </w:r>
      <w:proofErr w:type="spellStart"/>
      <w:r w:rsidRPr="00954269">
        <w:rPr>
          <w:sz w:val="16"/>
          <w:szCs w:val="16"/>
        </w:rPr>
        <w:t>example</w:t>
      </w:r>
      <w:proofErr w:type="spellEnd"/>
      <w:r w:rsidRPr="00954269">
        <w:rPr>
          <w:sz w:val="16"/>
          <w:szCs w:val="16"/>
        </w:rPr>
        <w:t xml:space="preserve"> </w:t>
      </w:r>
      <w:proofErr w:type="spellStart"/>
      <w:r w:rsidRPr="00954269">
        <w:rPr>
          <w:sz w:val="16"/>
          <w:szCs w:val="16"/>
        </w:rPr>
        <w:t>various</w:t>
      </w:r>
      <w:proofErr w:type="spellEnd"/>
      <w:r w:rsidRPr="00954269">
        <w:rPr>
          <w:sz w:val="16"/>
          <w:szCs w:val="16"/>
        </w:rPr>
        <w:t xml:space="preserve"> </w:t>
      </w:r>
      <w:proofErr w:type="spellStart"/>
      <w:r w:rsidRPr="00954269">
        <w:rPr>
          <w:sz w:val="16"/>
          <w:szCs w:val="16"/>
        </w:rPr>
        <w:t>household</w:t>
      </w:r>
      <w:proofErr w:type="spellEnd"/>
      <w:r w:rsidRPr="00954269">
        <w:rPr>
          <w:sz w:val="16"/>
          <w:szCs w:val="16"/>
        </w:rPr>
        <w:t xml:space="preserve"> </w:t>
      </w:r>
      <w:proofErr w:type="spellStart"/>
      <w:r w:rsidRPr="00954269">
        <w:rPr>
          <w:sz w:val="16"/>
          <w:szCs w:val="16"/>
        </w:rPr>
        <w:t>services</w:t>
      </w:r>
      <w:proofErr w:type="spellEnd"/>
      <w:r w:rsidRPr="00954269">
        <w:rPr>
          <w:sz w:val="16"/>
          <w:szCs w:val="16"/>
        </w:rPr>
        <w:t xml:space="preserve"> (</w:t>
      </w:r>
      <w:proofErr w:type="spellStart"/>
      <w:r w:rsidRPr="00954269">
        <w:rPr>
          <w:sz w:val="16"/>
          <w:szCs w:val="16"/>
        </w:rPr>
        <w:t>repair</w:t>
      </w:r>
      <w:r>
        <w:rPr>
          <w:sz w:val="16"/>
          <w:szCs w:val="16"/>
        </w:rPr>
        <w:t>s</w:t>
      </w:r>
      <w:proofErr w:type="spellEnd"/>
      <w:r w:rsidRPr="00954269">
        <w:rPr>
          <w:sz w:val="16"/>
          <w:szCs w:val="16"/>
        </w:rPr>
        <w:t xml:space="preserve"> </w:t>
      </w:r>
      <w:proofErr w:type="spellStart"/>
      <w:r w:rsidRPr="00954269">
        <w:rPr>
          <w:sz w:val="16"/>
          <w:szCs w:val="16"/>
        </w:rPr>
        <w:t>of</w:t>
      </w:r>
      <w:proofErr w:type="spellEnd"/>
      <w:r w:rsidRPr="00954269">
        <w:rPr>
          <w:sz w:val="16"/>
          <w:szCs w:val="16"/>
        </w:rPr>
        <w:t xml:space="preserve"> </w:t>
      </w:r>
      <w:proofErr w:type="spellStart"/>
      <w:r>
        <w:rPr>
          <w:sz w:val="16"/>
          <w:szCs w:val="16"/>
        </w:rPr>
        <w:t>goods</w:t>
      </w:r>
      <w:proofErr w:type="spellEnd"/>
      <w:r w:rsidRPr="00954269">
        <w:rPr>
          <w:sz w:val="16"/>
          <w:szCs w:val="16"/>
        </w:rPr>
        <w:t xml:space="preserve">, </w:t>
      </w:r>
      <w:proofErr w:type="spellStart"/>
      <w:r w:rsidRPr="00954269">
        <w:rPr>
          <w:sz w:val="16"/>
          <w:szCs w:val="16"/>
        </w:rPr>
        <w:t>hairdressing</w:t>
      </w:r>
      <w:proofErr w:type="spellEnd"/>
      <w:r w:rsidRPr="00954269">
        <w:rPr>
          <w:sz w:val="16"/>
          <w:szCs w:val="16"/>
        </w:rPr>
        <w:t xml:space="preserve"> and </w:t>
      </w:r>
      <w:proofErr w:type="spellStart"/>
      <w:r>
        <w:rPr>
          <w:sz w:val="16"/>
          <w:szCs w:val="16"/>
        </w:rPr>
        <w:t>other</w:t>
      </w:r>
      <w:proofErr w:type="spellEnd"/>
      <w:r>
        <w:rPr>
          <w:sz w:val="16"/>
          <w:szCs w:val="16"/>
        </w:rPr>
        <w:t xml:space="preserve"> </w:t>
      </w:r>
      <w:proofErr w:type="spellStart"/>
      <w:r>
        <w:rPr>
          <w:sz w:val="16"/>
          <w:szCs w:val="16"/>
        </w:rPr>
        <w:t>beauty</w:t>
      </w:r>
      <w:proofErr w:type="spellEnd"/>
      <w:r>
        <w:rPr>
          <w:sz w:val="16"/>
          <w:szCs w:val="16"/>
        </w:rPr>
        <w:t xml:space="preserve"> </w:t>
      </w:r>
      <w:proofErr w:type="spellStart"/>
      <w:r>
        <w:rPr>
          <w:sz w:val="16"/>
          <w:szCs w:val="16"/>
        </w:rPr>
        <w:t>treatment</w:t>
      </w:r>
      <w:proofErr w:type="spellEnd"/>
      <w:r>
        <w:rPr>
          <w:sz w:val="16"/>
          <w:szCs w:val="16"/>
        </w:rPr>
        <w:t xml:space="preserve">, </w:t>
      </w:r>
      <w:proofErr w:type="spellStart"/>
      <w:r w:rsidRPr="00954269">
        <w:rPr>
          <w:sz w:val="16"/>
          <w:szCs w:val="16"/>
        </w:rPr>
        <w:t>etc</w:t>
      </w:r>
      <w:proofErr w:type="spellEnd"/>
      <w:r w:rsidRPr="00954269">
        <w:rPr>
          <w:sz w:val="16"/>
          <w:szCs w:val="16"/>
        </w:rPr>
        <w:t xml:space="preserve">.). </w:t>
      </w:r>
      <w:proofErr w:type="spellStart"/>
      <w:r>
        <w:rPr>
          <w:sz w:val="16"/>
          <w:szCs w:val="16"/>
        </w:rPr>
        <w:t>Nevertheless</w:t>
      </w:r>
      <w:proofErr w:type="spellEnd"/>
      <w:r w:rsidRPr="00954269">
        <w:rPr>
          <w:sz w:val="16"/>
          <w:szCs w:val="16"/>
        </w:rPr>
        <w:t xml:space="preserve">, </w:t>
      </w:r>
      <w:proofErr w:type="spellStart"/>
      <w:r>
        <w:rPr>
          <w:sz w:val="16"/>
          <w:szCs w:val="16"/>
        </w:rPr>
        <w:t>the</w:t>
      </w:r>
      <w:proofErr w:type="spellEnd"/>
      <w:r>
        <w:rPr>
          <w:sz w:val="16"/>
          <w:szCs w:val="16"/>
        </w:rPr>
        <w:t xml:space="preserve"> </w:t>
      </w:r>
      <w:proofErr w:type="spellStart"/>
      <w:r w:rsidRPr="00954269">
        <w:rPr>
          <w:sz w:val="16"/>
          <w:szCs w:val="16"/>
        </w:rPr>
        <w:t>employment</w:t>
      </w:r>
      <w:proofErr w:type="spellEnd"/>
      <w:r w:rsidRPr="00954269">
        <w:rPr>
          <w:sz w:val="16"/>
          <w:szCs w:val="16"/>
        </w:rPr>
        <w:t xml:space="preserve"> in </w:t>
      </w:r>
      <w:proofErr w:type="spellStart"/>
      <w:r w:rsidRPr="00954269">
        <w:rPr>
          <w:sz w:val="16"/>
          <w:szCs w:val="16"/>
        </w:rPr>
        <w:t>this</w:t>
      </w:r>
      <w:proofErr w:type="spellEnd"/>
      <w:r w:rsidRPr="00954269">
        <w:rPr>
          <w:sz w:val="16"/>
          <w:szCs w:val="16"/>
        </w:rPr>
        <w:t xml:space="preserve"> </w:t>
      </w:r>
      <w:proofErr w:type="spellStart"/>
      <w:r w:rsidRPr="00954269">
        <w:rPr>
          <w:sz w:val="16"/>
          <w:szCs w:val="16"/>
        </w:rPr>
        <w:t>group</w:t>
      </w:r>
      <w:proofErr w:type="spellEnd"/>
      <w:r w:rsidRPr="00954269">
        <w:rPr>
          <w:sz w:val="16"/>
          <w:szCs w:val="16"/>
        </w:rPr>
        <w:t xml:space="preserve">, </w:t>
      </w:r>
      <w:proofErr w:type="spellStart"/>
      <w:r w:rsidRPr="00954269">
        <w:rPr>
          <w:sz w:val="16"/>
          <w:szCs w:val="16"/>
        </w:rPr>
        <w:t>which</w:t>
      </w:r>
      <w:proofErr w:type="spellEnd"/>
      <w:r w:rsidRPr="00954269">
        <w:rPr>
          <w:sz w:val="16"/>
          <w:szCs w:val="16"/>
        </w:rPr>
        <w:t xml:space="preserve"> </w:t>
      </w:r>
      <w:proofErr w:type="spellStart"/>
      <w:r w:rsidRPr="00954269">
        <w:rPr>
          <w:sz w:val="16"/>
          <w:szCs w:val="16"/>
        </w:rPr>
        <w:t>was</w:t>
      </w:r>
      <w:proofErr w:type="spellEnd"/>
      <w:r w:rsidRPr="00954269">
        <w:rPr>
          <w:sz w:val="16"/>
          <w:szCs w:val="16"/>
        </w:rPr>
        <w:t xml:space="preserve"> </w:t>
      </w:r>
      <w:proofErr w:type="spellStart"/>
      <w:r w:rsidRPr="00954269">
        <w:rPr>
          <w:sz w:val="16"/>
          <w:szCs w:val="16"/>
        </w:rPr>
        <w:t>severely</w:t>
      </w:r>
      <w:proofErr w:type="spellEnd"/>
      <w:r w:rsidRPr="00954269">
        <w:rPr>
          <w:sz w:val="16"/>
          <w:szCs w:val="16"/>
        </w:rPr>
        <w:t xml:space="preserve"> </w:t>
      </w:r>
      <w:proofErr w:type="spellStart"/>
      <w:r w:rsidRPr="00954269">
        <w:rPr>
          <w:sz w:val="16"/>
          <w:szCs w:val="16"/>
        </w:rPr>
        <w:t>affected</w:t>
      </w:r>
      <w:proofErr w:type="spellEnd"/>
      <w:r w:rsidRPr="00954269">
        <w:rPr>
          <w:sz w:val="16"/>
          <w:szCs w:val="16"/>
        </w:rPr>
        <w:t xml:space="preserve"> </w:t>
      </w:r>
      <w:proofErr w:type="spellStart"/>
      <w:r w:rsidRPr="00954269">
        <w:rPr>
          <w:sz w:val="16"/>
          <w:szCs w:val="16"/>
        </w:rPr>
        <w:t>during</w:t>
      </w:r>
      <w:proofErr w:type="spellEnd"/>
      <w:r w:rsidRPr="00954269">
        <w:rPr>
          <w:sz w:val="16"/>
          <w:szCs w:val="16"/>
        </w:rPr>
        <w:t xml:space="preserve"> </w:t>
      </w:r>
      <w:proofErr w:type="spellStart"/>
      <w:r w:rsidRPr="00954269">
        <w:rPr>
          <w:sz w:val="16"/>
          <w:szCs w:val="16"/>
        </w:rPr>
        <w:t>the</w:t>
      </w:r>
      <w:proofErr w:type="spellEnd"/>
      <w:r w:rsidRPr="00954269">
        <w:rPr>
          <w:sz w:val="16"/>
          <w:szCs w:val="16"/>
        </w:rPr>
        <w:t xml:space="preserve"> period </w:t>
      </w:r>
      <w:proofErr w:type="spellStart"/>
      <w:r w:rsidRPr="00954269">
        <w:rPr>
          <w:sz w:val="16"/>
          <w:szCs w:val="16"/>
        </w:rPr>
        <w:t>of</w:t>
      </w:r>
      <w:proofErr w:type="spellEnd"/>
      <w:r w:rsidRPr="00954269">
        <w:rPr>
          <w:sz w:val="16"/>
          <w:szCs w:val="16"/>
        </w:rPr>
        <w:t xml:space="preserve"> anti-</w:t>
      </w:r>
      <w:proofErr w:type="spellStart"/>
      <w:r w:rsidRPr="00954269">
        <w:rPr>
          <w:sz w:val="16"/>
          <w:szCs w:val="16"/>
        </w:rPr>
        <w:t>pandemic</w:t>
      </w:r>
      <w:proofErr w:type="spellEnd"/>
      <w:r w:rsidRPr="00954269">
        <w:rPr>
          <w:sz w:val="16"/>
          <w:szCs w:val="16"/>
        </w:rPr>
        <w:t xml:space="preserve"> </w:t>
      </w:r>
      <w:proofErr w:type="spellStart"/>
      <w:r w:rsidRPr="00954269">
        <w:rPr>
          <w:sz w:val="16"/>
          <w:szCs w:val="16"/>
        </w:rPr>
        <w:t>restrictions</w:t>
      </w:r>
      <w:proofErr w:type="spellEnd"/>
      <w:r w:rsidRPr="00954269">
        <w:rPr>
          <w:sz w:val="16"/>
          <w:szCs w:val="16"/>
        </w:rPr>
        <w:t xml:space="preserve">, </w:t>
      </w:r>
      <w:proofErr w:type="spellStart"/>
      <w:r w:rsidRPr="00954269">
        <w:rPr>
          <w:sz w:val="16"/>
          <w:szCs w:val="16"/>
        </w:rPr>
        <w:t>still</w:t>
      </w:r>
      <w:proofErr w:type="spellEnd"/>
      <w:r w:rsidRPr="00954269">
        <w:rPr>
          <w:sz w:val="16"/>
          <w:szCs w:val="16"/>
        </w:rPr>
        <w:t xml:space="preserve"> </w:t>
      </w:r>
      <w:proofErr w:type="spellStart"/>
      <w:r w:rsidRPr="00954269">
        <w:rPr>
          <w:sz w:val="16"/>
          <w:szCs w:val="16"/>
        </w:rPr>
        <w:t>lagged</w:t>
      </w:r>
      <w:proofErr w:type="spellEnd"/>
      <w:r w:rsidRPr="00954269">
        <w:rPr>
          <w:sz w:val="16"/>
          <w:szCs w:val="16"/>
        </w:rPr>
        <w:t xml:space="preserve"> </w:t>
      </w:r>
      <w:proofErr w:type="spellStart"/>
      <w:r w:rsidRPr="00954269">
        <w:rPr>
          <w:sz w:val="16"/>
          <w:szCs w:val="16"/>
        </w:rPr>
        <w:t>slightly</w:t>
      </w:r>
      <w:proofErr w:type="spellEnd"/>
      <w:r w:rsidRPr="00954269">
        <w:rPr>
          <w:sz w:val="16"/>
          <w:szCs w:val="16"/>
        </w:rPr>
        <w:t xml:space="preserve"> </w:t>
      </w:r>
      <w:proofErr w:type="spellStart"/>
      <w:r w:rsidRPr="00954269">
        <w:rPr>
          <w:sz w:val="16"/>
          <w:szCs w:val="16"/>
        </w:rPr>
        <w:t>behind</w:t>
      </w:r>
      <w:proofErr w:type="spellEnd"/>
      <w:r w:rsidRPr="00954269">
        <w:rPr>
          <w:sz w:val="16"/>
          <w:szCs w:val="16"/>
        </w:rPr>
        <w:t xml:space="preserve"> </w:t>
      </w:r>
      <w:proofErr w:type="spellStart"/>
      <w:r w:rsidRPr="00954269">
        <w:rPr>
          <w:sz w:val="16"/>
          <w:szCs w:val="16"/>
        </w:rPr>
        <w:t>the</w:t>
      </w:r>
      <w:proofErr w:type="spellEnd"/>
      <w:r w:rsidRPr="00954269">
        <w:rPr>
          <w:sz w:val="16"/>
          <w:szCs w:val="16"/>
        </w:rPr>
        <w:t xml:space="preserve"> 2019 </w:t>
      </w:r>
      <w:proofErr w:type="spellStart"/>
      <w:r w:rsidRPr="00954269">
        <w:rPr>
          <w:sz w:val="16"/>
          <w:szCs w:val="16"/>
        </w:rPr>
        <w:t>level</w:t>
      </w:r>
      <w:proofErr w:type="spellEnd"/>
      <w:r w:rsidRPr="00954269">
        <w:rPr>
          <w:sz w:val="16"/>
          <w:szCs w:val="16"/>
        </w:rPr>
        <w:t>.</w:t>
      </w:r>
      <w:r w:rsidRPr="0051730A">
        <w:rPr>
          <w:sz w:val="16"/>
          <w:szCs w:val="16"/>
        </w:rPr>
        <w:t xml:space="preserve"> </w:t>
      </w:r>
    </w:p>
  </w:footnote>
  <w:footnote w:id="65">
    <w:p w14:paraId="33FECB14" w14:textId="02AF7F90" w:rsidR="00165465" w:rsidRPr="00FC50BA" w:rsidRDefault="00165465" w:rsidP="00E551F6">
      <w:pPr>
        <w:pStyle w:val="Textpoznpodarou"/>
        <w:jc w:val="both"/>
        <w:rPr>
          <w:spacing w:val="-2"/>
          <w:sz w:val="16"/>
          <w:szCs w:val="16"/>
        </w:rPr>
      </w:pPr>
      <w:r w:rsidRPr="00FC50BA">
        <w:rPr>
          <w:rStyle w:val="Znakapoznpodarou"/>
          <w:spacing w:val="-2"/>
          <w:sz w:val="16"/>
          <w:szCs w:val="16"/>
          <w:lang w:val="en-GB"/>
        </w:rPr>
        <w:footnoteRef/>
      </w:r>
      <w:r w:rsidRPr="00FC50BA">
        <w:rPr>
          <w:spacing w:val="-2"/>
          <w:sz w:val="16"/>
          <w:szCs w:val="16"/>
        </w:rPr>
        <w:t xml:space="preserve"> In </w:t>
      </w:r>
      <w:proofErr w:type="spellStart"/>
      <w:r w:rsidRPr="00FC50BA">
        <w:rPr>
          <w:spacing w:val="-2"/>
          <w:sz w:val="16"/>
          <w:szCs w:val="16"/>
        </w:rPr>
        <w:t>contrast</w:t>
      </w:r>
      <w:proofErr w:type="spellEnd"/>
      <w:r w:rsidRPr="00FC50BA">
        <w:rPr>
          <w:spacing w:val="-2"/>
          <w:sz w:val="16"/>
          <w:szCs w:val="16"/>
        </w:rPr>
        <w:t xml:space="preserve">, </w:t>
      </w:r>
      <w:proofErr w:type="spellStart"/>
      <w:r w:rsidRPr="00FC50BA">
        <w:rPr>
          <w:spacing w:val="-2"/>
          <w:sz w:val="16"/>
          <w:szCs w:val="16"/>
        </w:rPr>
        <w:t>the</w:t>
      </w:r>
      <w:proofErr w:type="spellEnd"/>
      <w:r w:rsidRPr="00FC50BA">
        <w:rPr>
          <w:spacing w:val="-2"/>
          <w:sz w:val="16"/>
          <w:szCs w:val="16"/>
        </w:rPr>
        <w:t xml:space="preserve"> </w:t>
      </w:r>
      <w:proofErr w:type="spellStart"/>
      <w:r w:rsidRPr="00FC50BA">
        <w:rPr>
          <w:spacing w:val="-2"/>
          <w:sz w:val="16"/>
          <w:szCs w:val="16"/>
        </w:rPr>
        <w:t>number</w:t>
      </w:r>
      <w:proofErr w:type="spellEnd"/>
      <w:r w:rsidRPr="00FC50BA">
        <w:rPr>
          <w:spacing w:val="-2"/>
          <w:sz w:val="16"/>
          <w:szCs w:val="16"/>
        </w:rPr>
        <w:t xml:space="preserve"> </w:t>
      </w:r>
      <w:proofErr w:type="spellStart"/>
      <w:r w:rsidRPr="00FC50BA">
        <w:rPr>
          <w:spacing w:val="-2"/>
          <w:sz w:val="16"/>
          <w:szCs w:val="16"/>
        </w:rPr>
        <w:t>of</w:t>
      </w:r>
      <w:proofErr w:type="spellEnd"/>
      <w:r w:rsidRPr="00FC50BA">
        <w:rPr>
          <w:spacing w:val="-2"/>
          <w:sz w:val="16"/>
          <w:szCs w:val="16"/>
        </w:rPr>
        <w:t xml:space="preserve"> </w:t>
      </w:r>
      <w:proofErr w:type="spellStart"/>
      <w:r w:rsidRPr="00FC50BA">
        <w:rPr>
          <w:spacing w:val="-2"/>
          <w:sz w:val="16"/>
          <w:szCs w:val="16"/>
        </w:rPr>
        <w:t>workers</w:t>
      </w:r>
      <w:proofErr w:type="spellEnd"/>
      <w:r w:rsidRPr="00FC50BA">
        <w:rPr>
          <w:spacing w:val="-2"/>
          <w:sz w:val="16"/>
          <w:szCs w:val="16"/>
        </w:rPr>
        <w:t xml:space="preserve"> </w:t>
      </w:r>
      <w:proofErr w:type="spellStart"/>
      <w:r w:rsidRPr="00FC50BA">
        <w:rPr>
          <w:spacing w:val="-2"/>
          <w:sz w:val="16"/>
          <w:szCs w:val="16"/>
        </w:rPr>
        <w:t>expanded</w:t>
      </w:r>
      <w:proofErr w:type="spellEnd"/>
      <w:r w:rsidRPr="00FC50BA">
        <w:rPr>
          <w:spacing w:val="-2"/>
          <w:sz w:val="16"/>
          <w:szCs w:val="16"/>
        </w:rPr>
        <w:t xml:space="preserve"> in </w:t>
      </w:r>
      <w:proofErr w:type="spellStart"/>
      <w:r w:rsidRPr="00FC50BA">
        <w:rPr>
          <w:spacing w:val="-2"/>
          <w:sz w:val="16"/>
          <w:szCs w:val="16"/>
        </w:rPr>
        <w:t>some</w:t>
      </w:r>
      <w:proofErr w:type="spellEnd"/>
      <w:r w:rsidRPr="00FC50BA">
        <w:rPr>
          <w:spacing w:val="-2"/>
          <w:sz w:val="16"/>
          <w:szCs w:val="16"/>
        </w:rPr>
        <w:t xml:space="preserve"> </w:t>
      </w:r>
      <w:proofErr w:type="spellStart"/>
      <w:r w:rsidRPr="00FC50BA">
        <w:rPr>
          <w:spacing w:val="-2"/>
          <w:sz w:val="16"/>
          <w:szCs w:val="16"/>
        </w:rPr>
        <w:t>smal</w:t>
      </w:r>
      <w:proofErr w:type="spellEnd"/>
      <w:r w:rsidR="005710B6" w:rsidRPr="00FC50BA">
        <w:rPr>
          <w:spacing w:val="-2"/>
          <w:sz w:val="16"/>
          <w:szCs w:val="16"/>
        </w:rPr>
        <w:t xml:space="preserve"> sub-</w:t>
      </w:r>
      <w:proofErr w:type="spellStart"/>
      <w:r w:rsidRPr="00FC50BA">
        <w:rPr>
          <w:spacing w:val="-2"/>
          <w:sz w:val="16"/>
          <w:szCs w:val="16"/>
        </w:rPr>
        <w:t>branches</w:t>
      </w:r>
      <w:proofErr w:type="spellEnd"/>
      <w:r w:rsidRPr="00FC50BA">
        <w:rPr>
          <w:spacing w:val="-2"/>
          <w:sz w:val="16"/>
          <w:szCs w:val="16"/>
        </w:rPr>
        <w:t xml:space="preserve"> (</w:t>
      </w:r>
      <w:proofErr w:type="spellStart"/>
      <w:r w:rsidRPr="00FC50BA">
        <w:rPr>
          <w:spacing w:val="-2"/>
          <w:sz w:val="16"/>
          <w:szCs w:val="16"/>
        </w:rPr>
        <w:t>energy</w:t>
      </w:r>
      <w:proofErr w:type="spellEnd"/>
      <w:r w:rsidRPr="00FC50BA">
        <w:rPr>
          <w:spacing w:val="-2"/>
          <w:sz w:val="16"/>
          <w:szCs w:val="16"/>
        </w:rPr>
        <w:t xml:space="preserve"> </w:t>
      </w:r>
      <w:proofErr w:type="spellStart"/>
      <w:r w:rsidRPr="00FC50BA">
        <w:rPr>
          <w:spacing w:val="-2"/>
          <w:sz w:val="16"/>
          <w:szCs w:val="16"/>
        </w:rPr>
        <w:t>industry</w:t>
      </w:r>
      <w:proofErr w:type="spellEnd"/>
      <w:r w:rsidRPr="00FC50BA">
        <w:rPr>
          <w:spacing w:val="-2"/>
          <w:sz w:val="16"/>
          <w:szCs w:val="16"/>
        </w:rPr>
        <w:t xml:space="preserve">, </w:t>
      </w:r>
      <w:proofErr w:type="spellStart"/>
      <w:r w:rsidRPr="00FC50BA">
        <w:rPr>
          <w:spacing w:val="-2"/>
          <w:sz w:val="16"/>
          <w:szCs w:val="16"/>
        </w:rPr>
        <w:t>water</w:t>
      </w:r>
      <w:proofErr w:type="spellEnd"/>
      <w:r w:rsidRPr="00FC50BA">
        <w:rPr>
          <w:spacing w:val="-2"/>
          <w:sz w:val="16"/>
          <w:szCs w:val="16"/>
        </w:rPr>
        <w:t xml:space="preserve"> and </w:t>
      </w:r>
      <w:proofErr w:type="spellStart"/>
      <w:r w:rsidRPr="00FC50BA">
        <w:rPr>
          <w:spacing w:val="-2"/>
          <w:sz w:val="16"/>
          <w:szCs w:val="16"/>
        </w:rPr>
        <w:t>waste</w:t>
      </w:r>
      <w:proofErr w:type="spellEnd"/>
      <w:r w:rsidRPr="00FC50BA">
        <w:rPr>
          <w:spacing w:val="-2"/>
          <w:sz w:val="16"/>
          <w:szCs w:val="16"/>
        </w:rPr>
        <w:t xml:space="preserve"> management, food </w:t>
      </w:r>
      <w:proofErr w:type="spellStart"/>
      <w:r w:rsidRPr="00FC50BA">
        <w:rPr>
          <w:spacing w:val="-2"/>
          <w:sz w:val="16"/>
          <w:szCs w:val="16"/>
        </w:rPr>
        <w:t>industry</w:t>
      </w:r>
      <w:proofErr w:type="spellEnd"/>
      <w:r w:rsidRPr="00FC50BA">
        <w:rPr>
          <w:spacing w:val="-2"/>
          <w:sz w:val="16"/>
          <w:szCs w:val="16"/>
        </w:rPr>
        <w:t>).</w:t>
      </w:r>
    </w:p>
  </w:footnote>
  <w:footnote w:id="66">
    <w:p w14:paraId="50C1861F" w14:textId="79390ACD"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 xml:space="preserve">Based on the LFSS data, the proportion of females aged 15 years and more working part-time jobs increased from 12.0% to record 13.9% between Q4 </w:t>
      </w:r>
      <w:r w:rsidRPr="00C93DDD">
        <w:rPr>
          <w:sz w:val="16"/>
          <w:szCs w:val="16"/>
          <w:lang w:val="en-GB"/>
        </w:rPr>
        <w:t>2022 a</w:t>
      </w:r>
      <w:r>
        <w:rPr>
          <w:sz w:val="16"/>
          <w:szCs w:val="16"/>
          <w:lang w:val="en-GB"/>
        </w:rPr>
        <w:t>nd Q</w:t>
      </w:r>
      <w:r w:rsidRPr="00C93DDD">
        <w:rPr>
          <w:sz w:val="16"/>
          <w:szCs w:val="16"/>
          <w:lang w:val="en-GB"/>
        </w:rPr>
        <w:t>1</w:t>
      </w:r>
      <w:r>
        <w:rPr>
          <w:sz w:val="16"/>
          <w:szCs w:val="16"/>
          <w:lang w:val="en-GB"/>
        </w:rPr>
        <w:t xml:space="preserve"> 2</w:t>
      </w:r>
      <w:r w:rsidRPr="00C93DDD">
        <w:rPr>
          <w:sz w:val="16"/>
          <w:szCs w:val="16"/>
          <w:lang w:val="en-GB"/>
        </w:rPr>
        <w:t>024</w:t>
      </w:r>
      <w:r>
        <w:rPr>
          <w:sz w:val="16"/>
          <w:szCs w:val="16"/>
          <w:lang w:val="en-GB"/>
        </w:rPr>
        <w:t>. Together with Slovakia, it represents one of the most substantial increas</w:t>
      </w:r>
      <w:r w:rsidR="0076324B">
        <w:rPr>
          <w:sz w:val="16"/>
          <w:szCs w:val="16"/>
          <w:lang w:val="en-GB"/>
        </w:rPr>
        <w:t>es within the EU. Share</w:t>
      </w:r>
      <w:r>
        <w:rPr>
          <w:sz w:val="16"/>
          <w:szCs w:val="16"/>
          <w:lang w:val="en-GB"/>
        </w:rPr>
        <w:t xml:space="preserve"> of these job contracts in the CR is however still low within the European context. It achieved </w:t>
      </w:r>
      <w:r w:rsidRPr="00C93DDD">
        <w:rPr>
          <w:sz w:val="16"/>
          <w:szCs w:val="16"/>
          <w:lang w:val="en-GB"/>
        </w:rPr>
        <w:t>29</w:t>
      </w:r>
      <w:r>
        <w:rPr>
          <w:sz w:val="16"/>
          <w:szCs w:val="16"/>
          <w:lang w:val="en-GB"/>
        </w:rPr>
        <w:t>.</w:t>
      </w:r>
      <w:r w:rsidRPr="00C93DDD">
        <w:rPr>
          <w:sz w:val="16"/>
          <w:szCs w:val="16"/>
          <w:lang w:val="en-GB"/>
        </w:rPr>
        <w:t>6%</w:t>
      </w:r>
      <w:r>
        <w:rPr>
          <w:sz w:val="16"/>
          <w:szCs w:val="16"/>
          <w:lang w:val="en-GB"/>
        </w:rPr>
        <w:t xml:space="preserve"> in the EU</w:t>
      </w:r>
      <w:r w:rsidRPr="00C93DDD">
        <w:rPr>
          <w:sz w:val="16"/>
          <w:szCs w:val="16"/>
          <w:lang w:val="en-GB"/>
        </w:rPr>
        <w:t>,</w:t>
      </w:r>
      <w:r>
        <w:rPr>
          <w:sz w:val="16"/>
          <w:szCs w:val="16"/>
          <w:lang w:val="en-GB"/>
        </w:rPr>
        <w:t xml:space="preserve"> in that </w:t>
      </w:r>
      <w:r w:rsidRPr="00C93DDD">
        <w:rPr>
          <w:sz w:val="16"/>
          <w:szCs w:val="16"/>
          <w:lang w:val="en-GB"/>
        </w:rPr>
        <w:t>34</w:t>
      </w:r>
      <w:r>
        <w:rPr>
          <w:sz w:val="16"/>
          <w:szCs w:val="16"/>
          <w:lang w:val="en-GB"/>
        </w:rPr>
        <w:t>.</w:t>
      </w:r>
      <w:r w:rsidRPr="00C93DDD">
        <w:rPr>
          <w:sz w:val="16"/>
          <w:szCs w:val="16"/>
          <w:lang w:val="en-GB"/>
        </w:rPr>
        <w:t>5%</w:t>
      </w:r>
      <w:r>
        <w:rPr>
          <w:sz w:val="16"/>
          <w:szCs w:val="16"/>
          <w:lang w:val="en-GB"/>
        </w:rPr>
        <w:t xml:space="preserve"> in the euro area</w:t>
      </w:r>
      <w:r w:rsidRPr="00C93DDD">
        <w:rPr>
          <w:sz w:val="16"/>
          <w:szCs w:val="16"/>
          <w:lang w:val="en-GB"/>
        </w:rPr>
        <w:t xml:space="preserve">. </w:t>
      </w:r>
      <w:r>
        <w:rPr>
          <w:sz w:val="16"/>
          <w:szCs w:val="16"/>
          <w:lang w:val="en-GB"/>
        </w:rPr>
        <w:t xml:space="preserve">However, only Estonia </w:t>
      </w:r>
      <w:r w:rsidRPr="00C93DDD">
        <w:rPr>
          <w:sz w:val="16"/>
          <w:szCs w:val="16"/>
          <w:lang w:val="en-GB"/>
        </w:rPr>
        <w:t>(21</w:t>
      </w:r>
      <w:r>
        <w:rPr>
          <w:sz w:val="16"/>
          <w:szCs w:val="16"/>
          <w:lang w:val="en-GB"/>
        </w:rPr>
        <w:t>%</w:t>
      </w:r>
      <w:r w:rsidRPr="00C93DDD">
        <w:rPr>
          <w:sz w:val="16"/>
          <w:szCs w:val="16"/>
          <w:lang w:val="en-GB"/>
        </w:rPr>
        <w:t>) a</w:t>
      </w:r>
      <w:r>
        <w:rPr>
          <w:sz w:val="16"/>
          <w:szCs w:val="16"/>
          <w:lang w:val="en-GB"/>
        </w:rPr>
        <w:t>nd</w:t>
      </w:r>
      <w:r w:rsidRPr="00C93DDD">
        <w:rPr>
          <w:sz w:val="16"/>
          <w:szCs w:val="16"/>
          <w:lang w:val="en-GB"/>
        </w:rPr>
        <w:t xml:space="preserve"> Malta (19%)</w:t>
      </w:r>
      <w:r>
        <w:rPr>
          <w:sz w:val="16"/>
          <w:szCs w:val="16"/>
          <w:lang w:val="en-GB"/>
        </w:rPr>
        <w:t xml:space="preserve"> had currently a larger share of females working this way among the states, which acceded the EU after year 2000</w:t>
      </w:r>
      <w:r w:rsidRPr="00C93DDD">
        <w:rPr>
          <w:sz w:val="16"/>
          <w:szCs w:val="16"/>
          <w:lang w:val="en-GB"/>
        </w:rPr>
        <w:t xml:space="preserve">. </w:t>
      </w:r>
    </w:p>
  </w:footnote>
  <w:footnote w:id="67">
    <w:p w14:paraId="2B433485" w14:textId="71F52255"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Based on the e</w:t>
      </w:r>
      <w:r w:rsidRPr="00334150">
        <w:rPr>
          <w:sz w:val="16"/>
          <w:szCs w:val="16"/>
          <w:lang w:val="en-GB"/>
        </w:rPr>
        <w:t xml:space="preserve">xperimental statistics </w:t>
      </w:r>
      <w:r>
        <w:rPr>
          <w:sz w:val="16"/>
          <w:szCs w:val="16"/>
          <w:lang w:val="en-GB"/>
        </w:rPr>
        <w:t>of the CZSO</w:t>
      </w:r>
      <w:r w:rsidRPr="00334150">
        <w:rPr>
          <w:sz w:val="16"/>
          <w:szCs w:val="16"/>
          <w:lang w:val="en-GB"/>
        </w:rPr>
        <w:t>, the nu</w:t>
      </w:r>
      <w:r w:rsidR="003F59AA">
        <w:rPr>
          <w:sz w:val="16"/>
          <w:szCs w:val="16"/>
          <w:lang w:val="en-GB"/>
        </w:rPr>
        <w:t>mber of persons working under</w:t>
      </w:r>
      <w:r w:rsidRPr="00334150">
        <w:rPr>
          <w:sz w:val="16"/>
          <w:szCs w:val="16"/>
          <w:lang w:val="en-GB"/>
        </w:rPr>
        <w:t xml:space="preserve"> agreement</w:t>
      </w:r>
      <w:r w:rsidR="003F59AA">
        <w:rPr>
          <w:sz w:val="16"/>
          <w:szCs w:val="16"/>
          <w:lang w:val="en-GB"/>
        </w:rPr>
        <w:t>s</w:t>
      </w:r>
      <w:r w:rsidRPr="00334150">
        <w:rPr>
          <w:sz w:val="16"/>
          <w:szCs w:val="16"/>
          <w:lang w:val="en-GB"/>
        </w:rPr>
        <w:t xml:space="preserve"> </w:t>
      </w:r>
      <w:r w:rsidR="003F59AA">
        <w:rPr>
          <w:sz w:val="16"/>
          <w:szCs w:val="16"/>
          <w:lang w:val="en-GB"/>
        </w:rPr>
        <w:t>(</w:t>
      </w:r>
      <w:r w:rsidR="003F59AA" w:rsidRPr="00EE6DCE">
        <w:rPr>
          <w:sz w:val="16"/>
          <w:szCs w:val="16"/>
          <w:lang w:val="en-GB"/>
        </w:rPr>
        <w:t>on work performed outside an employment relationship</w:t>
      </w:r>
      <w:r w:rsidR="003F59AA">
        <w:rPr>
          <w:sz w:val="16"/>
          <w:szCs w:val="16"/>
          <w:lang w:val="en-GB"/>
        </w:rPr>
        <w:t>)</w:t>
      </w:r>
      <w:r w:rsidRPr="00334150">
        <w:rPr>
          <w:sz w:val="16"/>
          <w:szCs w:val="16"/>
          <w:lang w:val="en-GB"/>
        </w:rPr>
        <w:t xml:space="preserve"> fell by 10%</w:t>
      </w:r>
      <w:r>
        <w:rPr>
          <w:sz w:val="16"/>
          <w:szCs w:val="16"/>
          <w:lang w:val="en-GB"/>
        </w:rPr>
        <w:t>,</w:t>
      </w:r>
      <w:r w:rsidRPr="00334150">
        <w:rPr>
          <w:sz w:val="16"/>
          <w:szCs w:val="16"/>
          <w:lang w:val="en-GB"/>
        </w:rPr>
        <w:t xml:space="preserve"> year-on-year</w:t>
      </w:r>
      <w:r>
        <w:rPr>
          <w:sz w:val="16"/>
          <w:szCs w:val="16"/>
          <w:lang w:val="en-GB"/>
        </w:rPr>
        <w:t>, in H</w:t>
      </w:r>
      <w:r w:rsidRPr="00334150">
        <w:rPr>
          <w:sz w:val="16"/>
          <w:szCs w:val="16"/>
          <w:lang w:val="en-GB"/>
        </w:rPr>
        <w:t>1</w:t>
      </w:r>
      <w:r>
        <w:rPr>
          <w:sz w:val="16"/>
          <w:szCs w:val="16"/>
          <w:lang w:val="en-GB"/>
        </w:rPr>
        <w:t xml:space="preserve"> </w:t>
      </w:r>
      <w:r w:rsidRPr="00334150">
        <w:rPr>
          <w:sz w:val="16"/>
          <w:szCs w:val="16"/>
          <w:lang w:val="en-GB"/>
        </w:rPr>
        <w:t xml:space="preserve">2024, the number of </w:t>
      </w:r>
      <w:r>
        <w:rPr>
          <w:sz w:val="16"/>
          <w:szCs w:val="16"/>
          <w:lang w:val="en-GB"/>
        </w:rPr>
        <w:t xml:space="preserve">their </w:t>
      </w:r>
      <w:r w:rsidRPr="00334150">
        <w:rPr>
          <w:sz w:val="16"/>
          <w:szCs w:val="16"/>
          <w:lang w:val="en-GB"/>
        </w:rPr>
        <w:t xml:space="preserve">hours worked decreased </w:t>
      </w:r>
      <w:r>
        <w:rPr>
          <w:sz w:val="16"/>
          <w:szCs w:val="16"/>
          <w:lang w:val="en-GB"/>
        </w:rPr>
        <w:t>accordingly</w:t>
      </w:r>
      <w:r w:rsidRPr="00334150">
        <w:rPr>
          <w:sz w:val="16"/>
          <w:szCs w:val="16"/>
          <w:lang w:val="en-GB"/>
        </w:rPr>
        <w:t xml:space="preserve">. Note: persons working on agreements </w:t>
      </w:r>
      <w:r>
        <w:rPr>
          <w:sz w:val="16"/>
          <w:szCs w:val="16"/>
          <w:lang w:val="en-GB"/>
        </w:rPr>
        <w:t xml:space="preserve">concurrently for more employers </w:t>
      </w:r>
      <w:r w:rsidRPr="00334150">
        <w:rPr>
          <w:sz w:val="16"/>
          <w:szCs w:val="16"/>
          <w:lang w:val="en-GB"/>
        </w:rPr>
        <w:t>are included multiple times (i.e. separately for each employer).</w:t>
      </w:r>
      <w:r>
        <w:rPr>
          <w:sz w:val="16"/>
          <w:szCs w:val="16"/>
          <w:lang w:val="en-GB"/>
        </w:rPr>
        <w:t xml:space="preserve"> </w:t>
      </w:r>
    </w:p>
  </w:footnote>
  <w:footnote w:id="68">
    <w:p w14:paraId="4C42A350"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More than 76%</w:t>
      </w:r>
      <w:r w:rsidRPr="00537A5E">
        <w:rPr>
          <w:sz w:val="16"/>
          <w:szCs w:val="16"/>
          <w:lang w:val="en-GB"/>
        </w:rPr>
        <w:t xml:space="preserve"> of </w:t>
      </w:r>
      <w:r>
        <w:rPr>
          <w:sz w:val="16"/>
          <w:szCs w:val="16"/>
          <w:lang w:val="en-GB"/>
        </w:rPr>
        <w:t xml:space="preserve">all citizens of Ukraine staying </w:t>
      </w:r>
      <w:r w:rsidRPr="00537A5E">
        <w:rPr>
          <w:sz w:val="16"/>
          <w:szCs w:val="16"/>
          <w:lang w:val="en-GB"/>
        </w:rPr>
        <w:t>in the CR</w:t>
      </w:r>
      <w:r>
        <w:rPr>
          <w:sz w:val="16"/>
          <w:szCs w:val="16"/>
          <w:lang w:val="en-GB"/>
        </w:rPr>
        <w:t xml:space="preserve"> in the employee position</w:t>
      </w:r>
      <w:r w:rsidRPr="00537A5E">
        <w:rPr>
          <w:sz w:val="16"/>
          <w:szCs w:val="16"/>
          <w:lang w:val="en-GB"/>
        </w:rPr>
        <w:t xml:space="preserve"> did not need a special work permit</w:t>
      </w:r>
      <w:r>
        <w:rPr>
          <w:sz w:val="16"/>
          <w:szCs w:val="16"/>
          <w:lang w:val="en-GB"/>
        </w:rPr>
        <w:t xml:space="preserve"> at the end of Q2 2024 </w:t>
      </w:r>
      <w:r w:rsidRPr="00537A5E">
        <w:rPr>
          <w:sz w:val="16"/>
          <w:szCs w:val="16"/>
          <w:lang w:val="en-GB"/>
        </w:rPr>
        <w:t>(</w:t>
      </w:r>
      <w:r>
        <w:rPr>
          <w:sz w:val="16"/>
          <w:szCs w:val="16"/>
          <w:lang w:val="en-GB"/>
        </w:rPr>
        <w:t xml:space="preserve">work permit, </w:t>
      </w:r>
      <w:r w:rsidRPr="00537A5E">
        <w:rPr>
          <w:sz w:val="16"/>
          <w:szCs w:val="16"/>
          <w:lang w:val="en-GB"/>
        </w:rPr>
        <w:t>the employee card</w:t>
      </w:r>
      <w:r>
        <w:rPr>
          <w:sz w:val="16"/>
          <w:szCs w:val="16"/>
          <w:lang w:val="en-GB"/>
        </w:rPr>
        <w:t xml:space="preserve"> or blue cards</w:t>
      </w:r>
      <w:r w:rsidRPr="00537A5E">
        <w:rPr>
          <w:sz w:val="16"/>
          <w:szCs w:val="16"/>
          <w:lang w:val="en-GB"/>
        </w:rPr>
        <w:t>).</w:t>
      </w:r>
      <w:r>
        <w:rPr>
          <w:sz w:val="16"/>
          <w:szCs w:val="16"/>
          <w:lang w:val="en-GB"/>
        </w:rPr>
        <w:t xml:space="preserve"> </w:t>
      </w:r>
      <w:r w:rsidRPr="00C93DDD">
        <w:rPr>
          <w:sz w:val="16"/>
          <w:szCs w:val="16"/>
          <w:lang w:val="en-GB"/>
        </w:rPr>
        <w:t xml:space="preserve"> </w:t>
      </w:r>
    </w:p>
  </w:footnote>
  <w:footnote w:id="69">
    <w:p w14:paraId="33801B77"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Pr>
          <w:sz w:val="16"/>
          <w:szCs w:val="16"/>
          <w:lang w:val="en-GB"/>
        </w:rPr>
        <w:t>As of 1</w:t>
      </w:r>
      <w:r w:rsidRPr="00D5581E">
        <w:rPr>
          <w:sz w:val="16"/>
          <w:szCs w:val="16"/>
          <w:vertAlign w:val="superscript"/>
          <w:lang w:val="en-GB"/>
        </w:rPr>
        <w:t>st</w:t>
      </w:r>
      <w:r>
        <w:rPr>
          <w:sz w:val="16"/>
          <w:szCs w:val="16"/>
          <w:lang w:val="en-GB"/>
        </w:rPr>
        <w:t xml:space="preserve"> July </w:t>
      </w:r>
      <w:r w:rsidRPr="00C93DDD">
        <w:rPr>
          <w:sz w:val="16"/>
          <w:szCs w:val="16"/>
          <w:lang w:val="en-GB"/>
        </w:rPr>
        <w:t>2024</w:t>
      </w:r>
      <w:r>
        <w:rPr>
          <w:sz w:val="16"/>
          <w:szCs w:val="16"/>
          <w:lang w:val="en-GB"/>
        </w:rPr>
        <w:t xml:space="preserve">, foreigners from some economically developed countries outside the EU </w:t>
      </w:r>
      <w:r w:rsidRPr="00C93DDD">
        <w:rPr>
          <w:sz w:val="16"/>
          <w:szCs w:val="16"/>
          <w:lang w:val="en-GB"/>
        </w:rPr>
        <w:t xml:space="preserve">(USA, </w:t>
      </w:r>
      <w:r>
        <w:rPr>
          <w:sz w:val="16"/>
          <w:szCs w:val="16"/>
          <w:lang w:val="en-GB"/>
        </w:rPr>
        <w:t>Great Britain, Canada, Australia, New Zealand, Japan</w:t>
      </w:r>
      <w:r w:rsidRPr="00C93DDD">
        <w:rPr>
          <w:sz w:val="16"/>
          <w:szCs w:val="16"/>
          <w:lang w:val="en-GB"/>
        </w:rPr>
        <w:t xml:space="preserve">, </w:t>
      </w:r>
      <w:r>
        <w:rPr>
          <w:sz w:val="16"/>
          <w:szCs w:val="16"/>
          <w:lang w:val="en-GB"/>
        </w:rPr>
        <w:t>South Korea, Israel and Singapore</w:t>
      </w:r>
      <w:r w:rsidRPr="00C93DDD">
        <w:rPr>
          <w:sz w:val="16"/>
          <w:szCs w:val="16"/>
          <w:lang w:val="en-GB"/>
        </w:rPr>
        <w:t>)</w:t>
      </w:r>
      <w:r>
        <w:rPr>
          <w:sz w:val="16"/>
          <w:szCs w:val="16"/>
          <w:lang w:val="en-GB"/>
        </w:rPr>
        <w:t xml:space="preserve"> newly do not need a work permit or employee card in the CR. </w:t>
      </w:r>
    </w:p>
  </w:footnote>
  <w:footnote w:id="70">
    <w:p w14:paraId="54AA712E" w14:textId="77777777" w:rsidR="00165465" w:rsidRPr="00C93DDD" w:rsidRDefault="00165465" w:rsidP="00E551F6">
      <w:pPr>
        <w:pStyle w:val="Textpoznpodarou"/>
        <w:jc w:val="both"/>
        <w:rPr>
          <w:sz w:val="16"/>
          <w:szCs w:val="16"/>
          <w:lang w:val="en-GB"/>
        </w:rPr>
      </w:pPr>
      <w:r w:rsidRPr="00C93DDD">
        <w:rPr>
          <w:rStyle w:val="Znakapoznpodarou"/>
          <w:sz w:val="16"/>
          <w:szCs w:val="16"/>
          <w:lang w:val="en-GB"/>
        </w:rPr>
        <w:footnoteRef/>
      </w:r>
      <w:r w:rsidRPr="00C93DDD">
        <w:rPr>
          <w:sz w:val="16"/>
          <w:szCs w:val="16"/>
          <w:lang w:val="en-GB"/>
        </w:rPr>
        <w:t xml:space="preserve"> </w:t>
      </w:r>
      <w:r w:rsidRPr="0035200B">
        <w:rPr>
          <w:sz w:val="16"/>
          <w:szCs w:val="16"/>
          <w:lang w:val="en-GB"/>
        </w:rPr>
        <w:t>In addition, the Ministry of Industry and Trade registered 124.5</w:t>
      </w:r>
      <w:r>
        <w:rPr>
          <w:sz w:val="16"/>
          <w:szCs w:val="16"/>
          <w:lang w:val="en-GB"/>
        </w:rPr>
        <w:t> </w:t>
      </w:r>
      <w:r w:rsidRPr="0035200B">
        <w:rPr>
          <w:sz w:val="16"/>
          <w:szCs w:val="16"/>
          <w:lang w:val="en-GB"/>
        </w:rPr>
        <w:t xml:space="preserve">thousand foreign nationals with a trade license in the Czech Republic in the same </w:t>
      </w:r>
      <w:r>
        <w:rPr>
          <w:sz w:val="16"/>
          <w:szCs w:val="16"/>
          <w:lang w:val="en-GB"/>
        </w:rPr>
        <w:t xml:space="preserve">time </w:t>
      </w:r>
      <w:r w:rsidRPr="0035200B">
        <w:rPr>
          <w:sz w:val="16"/>
          <w:szCs w:val="16"/>
          <w:lang w:val="en-GB"/>
        </w:rPr>
        <w:t xml:space="preserve">period. Ukrainians contributed almost 60% to their year-on-year growth (+9.3%). Unlike foreigners in </w:t>
      </w:r>
      <w:r>
        <w:rPr>
          <w:sz w:val="16"/>
          <w:szCs w:val="16"/>
          <w:lang w:val="en-GB"/>
        </w:rPr>
        <w:t xml:space="preserve">the </w:t>
      </w:r>
      <w:r w:rsidRPr="0035200B">
        <w:rPr>
          <w:sz w:val="16"/>
          <w:szCs w:val="16"/>
          <w:lang w:val="en-GB"/>
        </w:rPr>
        <w:t>employ</w:t>
      </w:r>
      <w:r>
        <w:rPr>
          <w:sz w:val="16"/>
          <w:szCs w:val="16"/>
          <w:lang w:val="en-GB"/>
        </w:rPr>
        <w:t xml:space="preserve">ee position, </w:t>
      </w:r>
      <w:r w:rsidRPr="0035200B">
        <w:rPr>
          <w:sz w:val="16"/>
          <w:szCs w:val="16"/>
          <w:lang w:val="en-GB"/>
        </w:rPr>
        <w:t xml:space="preserve">people </w:t>
      </w:r>
      <w:r>
        <w:rPr>
          <w:sz w:val="16"/>
          <w:szCs w:val="16"/>
          <w:lang w:val="en-GB"/>
        </w:rPr>
        <w:t>settled in the CR for the long-term (e.g. Vietnamese) a</w:t>
      </w:r>
      <w:r w:rsidRPr="0035200B">
        <w:rPr>
          <w:sz w:val="16"/>
          <w:szCs w:val="16"/>
          <w:lang w:val="en-GB"/>
        </w:rPr>
        <w:t xml:space="preserve">re </w:t>
      </w:r>
      <w:r>
        <w:rPr>
          <w:sz w:val="16"/>
          <w:szCs w:val="16"/>
          <w:lang w:val="en-GB"/>
        </w:rPr>
        <w:t xml:space="preserve">more frequently among foreigners entrepreneurs. </w:t>
      </w:r>
    </w:p>
  </w:footnote>
  <w:footnote w:id="71">
    <w:p w14:paraId="18510AAD" w14:textId="77FF384A" w:rsidR="00165465" w:rsidRPr="00366560" w:rsidRDefault="00165465" w:rsidP="00E551F6">
      <w:pPr>
        <w:pStyle w:val="Textpoznpodarou"/>
        <w:jc w:val="both"/>
        <w:rPr>
          <w:color w:val="0D0D0D" w:themeColor="text1" w:themeTint="F2"/>
          <w:spacing w:val="-2"/>
          <w:sz w:val="16"/>
          <w:szCs w:val="16"/>
          <w:lang w:val="en-GB"/>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w:t>
      </w:r>
      <w:proofErr w:type="spellStart"/>
      <w:r w:rsidRPr="005A10A1">
        <w:rPr>
          <w:color w:val="0D0D0D" w:themeColor="text1" w:themeTint="F2"/>
          <w:spacing w:val="-2"/>
          <w:sz w:val="16"/>
          <w:szCs w:val="16"/>
        </w:rPr>
        <w:t>Businesses</w:t>
      </w:r>
      <w:proofErr w:type="spellEnd"/>
      <w:r w:rsidRPr="005A10A1">
        <w:rPr>
          <w:color w:val="0D0D0D" w:themeColor="text1" w:themeTint="F2"/>
          <w:spacing w:val="-2"/>
          <w:sz w:val="16"/>
          <w:szCs w:val="16"/>
        </w:rPr>
        <w:t xml:space="preserve"> in </w:t>
      </w:r>
      <w:proofErr w:type="spellStart"/>
      <w:r w:rsidRPr="005A10A1">
        <w:rPr>
          <w:color w:val="0D0D0D" w:themeColor="text1" w:themeTint="F2"/>
          <w:spacing w:val="-2"/>
          <w:sz w:val="16"/>
          <w:szCs w:val="16"/>
        </w:rPr>
        <w:t>two</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thirds</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of</w:t>
      </w:r>
      <w:proofErr w:type="spellEnd"/>
      <w:r w:rsidRPr="005A10A1">
        <w:rPr>
          <w:color w:val="0D0D0D" w:themeColor="text1" w:themeTint="F2"/>
          <w:spacing w:val="-2"/>
          <w:sz w:val="16"/>
          <w:szCs w:val="16"/>
        </w:rPr>
        <w:t xml:space="preserve"> </w:t>
      </w:r>
      <w:proofErr w:type="spellStart"/>
      <w:r>
        <w:rPr>
          <w:color w:val="0D0D0D" w:themeColor="text1" w:themeTint="F2"/>
          <w:spacing w:val="-2"/>
          <w:sz w:val="16"/>
          <w:szCs w:val="16"/>
        </w:rPr>
        <w:t>manufacturing</w:t>
      </w:r>
      <w:proofErr w:type="spellEnd"/>
      <w:r>
        <w:rPr>
          <w:color w:val="0D0D0D" w:themeColor="text1" w:themeTint="F2"/>
          <w:spacing w:val="-2"/>
          <w:sz w:val="16"/>
          <w:szCs w:val="16"/>
        </w:rPr>
        <w:t xml:space="preserve"> </w:t>
      </w:r>
      <w:proofErr w:type="spellStart"/>
      <w:r w:rsidRPr="005A10A1">
        <w:rPr>
          <w:color w:val="0D0D0D" w:themeColor="text1" w:themeTint="F2"/>
          <w:spacing w:val="-2"/>
          <w:sz w:val="16"/>
          <w:szCs w:val="16"/>
        </w:rPr>
        <w:t>industrial</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branches</w:t>
      </w:r>
      <w:proofErr w:type="spellEnd"/>
      <w:r w:rsidRPr="005A10A1">
        <w:rPr>
          <w:color w:val="0D0D0D" w:themeColor="text1" w:themeTint="F2"/>
          <w:spacing w:val="-2"/>
          <w:sz w:val="16"/>
          <w:szCs w:val="16"/>
        </w:rPr>
        <w:t xml:space="preserve"> – </w:t>
      </w:r>
      <w:proofErr w:type="spellStart"/>
      <w:r w:rsidRPr="005A10A1">
        <w:rPr>
          <w:color w:val="0D0D0D" w:themeColor="text1" w:themeTint="F2"/>
          <w:spacing w:val="-2"/>
          <w:sz w:val="16"/>
          <w:szCs w:val="16"/>
        </w:rPr>
        <w:t>both</w:t>
      </w:r>
      <w:proofErr w:type="spellEnd"/>
      <w:r w:rsidRPr="005A10A1">
        <w:rPr>
          <w:color w:val="0D0D0D" w:themeColor="text1" w:themeTint="F2"/>
          <w:spacing w:val="-2"/>
          <w:sz w:val="16"/>
          <w:szCs w:val="16"/>
        </w:rPr>
        <w:t xml:space="preserve"> in </w:t>
      </w:r>
      <w:proofErr w:type="spellStart"/>
      <w:r w:rsidRPr="005A10A1">
        <w:rPr>
          <w:color w:val="0D0D0D" w:themeColor="text1" w:themeTint="F2"/>
          <w:spacing w:val="-2"/>
          <w:sz w:val="16"/>
          <w:szCs w:val="16"/>
        </w:rPr>
        <w:t>the</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energy</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intensive</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metallurgy</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production</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of</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construction</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materials</w:t>
      </w:r>
      <w:proofErr w:type="spellEnd"/>
      <w:r w:rsidRPr="005A10A1">
        <w:rPr>
          <w:color w:val="0D0D0D" w:themeColor="text1" w:themeTint="F2"/>
          <w:spacing w:val="-2"/>
          <w:sz w:val="16"/>
          <w:szCs w:val="16"/>
        </w:rPr>
        <w:t>,</w:t>
      </w:r>
      <w:r>
        <w:rPr>
          <w:color w:val="0D0D0D" w:themeColor="text1" w:themeTint="F2"/>
          <w:spacing w:val="-2"/>
          <w:sz w:val="16"/>
          <w:szCs w:val="16"/>
        </w:rPr>
        <w:t xml:space="preserve"> </w:t>
      </w:r>
      <w:proofErr w:type="spellStart"/>
      <w:r w:rsidRPr="005A10A1">
        <w:rPr>
          <w:color w:val="0D0D0D" w:themeColor="text1" w:themeTint="F2"/>
          <w:spacing w:val="-2"/>
          <w:sz w:val="16"/>
          <w:szCs w:val="16"/>
        </w:rPr>
        <w:t>chemical</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industry</w:t>
      </w:r>
      <w:proofErr w:type="spellEnd"/>
      <w:r w:rsidRPr="005A10A1">
        <w:rPr>
          <w:color w:val="0D0D0D" w:themeColor="text1" w:themeTint="F2"/>
          <w:spacing w:val="-2"/>
          <w:sz w:val="16"/>
          <w:szCs w:val="16"/>
        </w:rPr>
        <w:t xml:space="preserve">) and in </w:t>
      </w:r>
      <w:proofErr w:type="spellStart"/>
      <w:r w:rsidRPr="005A10A1">
        <w:rPr>
          <w:color w:val="0D0D0D" w:themeColor="text1" w:themeTint="F2"/>
          <w:spacing w:val="-2"/>
          <w:sz w:val="16"/>
          <w:szCs w:val="16"/>
        </w:rPr>
        <w:t>machinery</w:t>
      </w:r>
      <w:proofErr w:type="spellEnd"/>
      <w:r>
        <w:rPr>
          <w:color w:val="0D0D0D" w:themeColor="text1" w:themeTint="F2"/>
          <w:spacing w:val="-2"/>
          <w:sz w:val="16"/>
          <w:szCs w:val="16"/>
        </w:rPr>
        <w:t xml:space="preserve">, </w:t>
      </w:r>
      <w:proofErr w:type="spellStart"/>
      <w:r>
        <w:rPr>
          <w:color w:val="0D0D0D" w:themeColor="text1" w:themeTint="F2"/>
          <w:spacing w:val="-2"/>
          <w:sz w:val="16"/>
          <w:szCs w:val="16"/>
        </w:rPr>
        <w:t>electronics</w:t>
      </w:r>
      <w:proofErr w:type="spellEnd"/>
      <w:r>
        <w:rPr>
          <w:color w:val="0D0D0D" w:themeColor="text1" w:themeTint="F2"/>
          <w:spacing w:val="-2"/>
          <w:sz w:val="16"/>
          <w:szCs w:val="16"/>
        </w:rPr>
        <w:t xml:space="preserve"> </w:t>
      </w:r>
      <w:proofErr w:type="spellStart"/>
      <w:r>
        <w:rPr>
          <w:color w:val="0D0D0D" w:themeColor="text1" w:themeTint="F2"/>
          <w:spacing w:val="-2"/>
          <w:sz w:val="16"/>
          <w:szCs w:val="16"/>
        </w:rPr>
        <w:t>industry</w:t>
      </w:r>
      <w:proofErr w:type="spellEnd"/>
      <w:r>
        <w:rPr>
          <w:color w:val="0D0D0D" w:themeColor="text1" w:themeTint="F2"/>
          <w:spacing w:val="-2"/>
          <w:sz w:val="16"/>
          <w:szCs w:val="16"/>
        </w:rPr>
        <w:t xml:space="preserve"> </w:t>
      </w:r>
      <w:r w:rsidRPr="005A10A1">
        <w:rPr>
          <w:color w:val="0D0D0D" w:themeColor="text1" w:themeTint="F2"/>
          <w:spacing w:val="-2"/>
          <w:sz w:val="16"/>
          <w:szCs w:val="16"/>
        </w:rPr>
        <w:t xml:space="preserve">and </w:t>
      </w:r>
      <w:proofErr w:type="spellStart"/>
      <w:r w:rsidRPr="005A10A1">
        <w:rPr>
          <w:color w:val="0D0D0D" w:themeColor="text1" w:themeTint="F2"/>
          <w:spacing w:val="-2"/>
          <w:sz w:val="16"/>
          <w:szCs w:val="16"/>
        </w:rPr>
        <w:t>supplier</w:t>
      </w:r>
      <w:proofErr w:type="spellEnd"/>
      <w:r w:rsidRPr="005A10A1">
        <w:rPr>
          <w:color w:val="0D0D0D" w:themeColor="text1" w:themeTint="F2"/>
          <w:spacing w:val="-2"/>
          <w:sz w:val="16"/>
          <w:szCs w:val="16"/>
        </w:rPr>
        <w:t xml:space="preserve"> sub-</w:t>
      </w:r>
      <w:proofErr w:type="spellStart"/>
      <w:r w:rsidRPr="005A10A1">
        <w:rPr>
          <w:color w:val="0D0D0D" w:themeColor="text1" w:themeTint="F2"/>
          <w:spacing w:val="-2"/>
          <w:sz w:val="16"/>
          <w:szCs w:val="16"/>
        </w:rPr>
        <w:t>branches</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tied</w:t>
      </w:r>
      <w:proofErr w:type="spellEnd"/>
      <w:r w:rsidRPr="005A10A1">
        <w:rPr>
          <w:color w:val="0D0D0D" w:themeColor="text1" w:themeTint="F2"/>
          <w:spacing w:val="-2"/>
          <w:sz w:val="16"/>
          <w:szCs w:val="16"/>
        </w:rPr>
        <w:t xml:space="preserve"> to </w:t>
      </w:r>
      <w:proofErr w:type="spellStart"/>
      <w:r w:rsidRPr="005A10A1">
        <w:rPr>
          <w:color w:val="0D0D0D" w:themeColor="text1" w:themeTint="F2"/>
          <w:spacing w:val="-2"/>
          <w:sz w:val="16"/>
          <w:szCs w:val="16"/>
        </w:rPr>
        <w:t>manufacturing</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of</w:t>
      </w:r>
      <w:proofErr w:type="spellEnd"/>
      <w:r w:rsidRPr="005A10A1">
        <w:rPr>
          <w:color w:val="0D0D0D" w:themeColor="text1" w:themeTint="F2"/>
          <w:spacing w:val="-2"/>
          <w:sz w:val="16"/>
          <w:szCs w:val="16"/>
        </w:rPr>
        <w:t xml:space="preserve"> motor </w:t>
      </w:r>
      <w:proofErr w:type="spellStart"/>
      <w:r w:rsidRPr="005A10A1">
        <w:rPr>
          <w:color w:val="0D0D0D" w:themeColor="text1" w:themeTint="F2"/>
          <w:spacing w:val="-2"/>
          <w:sz w:val="16"/>
          <w:szCs w:val="16"/>
        </w:rPr>
        <w:t>vehicles</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or</w:t>
      </w:r>
      <w:proofErr w:type="spellEnd"/>
      <w:r w:rsidRPr="005A10A1">
        <w:rPr>
          <w:color w:val="0D0D0D" w:themeColor="text1" w:themeTint="F2"/>
          <w:spacing w:val="-2"/>
          <w:sz w:val="16"/>
          <w:szCs w:val="16"/>
        </w:rPr>
        <w:t xml:space="preserve"> in a </w:t>
      </w:r>
      <w:proofErr w:type="spellStart"/>
      <w:r w:rsidRPr="005A10A1">
        <w:rPr>
          <w:color w:val="0D0D0D" w:themeColor="text1" w:themeTint="F2"/>
          <w:spacing w:val="-2"/>
          <w:sz w:val="16"/>
          <w:szCs w:val="16"/>
        </w:rPr>
        <w:t>number</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of</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mostly</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smaller</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branches</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whose</w:t>
      </w:r>
      <w:proofErr w:type="spellEnd"/>
      <w:r w:rsidRPr="005A10A1">
        <w:rPr>
          <w:color w:val="0D0D0D" w:themeColor="text1" w:themeTint="F2"/>
          <w:spacing w:val="-2"/>
          <w:sz w:val="16"/>
          <w:szCs w:val="16"/>
        </w:rPr>
        <w:t xml:space="preserve"> sales </w:t>
      </w:r>
      <w:proofErr w:type="spellStart"/>
      <w:r w:rsidRPr="005A10A1">
        <w:rPr>
          <w:color w:val="0D0D0D" w:themeColor="text1" w:themeTint="F2"/>
          <w:spacing w:val="-2"/>
          <w:sz w:val="16"/>
          <w:szCs w:val="16"/>
        </w:rPr>
        <w:t>depend</w:t>
      </w:r>
      <w:proofErr w:type="spellEnd"/>
      <w:r w:rsidRPr="005A10A1">
        <w:rPr>
          <w:color w:val="0D0D0D" w:themeColor="text1" w:themeTint="F2"/>
          <w:spacing w:val="-2"/>
          <w:sz w:val="16"/>
          <w:szCs w:val="16"/>
        </w:rPr>
        <w:t xml:space="preserve"> to a </w:t>
      </w:r>
      <w:proofErr w:type="spellStart"/>
      <w:r w:rsidRPr="005A10A1">
        <w:rPr>
          <w:color w:val="0D0D0D" w:themeColor="text1" w:themeTint="F2"/>
          <w:spacing w:val="-2"/>
          <w:sz w:val="16"/>
          <w:szCs w:val="16"/>
        </w:rPr>
        <w:t>large</w:t>
      </w:r>
      <w:proofErr w:type="spellEnd"/>
      <w:r w:rsidRPr="005A10A1">
        <w:rPr>
          <w:color w:val="0D0D0D" w:themeColor="text1" w:themeTint="F2"/>
          <w:spacing w:val="-2"/>
          <w:sz w:val="16"/>
          <w:szCs w:val="16"/>
        </w:rPr>
        <w:t xml:space="preserve"> part on </w:t>
      </w:r>
      <w:proofErr w:type="spellStart"/>
      <w:r w:rsidRPr="005A10A1">
        <w:rPr>
          <w:color w:val="0D0D0D" w:themeColor="text1" w:themeTint="F2"/>
          <w:spacing w:val="-2"/>
          <w:sz w:val="16"/>
          <w:szCs w:val="16"/>
        </w:rPr>
        <w:t>the</w:t>
      </w:r>
      <w:proofErr w:type="spellEnd"/>
      <w:r w:rsidRPr="005A10A1">
        <w:rPr>
          <w:color w:val="0D0D0D" w:themeColor="text1" w:themeTint="F2"/>
          <w:spacing w:val="-2"/>
          <w:sz w:val="16"/>
          <w:szCs w:val="16"/>
        </w:rPr>
        <w:t xml:space="preserve"> </w:t>
      </w:r>
      <w:proofErr w:type="spellStart"/>
      <w:r w:rsidRPr="005A10A1">
        <w:rPr>
          <w:color w:val="0D0D0D" w:themeColor="text1" w:themeTint="F2"/>
          <w:spacing w:val="-2"/>
          <w:sz w:val="16"/>
          <w:szCs w:val="16"/>
        </w:rPr>
        <w:t>household</w:t>
      </w:r>
      <w:proofErr w:type="spellEnd"/>
      <w:r w:rsidRPr="005A10A1">
        <w:rPr>
          <w:color w:val="0D0D0D" w:themeColor="text1" w:themeTint="F2"/>
          <w:spacing w:val="-2"/>
          <w:sz w:val="16"/>
          <w:szCs w:val="16"/>
        </w:rPr>
        <w:t xml:space="preserve"> </w:t>
      </w:r>
      <w:r w:rsidRPr="00366560">
        <w:rPr>
          <w:color w:val="0D0D0D" w:themeColor="text1" w:themeTint="F2"/>
          <w:spacing w:val="-2"/>
          <w:sz w:val="16"/>
          <w:szCs w:val="16"/>
          <w:lang w:val="en-GB"/>
        </w:rPr>
        <w:t xml:space="preserve">consumption (furniture, </w:t>
      </w:r>
      <w:r w:rsidR="003D1AE0">
        <w:rPr>
          <w:color w:val="0D0D0D" w:themeColor="text1" w:themeTint="F2"/>
          <w:spacing w:val="-2"/>
          <w:sz w:val="16"/>
          <w:szCs w:val="16"/>
          <w:lang w:val="en-GB"/>
        </w:rPr>
        <w:t>textile, clothing and beverage</w:t>
      </w:r>
      <w:r w:rsidRPr="00366560">
        <w:rPr>
          <w:color w:val="0D0D0D" w:themeColor="text1" w:themeTint="F2"/>
          <w:spacing w:val="-2"/>
          <w:sz w:val="16"/>
          <w:szCs w:val="16"/>
          <w:lang w:val="en-GB"/>
        </w:rPr>
        <w:t xml:space="preserve"> industry) expressed prevailing negative expectations of employment (based on survey from August 2024). </w:t>
      </w:r>
      <w:r w:rsidRPr="00F16799">
        <w:rPr>
          <w:color w:val="0D0D0D" w:themeColor="text1" w:themeTint="F2"/>
          <w:spacing w:val="-2"/>
          <w:sz w:val="16"/>
          <w:szCs w:val="16"/>
          <w:lang w:val="en-GB"/>
        </w:rPr>
        <w:t xml:space="preserve">On the contrary, positive outlooks lasted </w:t>
      </w:r>
      <w:r>
        <w:rPr>
          <w:color w:val="0D0D0D" w:themeColor="text1" w:themeTint="F2"/>
          <w:spacing w:val="-2"/>
          <w:sz w:val="16"/>
          <w:szCs w:val="16"/>
          <w:lang w:val="en-GB"/>
        </w:rPr>
        <w:t xml:space="preserve">mainly </w:t>
      </w:r>
      <w:r w:rsidRPr="00F16799">
        <w:rPr>
          <w:color w:val="0D0D0D" w:themeColor="text1" w:themeTint="F2"/>
          <w:spacing w:val="-2"/>
          <w:sz w:val="16"/>
          <w:szCs w:val="16"/>
          <w:lang w:val="en-GB"/>
        </w:rPr>
        <w:t xml:space="preserve">in manufacturing of </w:t>
      </w:r>
      <w:r>
        <w:rPr>
          <w:color w:val="0D0D0D" w:themeColor="text1" w:themeTint="F2"/>
          <w:spacing w:val="-2"/>
          <w:sz w:val="16"/>
          <w:szCs w:val="16"/>
          <w:lang w:val="en-GB"/>
        </w:rPr>
        <w:t>rail transport equipment</w:t>
      </w:r>
      <w:r w:rsidRPr="00F16799">
        <w:rPr>
          <w:color w:val="0D0D0D" w:themeColor="text1" w:themeTint="F2"/>
          <w:spacing w:val="-2"/>
          <w:sz w:val="16"/>
          <w:szCs w:val="16"/>
          <w:lang w:val="en-GB"/>
        </w:rPr>
        <w:t xml:space="preserve">, </w:t>
      </w:r>
      <w:r>
        <w:rPr>
          <w:color w:val="0D0D0D" w:themeColor="text1" w:themeTint="F2"/>
          <w:spacing w:val="-2"/>
          <w:sz w:val="16"/>
          <w:szCs w:val="16"/>
          <w:lang w:val="en-GB"/>
        </w:rPr>
        <w:t xml:space="preserve">with a margin then </w:t>
      </w:r>
      <w:r w:rsidRPr="00F16799">
        <w:rPr>
          <w:color w:val="0D0D0D" w:themeColor="text1" w:themeTint="F2"/>
          <w:spacing w:val="-2"/>
          <w:sz w:val="16"/>
          <w:szCs w:val="16"/>
          <w:lang w:val="en-GB"/>
        </w:rPr>
        <w:t xml:space="preserve">further in the pharmaceutical industry, other industry or repairs and installation of machinery and equipment. </w:t>
      </w:r>
      <w:r>
        <w:rPr>
          <w:color w:val="0D0D0D" w:themeColor="text1" w:themeTint="F2"/>
          <w:spacing w:val="-2"/>
          <w:sz w:val="16"/>
          <w:szCs w:val="16"/>
          <w:lang w:val="en-GB"/>
        </w:rPr>
        <w:t xml:space="preserve">Sings of a positive turnaround occurred in the metalworking industry, which also contains the small segment of weapon industry. </w:t>
      </w:r>
    </w:p>
    <w:p w14:paraId="7813488A" w14:textId="77777777" w:rsidR="00165465" w:rsidRPr="00163F56" w:rsidRDefault="00165465" w:rsidP="00E551F6">
      <w:pPr>
        <w:pStyle w:val="Textpoznpodarou"/>
        <w:jc w:val="both"/>
        <w:rPr>
          <w:color w:val="0D0D0D" w:themeColor="text1" w:themeTint="F2"/>
          <w:spacing w:val="-5"/>
          <w:sz w:val="16"/>
          <w:szCs w:val="16"/>
          <w:lang w:val="en-GB"/>
        </w:rPr>
      </w:pPr>
      <w:r w:rsidRPr="006E08BC">
        <w:rPr>
          <w:color w:val="0D0D0D" w:themeColor="text1" w:themeTint="F2"/>
          <w:spacing w:val="-2"/>
          <w:sz w:val="16"/>
          <w:szCs w:val="16"/>
          <w:lang w:val="en-GB"/>
        </w:rPr>
        <w:t xml:space="preserve">Negative expectations prevailed in one half of sub-branches in services. It was the most apparent in financial industry, </w:t>
      </w:r>
      <w:r>
        <w:rPr>
          <w:color w:val="0D0D0D" w:themeColor="text1" w:themeTint="F2"/>
          <w:spacing w:val="-2"/>
          <w:sz w:val="16"/>
          <w:szCs w:val="16"/>
          <w:lang w:val="en-GB"/>
        </w:rPr>
        <w:t xml:space="preserve">further in arts, entertainment and recreation activities, </w:t>
      </w:r>
      <w:r w:rsidRPr="006E08BC">
        <w:rPr>
          <w:color w:val="0D0D0D" w:themeColor="text1" w:themeTint="F2"/>
          <w:spacing w:val="-2"/>
          <w:sz w:val="16"/>
          <w:szCs w:val="16"/>
          <w:lang w:val="en-GB"/>
        </w:rPr>
        <w:t>in majority of administrative and support service activities</w:t>
      </w:r>
      <w:r>
        <w:rPr>
          <w:color w:val="0D0D0D" w:themeColor="text1" w:themeTint="F2"/>
          <w:spacing w:val="-2"/>
          <w:sz w:val="16"/>
          <w:szCs w:val="16"/>
          <w:lang w:val="en-GB"/>
        </w:rPr>
        <w:t xml:space="preserve"> or in </w:t>
      </w:r>
      <w:r w:rsidRPr="006E08BC">
        <w:rPr>
          <w:color w:val="0D0D0D" w:themeColor="text1" w:themeTint="F2"/>
          <w:spacing w:val="-2"/>
          <w:sz w:val="16"/>
          <w:szCs w:val="16"/>
          <w:lang w:val="en-GB"/>
        </w:rPr>
        <w:t xml:space="preserve">advertising. In contrast, businesses anticipated rather higher employment in several other business services (architectural and engineering activities, employment agencies) or in the area of programming, </w:t>
      </w:r>
      <w:r>
        <w:rPr>
          <w:color w:val="0D0D0D" w:themeColor="text1" w:themeTint="F2"/>
          <w:spacing w:val="-2"/>
          <w:sz w:val="16"/>
          <w:szCs w:val="16"/>
          <w:lang w:val="en-GB"/>
        </w:rPr>
        <w:t xml:space="preserve">telecommunications, </w:t>
      </w:r>
      <w:r w:rsidRPr="006E08BC">
        <w:rPr>
          <w:color w:val="0D0D0D" w:themeColor="text1" w:themeTint="F2"/>
          <w:spacing w:val="-2"/>
          <w:sz w:val="16"/>
          <w:szCs w:val="16"/>
          <w:lang w:val="en-GB"/>
        </w:rPr>
        <w:t>courier activities, food service</w:t>
      </w:r>
      <w:r>
        <w:rPr>
          <w:color w:val="0D0D0D" w:themeColor="text1" w:themeTint="F2"/>
          <w:spacing w:val="-2"/>
          <w:sz w:val="16"/>
          <w:szCs w:val="16"/>
          <w:lang w:val="en-GB"/>
        </w:rPr>
        <w:t xml:space="preserve"> or </w:t>
      </w:r>
      <w:r w:rsidRPr="006E08BC">
        <w:rPr>
          <w:color w:val="0D0D0D" w:themeColor="text1" w:themeTint="F2"/>
          <w:spacing w:val="-2"/>
          <w:sz w:val="16"/>
          <w:szCs w:val="16"/>
          <w:lang w:val="en-GB"/>
        </w:rPr>
        <w:t>accommodatio</w:t>
      </w:r>
      <w:r>
        <w:rPr>
          <w:color w:val="0D0D0D" w:themeColor="text1" w:themeTint="F2"/>
          <w:spacing w:val="-2"/>
          <w:sz w:val="16"/>
          <w:szCs w:val="16"/>
          <w:lang w:val="en-GB"/>
        </w:rPr>
        <w:t>n.</w:t>
      </w:r>
    </w:p>
  </w:footnote>
  <w:footnote w:id="72">
    <w:p w14:paraId="16D2D118" w14:textId="77777777" w:rsidR="00165465" w:rsidRPr="00163F56" w:rsidRDefault="00165465" w:rsidP="00E551F6">
      <w:pPr>
        <w:pStyle w:val="Textpoznpodarou"/>
        <w:jc w:val="both"/>
        <w:rPr>
          <w:sz w:val="16"/>
          <w:szCs w:val="16"/>
          <w:lang w:val="en-GB"/>
        </w:rPr>
      </w:pPr>
      <w:r w:rsidRPr="00163F56">
        <w:rPr>
          <w:rStyle w:val="Znakapoznpodarou"/>
          <w:sz w:val="16"/>
          <w:szCs w:val="16"/>
          <w:lang w:val="en-GB"/>
        </w:rPr>
        <w:footnoteRef/>
      </w:r>
      <w:r w:rsidRPr="00163F56">
        <w:rPr>
          <w:sz w:val="16"/>
          <w:szCs w:val="16"/>
          <w:lang w:val="en-GB"/>
        </w:rPr>
        <w:t xml:space="preserve"> </w:t>
      </w:r>
      <w:r w:rsidRPr="00163F56">
        <w:rPr>
          <w:spacing w:val="-6"/>
          <w:sz w:val="16"/>
          <w:szCs w:val="16"/>
          <w:lang w:val="en-GB"/>
        </w:rPr>
        <w:t xml:space="preserve">Businesses could have indicated more barriers simultaneously. </w:t>
      </w:r>
    </w:p>
  </w:footnote>
  <w:footnote w:id="73">
    <w:p w14:paraId="3BD9357C" w14:textId="77777777" w:rsidR="00165465" w:rsidRPr="004E68B1" w:rsidRDefault="00165465" w:rsidP="006233F9">
      <w:pPr>
        <w:pStyle w:val="Textpoznpodarou"/>
        <w:rPr>
          <w:spacing w:val="-3"/>
          <w:sz w:val="16"/>
          <w:szCs w:val="16"/>
        </w:rPr>
      </w:pPr>
      <w:r w:rsidRPr="004E68B1">
        <w:rPr>
          <w:rStyle w:val="Znakapoznpodarou"/>
          <w:spacing w:val="-3"/>
          <w:sz w:val="16"/>
          <w:szCs w:val="16"/>
        </w:rPr>
        <w:footnoteRef/>
      </w:r>
      <w:r>
        <w:rPr>
          <w:spacing w:val="-3"/>
          <w:sz w:val="16"/>
          <w:szCs w:val="16"/>
        </w:rPr>
        <w:t xml:space="preserve"> </w:t>
      </w:r>
      <w:proofErr w:type="spellStart"/>
      <w:r w:rsidRPr="00E9248F">
        <w:rPr>
          <w:spacing w:val="-3"/>
          <w:sz w:val="16"/>
          <w:szCs w:val="16"/>
        </w:rPr>
        <w:t>Unless</w:t>
      </w:r>
      <w:proofErr w:type="spellEnd"/>
      <w:r w:rsidRPr="00E9248F">
        <w:rPr>
          <w:spacing w:val="-3"/>
          <w:sz w:val="16"/>
          <w:szCs w:val="16"/>
        </w:rPr>
        <w:t xml:space="preserve"> </w:t>
      </w:r>
      <w:proofErr w:type="spellStart"/>
      <w:r w:rsidRPr="00E9248F">
        <w:rPr>
          <w:spacing w:val="-3"/>
          <w:sz w:val="16"/>
          <w:szCs w:val="16"/>
        </w:rPr>
        <w:t>stated</w:t>
      </w:r>
      <w:proofErr w:type="spellEnd"/>
      <w:r w:rsidRPr="00E9248F">
        <w:rPr>
          <w:spacing w:val="-3"/>
          <w:sz w:val="16"/>
          <w:szCs w:val="16"/>
        </w:rPr>
        <w:t xml:space="preserve"> </w:t>
      </w:r>
      <w:proofErr w:type="spellStart"/>
      <w:r w:rsidRPr="00E9248F">
        <w:rPr>
          <w:spacing w:val="-3"/>
          <w:sz w:val="16"/>
          <w:szCs w:val="16"/>
        </w:rPr>
        <w:t>otherwise</w:t>
      </w:r>
      <w:proofErr w:type="spellEnd"/>
      <w:r w:rsidRPr="00E9248F">
        <w:rPr>
          <w:spacing w:val="-3"/>
          <w:sz w:val="16"/>
          <w:szCs w:val="16"/>
        </w:rPr>
        <w:t xml:space="preserve">, </w:t>
      </w:r>
      <w:proofErr w:type="spellStart"/>
      <w:r w:rsidRPr="00E9248F">
        <w:rPr>
          <w:spacing w:val="-3"/>
          <w:sz w:val="16"/>
          <w:szCs w:val="16"/>
        </w:rPr>
        <w:t>all</w:t>
      </w:r>
      <w:proofErr w:type="spellEnd"/>
      <w:r w:rsidRPr="00E9248F">
        <w:rPr>
          <w:spacing w:val="-3"/>
          <w:sz w:val="16"/>
          <w:szCs w:val="16"/>
        </w:rPr>
        <w:t xml:space="preserve"> data </w:t>
      </w:r>
      <w:proofErr w:type="spellStart"/>
      <w:r w:rsidRPr="00E9248F">
        <w:rPr>
          <w:spacing w:val="-3"/>
          <w:sz w:val="16"/>
          <w:szCs w:val="16"/>
        </w:rPr>
        <w:t>regarding</w:t>
      </w:r>
      <w:proofErr w:type="spellEnd"/>
      <w:r w:rsidRPr="00E9248F">
        <w:rPr>
          <w:spacing w:val="-3"/>
          <w:sz w:val="16"/>
          <w:szCs w:val="16"/>
        </w:rPr>
        <w:t xml:space="preserve"> </w:t>
      </w:r>
      <w:proofErr w:type="spellStart"/>
      <w:r w:rsidRPr="00E9248F">
        <w:rPr>
          <w:spacing w:val="-3"/>
          <w:sz w:val="16"/>
          <w:szCs w:val="16"/>
        </w:rPr>
        <w:t>the</w:t>
      </w:r>
      <w:proofErr w:type="spellEnd"/>
      <w:r w:rsidRPr="00E9248F">
        <w:rPr>
          <w:spacing w:val="-3"/>
          <w:sz w:val="16"/>
          <w:szCs w:val="16"/>
        </w:rPr>
        <w:t xml:space="preserve"> </w:t>
      </w:r>
      <w:proofErr w:type="spellStart"/>
      <w:r w:rsidRPr="00E9248F">
        <w:rPr>
          <w:spacing w:val="-3"/>
          <w:sz w:val="16"/>
          <w:szCs w:val="16"/>
        </w:rPr>
        <w:t>unemployment</w:t>
      </w:r>
      <w:proofErr w:type="spellEnd"/>
      <w:r w:rsidRPr="00E9248F">
        <w:rPr>
          <w:spacing w:val="-3"/>
          <w:sz w:val="16"/>
          <w:szCs w:val="16"/>
        </w:rPr>
        <w:t xml:space="preserve"> </w:t>
      </w:r>
      <w:proofErr w:type="spellStart"/>
      <w:r w:rsidRPr="00E9248F">
        <w:rPr>
          <w:spacing w:val="-3"/>
          <w:sz w:val="16"/>
          <w:szCs w:val="16"/>
        </w:rPr>
        <w:t>rates</w:t>
      </w:r>
      <w:proofErr w:type="spellEnd"/>
      <w:r w:rsidRPr="00E9248F">
        <w:rPr>
          <w:spacing w:val="-3"/>
          <w:sz w:val="16"/>
          <w:szCs w:val="16"/>
        </w:rPr>
        <w:t xml:space="preserve"> are </w:t>
      </w:r>
      <w:proofErr w:type="spellStart"/>
      <w:r w:rsidRPr="00E9248F">
        <w:rPr>
          <w:spacing w:val="-3"/>
          <w:sz w:val="16"/>
          <w:szCs w:val="16"/>
        </w:rPr>
        <w:t>sourced</w:t>
      </w:r>
      <w:proofErr w:type="spellEnd"/>
      <w:r w:rsidRPr="00E9248F">
        <w:rPr>
          <w:spacing w:val="-3"/>
          <w:sz w:val="16"/>
          <w:szCs w:val="16"/>
        </w:rPr>
        <w:t xml:space="preserve"> </w:t>
      </w:r>
      <w:proofErr w:type="spellStart"/>
      <w:r w:rsidRPr="00E9248F">
        <w:rPr>
          <w:spacing w:val="-3"/>
          <w:sz w:val="16"/>
          <w:szCs w:val="16"/>
        </w:rPr>
        <w:t>from</w:t>
      </w:r>
      <w:proofErr w:type="spellEnd"/>
      <w:r w:rsidRPr="00E9248F">
        <w:rPr>
          <w:spacing w:val="-3"/>
          <w:sz w:val="16"/>
          <w:szCs w:val="16"/>
        </w:rPr>
        <w:t xml:space="preserve"> </w:t>
      </w:r>
      <w:proofErr w:type="spellStart"/>
      <w:r w:rsidRPr="00E9248F">
        <w:rPr>
          <w:spacing w:val="-3"/>
          <w:sz w:val="16"/>
          <w:szCs w:val="16"/>
        </w:rPr>
        <w:t>the</w:t>
      </w:r>
      <w:proofErr w:type="spellEnd"/>
      <w:r w:rsidRPr="00E9248F">
        <w:rPr>
          <w:spacing w:val="-3"/>
          <w:sz w:val="16"/>
          <w:szCs w:val="16"/>
        </w:rPr>
        <w:t xml:space="preserve"> LFSS (</w:t>
      </w:r>
      <w:proofErr w:type="spellStart"/>
      <w:r w:rsidRPr="00E9248F">
        <w:rPr>
          <w:spacing w:val="-3"/>
          <w:sz w:val="16"/>
          <w:szCs w:val="16"/>
        </w:rPr>
        <w:t>based</w:t>
      </w:r>
      <w:proofErr w:type="spellEnd"/>
      <w:r w:rsidRPr="00E9248F">
        <w:rPr>
          <w:spacing w:val="-3"/>
          <w:sz w:val="16"/>
          <w:szCs w:val="16"/>
        </w:rPr>
        <w:t xml:space="preserve"> on </w:t>
      </w:r>
      <w:proofErr w:type="spellStart"/>
      <w:r w:rsidRPr="00E9248F">
        <w:rPr>
          <w:spacing w:val="-3"/>
          <w:sz w:val="16"/>
          <w:szCs w:val="16"/>
        </w:rPr>
        <w:t>the</w:t>
      </w:r>
      <w:proofErr w:type="spellEnd"/>
      <w:r w:rsidRPr="00E9248F">
        <w:rPr>
          <w:spacing w:val="-3"/>
          <w:sz w:val="16"/>
          <w:szCs w:val="16"/>
        </w:rPr>
        <w:t xml:space="preserve"> ILO </w:t>
      </w:r>
      <w:proofErr w:type="spellStart"/>
      <w:r w:rsidRPr="00E9248F">
        <w:rPr>
          <w:spacing w:val="-3"/>
          <w:sz w:val="16"/>
          <w:szCs w:val="16"/>
        </w:rPr>
        <w:t>methodology</w:t>
      </w:r>
      <w:proofErr w:type="spellEnd"/>
      <w:r w:rsidRPr="00E9248F">
        <w:rPr>
          <w:spacing w:val="-3"/>
          <w:sz w:val="16"/>
          <w:szCs w:val="16"/>
        </w:rPr>
        <w:t xml:space="preserve">) and are </w:t>
      </w:r>
      <w:proofErr w:type="spellStart"/>
      <w:r w:rsidRPr="00E9248F">
        <w:rPr>
          <w:spacing w:val="-3"/>
          <w:sz w:val="16"/>
          <w:szCs w:val="16"/>
        </w:rPr>
        <w:t>adjusted</w:t>
      </w:r>
      <w:proofErr w:type="spellEnd"/>
      <w:r w:rsidRPr="00E9248F">
        <w:rPr>
          <w:spacing w:val="-3"/>
          <w:sz w:val="16"/>
          <w:szCs w:val="16"/>
        </w:rPr>
        <w:t xml:space="preserve"> </w:t>
      </w:r>
      <w:proofErr w:type="spellStart"/>
      <w:r w:rsidRPr="00E9248F">
        <w:rPr>
          <w:spacing w:val="-3"/>
          <w:sz w:val="16"/>
          <w:szCs w:val="16"/>
        </w:rPr>
        <w:t>for</w:t>
      </w:r>
      <w:proofErr w:type="spellEnd"/>
      <w:r w:rsidRPr="00E9248F">
        <w:rPr>
          <w:spacing w:val="-3"/>
          <w:sz w:val="16"/>
          <w:szCs w:val="16"/>
        </w:rPr>
        <w:t xml:space="preserve"> </w:t>
      </w:r>
      <w:proofErr w:type="spellStart"/>
      <w:r w:rsidRPr="00E9248F">
        <w:rPr>
          <w:spacing w:val="-3"/>
          <w:sz w:val="16"/>
          <w:szCs w:val="16"/>
        </w:rPr>
        <w:t>seasonal</w:t>
      </w:r>
      <w:proofErr w:type="spellEnd"/>
      <w:r w:rsidRPr="00E9248F">
        <w:rPr>
          <w:spacing w:val="-3"/>
          <w:sz w:val="16"/>
          <w:szCs w:val="16"/>
        </w:rPr>
        <w:t xml:space="preserve"> </w:t>
      </w:r>
      <w:proofErr w:type="spellStart"/>
      <w:r w:rsidRPr="00E9248F">
        <w:rPr>
          <w:spacing w:val="-3"/>
          <w:sz w:val="16"/>
          <w:szCs w:val="16"/>
        </w:rPr>
        <w:t>effects</w:t>
      </w:r>
      <w:proofErr w:type="spellEnd"/>
      <w:r w:rsidRPr="00E9248F">
        <w:rPr>
          <w:spacing w:val="-3"/>
          <w:sz w:val="16"/>
          <w:szCs w:val="16"/>
        </w:rPr>
        <w:t>.</w:t>
      </w:r>
      <w:r>
        <w:rPr>
          <w:spacing w:val="-3"/>
          <w:sz w:val="16"/>
          <w:szCs w:val="16"/>
        </w:rPr>
        <w:t xml:space="preserve"> </w:t>
      </w:r>
    </w:p>
  </w:footnote>
  <w:footnote w:id="74">
    <w:p w14:paraId="16E5AA92" w14:textId="2BBEE6C1" w:rsidR="00165465" w:rsidRPr="009371CF" w:rsidRDefault="00165465" w:rsidP="006233F9">
      <w:pPr>
        <w:spacing w:after="0" w:line="240" w:lineRule="auto"/>
        <w:rPr>
          <w:rFonts w:eastAsia="Calibri"/>
          <w:spacing w:val="-3"/>
          <w:sz w:val="16"/>
          <w:szCs w:val="16"/>
          <w:lang w:val="en-GB"/>
        </w:rPr>
      </w:pPr>
      <w:r w:rsidRPr="002E40D7">
        <w:rPr>
          <w:rStyle w:val="Znakapoznpodarou"/>
          <w:sz w:val="16"/>
          <w:szCs w:val="16"/>
        </w:rPr>
        <w:footnoteRef/>
      </w:r>
      <w:r w:rsidRPr="002E40D7">
        <w:rPr>
          <w:sz w:val="16"/>
          <w:szCs w:val="16"/>
        </w:rPr>
        <w:t xml:space="preserve"> </w:t>
      </w:r>
      <w:proofErr w:type="spellStart"/>
      <w:r w:rsidRPr="004B4399">
        <w:rPr>
          <w:rFonts w:eastAsia="Calibri"/>
          <w:spacing w:val="-3"/>
          <w:sz w:val="16"/>
          <w:szCs w:val="16"/>
        </w:rPr>
        <w:t>Unemployment</w:t>
      </w:r>
      <w:proofErr w:type="spellEnd"/>
      <w:r w:rsidRPr="004B4399">
        <w:rPr>
          <w:rFonts w:eastAsia="Calibri"/>
          <w:spacing w:val="-3"/>
          <w:sz w:val="16"/>
          <w:szCs w:val="16"/>
        </w:rPr>
        <w:t xml:space="preserve"> </w:t>
      </w:r>
      <w:proofErr w:type="spellStart"/>
      <w:r w:rsidRPr="004B4399">
        <w:rPr>
          <w:rFonts w:eastAsia="Calibri"/>
          <w:spacing w:val="-3"/>
          <w:sz w:val="16"/>
          <w:szCs w:val="16"/>
        </w:rPr>
        <w:t>also</w:t>
      </w:r>
      <w:proofErr w:type="spellEnd"/>
      <w:r w:rsidRPr="004B4399">
        <w:rPr>
          <w:rFonts w:eastAsia="Calibri"/>
          <w:spacing w:val="-3"/>
          <w:sz w:val="16"/>
          <w:szCs w:val="16"/>
        </w:rPr>
        <w:t xml:space="preserve"> </w:t>
      </w:r>
      <w:proofErr w:type="spellStart"/>
      <w:r w:rsidRPr="004B4399">
        <w:rPr>
          <w:rFonts w:eastAsia="Calibri"/>
          <w:spacing w:val="-3"/>
          <w:sz w:val="16"/>
          <w:szCs w:val="16"/>
        </w:rPr>
        <w:t>remains</w:t>
      </w:r>
      <w:proofErr w:type="spellEnd"/>
      <w:r w:rsidRPr="004B4399">
        <w:rPr>
          <w:rFonts w:eastAsia="Calibri"/>
          <w:spacing w:val="-3"/>
          <w:sz w:val="16"/>
          <w:szCs w:val="16"/>
        </w:rPr>
        <w:t xml:space="preserve"> </w:t>
      </w:r>
      <w:proofErr w:type="spellStart"/>
      <w:r w:rsidRPr="004B4399">
        <w:rPr>
          <w:rFonts w:eastAsia="Calibri"/>
          <w:spacing w:val="-3"/>
          <w:sz w:val="16"/>
          <w:szCs w:val="16"/>
        </w:rPr>
        <w:t>low</w:t>
      </w:r>
      <w:proofErr w:type="spellEnd"/>
      <w:r w:rsidRPr="004B4399">
        <w:rPr>
          <w:rFonts w:eastAsia="Calibri"/>
          <w:spacing w:val="-3"/>
          <w:sz w:val="16"/>
          <w:szCs w:val="16"/>
        </w:rPr>
        <w:t xml:space="preserve"> in </w:t>
      </w:r>
      <w:proofErr w:type="spellStart"/>
      <w:r w:rsidRPr="004B4399">
        <w:rPr>
          <w:rFonts w:eastAsia="Calibri"/>
          <w:spacing w:val="-3"/>
          <w:sz w:val="16"/>
          <w:szCs w:val="16"/>
        </w:rPr>
        <w:t>the</w:t>
      </w:r>
      <w:proofErr w:type="spellEnd"/>
      <w:r w:rsidRPr="004B4399">
        <w:rPr>
          <w:rFonts w:eastAsia="Calibri"/>
          <w:spacing w:val="-3"/>
          <w:sz w:val="16"/>
          <w:szCs w:val="16"/>
        </w:rPr>
        <w:t xml:space="preserve"> EU</w:t>
      </w:r>
      <w:r>
        <w:rPr>
          <w:rFonts w:eastAsia="Calibri"/>
          <w:spacing w:val="-3"/>
          <w:sz w:val="16"/>
          <w:szCs w:val="16"/>
        </w:rPr>
        <w:t xml:space="preserve"> - </w:t>
      </w:r>
      <w:proofErr w:type="spellStart"/>
      <w:r w:rsidRPr="004B4399">
        <w:rPr>
          <w:rFonts w:eastAsia="Calibri"/>
          <w:spacing w:val="-3"/>
          <w:sz w:val="16"/>
          <w:szCs w:val="16"/>
        </w:rPr>
        <w:t>reaching</w:t>
      </w:r>
      <w:proofErr w:type="spellEnd"/>
      <w:r w:rsidRPr="004B4399">
        <w:rPr>
          <w:rFonts w:eastAsia="Calibri"/>
          <w:spacing w:val="-3"/>
          <w:sz w:val="16"/>
          <w:szCs w:val="16"/>
        </w:rPr>
        <w:t xml:space="preserve"> </w:t>
      </w:r>
      <w:proofErr w:type="spellStart"/>
      <w:r>
        <w:rPr>
          <w:rFonts w:eastAsia="Calibri"/>
          <w:spacing w:val="-3"/>
          <w:sz w:val="16"/>
          <w:szCs w:val="16"/>
        </w:rPr>
        <w:t>flat</w:t>
      </w:r>
      <w:proofErr w:type="spellEnd"/>
      <w:r>
        <w:rPr>
          <w:rFonts w:eastAsia="Calibri"/>
          <w:spacing w:val="-3"/>
          <w:sz w:val="16"/>
          <w:szCs w:val="16"/>
        </w:rPr>
        <w:t xml:space="preserve"> </w:t>
      </w:r>
      <w:r w:rsidRPr="004B4399">
        <w:rPr>
          <w:rFonts w:eastAsia="Calibri"/>
          <w:spacing w:val="-3"/>
          <w:sz w:val="16"/>
          <w:szCs w:val="16"/>
        </w:rPr>
        <w:t xml:space="preserve">6% in </w:t>
      </w:r>
      <w:proofErr w:type="spellStart"/>
      <w:r w:rsidRPr="004B4399">
        <w:rPr>
          <w:rFonts w:eastAsia="Calibri"/>
          <w:spacing w:val="-3"/>
          <w:sz w:val="16"/>
          <w:szCs w:val="16"/>
        </w:rPr>
        <w:t>the</w:t>
      </w:r>
      <w:proofErr w:type="spellEnd"/>
      <w:r w:rsidRPr="004B4399">
        <w:rPr>
          <w:rFonts w:eastAsia="Calibri"/>
          <w:spacing w:val="-3"/>
          <w:sz w:val="16"/>
          <w:szCs w:val="16"/>
        </w:rPr>
        <w:t xml:space="preserve"> </w:t>
      </w:r>
      <w:proofErr w:type="spellStart"/>
      <w:r>
        <w:rPr>
          <w:rFonts w:eastAsia="Calibri"/>
          <w:spacing w:val="-3"/>
          <w:sz w:val="16"/>
          <w:szCs w:val="16"/>
        </w:rPr>
        <w:t>group</w:t>
      </w:r>
      <w:proofErr w:type="spellEnd"/>
      <w:r>
        <w:rPr>
          <w:rFonts w:eastAsia="Calibri"/>
          <w:spacing w:val="-3"/>
          <w:sz w:val="16"/>
          <w:szCs w:val="16"/>
        </w:rPr>
        <w:t xml:space="preserve"> </w:t>
      </w:r>
      <w:proofErr w:type="spellStart"/>
      <w:r>
        <w:rPr>
          <w:rFonts w:eastAsia="Calibri"/>
          <w:spacing w:val="-3"/>
          <w:sz w:val="16"/>
          <w:szCs w:val="16"/>
        </w:rPr>
        <w:t>of</w:t>
      </w:r>
      <w:proofErr w:type="spellEnd"/>
      <w:r>
        <w:rPr>
          <w:rFonts w:eastAsia="Calibri"/>
          <w:spacing w:val="-3"/>
          <w:sz w:val="16"/>
          <w:szCs w:val="16"/>
        </w:rPr>
        <w:t xml:space="preserve"> </w:t>
      </w:r>
      <w:proofErr w:type="spellStart"/>
      <w:r>
        <w:rPr>
          <w:rFonts w:eastAsia="Calibri"/>
          <w:spacing w:val="-3"/>
          <w:sz w:val="16"/>
          <w:szCs w:val="16"/>
        </w:rPr>
        <w:t>persons</w:t>
      </w:r>
      <w:proofErr w:type="spellEnd"/>
      <w:r>
        <w:rPr>
          <w:rFonts w:eastAsia="Calibri"/>
          <w:spacing w:val="-3"/>
          <w:sz w:val="16"/>
          <w:szCs w:val="16"/>
        </w:rPr>
        <w:t xml:space="preserve"> </w:t>
      </w:r>
      <w:proofErr w:type="spellStart"/>
      <w:r>
        <w:rPr>
          <w:rFonts w:eastAsia="Calibri"/>
          <w:spacing w:val="-3"/>
          <w:sz w:val="16"/>
          <w:szCs w:val="16"/>
        </w:rPr>
        <w:t>aged</w:t>
      </w:r>
      <w:proofErr w:type="spellEnd"/>
      <w:r>
        <w:rPr>
          <w:rFonts w:eastAsia="Calibri"/>
          <w:spacing w:val="-3"/>
          <w:sz w:val="16"/>
          <w:szCs w:val="16"/>
        </w:rPr>
        <w:t xml:space="preserve"> </w:t>
      </w:r>
      <w:r w:rsidRPr="004B4399">
        <w:rPr>
          <w:rFonts w:eastAsia="Calibri"/>
          <w:spacing w:val="-3"/>
          <w:sz w:val="16"/>
          <w:szCs w:val="16"/>
        </w:rPr>
        <w:t>15 to 74</w:t>
      </w:r>
      <w:r>
        <w:rPr>
          <w:rFonts w:eastAsia="Calibri"/>
          <w:spacing w:val="-3"/>
          <w:sz w:val="16"/>
          <w:szCs w:val="16"/>
        </w:rPr>
        <w:t xml:space="preserve"> </w:t>
      </w:r>
      <w:proofErr w:type="spellStart"/>
      <w:r w:rsidRPr="004B4399">
        <w:rPr>
          <w:rFonts w:eastAsia="Calibri"/>
          <w:spacing w:val="-3"/>
          <w:sz w:val="16"/>
          <w:szCs w:val="16"/>
        </w:rPr>
        <w:t>year</w:t>
      </w:r>
      <w:r>
        <w:rPr>
          <w:rFonts w:eastAsia="Calibri"/>
          <w:spacing w:val="-3"/>
          <w:sz w:val="16"/>
          <w:szCs w:val="16"/>
        </w:rPr>
        <w:t>s</w:t>
      </w:r>
      <w:proofErr w:type="spellEnd"/>
      <w:r>
        <w:rPr>
          <w:rFonts w:eastAsia="Calibri"/>
          <w:spacing w:val="-3"/>
          <w:sz w:val="16"/>
          <w:szCs w:val="16"/>
        </w:rPr>
        <w:t xml:space="preserve"> in July </w:t>
      </w:r>
      <w:proofErr w:type="spellStart"/>
      <w:r>
        <w:rPr>
          <w:rFonts w:eastAsia="Calibri"/>
          <w:spacing w:val="-3"/>
          <w:sz w:val="16"/>
          <w:szCs w:val="16"/>
        </w:rPr>
        <w:t>this</w:t>
      </w:r>
      <w:proofErr w:type="spellEnd"/>
      <w:r>
        <w:rPr>
          <w:rFonts w:eastAsia="Calibri"/>
          <w:spacing w:val="-3"/>
          <w:sz w:val="16"/>
          <w:szCs w:val="16"/>
        </w:rPr>
        <w:t xml:space="preserve"> </w:t>
      </w:r>
      <w:proofErr w:type="spellStart"/>
      <w:r>
        <w:rPr>
          <w:rFonts w:eastAsia="Calibri"/>
          <w:spacing w:val="-3"/>
          <w:sz w:val="16"/>
          <w:szCs w:val="16"/>
        </w:rPr>
        <w:t>year</w:t>
      </w:r>
      <w:proofErr w:type="spellEnd"/>
      <w:r>
        <w:rPr>
          <w:rFonts w:eastAsia="Calibri"/>
          <w:spacing w:val="-3"/>
          <w:sz w:val="16"/>
          <w:szCs w:val="16"/>
        </w:rPr>
        <w:t xml:space="preserve"> </w:t>
      </w:r>
      <w:r w:rsidRPr="004B4399">
        <w:rPr>
          <w:rFonts w:eastAsia="Calibri"/>
          <w:spacing w:val="-3"/>
          <w:sz w:val="16"/>
          <w:szCs w:val="16"/>
        </w:rPr>
        <w:t xml:space="preserve"> (6.4% in </w:t>
      </w:r>
      <w:proofErr w:type="spellStart"/>
      <w:r w:rsidRPr="004B4399">
        <w:rPr>
          <w:rFonts w:eastAsia="Calibri"/>
          <w:spacing w:val="-3"/>
          <w:sz w:val="16"/>
          <w:szCs w:val="16"/>
        </w:rPr>
        <w:t>the</w:t>
      </w:r>
      <w:proofErr w:type="spellEnd"/>
      <w:r w:rsidRPr="004B4399">
        <w:rPr>
          <w:rFonts w:eastAsia="Calibri"/>
          <w:spacing w:val="-3"/>
          <w:sz w:val="16"/>
          <w:szCs w:val="16"/>
        </w:rPr>
        <w:t xml:space="preserve"> euro area). </w:t>
      </w:r>
      <w:proofErr w:type="spellStart"/>
      <w:r w:rsidRPr="004B4399">
        <w:rPr>
          <w:rFonts w:eastAsia="Calibri"/>
          <w:spacing w:val="-3"/>
          <w:sz w:val="16"/>
          <w:szCs w:val="16"/>
        </w:rPr>
        <w:t>It</w:t>
      </w:r>
      <w:proofErr w:type="spellEnd"/>
      <w:r w:rsidRPr="004B4399">
        <w:rPr>
          <w:rFonts w:eastAsia="Calibri"/>
          <w:spacing w:val="-3"/>
          <w:sz w:val="16"/>
          <w:szCs w:val="16"/>
        </w:rPr>
        <w:t xml:space="preserve"> </w:t>
      </w:r>
      <w:proofErr w:type="spellStart"/>
      <w:r w:rsidRPr="004B4399">
        <w:rPr>
          <w:rFonts w:eastAsia="Calibri"/>
          <w:spacing w:val="-3"/>
          <w:sz w:val="16"/>
          <w:szCs w:val="16"/>
        </w:rPr>
        <w:t>was</w:t>
      </w:r>
      <w:proofErr w:type="spellEnd"/>
      <w:r w:rsidRPr="004B4399">
        <w:rPr>
          <w:rFonts w:eastAsia="Calibri"/>
          <w:spacing w:val="-3"/>
          <w:sz w:val="16"/>
          <w:szCs w:val="16"/>
        </w:rPr>
        <w:t xml:space="preserve"> </w:t>
      </w:r>
      <w:proofErr w:type="spellStart"/>
      <w:r w:rsidRPr="004B4399">
        <w:rPr>
          <w:rFonts w:eastAsia="Calibri"/>
          <w:spacing w:val="-3"/>
          <w:sz w:val="16"/>
          <w:szCs w:val="16"/>
        </w:rPr>
        <w:t>unchanged</w:t>
      </w:r>
      <w:proofErr w:type="spellEnd"/>
      <w:r w:rsidRPr="004B4399">
        <w:rPr>
          <w:rFonts w:eastAsia="Calibri"/>
          <w:spacing w:val="-3"/>
          <w:sz w:val="16"/>
          <w:szCs w:val="16"/>
        </w:rPr>
        <w:t xml:space="preserve"> </w:t>
      </w:r>
      <w:proofErr w:type="spellStart"/>
      <w:r w:rsidRPr="004B4399">
        <w:rPr>
          <w:rFonts w:eastAsia="Calibri"/>
          <w:spacing w:val="-3"/>
          <w:sz w:val="16"/>
          <w:szCs w:val="16"/>
        </w:rPr>
        <w:t>month</w:t>
      </w:r>
      <w:proofErr w:type="spellEnd"/>
      <w:r w:rsidRPr="004B4399">
        <w:rPr>
          <w:rFonts w:eastAsia="Calibri"/>
          <w:spacing w:val="-3"/>
          <w:sz w:val="16"/>
          <w:szCs w:val="16"/>
        </w:rPr>
        <w:t>-on-</w:t>
      </w:r>
      <w:proofErr w:type="spellStart"/>
      <w:r w:rsidRPr="004B4399">
        <w:rPr>
          <w:rFonts w:eastAsia="Calibri"/>
          <w:spacing w:val="-3"/>
          <w:sz w:val="16"/>
          <w:szCs w:val="16"/>
        </w:rPr>
        <w:t>month</w:t>
      </w:r>
      <w:proofErr w:type="spellEnd"/>
      <w:r w:rsidRPr="004B4399">
        <w:rPr>
          <w:rFonts w:eastAsia="Calibri"/>
          <w:spacing w:val="-3"/>
          <w:sz w:val="16"/>
          <w:szCs w:val="16"/>
        </w:rPr>
        <w:t xml:space="preserve"> a</w:t>
      </w:r>
      <w:r>
        <w:rPr>
          <w:rFonts w:eastAsia="Calibri"/>
          <w:spacing w:val="-3"/>
          <w:sz w:val="16"/>
          <w:szCs w:val="16"/>
        </w:rPr>
        <w:t xml:space="preserve">s </w:t>
      </w:r>
      <w:proofErr w:type="spellStart"/>
      <w:r>
        <w:rPr>
          <w:rFonts w:eastAsia="Calibri"/>
          <w:spacing w:val="-3"/>
          <w:sz w:val="16"/>
          <w:szCs w:val="16"/>
        </w:rPr>
        <w:t>well</w:t>
      </w:r>
      <w:proofErr w:type="spellEnd"/>
      <w:r>
        <w:rPr>
          <w:rFonts w:eastAsia="Calibri"/>
          <w:spacing w:val="-3"/>
          <w:sz w:val="16"/>
          <w:szCs w:val="16"/>
        </w:rPr>
        <w:t xml:space="preserve"> as </w:t>
      </w:r>
      <w:proofErr w:type="spellStart"/>
      <w:r w:rsidRPr="004B4399">
        <w:rPr>
          <w:rFonts w:eastAsia="Calibri"/>
          <w:spacing w:val="-3"/>
          <w:sz w:val="16"/>
          <w:szCs w:val="16"/>
        </w:rPr>
        <w:t>year</w:t>
      </w:r>
      <w:proofErr w:type="spellEnd"/>
      <w:r w:rsidRPr="004B4399">
        <w:rPr>
          <w:rFonts w:eastAsia="Calibri"/>
          <w:spacing w:val="-3"/>
          <w:sz w:val="16"/>
          <w:szCs w:val="16"/>
        </w:rPr>
        <w:t>-on-</w:t>
      </w:r>
      <w:proofErr w:type="spellStart"/>
      <w:r w:rsidRPr="004B4399">
        <w:rPr>
          <w:rFonts w:eastAsia="Calibri"/>
          <w:spacing w:val="-3"/>
          <w:sz w:val="16"/>
          <w:szCs w:val="16"/>
        </w:rPr>
        <w:t>year</w:t>
      </w:r>
      <w:proofErr w:type="spellEnd"/>
      <w:r w:rsidRPr="004B4399">
        <w:rPr>
          <w:rFonts w:eastAsia="Calibri"/>
          <w:spacing w:val="-3"/>
          <w:sz w:val="16"/>
          <w:szCs w:val="16"/>
        </w:rPr>
        <w:t xml:space="preserve">. </w:t>
      </w:r>
      <w:proofErr w:type="spellStart"/>
      <w:r>
        <w:rPr>
          <w:rFonts w:eastAsia="Calibri"/>
          <w:spacing w:val="-3"/>
          <w:sz w:val="16"/>
          <w:szCs w:val="16"/>
        </w:rPr>
        <w:t>The</w:t>
      </w:r>
      <w:proofErr w:type="spellEnd"/>
      <w:r>
        <w:rPr>
          <w:rFonts w:eastAsia="Calibri"/>
          <w:spacing w:val="-3"/>
          <w:sz w:val="16"/>
          <w:szCs w:val="16"/>
        </w:rPr>
        <w:t xml:space="preserve"> </w:t>
      </w:r>
      <w:proofErr w:type="spellStart"/>
      <w:r>
        <w:rPr>
          <w:rFonts w:eastAsia="Calibri"/>
          <w:spacing w:val="-3"/>
          <w:sz w:val="16"/>
          <w:szCs w:val="16"/>
        </w:rPr>
        <w:t>u</w:t>
      </w:r>
      <w:r w:rsidRPr="004B4399">
        <w:rPr>
          <w:rFonts w:eastAsia="Calibri"/>
          <w:spacing w:val="-3"/>
          <w:sz w:val="16"/>
          <w:szCs w:val="16"/>
        </w:rPr>
        <w:t>nemployment</w:t>
      </w:r>
      <w:proofErr w:type="spellEnd"/>
      <w:r w:rsidRPr="004B4399">
        <w:rPr>
          <w:rFonts w:eastAsia="Calibri"/>
          <w:spacing w:val="-3"/>
          <w:sz w:val="16"/>
          <w:szCs w:val="16"/>
        </w:rPr>
        <w:t xml:space="preserve"> has </w:t>
      </w:r>
      <w:proofErr w:type="spellStart"/>
      <w:r w:rsidRPr="004B4399">
        <w:rPr>
          <w:rFonts w:eastAsia="Calibri"/>
          <w:spacing w:val="-3"/>
          <w:sz w:val="16"/>
          <w:szCs w:val="16"/>
        </w:rPr>
        <w:t>thus</w:t>
      </w:r>
      <w:proofErr w:type="spellEnd"/>
      <w:r w:rsidRPr="004B4399">
        <w:rPr>
          <w:rFonts w:eastAsia="Calibri"/>
          <w:spacing w:val="-3"/>
          <w:sz w:val="16"/>
          <w:szCs w:val="16"/>
        </w:rPr>
        <w:t xml:space="preserve"> </w:t>
      </w:r>
      <w:proofErr w:type="spellStart"/>
      <w:r w:rsidRPr="004B4399">
        <w:rPr>
          <w:rFonts w:eastAsia="Calibri"/>
          <w:spacing w:val="-3"/>
          <w:sz w:val="16"/>
          <w:szCs w:val="16"/>
        </w:rPr>
        <w:t>been</w:t>
      </w:r>
      <w:proofErr w:type="spellEnd"/>
      <w:r w:rsidRPr="004B4399">
        <w:rPr>
          <w:rFonts w:eastAsia="Calibri"/>
          <w:spacing w:val="-3"/>
          <w:sz w:val="16"/>
          <w:szCs w:val="16"/>
        </w:rPr>
        <w:t xml:space="preserve"> </w:t>
      </w:r>
      <w:proofErr w:type="spellStart"/>
      <w:r w:rsidRPr="004B4399">
        <w:rPr>
          <w:rFonts w:eastAsia="Calibri"/>
          <w:spacing w:val="-3"/>
          <w:sz w:val="16"/>
          <w:szCs w:val="16"/>
        </w:rPr>
        <w:t>virtually</w:t>
      </w:r>
      <w:proofErr w:type="spellEnd"/>
      <w:r w:rsidRPr="004B4399">
        <w:rPr>
          <w:rFonts w:eastAsia="Calibri"/>
          <w:spacing w:val="-3"/>
          <w:sz w:val="16"/>
          <w:szCs w:val="16"/>
        </w:rPr>
        <w:t xml:space="preserve"> </w:t>
      </w:r>
      <w:proofErr w:type="spellStart"/>
      <w:r w:rsidRPr="004B4399">
        <w:rPr>
          <w:rFonts w:eastAsia="Calibri"/>
          <w:spacing w:val="-3"/>
          <w:sz w:val="16"/>
          <w:szCs w:val="16"/>
        </w:rPr>
        <w:t>stagnating</w:t>
      </w:r>
      <w:proofErr w:type="spellEnd"/>
      <w:r w:rsidRPr="004B4399">
        <w:rPr>
          <w:rFonts w:eastAsia="Calibri"/>
          <w:spacing w:val="-3"/>
          <w:sz w:val="16"/>
          <w:szCs w:val="16"/>
        </w:rPr>
        <w:t xml:space="preserve"> </w:t>
      </w:r>
      <w:proofErr w:type="spellStart"/>
      <w:r>
        <w:rPr>
          <w:rFonts w:eastAsia="Calibri"/>
          <w:spacing w:val="-3"/>
          <w:sz w:val="16"/>
          <w:szCs w:val="16"/>
        </w:rPr>
        <w:t>already</w:t>
      </w:r>
      <w:proofErr w:type="spellEnd"/>
      <w:r>
        <w:rPr>
          <w:rFonts w:eastAsia="Calibri"/>
          <w:spacing w:val="-3"/>
          <w:sz w:val="16"/>
          <w:szCs w:val="16"/>
        </w:rPr>
        <w:t xml:space="preserve"> </w:t>
      </w:r>
      <w:proofErr w:type="spellStart"/>
      <w:r w:rsidRPr="004B4399">
        <w:rPr>
          <w:rFonts w:eastAsia="Calibri"/>
          <w:spacing w:val="-3"/>
          <w:sz w:val="16"/>
          <w:szCs w:val="16"/>
        </w:rPr>
        <w:t>for</w:t>
      </w:r>
      <w:proofErr w:type="spellEnd"/>
      <w:r w:rsidRPr="004B4399">
        <w:rPr>
          <w:rFonts w:eastAsia="Calibri"/>
          <w:spacing w:val="-3"/>
          <w:sz w:val="16"/>
          <w:szCs w:val="16"/>
        </w:rPr>
        <w:t xml:space="preserve"> </w:t>
      </w:r>
      <w:proofErr w:type="spellStart"/>
      <w:r w:rsidRPr="004B4399">
        <w:rPr>
          <w:rFonts w:eastAsia="Calibri"/>
          <w:spacing w:val="-3"/>
          <w:sz w:val="16"/>
          <w:szCs w:val="16"/>
        </w:rPr>
        <w:t>a</w:t>
      </w:r>
      <w:r>
        <w:rPr>
          <w:rFonts w:eastAsia="Calibri"/>
          <w:spacing w:val="-3"/>
          <w:sz w:val="16"/>
          <w:szCs w:val="16"/>
        </w:rPr>
        <w:t>pproximately</w:t>
      </w:r>
      <w:proofErr w:type="spellEnd"/>
      <w:r>
        <w:rPr>
          <w:rFonts w:eastAsia="Calibri"/>
          <w:spacing w:val="-3"/>
          <w:sz w:val="16"/>
          <w:szCs w:val="16"/>
        </w:rPr>
        <w:t xml:space="preserve"> </w:t>
      </w:r>
      <w:r w:rsidRPr="004B4399">
        <w:rPr>
          <w:rFonts w:eastAsia="Calibri"/>
          <w:spacing w:val="-3"/>
          <w:sz w:val="16"/>
          <w:szCs w:val="16"/>
        </w:rPr>
        <w:t xml:space="preserve">2 </w:t>
      </w:r>
      <w:proofErr w:type="spellStart"/>
      <w:r w:rsidRPr="004B4399">
        <w:rPr>
          <w:rFonts w:eastAsia="Calibri"/>
          <w:spacing w:val="-3"/>
          <w:sz w:val="16"/>
          <w:szCs w:val="16"/>
        </w:rPr>
        <w:t>years</w:t>
      </w:r>
      <w:proofErr w:type="spellEnd"/>
      <w:r w:rsidRPr="004B4399">
        <w:rPr>
          <w:rFonts w:eastAsia="Calibri"/>
          <w:spacing w:val="-3"/>
          <w:sz w:val="16"/>
          <w:szCs w:val="16"/>
        </w:rPr>
        <w:t xml:space="preserve">. </w:t>
      </w:r>
      <w:proofErr w:type="spellStart"/>
      <w:r w:rsidRPr="004B4399">
        <w:rPr>
          <w:rFonts w:eastAsia="Calibri"/>
          <w:spacing w:val="-3"/>
          <w:sz w:val="16"/>
          <w:szCs w:val="16"/>
        </w:rPr>
        <w:t>It</w:t>
      </w:r>
      <w:proofErr w:type="spellEnd"/>
      <w:r w:rsidRPr="004B4399">
        <w:rPr>
          <w:rFonts w:eastAsia="Calibri"/>
          <w:spacing w:val="-3"/>
          <w:sz w:val="16"/>
          <w:szCs w:val="16"/>
        </w:rPr>
        <w:t xml:space="preserve"> </w:t>
      </w:r>
      <w:proofErr w:type="spellStart"/>
      <w:r w:rsidRPr="004B4399">
        <w:rPr>
          <w:rFonts w:eastAsia="Calibri"/>
          <w:spacing w:val="-3"/>
          <w:sz w:val="16"/>
          <w:szCs w:val="16"/>
        </w:rPr>
        <w:t>is</w:t>
      </w:r>
      <w:proofErr w:type="spellEnd"/>
      <w:r w:rsidRPr="004B4399">
        <w:rPr>
          <w:rFonts w:eastAsia="Calibri"/>
          <w:spacing w:val="-3"/>
          <w:sz w:val="16"/>
          <w:szCs w:val="16"/>
        </w:rPr>
        <w:t xml:space="preserve"> </w:t>
      </w:r>
      <w:proofErr w:type="spellStart"/>
      <w:r w:rsidRPr="004B4399">
        <w:rPr>
          <w:rFonts w:eastAsia="Calibri"/>
          <w:spacing w:val="-3"/>
          <w:sz w:val="16"/>
          <w:szCs w:val="16"/>
        </w:rPr>
        <w:t>close</w:t>
      </w:r>
      <w:proofErr w:type="spellEnd"/>
      <w:r w:rsidRPr="004B4399">
        <w:rPr>
          <w:rFonts w:eastAsia="Calibri"/>
          <w:spacing w:val="-3"/>
          <w:sz w:val="16"/>
          <w:szCs w:val="16"/>
        </w:rPr>
        <w:t xml:space="preserve"> to a </w:t>
      </w:r>
      <w:proofErr w:type="spellStart"/>
      <w:r w:rsidRPr="004B4399">
        <w:rPr>
          <w:rFonts w:eastAsia="Calibri"/>
          <w:spacing w:val="-3"/>
          <w:sz w:val="16"/>
          <w:szCs w:val="16"/>
        </w:rPr>
        <w:t>historical</w:t>
      </w:r>
      <w:proofErr w:type="spellEnd"/>
      <w:r w:rsidRPr="004B4399">
        <w:rPr>
          <w:rFonts w:eastAsia="Calibri"/>
          <w:spacing w:val="-3"/>
          <w:sz w:val="16"/>
          <w:szCs w:val="16"/>
        </w:rPr>
        <w:t xml:space="preserve"> </w:t>
      </w:r>
      <w:proofErr w:type="spellStart"/>
      <w:r w:rsidRPr="004B4399">
        <w:rPr>
          <w:rFonts w:eastAsia="Calibri"/>
          <w:spacing w:val="-3"/>
          <w:sz w:val="16"/>
          <w:szCs w:val="16"/>
        </w:rPr>
        <w:t>low</w:t>
      </w:r>
      <w:proofErr w:type="spellEnd"/>
      <w:r w:rsidRPr="004B4399">
        <w:rPr>
          <w:rFonts w:eastAsia="Calibri"/>
          <w:spacing w:val="-3"/>
          <w:sz w:val="16"/>
          <w:szCs w:val="16"/>
        </w:rPr>
        <w:t xml:space="preserve"> and </w:t>
      </w:r>
      <w:proofErr w:type="spellStart"/>
      <w:r w:rsidRPr="004B4399">
        <w:rPr>
          <w:rFonts w:eastAsia="Calibri"/>
          <w:spacing w:val="-3"/>
          <w:sz w:val="16"/>
          <w:szCs w:val="16"/>
        </w:rPr>
        <w:t>is</w:t>
      </w:r>
      <w:proofErr w:type="spellEnd"/>
      <w:r w:rsidRPr="004B4399">
        <w:rPr>
          <w:rFonts w:eastAsia="Calibri"/>
          <w:spacing w:val="-3"/>
          <w:sz w:val="16"/>
          <w:szCs w:val="16"/>
        </w:rPr>
        <w:t xml:space="preserve"> 1 p</w:t>
      </w:r>
      <w:r>
        <w:rPr>
          <w:rFonts w:eastAsia="Calibri"/>
          <w:spacing w:val="-3"/>
          <w:sz w:val="16"/>
          <w:szCs w:val="16"/>
        </w:rPr>
        <w:t xml:space="preserve">. p. </w:t>
      </w:r>
      <w:proofErr w:type="spellStart"/>
      <w:r w:rsidRPr="004B4399">
        <w:rPr>
          <w:rFonts w:eastAsia="Calibri"/>
          <w:spacing w:val="-3"/>
          <w:sz w:val="16"/>
          <w:szCs w:val="16"/>
        </w:rPr>
        <w:t>lower</w:t>
      </w:r>
      <w:proofErr w:type="spellEnd"/>
      <w:r w:rsidRPr="004B4399">
        <w:rPr>
          <w:rFonts w:eastAsia="Calibri"/>
          <w:spacing w:val="-3"/>
          <w:sz w:val="16"/>
          <w:szCs w:val="16"/>
        </w:rPr>
        <w:t xml:space="preserve"> </w:t>
      </w:r>
      <w:proofErr w:type="spellStart"/>
      <w:r>
        <w:rPr>
          <w:rFonts w:eastAsia="Calibri"/>
          <w:spacing w:val="-3"/>
          <w:sz w:val="16"/>
          <w:szCs w:val="16"/>
        </w:rPr>
        <w:t>compared</w:t>
      </w:r>
      <w:proofErr w:type="spellEnd"/>
      <w:r>
        <w:rPr>
          <w:rFonts w:eastAsia="Calibri"/>
          <w:spacing w:val="-3"/>
          <w:sz w:val="16"/>
          <w:szCs w:val="16"/>
        </w:rPr>
        <w:t xml:space="preserve"> to </w:t>
      </w:r>
      <w:proofErr w:type="spellStart"/>
      <w:r>
        <w:rPr>
          <w:rFonts w:eastAsia="Calibri"/>
          <w:spacing w:val="-3"/>
          <w:sz w:val="16"/>
          <w:szCs w:val="16"/>
        </w:rPr>
        <w:t>year</w:t>
      </w:r>
      <w:proofErr w:type="spellEnd"/>
      <w:r>
        <w:rPr>
          <w:rFonts w:eastAsia="Calibri"/>
          <w:spacing w:val="-3"/>
          <w:sz w:val="16"/>
          <w:szCs w:val="16"/>
        </w:rPr>
        <w:t xml:space="preserve"> </w:t>
      </w:r>
      <w:r w:rsidRPr="00742763">
        <w:rPr>
          <w:rFonts w:eastAsia="Calibri"/>
          <w:spacing w:val="-3"/>
          <w:sz w:val="16"/>
          <w:szCs w:val="16"/>
          <w:lang w:val="en-GB"/>
        </w:rPr>
        <w:t xml:space="preserve">2008 (in both the EU and the euro area). Unemployment in the Czech Republic (2.7%) continued to be the lowest </w:t>
      </w:r>
      <w:r>
        <w:rPr>
          <w:rFonts w:eastAsia="Calibri"/>
          <w:spacing w:val="-3"/>
          <w:sz w:val="16"/>
          <w:szCs w:val="16"/>
          <w:lang w:val="en-GB"/>
        </w:rPr>
        <w:t xml:space="preserve">among </w:t>
      </w:r>
      <w:r w:rsidRPr="00742763">
        <w:rPr>
          <w:rFonts w:eastAsia="Calibri"/>
          <w:spacing w:val="-3"/>
          <w:sz w:val="16"/>
          <w:szCs w:val="16"/>
          <w:lang w:val="en-GB"/>
        </w:rPr>
        <w:t>the EU</w:t>
      </w:r>
      <w:r>
        <w:rPr>
          <w:rFonts w:eastAsia="Calibri"/>
          <w:spacing w:val="-3"/>
          <w:sz w:val="16"/>
          <w:szCs w:val="16"/>
          <w:lang w:val="en-GB"/>
        </w:rPr>
        <w:t xml:space="preserve"> states</w:t>
      </w:r>
      <w:r w:rsidRPr="00742763">
        <w:rPr>
          <w:rFonts w:eastAsia="Calibri"/>
          <w:spacing w:val="-3"/>
          <w:sz w:val="16"/>
          <w:szCs w:val="16"/>
          <w:lang w:val="en-GB"/>
        </w:rPr>
        <w:t>, mainly due to m</w:t>
      </w:r>
      <w:r>
        <w:rPr>
          <w:rFonts w:eastAsia="Calibri"/>
          <w:spacing w:val="-3"/>
          <w:sz w:val="16"/>
          <w:szCs w:val="16"/>
          <w:lang w:val="en-GB"/>
        </w:rPr>
        <w:t xml:space="preserve">ales </w:t>
      </w:r>
      <w:r w:rsidRPr="00742763">
        <w:rPr>
          <w:rFonts w:eastAsia="Calibri"/>
          <w:spacing w:val="-3"/>
          <w:sz w:val="16"/>
          <w:szCs w:val="16"/>
          <w:lang w:val="en-GB"/>
        </w:rPr>
        <w:t xml:space="preserve">(2.5%). </w:t>
      </w:r>
      <w:r w:rsidRPr="00691B27">
        <w:rPr>
          <w:rFonts w:eastAsia="Calibri"/>
          <w:spacing w:val="-3"/>
          <w:sz w:val="16"/>
          <w:szCs w:val="16"/>
          <w:lang w:val="en-GB"/>
        </w:rPr>
        <w:t xml:space="preserve">For </w:t>
      </w:r>
      <w:r>
        <w:rPr>
          <w:rFonts w:eastAsia="Calibri"/>
          <w:spacing w:val="-3"/>
          <w:sz w:val="16"/>
          <w:szCs w:val="16"/>
          <w:lang w:val="en-GB"/>
        </w:rPr>
        <w:t>females</w:t>
      </w:r>
      <w:r w:rsidRPr="00691B27">
        <w:rPr>
          <w:rFonts w:eastAsia="Calibri"/>
          <w:spacing w:val="-3"/>
          <w:sz w:val="16"/>
          <w:szCs w:val="16"/>
          <w:lang w:val="en-GB"/>
        </w:rPr>
        <w:t xml:space="preserve">, where </w:t>
      </w:r>
      <w:r>
        <w:rPr>
          <w:rFonts w:eastAsia="Calibri"/>
          <w:spacing w:val="-3"/>
          <w:sz w:val="16"/>
          <w:szCs w:val="16"/>
          <w:lang w:val="en-GB"/>
        </w:rPr>
        <w:t xml:space="preserve">the </w:t>
      </w:r>
      <w:r w:rsidRPr="00691B27">
        <w:rPr>
          <w:rFonts w:eastAsia="Calibri"/>
          <w:spacing w:val="-3"/>
          <w:sz w:val="16"/>
          <w:szCs w:val="16"/>
          <w:lang w:val="en-GB"/>
        </w:rPr>
        <w:t>unemployment traditionally fluctuates more, it has currently reached a slightly lower level in Poland and Malta than in the Czech Republic (3.1%).</w:t>
      </w:r>
      <w:r>
        <w:rPr>
          <w:rFonts w:eastAsia="Calibri"/>
          <w:spacing w:val="-3"/>
          <w:sz w:val="16"/>
          <w:szCs w:val="16"/>
          <w:lang w:val="en-GB"/>
        </w:rPr>
        <w:t xml:space="preserve"> Spain has suffered the highest unemployment rate within the EU already f</w:t>
      </w:r>
      <w:r w:rsidRPr="00691B27">
        <w:rPr>
          <w:rFonts w:eastAsia="Calibri"/>
          <w:spacing w:val="-3"/>
          <w:sz w:val="16"/>
          <w:szCs w:val="16"/>
          <w:lang w:val="en-GB"/>
        </w:rPr>
        <w:t xml:space="preserve">or more than 3 years, </w:t>
      </w:r>
      <w:r>
        <w:rPr>
          <w:rFonts w:eastAsia="Calibri"/>
          <w:spacing w:val="-3"/>
          <w:sz w:val="16"/>
          <w:szCs w:val="16"/>
          <w:lang w:val="en-GB"/>
        </w:rPr>
        <w:t xml:space="preserve">it </w:t>
      </w:r>
      <w:r w:rsidRPr="00691B27">
        <w:rPr>
          <w:rFonts w:eastAsia="Calibri"/>
          <w:spacing w:val="-3"/>
          <w:sz w:val="16"/>
          <w:szCs w:val="16"/>
          <w:lang w:val="en-GB"/>
        </w:rPr>
        <w:t>currently stand</w:t>
      </w:r>
      <w:r>
        <w:rPr>
          <w:rFonts w:eastAsia="Calibri"/>
          <w:spacing w:val="-3"/>
          <w:sz w:val="16"/>
          <w:szCs w:val="16"/>
          <w:lang w:val="en-GB"/>
        </w:rPr>
        <w:t xml:space="preserve">s </w:t>
      </w:r>
      <w:r w:rsidRPr="00691B27">
        <w:rPr>
          <w:rFonts w:eastAsia="Calibri"/>
          <w:spacing w:val="-3"/>
          <w:sz w:val="16"/>
          <w:szCs w:val="16"/>
          <w:lang w:val="en-GB"/>
        </w:rPr>
        <w:t>at 11.5% (</w:t>
      </w:r>
      <w:r>
        <w:rPr>
          <w:rFonts w:eastAsia="Calibri"/>
          <w:spacing w:val="-3"/>
          <w:sz w:val="16"/>
          <w:szCs w:val="16"/>
          <w:lang w:val="en-GB"/>
        </w:rPr>
        <w:t>it is t</w:t>
      </w:r>
      <w:r w:rsidRPr="00691B27">
        <w:rPr>
          <w:rFonts w:eastAsia="Calibri"/>
          <w:spacing w:val="-3"/>
          <w:sz w:val="16"/>
          <w:szCs w:val="16"/>
          <w:lang w:val="en-GB"/>
        </w:rPr>
        <w:t>he highest among both</w:t>
      </w:r>
      <w:r>
        <w:rPr>
          <w:rFonts w:eastAsia="Calibri"/>
          <w:spacing w:val="-3"/>
          <w:sz w:val="16"/>
          <w:szCs w:val="16"/>
          <w:lang w:val="en-GB"/>
        </w:rPr>
        <w:t xml:space="preserve"> males and females</w:t>
      </w:r>
      <w:r w:rsidRPr="00691B27">
        <w:rPr>
          <w:rFonts w:eastAsia="Calibri"/>
          <w:spacing w:val="-3"/>
          <w:sz w:val="16"/>
          <w:szCs w:val="16"/>
          <w:lang w:val="en-GB"/>
        </w:rPr>
        <w:t>). This is followed by Greece (9.9%), whose position is affected by high female unemployment (12.5%).</w:t>
      </w:r>
      <w:r>
        <w:rPr>
          <w:rFonts w:eastAsia="Calibri"/>
          <w:spacing w:val="-3"/>
          <w:sz w:val="16"/>
          <w:szCs w:val="16"/>
          <w:lang w:val="en-GB"/>
        </w:rPr>
        <w:t xml:space="preserve"> </w:t>
      </w:r>
      <w:r w:rsidRPr="00691B27">
        <w:rPr>
          <w:rFonts w:eastAsia="Calibri"/>
          <w:spacing w:val="-3"/>
          <w:sz w:val="16"/>
          <w:szCs w:val="16"/>
          <w:lang w:val="en-GB"/>
        </w:rPr>
        <w:t>On the</w:t>
      </w:r>
      <w:r>
        <w:rPr>
          <w:rFonts w:eastAsia="Calibri"/>
          <w:spacing w:val="-3"/>
          <w:sz w:val="16"/>
          <w:szCs w:val="16"/>
          <w:lang w:val="en-GB"/>
        </w:rPr>
        <w:t xml:space="preserve"> contrary</w:t>
      </w:r>
      <w:r w:rsidRPr="00691B27">
        <w:rPr>
          <w:rFonts w:eastAsia="Calibri"/>
          <w:spacing w:val="-3"/>
          <w:sz w:val="16"/>
          <w:szCs w:val="16"/>
          <w:lang w:val="en-GB"/>
        </w:rPr>
        <w:t xml:space="preserve">, </w:t>
      </w:r>
      <w:r>
        <w:rPr>
          <w:rFonts w:eastAsia="Calibri"/>
          <w:spacing w:val="-3"/>
          <w:sz w:val="16"/>
          <w:szCs w:val="16"/>
          <w:lang w:val="en-GB"/>
        </w:rPr>
        <w:t>m</w:t>
      </w:r>
      <w:r w:rsidRPr="00691B27">
        <w:rPr>
          <w:rFonts w:eastAsia="Calibri"/>
          <w:spacing w:val="-3"/>
          <w:sz w:val="16"/>
          <w:szCs w:val="16"/>
          <w:lang w:val="en-GB"/>
        </w:rPr>
        <w:t>ainly m</w:t>
      </w:r>
      <w:r>
        <w:rPr>
          <w:rFonts w:eastAsia="Calibri"/>
          <w:spacing w:val="-3"/>
          <w:sz w:val="16"/>
          <w:szCs w:val="16"/>
          <w:lang w:val="en-GB"/>
        </w:rPr>
        <w:t xml:space="preserve">ales </w:t>
      </w:r>
      <w:r w:rsidRPr="00691B27">
        <w:rPr>
          <w:rFonts w:eastAsia="Calibri"/>
          <w:spacing w:val="-3"/>
          <w:sz w:val="16"/>
          <w:szCs w:val="16"/>
          <w:lang w:val="en-GB"/>
        </w:rPr>
        <w:t>driv</w:t>
      </w:r>
      <w:r>
        <w:rPr>
          <w:rFonts w:eastAsia="Calibri"/>
          <w:spacing w:val="-3"/>
          <w:sz w:val="16"/>
          <w:szCs w:val="16"/>
          <w:lang w:val="en-GB"/>
        </w:rPr>
        <w:t xml:space="preserve">e the total more than 8% </w:t>
      </w:r>
      <w:r w:rsidRPr="00691B27">
        <w:rPr>
          <w:rFonts w:eastAsia="Calibri"/>
          <w:spacing w:val="-3"/>
          <w:sz w:val="16"/>
          <w:szCs w:val="16"/>
          <w:lang w:val="en-GB"/>
        </w:rPr>
        <w:t xml:space="preserve">unemployment </w:t>
      </w:r>
      <w:r>
        <w:rPr>
          <w:rFonts w:eastAsia="Calibri"/>
          <w:spacing w:val="-3"/>
          <w:sz w:val="16"/>
          <w:szCs w:val="16"/>
          <w:lang w:val="en-GB"/>
        </w:rPr>
        <w:t xml:space="preserve">up </w:t>
      </w:r>
      <w:r w:rsidRPr="00691B27">
        <w:rPr>
          <w:rFonts w:eastAsia="Calibri"/>
          <w:spacing w:val="-3"/>
          <w:sz w:val="16"/>
          <w:szCs w:val="16"/>
          <w:lang w:val="en-GB"/>
        </w:rPr>
        <w:t>(8.9%, 10.1% and 8.4%, respectively)</w:t>
      </w:r>
      <w:r>
        <w:rPr>
          <w:rFonts w:eastAsia="Calibri"/>
          <w:spacing w:val="-3"/>
          <w:sz w:val="16"/>
          <w:szCs w:val="16"/>
          <w:lang w:val="en-GB"/>
        </w:rPr>
        <w:t xml:space="preserve"> in Sweden, Finland and Lithuania</w:t>
      </w:r>
      <w:r w:rsidRPr="00691B27">
        <w:rPr>
          <w:rFonts w:eastAsia="Calibri"/>
          <w:spacing w:val="-3"/>
          <w:sz w:val="16"/>
          <w:szCs w:val="16"/>
          <w:lang w:val="en-GB"/>
        </w:rPr>
        <w:t>.</w:t>
      </w:r>
      <w:r>
        <w:rPr>
          <w:rFonts w:eastAsia="Calibri"/>
          <w:spacing w:val="-3"/>
          <w:sz w:val="16"/>
          <w:szCs w:val="16"/>
          <w:lang w:val="en-GB"/>
        </w:rPr>
        <w:t xml:space="preserve"> </w:t>
      </w:r>
      <w:r w:rsidRPr="009371CF">
        <w:rPr>
          <w:rFonts w:eastAsia="Calibri"/>
          <w:spacing w:val="-3"/>
          <w:sz w:val="16"/>
          <w:szCs w:val="16"/>
          <w:lang w:val="en-GB"/>
        </w:rPr>
        <w:t xml:space="preserve">A year-on-year decrease of total unemployment occurred in 12 EU countries in July </w:t>
      </w:r>
      <w:r w:rsidR="00C9222E">
        <w:rPr>
          <w:rFonts w:eastAsia="Calibri"/>
          <w:spacing w:val="-3"/>
          <w:sz w:val="16"/>
          <w:szCs w:val="16"/>
          <w:lang w:val="en-GB"/>
        </w:rPr>
        <w:t>2024</w:t>
      </w:r>
      <w:r w:rsidRPr="009371CF">
        <w:rPr>
          <w:rFonts w:eastAsia="Calibri"/>
          <w:spacing w:val="-3"/>
          <w:sz w:val="16"/>
          <w:szCs w:val="16"/>
          <w:lang w:val="en-GB"/>
        </w:rPr>
        <w:t xml:space="preserve">– nevertheless it was more notable only in Italy (by 1.3 p.p.), Greece (-1.2) and Croatia (-1.1). </w:t>
      </w:r>
      <w:r>
        <w:rPr>
          <w:rFonts w:eastAsia="Calibri"/>
          <w:spacing w:val="-3"/>
          <w:sz w:val="16"/>
          <w:szCs w:val="16"/>
          <w:lang w:val="en-GB"/>
        </w:rPr>
        <w:t>The un</w:t>
      </w:r>
      <w:r w:rsidRPr="00A1296E">
        <w:rPr>
          <w:rFonts w:eastAsia="Calibri"/>
          <w:spacing w:val="-3"/>
          <w:sz w:val="16"/>
          <w:szCs w:val="16"/>
          <w:lang w:val="en-GB"/>
        </w:rPr>
        <w:t xml:space="preserve">employment worsened </w:t>
      </w:r>
      <w:r>
        <w:rPr>
          <w:rFonts w:eastAsia="Calibri"/>
          <w:spacing w:val="-3"/>
          <w:sz w:val="16"/>
          <w:szCs w:val="16"/>
          <w:lang w:val="en-GB"/>
        </w:rPr>
        <w:t xml:space="preserve">in contrast </w:t>
      </w:r>
      <w:r w:rsidRPr="00A1296E">
        <w:rPr>
          <w:rFonts w:eastAsia="Calibri"/>
          <w:spacing w:val="-3"/>
          <w:sz w:val="16"/>
          <w:szCs w:val="16"/>
          <w:lang w:val="en-GB"/>
        </w:rPr>
        <w:t>by more than 1 p</w:t>
      </w:r>
      <w:r>
        <w:rPr>
          <w:rFonts w:eastAsia="Calibri"/>
          <w:spacing w:val="-3"/>
          <w:sz w:val="16"/>
          <w:szCs w:val="16"/>
          <w:lang w:val="en-GB"/>
        </w:rPr>
        <w:t xml:space="preserve">. p. </w:t>
      </w:r>
      <w:r w:rsidRPr="00A1296E">
        <w:rPr>
          <w:rFonts w:eastAsia="Calibri"/>
          <w:spacing w:val="-3"/>
          <w:sz w:val="16"/>
          <w:szCs w:val="16"/>
          <w:lang w:val="en-GB"/>
        </w:rPr>
        <w:t xml:space="preserve">in </w:t>
      </w:r>
      <w:r>
        <w:rPr>
          <w:rFonts w:eastAsia="Calibri"/>
          <w:spacing w:val="-3"/>
          <w:sz w:val="16"/>
          <w:szCs w:val="16"/>
          <w:lang w:val="en-GB"/>
        </w:rPr>
        <w:t>the N</w:t>
      </w:r>
      <w:r w:rsidRPr="00A1296E">
        <w:rPr>
          <w:rFonts w:eastAsia="Calibri"/>
          <w:spacing w:val="-3"/>
          <w:sz w:val="16"/>
          <w:szCs w:val="16"/>
          <w:lang w:val="en-GB"/>
        </w:rPr>
        <w:t xml:space="preserve">orthern Europe – in Sweden, Lithuania and Finland. </w:t>
      </w:r>
      <w:r>
        <w:rPr>
          <w:rFonts w:eastAsia="Calibri"/>
          <w:spacing w:val="-3"/>
          <w:sz w:val="16"/>
          <w:szCs w:val="16"/>
          <w:lang w:val="en-GB"/>
        </w:rPr>
        <w:t xml:space="preserve">The </w:t>
      </w:r>
      <w:r w:rsidRPr="00A1296E">
        <w:rPr>
          <w:rFonts w:eastAsia="Calibri"/>
          <w:spacing w:val="-3"/>
          <w:sz w:val="16"/>
          <w:szCs w:val="16"/>
          <w:lang w:val="en-GB"/>
        </w:rPr>
        <w:t>unemployment grew only gradually (+0.4 p</w:t>
      </w:r>
      <w:r>
        <w:rPr>
          <w:rFonts w:eastAsia="Calibri"/>
          <w:spacing w:val="-3"/>
          <w:sz w:val="16"/>
          <w:szCs w:val="16"/>
          <w:lang w:val="en-GB"/>
        </w:rPr>
        <w:t>.</w:t>
      </w:r>
      <w:r w:rsidRPr="00A1296E">
        <w:rPr>
          <w:rFonts w:eastAsia="Calibri"/>
          <w:spacing w:val="-3"/>
          <w:sz w:val="16"/>
          <w:szCs w:val="16"/>
          <w:lang w:val="en-GB"/>
        </w:rPr>
        <w:t>p</w:t>
      </w:r>
      <w:r>
        <w:rPr>
          <w:rFonts w:eastAsia="Calibri"/>
          <w:spacing w:val="-3"/>
          <w:sz w:val="16"/>
          <w:szCs w:val="16"/>
          <w:lang w:val="en-GB"/>
        </w:rPr>
        <w:t>.</w:t>
      </w:r>
      <w:r w:rsidRPr="00A1296E">
        <w:rPr>
          <w:rFonts w:eastAsia="Calibri"/>
          <w:spacing w:val="-3"/>
          <w:sz w:val="16"/>
          <w:szCs w:val="16"/>
          <w:lang w:val="en-GB"/>
        </w:rPr>
        <w:t>)</w:t>
      </w:r>
      <w:r>
        <w:rPr>
          <w:rFonts w:eastAsia="Calibri"/>
          <w:spacing w:val="-3"/>
          <w:sz w:val="16"/>
          <w:szCs w:val="16"/>
          <w:lang w:val="en-GB"/>
        </w:rPr>
        <w:t xml:space="preserve"> in Germany</w:t>
      </w:r>
      <w:r w:rsidRPr="00A1296E">
        <w:rPr>
          <w:rFonts w:eastAsia="Calibri"/>
          <w:spacing w:val="-3"/>
          <w:sz w:val="16"/>
          <w:szCs w:val="16"/>
          <w:lang w:val="en-GB"/>
        </w:rPr>
        <w:t>,</w:t>
      </w:r>
      <w:r>
        <w:rPr>
          <w:rFonts w:eastAsia="Calibri"/>
          <w:spacing w:val="-3"/>
          <w:sz w:val="16"/>
          <w:szCs w:val="16"/>
          <w:lang w:val="en-GB"/>
        </w:rPr>
        <w:t xml:space="preserve"> however it</w:t>
      </w:r>
      <w:r w:rsidRPr="00A1296E">
        <w:rPr>
          <w:rFonts w:eastAsia="Calibri"/>
          <w:spacing w:val="-3"/>
          <w:sz w:val="16"/>
          <w:szCs w:val="16"/>
          <w:lang w:val="en-GB"/>
        </w:rPr>
        <w:t xml:space="preserve"> is currently at a three-year high (3.4%). The Czech Republic also </w:t>
      </w:r>
      <w:r>
        <w:rPr>
          <w:rFonts w:eastAsia="Calibri"/>
          <w:spacing w:val="-3"/>
          <w:sz w:val="16"/>
          <w:szCs w:val="16"/>
          <w:lang w:val="en-GB"/>
        </w:rPr>
        <w:t xml:space="preserve">ranks </w:t>
      </w:r>
      <w:r w:rsidRPr="00A1296E">
        <w:rPr>
          <w:rFonts w:eastAsia="Calibri"/>
          <w:spacing w:val="-3"/>
          <w:sz w:val="16"/>
          <w:szCs w:val="16"/>
          <w:lang w:val="en-GB"/>
        </w:rPr>
        <w:t>favourabl</w:t>
      </w:r>
      <w:r>
        <w:rPr>
          <w:rFonts w:eastAsia="Calibri"/>
          <w:spacing w:val="-3"/>
          <w:sz w:val="16"/>
          <w:szCs w:val="16"/>
          <w:lang w:val="en-GB"/>
        </w:rPr>
        <w:t xml:space="preserve">y </w:t>
      </w:r>
      <w:r w:rsidRPr="00A1296E">
        <w:rPr>
          <w:rFonts w:eastAsia="Calibri"/>
          <w:spacing w:val="-3"/>
          <w:sz w:val="16"/>
          <w:szCs w:val="16"/>
          <w:lang w:val="en-GB"/>
        </w:rPr>
        <w:t xml:space="preserve">in terms of unemployment of persons under 25 years of age, as it </w:t>
      </w:r>
      <w:r>
        <w:rPr>
          <w:rFonts w:eastAsia="Calibri"/>
          <w:spacing w:val="-3"/>
          <w:sz w:val="16"/>
          <w:szCs w:val="16"/>
          <w:lang w:val="en-GB"/>
        </w:rPr>
        <w:t xml:space="preserve">belongs to the </w:t>
      </w:r>
      <w:r w:rsidRPr="00A1296E">
        <w:rPr>
          <w:rFonts w:eastAsia="Calibri"/>
          <w:spacing w:val="-3"/>
          <w:sz w:val="16"/>
          <w:szCs w:val="16"/>
          <w:lang w:val="en-GB"/>
        </w:rPr>
        <w:t>one third of the EU countries with the lowest youth unemployment</w:t>
      </w:r>
      <w:r>
        <w:rPr>
          <w:rFonts w:eastAsia="Calibri"/>
          <w:spacing w:val="-3"/>
          <w:sz w:val="16"/>
          <w:szCs w:val="16"/>
          <w:lang w:val="en-GB"/>
        </w:rPr>
        <w:t xml:space="preserve"> in the long-term</w:t>
      </w:r>
      <w:r w:rsidRPr="00A1296E">
        <w:rPr>
          <w:rFonts w:eastAsia="Calibri"/>
          <w:spacing w:val="-3"/>
          <w:sz w:val="16"/>
          <w:szCs w:val="16"/>
          <w:lang w:val="en-GB"/>
        </w:rPr>
        <w:t xml:space="preserve">. It currently stood at 11.6% (14.5% in the EU, and </w:t>
      </w:r>
      <w:r>
        <w:rPr>
          <w:rFonts w:eastAsia="Calibri"/>
          <w:spacing w:val="-3"/>
          <w:sz w:val="16"/>
          <w:szCs w:val="16"/>
          <w:lang w:val="en-GB"/>
        </w:rPr>
        <w:t xml:space="preserve">already </w:t>
      </w:r>
      <w:r w:rsidRPr="00A1296E">
        <w:rPr>
          <w:rFonts w:eastAsia="Calibri"/>
          <w:spacing w:val="-3"/>
          <w:sz w:val="16"/>
          <w:szCs w:val="16"/>
          <w:lang w:val="en-GB"/>
        </w:rPr>
        <w:t xml:space="preserve">seven </w:t>
      </w:r>
      <w:r>
        <w:rPr>
          <w:rFonts w:eastAsia="Calibri"/>
          <w:spacing w:val="-3"/>
          <w:sz w:val="16"/>
          <w:szCs w:val="16"/>
          <w:lang w:val="en-GB"/>
        </w:rPr>
        <w:t>m</w:t>
      </w:r>
      <w:r w:rsidRPr="00A1296E">
        <w:rPr>
          <w:rFonts w:eastAsia="Calibri"/>
          <w:spacing w:val="-3"/>
          <w:sz w:val="16"/>
          <w:szCs w:val="16"/>
          <w:lang w:val="en-GB"/>
        </w:rPr>
        <w:t xml:space="preserve">ember </w:t>
      </w:r>
      <w:r>
        <w:rPr>
          <w:rFonts w:eastAsia="Calibri"/>
          <w:spacing w:val="-3"/>
          <w:sz w:val="16"/>
          <w:szCs w:val="16"/>
          <w:lang w:val="en-GB"/>
        </w:rPr>
        <w:t>s</w:t>
      </w:r>
      <w:r w:rsidRPr="00A1296E">
        <w:rPr>
          <w:rFonts w:eastAsia="Calibri"/>
          <w:spacing w:val="-3"/>
          <w:sz w:val="16"/>
          <w:szCs w:val="16"/>
          <w:lang w:val="en-GB"/>
        </w:rPr>
        <w:t xml:space="preserve">tates – especially Spain and Sweden – </w:t>
      </w:r>
      <w:r>
        <w:rPr>
          <w:rFonts w:eastAsia="Calibri"/>
          <w:spacing w:val="-3"/>
          <w:sz w:val="16"/>
          <w:szCs w:val="16"/>
          <w:lang w:val="en-GB"/>
        </w:rPr>
        <w:t xml:space="preserve">about 25% - </w:t>
      </w:r>
      <w:r w:rsidRPr="00A1296E">
        <w:rPr>
          <w:rFonts w:eastAsia="Calibri"/>
          <w:spacing w:val="-3"/>
          <w:sz w:val="16"/>
          <w:szCs w:val="16"/>
          <w:lang w:val="en-GB"/>
        </w:rPr>
        <w:t>were afflicted by unemployment of more than 20%).</w:t>
      </w:r>
      <w:r>
        <w:rPr>
          <w:rFonts w:eastAsia="Calibri"/>
          <w:spacing w:val="-3"/>
          <w:sz w:val="16"/>
          <w:szCs w:val="16"/>
          <w:lang w:val="en-GB"/>
        </w:rPr>
        <w:t xml:space="preserve"> </w:t>
      </w:r>
    </w:p>
  </w:footnote>
  <w:footnote w:id="75">
    <w:p w14:paraId="03CD5253" w14:textId="77777777" w:rsidR="00165465" w:rsidRPr="009371CF" w:rsidRDefault="00165465" w:rsidP="006233F9">
      <w:pPr>
        <w:pStyle w:val="Textpoznpodarou"/>
        <w:jc w:val="both"/>
        <w:rPr>
          <w:sz w:val="16"/>
          <w:szCs w:val="16"/>
          <w:lang w:val="en-GB"/>
        </w:rPr>
      </w:pPr>
      <w:r w:rsidRPr="009371CF">
        <w:rPr>
          <w:rStyle w:val="Znakapoznpodarou"/>
          <w:sz w:val="16"/>
          <w:szCs w:val="16"/>
          <w:lang w:val="en-GB"/>
        </w:rPr>
        <w:footnoteRef/>
      </w:r>
      <w:r w:rsidRPr="009371CF">
        <w:rPr>
          <w:sz w:val="16"/>
          <w:szCs w:val="16"/>
          <w:lang w:val="en-GB"/>
        </w:rPr>
        <w:t xml:space="preserve"> </w:t>
      </w:r>
      <w:r w:rsidRPr="00B6649A">
        <w:rPr>
          <w:sz w:val="16"/>
          <w:szCs w:val="16"/>
          <w:lang w:val="en-GB"/>
        </w:rPr>
        <w:t>Only less than one fifth of this quantity is however able to join the workforce immediately. S</w:t>
      </w:r>
      <w:r>
        <w:rPr>
          <w:sz w:val="16"/>
          <w:szCs w:val="16"/>
          <w:lang w:val="en-GB"/>
        </w:rPr>
        <w:t>ince a s</w:t>
      </w:r>
      <w:r w:rsidRPr="00B6649A">
        <w:rPr>
          <w:sz w:val="16"/>
          <w:szCs w:val="16"/>
          <w:lang w:val="en-GB"/>
        </w:rPr>
        <w:t>ignificant part of working reserves consists of students and females on the parental leave.</w:t>
      </w:r>
      <w:r>
        <w:rPr>
          <w:sz w:val="16"/>
          <w:szCs w:val="16"/>
          <w:lang w:val="en-GB"/>
        </w:rPr>
        <w:t xml:space="preserve"> </w:t>
      </w:r>
    </w:p>
  </w:footnote>
  <w:footnote w:id="76">
    <w:p w14:paraId="4D612D61" w14:textId="77777777" w:rsidR="00165465" w:rsidRPr="00541F19" w:rsidRDefault="00165465" w:rsidP="00E551F6">
      <w:pPr>
        <w:pStyle w:val="Textpoznpodarou"/>
        <w:jc w:val="both"/>
        <w:rPr>
          <w:sz w:val="16"/>
          <w:szCs w:val="16"/>
          <w:lang w:val="en-GB"/>
        </w:rPr>
      </w:pPr>
      <w:r w:rsidRPr="000B0BEA">
        <w:rPr>
          <w:rStyle w:val="Znakapoznpodarou"/>
          <w:sz w:val="16"/>
          <w:szCs w:val="16"/>
        </w:rPr>
        <w:footnoteRef/>
      </w:r>
      <w:r w:rsidRPr="000B0BEA">
        <w:rPr>
          <w:sz w:val="16"/>
          <w:szCs w:val="16"/>
        </w:rPr>
        <w:t xml:space="preserve"> </w:t>
      </w:r>
      <w:r w:rsidRPr="00541F19">
        <w:rPr>
          <w:sz w:val="16"/>
          <w:szCs w:val="16"/>
          <w:lang w:val="en-GB"/>
        </w:rPr>
        <w:t>Only a smaller proportion of vacancies can be considered active – only 122,000 jobs were advertised at the LO for less than half a year. According to the experimental statistics of the CZSO (survey of companies since year 2020), the offer of domestic companies was estimated at 111</w:t>
      </w:r>
      <w:r>
        <w:rPr>
          <w:sz w:val="16"/>
          <w:szCs w:val="16"/>
          <w:lang w:val="en-GB"/>
        </w:rPr>
        <w:t> </w:t>
      </w:r>
      <w:r w:rsidRPr="00541F19">
        <w:rPr>
          <w:sz w:val="16"/>
          <w:szCs w:val="16"/>
          <w:lang w:val="en-GB"/>
        </w:rPr>
        <w:t xml:space="preserve">thousand vacancies in Q2 2024 (these are only jobs in an employment relationship, not temporary jobs, e.g. various types of agreements). The number of vacancies increased by 10%, year-on-year (they grew in Q1, while it on the contrary decreased or stagnated during the last year). Currently, especially the supply of vacancies in public services increased (mainly in health and social care), further in trade, tourism, administrative and support service activities </w:t>
      </w:r>
      <w:r>
        <w:rPr>
          <w:sz w:val="16"/>
          <w:szCs w:val="16"/>
          <w:lang w:val="en-GB"/>
        </w:rPr>
        <w:t xml:space="preserve">as well as </w:t>
      </w:r>
      <w:r w:rsidRPr="00541F19">
        <w:rPr>
          <w:sz w:val="16"/>
          <w:szCs w:val="16"/>
          <w:lang w:val="en-GB"/>
        </w:rPr>
        <w:t xml:space="preserve">in agriculture. In contrast, the number of vacancies decreased especially in industry, the same as last year. </w:t>
      </w:r>
    </w:p>
  </w:footnote>
  <w:footnote w:id="77">
    <w:p w14:paraId="2416C78B" w14:textId="77777777" w:rsidR="00165465" w:rsidRPr="00541F19" w:rsidRDefault="00165465" w:rsidP="00E551F6">
      <w:pPr>
        <w:pStyle w:val="Textpoznpodarou"/>
        <w:jc w:val="both"/>
        <w:rPr>
          <w:sz w:val="16"/>
          <w:szCs w:val="16"/>
          <w:lang w:val="en-GB"/>
        </w:rPr>
      </w:pPr>
      <w:r w:rsidRPr="00541F19">
        <w:rPr>
          <w:rStyle w:val="Znakapoznpodarou"/>
          <w:sz w:val="16"/>
          <w:szCs w:val="16"/>
          <w:lang w:val="en-GB"/>
        </w:rPr>
        <w:footnoteRef/>
      </w:r>
      <w:r w:rsidRPr="00541F19">
        <w:rPr>
          <w:sz w:val="16"/>
          <w:szCs w:val="16"/>
          <w:lang w:val="en-GB"/>
        </w:rPr>
        <w:t xml:space="preserve"> Tariff adjustments were performed here from January 2024 and personal allowances increased for many employees.</w:t>
      </w:r>
    </w:p>
  </w:footnote>
  <w:footnote w:id="78">
    <w:p w14:paraId="18F1E927" w14:textId="77777777" w:rsidR="00165465" w:rsidRPr="009E160F" w:rsidRDefault="00165465" w:rsidP="00E551F6">
      <w:pPr>
        <w:pStyle w:val="Textpoznpodarou"/>
        <w:jc w:val="both"/>
        <w:rPr>
          <w:sz w:val="16"/>
          <w:szCs w:val="16"/>
          <w:lang w:val="en-GB"/>
        </w:rPr>
      </w:pPr>
      <w:r>
        <w:rPr>
          <w:rStyle w:val="Znakapoznpodarou"/>
          <w:sz w:val="16"/>
          <w:szCs w:val="16"/>
        </w:rPr>
        <w:footnoteRef/>
      </w:r>
      <w:r>
        <w:rPr>
          <w:sz w:val="16"/>
          <w:szCs w:val="16"/>
        </w:rPr>
        <w:t xml:space="preserve"> </w:t>
      </w:r>
      <w:proofErr w:type="spellStart"/>
      <w:r w:rsidRPr="00C54F83">
        <w:rPr>
          <w:sz w:val="16"/>
          <w:szCs w:val="16"/>
        </w:rPr>
        <w:t>Unless</w:t>
      </w:r>
      <w:proofErr w:type="spellEnd"/>
      <w:r w:rsidRPr="00C54F83">
        <w:rPr>
          <w:sz w:val="16"/>
          <w:szCs w:val="16"/>
        </w:rPr>
        <w:t xml:space="preserve"> </w:t>
      </w:r>
      <w:proofErr w:type="spellStart"/>
      <w:r w:rsidRPr="00C54F83">
        <w:rPr>
          <w:sz w:val="16"/>
          <w:szCs w:val="16"/>
        </w:rPr>
        <w:t>stated</w:t>
      </w:r>
      <w:proofErr w:type="spellEnd"/>
      <w:r w:rsidRPr="00C54F83">
        <w:rPr>
          <w:sz w:val="16"/>
          <w:szCs w:val="16"/>
        </w:rPr>
        <w:t xml:space="preserve"> </w:t>
      </w:r>
      <w:proofErr w:type="spellStart"/>
      <w:r w:rsidRPr="00C54F83">
        <w:rPr>
          <w:sz w:val="16"/>
          <w:szCs w:val="16"/>
        </w:rPr>
        <w:t>otherwise</w:t>
      </w:r>
      <w:proofErr w:type="spellEnd"/>
      <w:r w:rsidRPr="00C54F83">
        <w:rPr>
          <w:sz w:val="16"/>
          <w:szCs w:val="16"/>
        </w:rPr>
        <w:t xml:space="preserve">, </w:t>
      </w:r>
      <w:proofErr w:type="spellStart"/>
      <w:r w:rsidRPr="00C54F83">
        <w:rPr>
          <w:sz w:val="16"/>
          <w:szCs w:val="16"/>
        </w:rPr>
        <w:t>the</w:t>
      </w:r>
      <w:proofErr w:type="spellEnd"/>
      <w:r w:rsidRPr="00C54F83">
        <w:rPr>
          <w:sz w:val="16"/>
          <w:szCs w:val="16"/>
        </w:rPr>
        <w:t xml:space="preserve"> source </w:t>
      </w:r>
      <w:proofErr w:type="spellStart"/>
      <w:r w:rsidRPr="00C54F83">
        <w:rPr>
          <w:sz w:val="16"/>
          <w:szCs w:val="16"/>
        </w:rPr>
        <w:t>of</w:t>
      </w:r>
      <w:proofErr w:type="spellEnd"/>
      <w:r w:rsidRPr="00C54F83">
        <w:rPr>
          <w:sz w:val="16"/>
          <w:szCs w:val="16"/>
        </w:rPr>
        <w:t xml:space="preserve"> data in </w:t>
      </w:r>
      <w:proofErr w:type="spellStart"/>
      <w:r w:rsidRPr="00C54F83">
        <w:rPr>
          <w:sz w:val="16"/>
          <w:szCs w:val="16"/>
        </w:rPr>
        <w:t>the</w:t>
      </w:r>
      <w:proofErr w:type="spellEnd"/>
      <w:r w:rsidRPr="00C54F83">
        <w:rPr>
          <w:sz w:val="16"/>
          <w:szCs w:val="16"/>
        </w:rPr>
        <w:t xml:space="preserve"> </w:t>
      </w:r>
      <w:proofErr w:type="spellStart"/>
      <w:r w:rsidRPr="00C54F83">
        <w:rPr>
          <w:sz w:val="16"/>
          <w:szCs w:val="16"/>
        </w:rPr>
        <w:t>chapter</w:t>
      </w:r>
      <w:proofErr w:type="spellEnd"/>
      <w:r w:rsidRPr="00C54F83">
        <w:rPr>
          <w:sz w:val="16"/>
          <w:szCs w:val="16"/>
        </w:rPr>
        <w:t xml:space="preserve"> </w:t>
      </w:r>
      <w:proofErr w:type="spellStart"/>
      <w:r w:rsidRPr="00C54F83">
        <w:rPr>
          <w:sz w:val="16"/>
          <w:szCs w:val="16"/>
        </w:rPr>
        <w:t>is</w:t>
      </w:r>
      <w:proofErr w:type="spellEnd"/>
      <w:r w:rsidRPr="00C54F83">
        <w:rPr>
          <w:sz w:val="16"/>
          <w:szCs w:val="16"/>
        </w:rPr>
        <w:t xml:space="preserve"> </w:t>
      </w:r>
      <w:proofErr w:type="spellStart"/>
      <w:r w:rsidRPr="00C54F83">
        <w:rPr>
          <w:sz w:val="16"/>
          <w:szCs w:val="16"/>
        </w:rPr>
        <w:t>the</w:t>
      </w:r>
      <w:proofErr w:type="spellEnd"/>
      <w:r w:rsidRPr="00C54F83">
        <w:rPr>
          <w:sz w:val="16"/>
          <w:szCs w:val="16"/>
        </w:rPr>
        <w:t xml:space="preserve"> Czech </w:t>
      </w:r>
      <w:proofErr w:type="spellStart"/>
      <w:r w:rsidRPr="00C54F83">
        <w:rPr>
          <w:sz w:val="16"/>
          <w:szCs w:val="16"/>
        </w:rPr>
        <w:t>National</w:t>
      </w:r>
      <w:proofErr w:type="spellEnd"/>
      <w:r w:rsidRPr="00C54F83">
        <w:rPr>
          <w:sz w:val="16"/>
          <w:szCs w:val="16"/>
        </w:rPr>
        <w:t xml:space="preserve"> Bank database ARAD. </w:t>
      </w:r>
      <w:proofErr w:type="spellStart"/>
      <w:r w:rsidRPr="00C54F83">
        <w:rPr>
          <w:sz w:val="16"/>
          <w:szCs w:val="16"/>
        </w:rPr>
        <w:t>Values</w:t>
      </w:r>
      <w:proofErr w:type="spellEnd"/>
      <w:r w:rsidRPr="00C54F83">
        <w:rPr>
          <w:sz w:val="16"/>
          <w:szCs w:val="16"/>
        </w:rPr>
        <w:t xml:space="preserve"> </w:t>
      </w:r>
      <w:proofErr w:type="spellStart"/>
      <w:r w:rsidRPr="00C54F83">
        <w:rPr>
          <w:sz w:val="16"/>
          <w:szCs w:val="16"/>
        </w:rPr>
        <w:t>of</w:t>
      </w:r>
      <w:proofErr w:type="spellEnd"/>
      <w:r w:rsidRPr="00C54F83">
        <w:rPr>
          <w:sz w:val="16"/>
          <w:szCs w:val="16"/>
        </w:rPr>
        <w:t xml:space="preserve"> </w:t>
      </w:r>
      <w:proofErr w:type="spellStart"/>
      <w:r w:rsidRPr="00C54F83">
        <w:rPr>
          <w:sz w:val="16"/>
          <w:szCs w:val="16"/>
        </w:rPr>
        <w:t>foreign</w:t>
      </w:r>
      <w:proofErr w:type="spellEnd"/>
      <w:r w:rsidRPr="00C54F83">
        <w:rPr>
          <w:sz w:val="16"/>
          <w:szCs w:val="16"/>
        </w:rPr>
        <w:t xml:space="preserve"> </w:t>
      </w:r>
      <w:proofErr w:type="spellStart"/>
      <w:r w:rsidRPr="00C54F83">
        <w:rPr>
          <w:sz w:val="16"/>
          <w:szCs w:val="16"/>
        </w:rPr>
        <w:t>exchange</w:t>
      </w:r>
      <w:proofErr w:type="spellEnd"/>
      <w:r w:rsidRPr="00C54F83">
        <w:rPr>
          <w:sz w:val="16"/>
          <w:szCs w:val="16"/>
        </w:rPr>
        <w:t xml:space="preserve"> </w:t>
      </w:r>
      <w:proofErr w:type="spellStart"/>
      <w:r w:rsidRPr="00C54F83">
        <w:rPr>
          <w:sz w:val="16"/>
          <w:szCs w:val="16"/>
        </w:rPr>
        <w:t>rates</w:t>
      </w:r>
      <w:proofErr w:type="spellEnd"/>
      <w:r w:rsidRPr="00C54F83">
        <w:rPr>
          <w:sz w:val="16"/>
          <w:szCs w:val="16"/>
        </w:rPr>
        <w:t xml:space="preserve"> </w:t>
      </w:r>
      <w:proofErr w:type="spellStart"/>
      <w:r w:rsidRPr="00C54F83">
        <w:rPr>
          <w:sz w:val="16"/>
          <w:szCs w:val="16"/>
        </w:rPr>
        <w:t>also</w:t>
      </w:r>
      <w:proofErr w:type="spellEnd"/>
      <w:r w:rsidRPr="00C54F83">
        <w:rPr>
          <w:sz w:val="16"/>
          <w:szCs w:val="16"/>
        </w:rPr>
        <w:t xml:space="preserve"> stem </w:t>
      </w:r>
      <w:proofErr w:type="spellStart"/>
      <w:r w:rsidRPr="00C54F83">
        <w:rPr>
          <w:sz w:val="16"/>
          <w:szCs w:val="16"/>
        </w:rPr>
        <w:t>from</w:t>
      </w:r>
      <w:proofErr w:type="spellEnd"/>
      <w:r w:rsidRPr="00C54F83">
        <w:rPr>
          <w:sz w:val="16"/>
          <w:szCs w:val="16"/>
        </w:rPr>
        <w:t xml:space="preserve"> </w:t>
      </w:r>
      <w:proofErr w:type="spellStart"/>
      <w:r w:rsidRPr="00C54F83">
        <w:rPr>
          <w:sz w:val="16"/>
          <w:szCs w:val="16"/>
        </w:rPr>
        <w:t>the</w:t>
      </w:r>
      <w:proofErr w:type="spellEnd"/>
      <w:r w:rsidRPr="00C54F83">
        <w:rPr>
          <w:sz w:val="16"/>
          <w:szCs w:val="16"/>
        </w:rPr>
        <w:t xml:space="preserve"> CNB.</w:t>
      </w:r>
      <w:r>
        <w:rPr>
          <w:sz w:val="16"/>
          <w:szCs w:val="16"/>
        </w:rPr>
        <w:t xml:space="preserve"> </w:t>
      </w:r>
    </w:p>
  </w:footnote>
  <w:footnote w:id="79">
    <w:p w14:paraId="138A45DA" w14:textId="1B56749C" w:rsidR="00165465" w:rsidRPr="009E160F" w:rsidRDefault="00165465" w:rsidP="00E551F6">
      <w:pPr>
        <w:pStyle w:val="Textpoznpodarou"/>
        <w:jc w:val="both"/>
        <w:rPr>
          <w:sz w:val="16"/>
          <w:szCs w:val="16"/>
          <w:lang w:val="en-GB"/>
        </w:rPr>
      </w:pPr>
      <w:r w:rsidRPr="009E160F">
        <w:rPr>
          <w:rStyle w:val="Znakapoznpodarou"/>
          <w:sz w:val="16"/>
          <w:szCs w:val="16"/>
          <w:lang w:val="en-GB"/>
        </w:rPr>
        <w:footnoteRef/>
      </w:r>
      <w:r w:rsidRPr="009E160F">
        <w:rPr>
          <w:sz w:val="16"/>
          <w:szCs w:val="16"/>
          <w:lang w:val="en-GB"/>
        </w:rPr>
        <w:t xml:space="preserve"> </w:t>
      </w:r>
      <w:r w:rsidRPr="00C54F83">
        <w:rPr>
          <w:sz w:val="16"/>
          <w:szCs w:val="16"/>
          <w:lang w:val="en-GB"/>
        </w:rPr>
        <w:t>Unless stated otherwise, as the change of interest rates is meant the difference between value as of 3</w:t>
      </w:r>
      <w:r>
        <w:rPr>
          <w:sz w:val="16"/>
          <w:szCs w:val="16"/>
          <w:lang w:val="en-GB"/>
        </w:rPr>
        <w:t>0</w:t>
      </w:r>
      <w:r w:rsidRPr="00C54F83">
        <w:rPr>
          <w:sz w:val="16"/>
          <w:szCs w:val="16"/>
          <w:vertAlign w:val="superscript"/>
          <w:lang w:val="en-GB"/>
        </w:rPr>
        <w:t>rd</w:t>
      </w:r>
      <w:r w:rsidRPr="00C54F83">
        <w:rPr>
          <w:sz w:val="16"/>
          <w:szCs w:val="16"/>
          <w:lang w:val="en-GB"/>
        </w:rPr>
        <w:t xml:space="preserve"> </w:t>
      </w:r>
      <w:r>
        <w:rPr>
          <w:sz w:val="16"/>
          <w:szCs w:val="16"/>
          <w:lang w:val="en-GB"/>
        </w:rPr>
        <w:t>June</w:t>
      </w:r>
      <w:r w:rsidRPr="00C54F83">
        <w:rPr>
          <w:sz w:val="16"/>
          <w:szCs w:val="16"/>
          <w:lang w:val="en-GB"/>
        </w:rPr>
        <w:t xml:space="preserve"> and 3</w:t>
      </w:r>
      <w:r>
        <w:rPr>
          <w:sz w:val="16"/>
          <w:szCs w:val="16"/>
          <w:lang w:val="en-GB"/>
        </w:rPr>
        <w:t>1</w:t>
      </w:r>
      <w:r w:rsidRPr="00C54F83">
        <w:rPr>
          <w:sz w:val="16"/>
          <w:szCs w:val="16"/>
          <w:vertAlign w:val="superscript"/>
          <w:lang w:val="en-GB"/>
        </w:rPr>
        <w:t>s</w:t>
      </w:r>
      <w:r>
        <w:rPr>
          <w:sz w:val="16"/>
          <w:szCs w:val="16"/>
          <w:vertAlign w:val="superscript"/>
          <w:lang w:val="en-GB"/>
        </w:rPr>
        <w:t>t</w:t>
      </w:r>
      <w:r w:rsidRPr="00C54F83">
        <w:rPr>
          <w:sz w:val="16"/>
          <w:szCs w:val="16"/>
          <w:lang w:val="en-GB"/>
        </w:rPr>
        <w:t xml:space="preserve"> </w:t>
      </w:r>
      <w:r>
        <w:rPr>
          <w:sz w:val="16"/>
          <w:szCs w:val="16"/>
          <w:lang w:val="en-GB"/>
        </w:rPr>
        <w:t xml:space="preserve">March </w:t>
      </w:r>
      <w:r w:rsidRPr="00C54F83">
        <w:rPr>
          <w:sz w:val="16"/>
          <w:szCs w:val="16"/>
          <w:lang w:val="en-GB"/>
        </w:rPr>
        <w:t>202</w:t>
      </w:r>
      <w:r>
        <w:rPr>
          <w:sz w:val="16"/>
          <w:szCs w:val="16"/>
          <w:lang w:val="en-GB"/>
        </w:rPr>
        <w:t>4</w:t>
      </w:r>
      <w:r w:rsidRPr="00C54F83">
        <w:rPr>
          <w:sz w:val="16"/>
          <w:szCs w:val="16"/>
          <w:lang w:val="en-GB"/>
        </w:rPr>
        <w:t>.</w:t>
      </w:r>
      <w:r>
        <w:rPr>
          <w:sz w:val="16"/>
          <w:szCs w:val="16"/>
          <w:lang w:val="en-GB"/>
        </w:rPr>
        <w:t xml:space="preserve"> </w:t>
      </w:r>
    </w:p>
  </w:footnote>
  <w:footnote w:id="80">
    <w:p w14:paraId="3AA67704" w14:textId="77777777" w:rsidR="00165465" w:rsidRPr="009E160F" w:rsidRDefault="00165465" w:rsidP="00E551F6">
      <w:pPr>
        <w:pStyle w:val="Textpoznpodarou"/>
        <w:jc w:val="both"/>
        <w:rPr>
          <w:sz w:val="16"/>
          <w:szCs w:val="16"/>
          <w:lang w:val="en-GB"/>
        </w:rPr>
      </w:pPr>
      <w:r w:rsidRPr="009E160F">
        <w:rPr>
          <w:rStyle w:val="Znakapoznpodarou"/>
          <w:sz w:val="16"/>
          <w:szCs w:val="16"/>
          <w:lang w:val="en-GB"/>
        </w:rPr>
        <w:footnoteRef/>
      </w:r>
      <w:r w:rsidRPr="009E160F">
        <w:rPr>
          <w:sz w:val="16"/>
          <w:szCs w:val="16"/>
          <w:lang w:val="en-GB"/>
        </w:rPr>
        <w:t xml:space="preserve"> </w:t>
      </w:r>
      <w:r>
        <w:rPr>
          <w:sz w:val="16"/>
          <w:szCs w:val="16"/>
          <w:lang w:val="en-GB"/>
        </w:rPr>
        <w:t xml:space="preserve">Population including self-employed persons. </w:t>
      </w:r>
    </w:p>
  </w:footnote>
  <w:footnote w:id="81">
    <w:p w14:paraId="1F309E7C" w14:textId="77777777" w:rsidR="00165465" w:rsidRPr="00DF7E1D" w:rsidRDefault="00165465" w:rsidP="00E551F6">
      <w:pPr>
        <w:pStyle w:val="Textpoznpodarou"/>
        <w:jc w:val="both"/>
        <w:rPr>
          <w:sz w:val="16"/>
          <w:szCs w:val="16"/>
          <w:lang w:val="en-GB"/>
        </w:rPr>
      </w:pPr>
      <w:r w:rsidRPr="00A90EF9">
        <w:rPr>
          <w:rStyle w:val="Znakapoznpodarou"/>
          <w:sz w:val="16"/>
          <w:szCs w:val="16"/>
        </w:rPr>
        <w:footnoteRef/>
      </w:r>
      <w:r w:rsidRPr="00A90EF9">
        <w:rPr>
          <w:sz w:val="16"/>
          <w:szCs w:val="16"/>
        </w:rPr>
        <w:t xml:space="preserve"> </w:t>
      </w:r>
      <w:proofErr w:type="spellStart"/>
      <w:r w:rsidRPr="007B0F9E">
        <w:rPr>
          <w:sz w:val="16"/>
          <w:szCs w:val="16"/>
        </w:rPr>
        <w:t>Building</w:t>
      </w:r>
      <w:proofErr w:type="spellEnd"/>
      <w:r w:rsidRPr="007B0F9E">
        <w:rPr>
          <w:sz w:val="16"/>
          <w:szCs w:val="16"/>
        </w:rPr>
        <w:t xml:space="preserve"> </w:t>
      </w:r>
      <w:proofErr w:type="spellStart"/>
      <w:r w:rsidRPr="007B0F9E">
        <w:rPr>
          <w:sz w:val="16"/>
          <w:szCs w:val="16"/>
        </w:rPr>
        <w:t>savings</w:t>
      </w:r>
      <w:proofErr w:type="spellEnd"/>
      <w:r w:rsidRPr="007B0F9E">
        <w:rPr>
          <w:sz w:val="16"/>
          <w:szCs w:val="16"/>
        </w:rPr>
        <w:t xml:space="preserve"> </w:t>
      </w:r>
      <w:proofErr w:type="spellStart"/>
      <w:r w:rsidRPr="007B0F9E">
        <w:rPr>
          <w:sz w:val="16"/>
          <w:szCs w:val="16"/>
        </w:rPr>
        <w:t>loans</w:t>
      </w:r>
      <w:proofErr w:type="spellEnd"/>
      <w:r w:rsidRPr="007B0F9E">
        <w:rPr>
          <w:sz w:val="16"/>
          <w:szCs w:val="16"/>
        </w:rPr>
        <w:t xml:space="preserve"> </w:t>
      </w:r>
      <w:proofErr w:type="spellStart"/>
      <w:r w:rsidRPr="007B0F9E">
        <w:rPr>
          <w:sz w:val="16"/>
          <w:szCs w:val="16"/>
        </w:rPr>
        <w:t>have</w:t>
      </w:r>
      <w:proofErr w:type="spellEnd"/>
      <w:r w:rsidRPr="007B0F9E">
        <w:rPr>
          <w:sz w:val="16"/>
          <w:szCs w:val="16"/>
        </w:rPr>
        <w:t xml:space="preserve"> </w:t>
      </w:r>
      <w:proofErr w:type="spellStart"/>
      <w:r w:rsidRPr="007B0F9E">
        <w:rPr>
          <w:sz w:val="16"/>
          <w:szCs w:val="16"/>
        </w:rPr>
        <w:t>maintained</w:t>
      </w:r>
      <w:proofErr w:type="spellEnd"/>
      <w:r w:rsidRPr="007B0F9E">
        <w:rPr>
          <w:sz w:val="16"/>
          <w:szCs w:val="16"/>
        </w:rPr>
        <w:t xml:space="preserve"> a double-</w:t>
      </w:r>
      <w:proofErr w:type="spellStart"/>
      <w:r w:rsidRPr="007B0F9E">
        <w:rPr>
          <w:sz w:val="16"/>
          <w:szCs w:val="16"/>
        </w:rPr>
        <w:t>digit</w:t>
      </w:r>
      <w:proofErr w:type="spellEnd"/>
      <w:r w:rsidRPr="007B0F9E">
        <w:rPr>
          <w:sz w:val="16"/>
          <w:szCs w:val="16"/>
        </w:rPr>
        <w:t xml:space="preserve"> pace </w:t>
      </w:r>
      <w:proofErr w:type="spellStart"/>
      <w:r w:rsidRPr="007B0F9E">
        <w:rPr>
          <w:sz w:val="16"/>
          <w:szCs w:val="16"/>
        </w:rPr>
        <w:t>since</w:t>
      </w:r>
      <w:proofErr w:type="spellEnd"/>
      <w:r w:rsidRPr="007B0F9E">
        <w:rPr>
          <w:sz w:val="16"/>
          <w:szCs w:val="16"/>
        </w:rPr>
        <w:t xml:space="preserve"> </w:t>
      </w:r>
      <w:proofErr w:type="spellStart"/>
      <w:r w:rsidRPr="007B0F9E">
        <w:rPr>
          <w:sz w:val="16"/>
          <w:szCs w:val="16"/>
        </w:rPr>
        <w:t>the</w:t>
      </w:r>
      <w:proofErr w:type="spellEnd"/>
      <w:r w:rsidRPr="007B0F9E">
        <w:rPr>
          <w:sz w:val="16"/>
          <w:szCs w:val="16"/>
        </w:rPr>
        <w:t xml:space="preserve"> end </w:t>
      </w:r>
      <w:proofErr w:type="spellStart"/>
      <w:r w:rsidRPr="007B0F9E">
        <w:rPr>
          <w:sz w:val="16"/>
          <w:szCs w:val="16"/>
        </w:rPr>
        <w:t>of</w:t>
      </w:r>
      <w:proofErr w:type="spellEnd"/>
      <w:r w:rsidRPr="007B0F9E">
        <w:rPr>
          <w:sz w:val="16"/>
          <w:szCs w:val="16"/>
        </w:rPr>
        <w:t xml:space="preserve"> 2022, </w:t>
      </w:r>
      <w:proofErr w:type="spellStart"/>
      <w:r>
        <w:rPr>
          <w:sz w:val="16"/>
          <w:szCs w:val="16"/>
        </w:rPr>
        <w:t>the</w:t>
      </w:r>
      <w:proofErr w:type="spellEnd"/>
      <w:r>
        <w:rPr>
          <w:sz w:val="16"/>
          <w:szCs w:val="16"/>
        </w:rPr>
        <w:t xml:space="preserve"> </w:t>
      </w:r>
      <w:proofErr w:type="spellStart"/>
      <w:r w:rsidRPr="007B0F9E">
        <w:rPr>
          <w:sz w:val="16"/>
          <w:szCs w:val="16"/>
        </w:rPr>
        <w:t>increase</w:t>
      </w:r>
      <w:proofErr w:type="spellEnd"/>
      <w:r w:rsidRPr="007B0F9E">
        <w:rPr>
          <w:sz w:val="16"/>
          <w:szCs w:val="16"/>
        </w:rPr>
        <w:t xml:space="preserve"> </w:t>
      </w:r>
      <w:proofErr w:type="spellStart"/>
      <w:r>
        <w:rPr>
          <w:sz w:val="16"/>
          <w:szCs w:val="16"/>
        </w:rPr>
        <w:t>is</w:t>
      </w:r>
      <w:proofErr w:type="spellEnd"/>
      <w:r>
        <w:rPr>
          <w:sz w:val="16"/>
          <w:szCs w:val="16"/>
        </w:rPr>
        <w:t xml:space="preserve"> </w:t>
      </w:r>
      <w:r w:rsidRPr="007B0F9E">
        <w:rPr>
          <w:sz w:val="16"/>
          <w:szCs w:val="16"/>
        </w:rPr>
        <w:t xml:space="preserve">more </w:t>
      </w:r>
      <w:proofErr w:type="spellStart"/>
      <w:r w:rsidRPr="007B0F9E">
        <w:rPr>
          <w:sz w:val="16"/>
          <w:szCs w:val="16"/>
        </w:rPr>
        <w:t>than</w:t>
      </w:r>
      <w:proofErr w:type="spellEnd"/>
      <w:r w:rsidRPr="007B0F9E">
        <w:rPr>
          <w:sz w:val="16"/>
          <w:szCs w:val="16"/>
        </w:rPr>
        <w:t xml:space="preserve"> 30% </w:t>
      </w:r>
      <w:proofErr w:type="spellStart"/>
      <w:r w:rsidRPr="007B0F9E">
        <w:rPr>
          <w:sz w:val="16"/>
          <w:szCs w:val="16"/>
        </w:rPr>
        <w:t>for</w:t>
      </w:r>
      <w:proofErr w:type="spellEnd"/>
      <w:r w:rsidRPr="007B0F9E">
        <w:rPr>
          <w:sz w:val="16"/>
          <w:szCs w:val="16"/>
        </w:rPr>
        <w:t xml:space="preserve"> </w:t>
      </w:r>
      <w:proofErr w:type="spellStart"/>
      <w:r w:rsidRPr="007B0F9E">
        <w:rPr>
          <w:sz w:val="16"/>
          <w:szCs w:val="16"/>
        </w:rPr>
        <w:t>the</w:t>
      </w:r>
      <w:proofErr w:type="spellEnd"/>
      <w:r w:rsidRPr="007B0F9E">
        <w:rPr>
          <w:sz w:val="16"/>
          <w:szCs w:val="16"/>
        </w:rPr>
        <w:t xml:space="preserve"> </w:t>
      </w:r>
      <w:proofErr w:type="spellStart"/>
      <w:r w:rsidRPr="007B0F9E">
        <w:rPr>
          <w:sz w:val="16"/>
          <w:szCs w:val="16"/>
        </w:rPr>
        <w:t>third</w:t>
      </w:r>
      <w:proofErr w:type="spellEnd"/>
      <w:r w:rsidRPr="007B0F9E">
        <w:rPr>
          <w:sz w:val="16"/>
          <w:szCs w:val="16"/>
        </w:rPr>
        <w:t xml:space="preserve"> </w:t>
      </w:r>
      <w:proofErr w:type="spellStart"/>
      <w:r w:rsidRPr="007B0F9E">
        <w:rPr>
          <w:sz w:val="16"/>
          <w:szCs w:val="16"/>
        </w:rPr>
        <w:t>time</w:t>
      </w:r>
      <w:proofErr w:type="spellEnd"/>
      <w:r w:rsidRPr="007B0F9E">
        <w:rPr>
          <w:sz w:val="16"/>
          <w:szCs w:val="16"/>
        </w:rPr>
        <w:t xml:space="preserve"> in a </w:t>
      </w:r>
      <w:proofErr w:type="spellStart"/>
      <w:r w:rsidRPr="007B0F9E">
        <w:rPr>
          <w:sz w:val="16"/>
          <w:szCs w:val="16"/>
        </w:rPr>
        <w:t>row</w:t>
      </w:r>
      <w:proofErr w:type="spellEnd"/>
      <w:r w:rsidRPr="007B0F9E">
        <w:rPr>
          <w:sz w:val="16"/>
          <w:szCs w:val="16"/>
        </w:rPr>
        <w:t xml:space="preserve">. </w:t>
      </w:r>
      <w:proofErr w:type="spellStart"/>
      <w:r>
        <w:rPr>
          <w:sz w:val="16"/>
          <w:szCs w:val="16"/>
        </w:rPr>
        <w:t>Credit</w:t>
      </w:r>
      <w:proofErr w:type="spellEnd"/>
      <w:r>
        <w:rPr>
          <w:sz w:val="16"/>
          <w:szCs w:val="16"/>
        </w:rPr>
        <w:t xml:space="preserve"> </w:t>
      </w:r>
      <w:proofErr w:type="spellStart"/>
      <w:r>
        <w:rPr>
          <w:sz w:val="16"/>
          <w:szCs w:val="16"/>
        </w:rPr>
        <w:t>from</w:t>
      </w:r>
      <w:proofErr w:type="spellEnd"/>
      <w:r>
        <w:rPr>
          <w:sz w:val="16"/>
          <w:szCs w:val="16"/>
        </w:rPr>
        <w:t xml:space="preserve"> </w:t>
      </w:r>
      <w:proofErr w:type="spellStart"/>
      <w:r>
        <w:rPr>
          <w:sz w:val="16"/>
          <w:szCs w:val="16"/>
        </w:rPr>
        <w:t>the</w:t>
      </w:r>
      <w:proofErr w:type="spellEnd"/>
      <w:r>
        <w:rPr>
          <w:sz w:val="16"/>
          <w:szCs w:val="16"/>
        </w:rPr>
        <w:t xml:space="preserve"> </w:t>
      </w:r>
      <w:proofErr w:type="spellStart"/>
      <w:r>
        <w:rPr>
          <w:sz w:val="16"/>
          <w:szCs w:val="16"/>
        </w:rPr>
        <w:t>building</w:t>
      </w:r>
      <w:proofErr w:type="spellEnd"/>
      <w:r>
        <w:rPr>
          <w:sz w:val="16"/>
          <w:szCs w:val="16"/>
        </w:rPr>
        <w:t xml:space="preserve"> </w:t>
      </w:r>
      <w:r w:rsidRPr="00DF7E1D">
        <w:rPr>
          <w:sz w:val="16"/>
          <w:szCs w:val="16"/>
          <w:lang w:val="en-GB"/>
        </w:rPr>
        <w:t xml:space="preserve">society accounts, for which the maximum interest rate is </w:t>
      </w:r>
      <w:r>
        <w:rPr>
          <w:sz w:val="16"/>
          <w:szCs w:val="16"/>
          <w:lang w:val="en-GB"/>
        </w:rPr>
        <w:t xml:space="preserve">restricted </w:t>
      </w:r>
      <w:r w:rsidRPr="00DF7E1D">
        <w:rPr>
          <w:sz w:val="16"/>
          <w:szCs w:val="16"/>
          <w:lang w:val="en-GB"/>
        </w:rPr>
        <w:t>by law</w:t>
      </w:r>
      <w:r>
        <w:rPr>
          <w:sz w:val="16"/>
          <w:szCs w:val="16"/>
          <w:lang w:val="en-GB"/>
        </w:rPr>
        <w:t xml:space="preserve">, </w:t>
      </w:r>
      <w:r w:rsidRPr="00DF7E1D">
        <w:rPr>
          <w:sz w:val="16"/>
          <w:szCs w:val="16"/>
          <w:lang w:val="en-GB"/>
        </w:rPr>
        <w:t>have become a more advantageous financing instrument for borrowers compared to mortgage loans</w:t>
      </w:r>
      <w:r>
        <w:rPr>
          <w:sz w:val="16"/>
          <w:szCs w:val="16"/>
          <w:lang w:val="en-GB"/>
        </w:rPr>
        <w:t xml:space="preserve">. </w:t>
      </w:r>
      <w:r w:rsidRPr="00DF7E1D">
        <w:rPr>
          <w:sz w:val="16"/>
          <w:szCs w:val="16"/>
          <w:lang w:val="en-GB"/>
        </w:rPr>
        <w:t xml:space="preserve"> </w:t>
      </w:r>
    </w:p>
  </w:footnote>
  <w:footnote w:id="82">
    <w:p w14:paraId="273CC035" w14:textId="77777777" w:rsidR="00165465" w:rsidRPr="00A44252" w:rsidRDefault="00165465" w:rsidP="00E551F6">
      <w:pPr>
        <w:pStyle w:val="Textpoznpodarou"/>
        <w:jc w:val="both"/>
        <w:rPr>
          <w:sz w:val="16"/>
          <w:szCs w:val="16"/>
          <w:lang w:val="en-GB"/>
        </w:rPr>
      </w:pPr>
      <w:r w:rsidRPr="00DF7E1D">
        <w:rPr>
          <w:rStyle w:val="Znakapoznpodarou"/>
          <w:sz w:val="16"/>
          <w:szCs w:val="16"/>
          <w:lang w:val="en-GB"/>
        </w:rPr>
        <w:footnoteRef/>
      </w:r>
      <w:r w:rsidRPr="00DF7E1D">
        <w:rPr>
          <w:sz w:val="16"/>
          <w:szCs w:val="16"/>
          <w:lang w:val="en-GB"/>
        </w:rPr>
        <w:t xml:space="preserve"> </w:t>
      </w:r>
      <w:bookmarkStart w:id="98" w:name="_Hlk179149199"/>
      <w:r w:rsidRPr="0011434B">
        <w:rPr>
          <w:sz w:val="16"/>
          <w:szCs w:val="16"/>
          <w:lang w:val="en-GB"/>
        </w:rPr>
        <w:t xml:space="preserve">The new contracts also include </w:t>
      </w:r>
      <w:r>
        <w:rPr>
          <w:sz w:val="16"/>
          <w:szCs w:val="16"/>
          <w:lang w:val="en-GB"/>
        </w:rPr>
        <w:t xml:space="preserve">the </w:t>
      </w:r>
      <w:r w:rsidRPr="0011434B">
        <w:rPr>
          <w:sz w:val="16"/>
          <w:szCs w:val="16"/>
          <w:lang w:val="en-GB"/>
        </w:rPr>
        <w:t xml:space="preserve">refinanced </w:t>
      </w:r>
      <w:r>
        <w:rPr>
          <w:sz w:val="16"/>
          <w:szCs w:val="16"/>
          <w:lang w:val="en-GB"/>
        </w:rPr>
        <w:t xml:space="preserve">credit </w:t>
      </w:r>
      <w:r w:rsidRPr="0011434B">
        <w:rPr>
          <w:sz w:val="16"/>
          <w:szCs w:val="16"/>
          <w:lang w:val="en-GB"/>
        </w:rPr>
        <w:t>and other arrangements.</w:t>
      </w:r>
      <w:r>
        <w:rPr>
          <w:sz w:val="16"/>
          <w:szCs w:val="16"/>
          <w:lang w:val="en-GB"/>
        </w:rPr>
        <w:t xml:space="preserve"> </w:t>
      </w:r>
      <w:r w:rsidRPr="00D252F5">
        <w:rPr>
          <w:sz w:val="16"/>
          <w:szCs w:val="16"/>
          <w:lang w:val="en-GB"/>
        </w:rPr>
        <w:t>Refinanced credit includes current contracts concluded newly at other bank, while other renegotiated loans are current contracts concluded with new conditions at the same bank.</w:t>
      </w:r>
    </w:p>
    <w:bookmarkEnd w:id="98"/>
  </w:footnote>
  <w:footnote w:id="83">
    <w:p w14:paraId="60A67DD4" w14:textId="77777777" w:rsidR="00165465" w:rsidRPr="00A44252" w:rsidRDefault="00165465" w:rsidP="00E551F6">
      <w:pPr>
        <w:pStyle w:val="Textpoznpodarou"/>
        <w:jc w:val="both"/>
        <w:rPr>
          <w:sz w:val="16"/>
          <w:szCs w:val="16"/>
          <w:lang w:val="en-GB"/>
        </w:rPr>
      </w:pPr>
      <w:r w:rsidRPr="00A44252">
        <w:rPr>
          <w:rStyle w:val="Znakapoznpodarou"/>
          <w:sz w:val="16"/>
          <w:szCs w:val="16"/>
          <w:lang w:val="en-GB"/>
        </w:rPr>
        <w:footnoteRef/>
      </w:r>
      <w:r w:rsidRPr="00A44252">
        <w:rPr>
          <w:sz w:val="16"/>
          <w:szCs w:val="16"/>
          <w:lang w:val="en-GB"/>
        </w:rPr>
        <w:t xml:space="preserve"> </w:t>
      </w:r>
      <w:r>
        <w:rPr>
          <w:sz w:val="16"/>
          <w:szCs w:val="16"/>
          <w:lang w:val="en-GB"/>
        </w:rPr>
        <w:t xml:space="preserve">Credit in foreign currency started to rise steeply following the commencement of the repeated increase of the monetary policy-relevant rates in June </w:t>
      </w:r>
      <w:r w:rsidRPr="007E1443">
        <w:rPr>
          <w:sz w:val="16"/>
          <w:szCs w:val="16"/>
          <w:lang w:val="en-GB"/>
        </w:rPr>
        <w:t>2021.</w:t>
      </w:r>
    </w:p>
  </w:footnote>
  <w:footnote w:id="84">
    <w:p w14:paraId="6E362047" w14:textId="77777777" w:rsidR="00165465" w:rsidRPr="00804449" w:rsidRDefault="00165465" w:rsidP="006233F9">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proofErr w:type="spellStart"/>
      <w:r w:rsidRPr="00DA2DAC">
        <w:rPr>
          <w:spacing w:val="-2"/>
          <w:sz w:val="16"/>
          <w:szCs w:val="16"/>
        </w:rPr>
        <w:t>Unless</w:t>
      </w:r>
      <w:proofErr w:type="spellEnd"/>
      <w:r w:rsidRPr="00DA2DAC">
        <w:rPr>
          <w:spacing w:val="-2"/>
          <w:sz w:val="16"/>
          <w:szCs w:val="16"/>
        </w:rPr>
        <w:t xml:space="preserve"> </w:t>
      </w:r>
      <w:proofErr w:type="spellStart"/>
      <w:r w:rsidRPr="00DA2DAC">
        <w:rPr>
          <w:spacing w:val="-2"/>
          <w:sz w:val="16"/>
          <w:szCs w:val="16"/>
        </w:rPr>
        <w:t>stated</w:t>
      </w:r>
      <w:proofErr w:type="spellEnd"/>
      <w:r w:rsidRPr="00DA2DAC">
        <w:rPr>
          <w:spacing w:val="-2"/>
          <w:sz w:val="16"/>
          <w:szCs w:val="16"/>
        </w:rPr>
        <w:t xml:space="preserve"> </w:t>
      </w:r>
      <w:proofErr w:type="spellStart"/>
      <w:r w:rsidRPr="00DA2DAC">
        <w:rPr>
          <w:spacing w:val="-2"/>
          <w:sz w:val="16"/>
          <w:szCs w:val="16"/>
        </w:rPr>
        <w:t>otherwise</w:t>
      </w:r>
      <w:proofErr w:type="spellEnd"/>
      <w:r w:rsidRPr="00DA2DAC">
        <w:rPr>
          <w:spacing w:val="-2"/>
          <w:sz w:val="16"/>
          <w:szCs w:val="16"/>
        </w:rPr>
        <w:t xml:space="preserve">, </w:t>
      </w:r>
      <w:proofErr w:type="spellStart"/>
      <w:r w:rsidRPr="00DA2DAC">
        <w:rPr>
          <w:spacing w:val="-2"/>
          <w:sz w:val="16"/>
          <w:szCs w:val="16"/>
        </w:rPr>
        <w:t>all</w:t>
      </w:r>
      <w:proofErr w:type="spellEnd"/>
      <w:r w:rsidRPr="00DA2DAC">
        <w:rPr>
          <w:spacing w:val="-2"/>
          <w:sz w:val="16"/>
          <w:szCs w:val="16"/>
        </w:rPr>
        <w:t xml:space="preserve"> data </w:t>
      </w:r>
      <w:proofErr w:type="spellStart"/>
      <w:r w:rsidRPr="00DA2DAC">
        <w:rPr>
          <w:spacing w:val="-2"/>
          <w:sz w:val="16"/>
          <w:szCs w:val="16"/>
        </w:rPr>
        <w:t>related</w:t>
      </w:r>
      <w:proofErr w:type="spellEnd"/>
      <w:r w:rsidRPr="00DA2DAC">
        <w:rPr>
          <w:spacing w:val="-2"/>
          <w:sz w:val="16"/>
          <w:szCs w:val="16"/>
        </w:rPr>
        <w:t xml:space="preserve"> to </w:t>
      </w:r>
      <w:proofErr w:type="spellStart"/>
      <w:r w:rsidRPr="00DA2DAC">
        <w:rPr>
          <w:spacing w:val="-2"/>
          <w:sz w:val="16"/>
          <w:szCs w:val="16"/>
        </w:rPr>
        <w:t>the</w:t>
      </w:r>
      <w:proofErr w:type="spellEnd"/>
      <w:r w:rsidRPr="00DA2DAC">
        <w:rPr>
          <w:spacing w:val="-2"/>
          <w:sz w:val="16"/>
          <w:szCs w:val="16"/>
        </w:rPr>
        <w:t xml:space="preserve"> </w:t>
      </w:r>
      <w:proofErr w:type="spellStart"/>
      <w:r w:rsidRPr="00DA2DAC">
        <w:rPr>
          <w:spacing w:val="-2"/>
          <w:sz w:val="16"/>
          <w:szCs w:val="16"/>
        </w:rPr>
        <w:t>state</w:t>
      </w:r>
      <w:proofErr w:type="spellEnd"/>
      <w:r w:rsidRPr="00DA2DAC">
        <w:rPr>
          <w:spacing w:val="-2"/>
          <w:sz w:val="16"/>
          <w:szCs w:val="16"/>
        </w:rPr>
        <w:t xml:space="preserve"> budget stem </w:t>
      </w:r>
      <w:proofErr w:type="spellStart"/>
      <w:r w:rsidRPr="00DA2DAC">
        <w:rPr>
          <w:spacing w:val="-2"/>
          <w:sz w:val="16"/>
          <w:szCs w:val="16"/>
        </w:rPr>
        <w:t>from</w:t>
      </w:r>
      <w:proofErr w:type="spellEnd"/>
      <w:r w:rsidRPr="00DA2DAC">
        <w:rPr>
          <w:spacing w:val="-2"/>
          <w:sz w:val="16"/>
          <w:szCs w:val="16"/>
        </w:rPr>
        <w:t xml:space="preserve"> </w:t>
      </w:r>
      <w:proofErr w:type="spellStart"/>
      <w:r w:rsidRPr="00DA2DAC">
        <w:rPr>
          <w:spacing w:val="-2"/>
          <w:sz w:val="16"/>
          <w:szCs w:val="16"/>
        </w:rPr>
        <w:t>the</w:t>
      </w:r>
      <w:proofErr w:type="spellEnd"/>
      <w:r w:rsidRPr="00DA2DAC">
        <w:rPr>
          <w:spacing w:val="-2"/>
          <w:sz w:val="16"/>
          <w:szCs w:val="16"/>
        </w:rPr>
        <w:t xml:space="preserve"> data </w:t>
      </w:r>
      <w:proofErr w:type="spellStart"/>
      <w:r w:rsidRPr="00DA2DAC">
        <w:rPr>
          <w:spacing w:val="-2"/>
          <w:sz w:val="16"/>
          <w:szCs w:val="16"/>
        </w:rPr>
        <w:t>of</w:t>
      </w:r>
      <w:proofErr w:type="spellEnd"/>
      <w:r w:rsidRPr="00DA2DAC">
        <w:rPr>
          <w:spacing w:val="-2"/>
          <w:sz w:val="16"/>
          <w:szCs w:val="16"/>
        </w:rPr>
        <w:t xml:space="preserve"> </w:t>
      </w:r>
      <w:proofErr w:type="spellStart"/>
      <w:r w:rsidRPr="00DA2DAC">
        <w:rPr>
          <w:spacing w:val="-2"/>
          <w:sz w:val="16"/>
          <w:szCs w:val="16"/>
        </w:rPr>
        <w:t>the</w:t>
      </w:r>
      <w:proofErr w:type="spellEnd"/>
      <w:r w:rsidRPr="00DA2DAC">
        <w:rPr>
          <w:spacing w:val="-2"/>
          <w:sz w:val="16"/>
          <w:szCs w:val="16"/>
        </w:rPr>
        <w:t xml:space="preserve"> </w:t>
      </w:r>
      <w:r>
        <w:rPr>
          <w:spacing w:val="-2"/>
          <w:sz w:val="16"/>
          <w:szCs w:val="16"/>
        </w:rPr>
        <w:t xml:space="preserve">CR </w:t>
      </w:r>
      <w:r w:rsidRPr="00DA2DAC">
        <w:rPr>
          <w:spacing w:val="-2"/>
          <w:sz w:val="16"/>
          <w:szCs w:val="16"/>
        </w:rPr>
        <w:t xml:space="preserve">Ministry </w:t>
      </w:r>
      <w:proofErr w:type="spellStart"/>
      <w:r w:rsidRPr="00DA2DAC">
        <w:rPr>
          <w:spacing w:val="-2"/>
          <w:sz w:val="16"/>
          <w:szCs w:val="16"/>
        </w:rPr>
        <w:t>of</w:t>
      </w:r>
      <w:proofErr w:type="spellEnd"/>
      <w:r w:rsidRPr="00DA2DAC">
        <w:rPr>
          <w:spacing w:val="-2"/>
          <w:sz w:val="16"/>
          <w:szCs w:val="16"/>
        </w:rPr>
        <w:t xml:space="preserve"> Finance</w:t>
      </w:r>
      <w:r>
        <w:rPr>
          <w:spacing w:val="-2"/>
          <w:sz w:val="16"/>
          <w:szCs w:val="16"/>
        </w:rPr>
        <w:t xml:space="preserve"> (MF) </w:t>
      </w:r>
      <w:proofErr w:type="spellStart"/>
      <w:r w:rsidRPr="00DA2DAC">
        <w:rPr>
          <w:spacing w:val="-2"/>
          <w:sz w:val="16"/>
          <w:szCs w:val="16"/>
        </w:rPr>
        <w:t>regarding</w:t>
      </w:r>
      <w:proofErr w:type="spellEnd"/>
      <w:r w:rsidRPr="00DA2DAC">
        <w:rPr>
          <w:spacing w:val="-2"/>
          <w:sz w:val="16"/>
          <w:szCs w:val="16"/>
        </w:rPr>
        <w:t xml:space="preserve"> </w:t>
      </w:r>
      <w:proofErr w:type="spellStart"/>
      <w:r w:rsidRPr="00DA2DAC">
        <w:rPr>
          <w:spacing w:val="-2"/>
          <w:sz w:val="16"/>
          <w:szCs w:val="16"/>
        </w:rPr>
        <w:t>the</w:t>
      </w:r>
      <w:proofErr w:type="spellEnd"/>
      <w:r w:rsidRPr="00DA2DAC">
        <w:rPr>
          <w:spacing w:val="-2"/>
          <w:sz w:val="16"/>
          <w:szCs w:val="16"/>
        </w:rPr>
        <w:t xml:space="preserve"> </w:t>
      </w:r>
      <w:proofErr w:type="spellStart"/>
      <w:r w:rsidRPr="00DA2DAC">
        <w:rPr>
          <w:spacing w:val="-2"/>
          <w:sz w:val="16"/>
          <w:szCs w:val="16"/>
        </w:rPr>
        <w:t>treasury</w:t>
      </w:r>
      <w:proofErr w:type="spellEnd"/>
      <w:r w:rsidRPr="00DA2DAC">
        <w:rPr>
          <w:spacing w:val="-2"/>
          <w:sz w:val="16"/>
          <w:szCs w:val="16"/>
        </w:rPr>
        <w:t xml:space="preserve"> </w:t>
      </w:r>
      <w:proofErr w:type="spellStart"/>
      <w:r w:rsidRPr="00DA2DAC">
        <w:rPr>
          <w:spacing w:val="-2"/>
          <w:sz w:val="16"/>
          <w:szCs w:val="16"/>
        </w:rPr>
        <w:t>fulfilment</w:t>
      </w:r>
      <w:proofErr w:type="spellEnd"/>
      <w:r>
        <w:rPr>
          <w:spacing w:val="-2"/>
          <w:sz w:val="16"/>
          <w:szCs w:val="16"/>
        </w:rPr>
        <w:t xml:space="preserve">. </w:t>
      </w:r>
      <w:r w:rsidRPr="00DA2DAC">
        <w:rPr>
          <w:spacing w:val="-2"/>
          <w:sz w:val="16"/>
          <w:szCs w:val="16"/>
        </w:rPr>
        <w:t xml:space="preserve"> </w:t>
      </w:r>
    </w:p>
  </w:footnote>
  <w:footnote w:id="85">
    <w:p w14:paraId="2D814412" w14:textId="77777777" w:rsidR="00165465" w:rsidRPr="007F41E1" w:rsidRDefault="00165465" w:rsidP="006233F9">
      <w:pPr>
        <w:spacing w:after="0" w:line="240" w:lineRule="auto"/>
        <w:rPr>
          <w:spacing w:val="-2"/>
          <w:sz w:val="16"/>
          <w:szCs w:val="16"/>
          <w:lang w:val="en-GB"/>
        </w:rPr>
      </w:pPr>
      <w:r w:rsidRPr="009A0800">
        <w:rPr>
          <w:rStyle w:val="Znakapoznpodarou"/>
          <w:spacing w:val="-2"/>
          <w:sz w:val="16"/>
          <w:szCs w:val="16"/>
          <w:lang w:val="en-GB"/>
        </w:rPr>
        <w:footnoteRef/>
      </w:r>
      <w:r w:rsidRPr="00D633BB">
        <w:rPr>
          <w:spacing w:val="-2"/>
          <w:sz w:val="16"/>
          <w:szCs w:val="16"/>
        </w:rPr>
        <w:t xml:space="preserve"> </w:t>
      </w:r>
      <w:r w:rsidRPr="007F41E1">
        <w:rPr>
          <w:rFonts w:eastAsia="Calibri"/>
          <w:spacing w:val="-2"/>
          <w:sz w:val="16"/>
          <w:szCs w:val="16"/>
          <w:lang w:val="en-GB"/>
        </w:rPr>
        <w:t>This represents more than 70% of the planned annual deficit (according to the State Budget Act for 2024, approved at the end of November 2023). In previous years, however, the development of</w:t>
      </w:r>
      <w:r>
        <w:rPr>
          <w:rFonts w:eastAsia="Calibri"/>
          <w:spacing w:val="-2"/>
          <w:sz w:val="16"/>
          <w:szCs w:val="16"/>
          <w:lang w:val="en-GB"/>
        </w:rPr>
        <w:t xml:space="preserve"> SB</w:t>
      </w:r>
      <w:r w:rsidRPr="007F41E1">
        <w:rPr>
          <w:rFonts w:eastAsia="Calibri"/>
          <w:spacing w:val="-2"/>
          <w:sz w:val="16"/>
          <w:szCs w:val="16"/>
          <w:lang w:val="en-GB"/>
        </w:rPr>
        <w:t xml:space="preserve"> income and expenditure was more uneven</w:t>
      </w:r>
      <w:r>
        <w:rPr>
          <w:rFonts w:eastAsia="Calibri"/>
          <w:spacing w:val="-2"/>
          <w:sz w:val="16"/>
          <w:szCs w:val="16"/>
          <w:lang w:val="en-GB"/>
        </w:rPr>
        <w:t xml:space="preserve"> during the year</w:t>
      </w:r>
      <w:r w:rsidRPr="007F41E1">
        <w:rPr>
          <w:rFonts w:eastAsia="Calibri"/>
          <w:spacing w:val="-2"/>
          <w:sz w:val="16"/>
          <w:szCs w:val="16"/>
          <w:lang w:val="en-GB"/>
        </w:rPr>
        <w:t xml:space="preserve"> (e.g.</w:t>
      </w:r>
      <w:r>
        <w:rPr>
          <w:rFonts w:eastAsia="Calibri"/>
          <w:spacing w:val="-2"/>
          <w:sz w:val="16"/>
          <w:szCs w:val="16"/>
          <w:lang w:val="en-GB"/>
        </w:rPr>
        <w:t xml:space="preserve"> </w:t>
      </w:r>
      <w:r w:rsidRPr="007F41E1">
        <w:rPr>
          <w:rFonts w:eastAsia="Calibri"/>
          <w:spacing w:val="-2"/>
          <w:sz w:val="16"/>
          <w:szCs w:val="16"/>
          <w:lang w:val="en-GB"/>
        </w:rPr>
        <w:t>the planned annual deficit was even 56% fulfilled</w:t>
      </w:r>
      <w:r>
        <w:rPr>
          <w:rFonts w:eastAsia="Calibri"/>
          <w:spacing w:val="-2"/>
          <w:sz w:val="16"/>
          <w:szCs w:val="16"/>
          <w:lang w:val="en-GB"/>
        </w:rPr>
        <w:t xml:space="preserve"> </w:t>
      </w:r>
      <w:r w:rsidRPr="007F41E1">
        <w:rPr>
          <w:rFonts w:eastAsia="Calibri"/>
          <w:spacing w:val="-2"/>
          <w:sz w:val="16"/>
          <w:szCs w:val="16"/>
          <w:lang w:val="en-GB"/>
        </w:rPr>
        <w:t>in Q1 2023, but it was still met at the end of the year).</w:t>
      </w:r>
      <w:r>
        <w:rPr>
          <w:rFonts w:eastAsia="Calibri"/>
          <w:spacing w:val="-2"/>
          <w:sz w:val="16"/>
          <w:szCs w:val="16"/>
          <w:lang w:val="en-GB"/>
        </w:rPr>
        <w:t xml:space="preserve"> </w:t>
      </w:r>
    </w:p>
  </w:footnote>
  <w:footnote w:id="86">
    <w:p w14:paraId="531D3F2E" w14:textId="77777777" w:rsidR="00165465" w:rsidRPr="0032482E" w:rsidRDefault="00165465" w:rsidP="006233F9">
      <w:pPr>
        <w:autoSpaceDE w:val="0"/>
        <w:autoSpaceDN w:val="0"/>
        <w:adjustRightInd w:val="0"/>
        <w:spacing w:after="0" w:line="240" w:lineRule="auto"/>
        <w:rPr>
          <w:rFonts w:eastAsia="Calibri" w:cs="Arial"/>
          <w:spacing w:val="-2"/>
          <w:sz w:val="16"/>
          <w:szCs w:val="16"/>
          <w:lang w:val="en-GB" w:eastAsia="en-US"/>
        </w:rPr>
      </w:pPr>
      <w:r w:rsidRPr="007F41E1">
        <w:rPr>
          <w:rStyle w:val="Znakapoznpodarou"/>
          <w:spacing w:val="-2"/>
          <w:sz w:val="16"/>
          <w:szCs w:val="16"/>
          <w:lang w:val="en-GB"/>
        </w:rPr>
        <w:footnoteRef/>
      </w:r>
      <w:r w:rsidRPr="007F41E1">
        <w:rPr>
          <w:spacing w:val="-2"/>
          <w:sz w:val="16"/>
          <w:szCs w:val="16"/>
          <w:lang w:val="en-GB"/>
        </w:rPr>
        <w:t xml:space="preserve"> </w:t>
      </w:r>
      <w:r w:rsidRPr="00F73817">
        <w:rPr>
          <w:spacing w:val="-2"/>
          <w:sz w:val="16"/>
          <w:szCs w:val="16"/>
          <w:lang w:val="en-GB"/>
        </w:rPr>
        <w:t>The year-on-year dec</w:t>
      </w:r>
      <w:r>
        <w:rPr>
          <w:spacing w:val="-2"/>
          <w:sz w:val="16"/>
          <w:szCs w:val="16"/>
          <w:lang w:val="en-GB"/>
        </w:rPr>
        <w:t>rease of</w:t>
      </w:r>
      <w:r w:rsidRPr="00F73817">
        <w:rPr>
          <w:spacing w:val="-2"/>
          <w:sz w:val="16"/>
          <w:szCs w:val="16"/>
          <w:lang w:val="en-GB"/>
        </w:rPr>
        <w:t xml:space="preserve"> the deficit was even more </w:t>
      </w:r>
      <w:r>
        <w:rPr>
          <w:spacing w:val="-2"/>
          <w:sz w:val="16"/>
          <w:szCs w:val="16"/>
          <w:lang w:val="en-GB"/>
        </w:rPr>
        <w:t xml:space="preserve">apparent after adjustment </w:t>
      </w:r>
      <w:r w:rsidRPr="00F73817">
        <w:rPr>
          <w:spacing w:val="-2"/>
          <w:sz w:val="16"/>
          <w:szCs w:val="16"/>
          <w:lang w:val="en-GB"/>
        </w:rPr>
        <w:t xml:space="preserve">for funds from the EU budget, including </w:t>
      </w:r>
      <w:r>
        <w:rPr>
          <w:spacing w:val="-2"/>
          <w:sz w:val="16"/>
          <w:szCs w:val="16"/>
          <w:lang w:val="en-GB"/>
        </w:rPr>
        <w:t>F</w:t>
      </w:r>
      <w:r w:rsidRPr="00F73817">
        <w:rPr>
          <w:spacing w:val="-2"/>
          <w:sz w:val="16"/>
          <w:szCs w:val="16"/>
          <w:lang w:val="en-GB"/>
        </w:rPr>
        <w:t xml:space="preserve">inancial </w:t>
      </w:r>
      <w:r>
        <w:rPr>
          <w:spacing w:val="-2"/>
          <w:sz w:val="16"/>
          <w:szCs w:val="16"/>
          <w:lang w:val="en-GB"/>
        </w:rPr>
        <w:t>M</w:t>
      </w:r>
      <w:r w:rsidRPr="00F73817">
        <w:rPr>
          <w:spacing w:val="-2"/>
          <w:sz w:val="16"/>
          <w:szCs w:val="16"/>
          <w:lang w:val="en-GB"/>
        </w:rPr>
        <w:t>echanisms (FM). These are funds for programmes from the EU and FM budgets, which were pre-financed from the S</w:t>
      </w:r>
      <w:r>
        <w:rPr>
          <w:spacing w:val="-2"/>
          <w:sz w:val="16"/>
          <w:szCs w:val="16"/>
          <w:lang w:val="en-GB"/>
        </w:rPr>
        <w:t xml:space="preserve">B </w:t>
      </w:r>
      <w:r w:rsidRPr="00F73817">
        <w:rPr>
          <w:spacing w:val="-2"/>
          <w:sz w:val="16"/>
          <w:szCs w:val="16"/>
          <w:lang w:val="en-GB"/>
        </w:rPr>
        <w:t xml:space="preserve">and subsequently gradually </w:t>
      </w:r>
      <w:r>
        <w:rPr>
          <w:spacing w:val="-2"/>
          <w:sz w:val="16"/>
          <w:szCs w:val="16"/>
          <w:lang w:val="en-GB"/>
        </w:rPr>
        <w:t>reimbursed</w:t>
      </w:r>
      <w:r w:rsidRPr="00F73817">
        <w:rPr>
          <w:spacing w:val="-2"/>
          <w:sz w:val="16"/>
          <w:szCs w:val="16"/>
          <w:lang w:val="en-GB"/>
        </w:rPr>
        <w:t xml:space="preserve"> from the EU </w:t>
      </w:r>
      <w:r>
        <w:rPr>
          <w:spacing w:val="-2"/>
          <w:sz w:val="16"/>
          <w:szCs w:val="16"/>
          <w:lang w:val="en-GB"/>
        </w:rPr>
        <w:t xml:space="preserve">and FM </w:t>
      </w:r>
      <w:r w:rsidRPr="00F73817">
        <w:rPr>
          <w:spacing w:val="-2"/>
          <w:sz w:val="16"/>
          <w:szCs w:val="16"/>
          <w:lang w:val="en-GB"/>
        </w:rPr>
        <w:t>budget. Excluding these funds, which are included in the approved S</w:t>
      </w:r>
      <w:r>
        <w:rPr>
          <w:spacing w:val="-2"/>
          <w:sz w:val="16"/>
          <w:szCs w:val="16"/>
          <w:lang w:val="en-GB"/>
        </w:rPr>
        <w:t>B</w:t>
      </w:r>
      <w:r w:rsidRPr="00F73817">
        <w:rPr>
          <w:spacing w:val="-2"/>
          <w:sz w:val="16"/>
          <w:szCs w:val="16"/>
          <w:lang w:val="en-GB"/>
        </w:rPr>
        <w:t xml:space="preserve"> with a neutral impact, this year's half-year deficit amounted to 190.2 </w:t>
      </w:r>
      <w:proofErr w:type="spellStart"/>
      <w:r w:rsidRPr="00F73817">
        <w:rPr>
          <w:spacing w:val="-2"/>
          <w:sz w:val="16"/>
          <w:szCs w:val="16"/>
          <w:lang w:val="en-GB"/>
        </w:rPr>
        <w:t>b</w:t>
      </w:r>
      <w:r>
        <w:rPr>
          <w:spacing w:val="-2"/>
          <w:sz w:val="16"/>
          <w:szCs w:val="16"/>
          <w:lang w:val="en-GB"/>
        </w:rPr>
        <w:t>n</w:t>
      </w:r>
      <w:proofErr w:type="spellEnd"/>
      <w:r>
        <w:rPr>
          <w:spacing w:val="-2"/>
          <w:sz w:val="16"/>
          <w:szCs w:val="16"/>
          <w:lang w:val="en-GB"/>
        </w:rPr>
        <w:t xml:space="preserve"> CZK</w:t>
      </w:r>
      <w:r w:rsidRPr="00F73817">
        <w:rPr>
          <w:spacing w:val="-2"/>
          <w:sz w:val="16"/>
          <w:szCs w:val="16"/>
          <w:lang w:val="en-GB"/>
        </w:rPr>
        <w:t>, down by almost a quarter year-on-year</w:t>
      </w:r>
      <w:r w:rsidRPr="0032482E">
        <w:rPr>
          <w:rFonts w:eastAsia="Calibri" w:cs="Arial"/>
          <w:spacing w:val="-2"/>
          <w:sz w:val="16"/>
          <w:szCs w:val="16"/>
          <w:lang w:val="en-GB" w:eastAsia="en-US"/>
        </w:rPr>
        <w:t>.</w:t>
      </w:r>
    </w:p>
  </w:footnote>
  <w:footnote w:id="87">
    <w:p w14:paraId="240D9CFB" w14:textId="77777777" w:rsidR="00165465" w:rsidRPr="005A1EB9" w:rsidRDefault="00165465" w:rsidP="006233F9">
      <w:pPr>
        <w:spacing w:after="0" w:line="240" w:lineRule="auto"/>
        <w:rPr>
          <w:spacing w:val="-2"/>
          <w:sz w:val="16"/>
          <w:szCs w:val="16"/>
          <w:lang w:val="en-GB"/>
        </w:rPr>
      </w:pPr>
      <w:r w:rsidRPr="008332EA">
        <w:rPr>
          <w:rStyle w:val="Znakapoznpodarou"/>
          <w:spacing w:val="-2"/>
          <w:sz w:val="16"/>
          <w:szCs w:val="16"/>
        </w:rPr>
        <w:footnoteRef/>
      </w:r>
      <w:r w:rsidRPr="008332EA">
        <w:rPr>
          <w:spacing w:val="-2"/>
          <w:sz w:val="16"/>
          <w:szCs w:val="16"/>
        </w:rPr>
        <w:t xml:space="preserve"> </w:t>
      </w:r>
      <w:proofErr w:type="spellStart"/>
      <w:r w:rsidRPr="00980C87">
        <w:rPr>
          <w:rFonts w:eastAsia="Calibri"/>
          <w:spacing w:val="-2"/>
          <w:sz w:val="16"/>
          <w:szCs w:val="16"/>
        </w:rPr>
        <w:t>Thanks</w:t>
      </w:r>
      <w:proofErr w:type="spellEnd"/>
      <w:r w:rsidRPr="00980C87">
        <w:rPr>
          <w:rFonts w:eastAsia="Calibri"/>
          <w:spacing w:val="-2"/>
          <w:sz w:val="16"/>
          <w:szCs w:val="16"/>
        </w:rPr>
        <w:t xml:space="preserve"> to </w:t>
      </w:r>
      <w:proofErr w:type="spellStart"/>
      <w:r w:rsidRPr="00980C87">
        <w:rPr>
          <w:rFonts w:eastAsia="Calibri"/>
          <w:spacing w:val="-2"/>
          <w:sz w:val="16"/>
          <w:szCs w:val="16"/>
        </w:rPr>
        <w:t>this</w:t>
      </w:r>
      <w:proofErr w:type="spellEnd"/>
      <w:r w:rsidRPr="00980C87">
        <w:rPr>
          <w:rFonts w:eastAsia="Calibri"/>
          <w:spacing w:val="-2"/>
          <w:sz w:val="16"/>
          <w:szCs w:val="16"/>
        </w:rPr>
        <w:t xml:space="preserve"> </w:t>
      </w:r>
      <w:proofErr w:type="spellStart"/>
      <w:r w:rsidRPr="00980C87">
        <w:rPr>
          <w:rFonts w:eastAsia="Calibri"/>
          <w:spacing w:val="-2"/>
          <w:sz w:val="16"/>
          <w:szCs w:val="16"/>
        </w:rPr>
        <w:t>adjustment</w:t>
      </w:r>
      <w:proofErr w:type="spellEnd"/>
      <w:r w:rsidRPr="00980C87">
        <w:rPr>
          <w:rFonts w:eastAsia="Calibri"/>
          <w:spacing w:val="-2"/>
          <w:sz w:val="16"/>
          <w:szCs w:val="16"/>
        </w:rPr>
        <w:t xml:space="preserve">, </w:t>
      </w:r>
      <w:proofErr w:type="spellStart"/>
      <w:r>
        <w:rPr>
          <w:rFonts w:eastAsia="Calibri"/>
          <w:spacing w:val="-2"/>
          <w:sz w:val="16"/>
          <w:szCs w:val="16"/>
        </w:rPr>
        <w:t>the</w:t>
      </w:r>
      <w:proofErr w:type="spellEnd"/>
      <w:r>
        <w:rPr>
          <w:rFonts w:eastAsia="Calibri"/>
          <w:spacing w:val="-2"/>
          <w:sz w:val="16"/>
          <w:szCs w:val="16"/>
        </w:rPr>
        <w:t xml:space="preserve"> </w:t>
      </w:r>
      <w:proofErr w:type="spellStart"/>
      <w:r>
        <w:rPr>
          <w:rFonts w:eastAsia="Calibri"/>
          <w:spacing w:val="-2"/>
          <w:sz w:val="16"/>
          <w:szCs w:val="16"/>
        </w:rPr>
        <w:t>increase</w:t>
      </w:r>
      <w:proofErr w:type="spellEnd"/>
      <w:r>
        <w:rPr>
          <w:rFonts w:eastAsia="Calibri"/>
          <w:spacing w:val="-2"/>
          <w:sz w:val="16"/>
          <w:szCs w:val="16"/>
        </w:rPr>
        <w:t xml:space="preserve"> </w:t>
      </w:r>
      <w:proofErr w:type="spellStart"/>
      <w:r>
        <w:rPr>
          <w:rFonts w:eastAsia="Calibri"/>
          <w:spacing w:val="-2"/>
          <w:sz w:val="16"/>
          <w:szCs w:val="16"/>
        </w:rPr>
        <w:t>of</w:t>
      </w:r>
      <w:proofErr w:type="spellEnd"/>
      <w:r>
        <w:rPr>
          <w:rFonts w:eastAsia="Calibri"/>
          <w:spacing w:val="-2"/>
          <w:sz w:val="16"/>
          <w:szCs w:val="16"/>
        </w:rPr>
        <w:t xml:space="preserve"> </w:t>
      </w:r>
      <w:proofErr w:type="spellStart"/>
      <w:r>
        <w:rPr>
          <w:rFonts w:eastAsia="Calibri"/>
          <w:spacing w:val="-2"/>
          <w:sz w:val="16"/>
          <w:szCs w:val="16"/>
        </w:rPr>
        <w:t>the</w:t>
      </w:r>
      <w:proofErr w:type="spellEnd"/>
      <w:r>
        <w:rPr>
          <w:rFonts w:eastAsia="Calibri"/>
          <w:spacing w:val="-2"/>
          <w:sz w:val="16"/>
          <w:szCs w:val="16"/>
        </w:rPr>
        <w:t xml:space="preserve"> </w:t>
      </w:r>
      <w:proofErr w:type="spellStart"/>
      <w:r w:rsidRPr="00980C87">
        <w:rPr>
          <w:rFonts w:eastAsia="Calibri"/>
          <w:spacing w:val="-2"/>
          <w:sz w:val="16"/>
          <w:szCs w:val="16"/>
        </w:rPr>
        <w:t>annual</w:t>
      </w:r>
      <w:proofErr w:type="spellEnd"/>
      <w:r w:rsidRPr="00980C87">
        <w:rPr>
          <w:rFonts w:eastAsia="Calibri"/>
          <w:spacing w:val="-2"/>
          <w:sz w:val="16"/>
          <w:szCs w:val="16"/>
        </w:rPr>
        <w:t xml:space="preserve"> </w:t>
      </w:r>
      <w:r>
        <w:rPr>
          <w:rFonts w:eastAsia="Calibri"/>
          <w:spacing w:val="-2"/>
          <w:sz w:val="16"/>
          <w:szCs w:val="16"/>
        </w:rPr>
        <w:t xml:space="preserve">SB </w:t>
      </w:r>
      <w:proofErr w:type="spellStart"/>
      <w:r w:rsidRPr="00980C87">
        <w:rPr>
          <w:rFonts w:eastAsia="Calibri"/>
          <w:spacing w:val="-2"/>
          <w:sz w:val="16"/>
          <w:szCs w:val="16"/>
        </w:rPr>
        <w:t>collection</w:t>
      </w:r>
      <w:proofErr w:type="spellEnd"/>
      <w:r w:rsidRPr="00980C87">
        <w:rPr>
          <w:rFonts w:eastAsia="Calibri"/>
          <w:spacing w:val="-2"/>
          <w:sz w:val="16"/>
          <w:szCs w:val="16"/>
        </w:rPr>
        <w:t xml:space="preserve"> </w:t>
      </w:r>
      <w:proofErr w:type="spellStart"/>
      <w:r w:rsidRPr="00980C87">
        <w:rPr>
          <w:rFonts w:eastAsia="Calibri"/>
          <w:spacing w:val="-2"/>
          <w:sz w:val="16"/>
          <w:szCs w:val="16"/>
        </w:rPr>
        <w:t>of</w:t>
      </w:r>
      <w:proofErr w:type="spellEnd"/>
      <w:r w:rsidRPr="00980C87">
        <w:rPr>
          <w:rFonts w:eastAsia="Calibri"/>
          <w:spacing w:val="-2"/>
          <w:sz w:val="16"/>
          <w:szCs w:val="16"/>
        </w:rPr>
        <w:t xml:space="preserve"> 5.6 </w:t>
      </w:r>
      <w:proofErr w:type="spellStart"/>
      <w:r w:rsidRPr="00980C87">
        <w:rPr>
          <w:rFonts w:eastAsia="Calibri"/>
          <w:spacing w:val="-2"/>
          <w:sz w:val="16"/>
          <w:szCs w:val="16"/>
        </w:rPr>
        <w:t>b</w:t>
      </w:r>
      <w:r>
        <w:rPr>
          <w:rFonts w:eastAsia="Calibri"/>
          <w:spacing w:val="-2"/>
          <w:sz w:val="16"/>
          <w:szCs w:val="16"/>
        </w:rPr>
        <w:t>n</w:t>
      </w:r>
      <w:proofErr w:type="spellEnd"/>
      <w:r>
        <w:rPr>
          <w:rFonts w:eastAsia="Calibri"/>
          <w:spacing w:val="-2"/>
          <w:sz w:val="16"/>
          <w:szCs w:val="16"/>
        </w:rPr>
        <w:t xml:space="preserve"> CZK </w:t>
      </w:r>
      <w:proofErr w:type="spellStart"/>
      <w:r>
        <w:rPr>
          <w:rFonts w:eastAsia="Calibri"/>
          <w:spacing w:val="-2"/>
          <w:sz w:val="16"/>
          <w:szCs w:val="16"/>
        </w:rPr>
        <w:t>from</w:t>
      </w:r>
      <w:proofErr w:type="spellEnd"/>
      <w:r>
        <w:rPr>
          <w:rFonts w:eastAsia="Calibri"/>
          <w:spacing w:val="-2"/>
          <w:sz w:val="16"/>
          <w:szCs w:val="16"/>
        </w:rPr>
        <w:t xml:space="preserve"> VAT</w:t>
      </w:r>
      <w:r w:rsidRPr="00980C87">
        <w:rPr>
          <w:rFonts w:eastAsia="Calibri"/>
          <w:spacing w:val="-2"/>
          <w:sz w:val="16"/>
          <w:szCs w:val="16"/>
        </w:rPr>
        <w:t xml:space="preserve">, 2.3 </w:t>
      </w:r>
      <w:proofErr w:type="spellStart"/>
      <w:r w:rsidRPr="00980C87">
        <w:rPr>
          <w:rFonts w:eastAsia="Calibri"/>
          <w:spacing w:val="-2"/>
          <w:sz w:val="16"/>
          <w:szCs w:val="16"/>
        </w:rPr>
        <w:t>b</w:t>
      </w:r>
      <w:r>
        <w:rPr>
          <w:rFonts w:eastAsia="Calibri"/>
          <w:spacing w:val="-2"/>
          <w:sz w:val="16"/>
          <w:szCs w:val="16"/>
        </w:rPr>
        <w:t>n</w:t>
      </w:r>
      <w:proofErr w:type="spellEnd"/>
      <w:r>
        <w:rPr>
          <w:rFonts w:eastAsia="Calibri"/>
          <w:spacing w:val="-2"/>
          <w:sz w:val="16"/>
          <w:szCs w:val="16"/>
        </w:rPr>
        <w:t xml:space="preserve"> CZK </w:t>
      </w:r>
      <w:proofErr w:type="spellStart"/>
      <w:r>
        <w:rPr>
          <w:rFonts w:eastAsia="Calibri"/>
          <w:spacing w:val="-2"/>
          <w:sz w:val="16"/>
          <w:szCs w:val="16"/>
        </w:rPr>
        <w:t>from</w:t>
      </w:r>
      <w:proofErr w:type="spellEnd"/>
      <w:r>
        <w:rPr>
          <w:rFonts w:eastAsia="Calibri"/>
          <w:spacing w:val="-2"/>
          <w:sz w:val="16"/>
          <w:szCs w:val="16"/>
        </w:rPr>
        <w:t xml:space="preserve"> </w:t>
      </w:r>
      <w:proofErr w:type="spellStart"/>
      <w:r w:rsidRPr="00980C87">
        <w:rPr>
          <w:rFonts w:eastAsia="Calibri"/>
          <w:spacing w:val="-2"/>
          <w:sz w:val="16"/>
          <w:szCs w:val="16"/>
        </w:rPr>
        <w:t>personal</w:t>
      </w:r>
      <w:proofErr w:type="spellEnd"/>
      <w:r w:rsidRPr="00980C87">
        <w:rPr>
          <w:rFonts w:eastAsia="Calibri"/>
          <w:spacing w:val="-2"/>
          <w:sz w:val="16"/>
          <w:szCs w:val="16"/>
        </w:rPr>
        <w:t xml:space="preserve"> </w:t>
      </w:r>
      <w:proofErr w:type="spellStart"/>
      <w:r w:rsidRPr="00980C87">
        <w:rPr>
          <w:rFonts w:eastAsia="Calibri"/>
          <w:spacing w:val="-2"/>
          <w:sz w:val="16"/>
          <w:szCs w:val="16"/>
        </w:rPr>
        <w:t>income</w:t>
      </w:r>
      <w:proofErr w:type="spellEnd"/>
      <w:r w:rsidRPr="00980C87">
        <w:rPr>
          <w:rFonts w:eastAsia="Calibri"/>
          <w:spacing w:val="-2"/>
          <w:sz w:val="16"/>
          <w:szCs w:val="16"/>
        </w:rPr>
        <w:t xml:space="preserve"> tax and 2.9 </w:t>
      </w:r>
      <w:proofErr w:type="spellStart"/>
      <w:r w:rsidRPr="00980C87">
        <w:rPr>
          <w:rFonts w:eastAsia="Calibri"/>
          <w:spacing w:val="-2"/>
          <w:sz w:val="16"/>
          <w:szCs w:val="16"/>
        </w:rPr>
        <w:t>b</w:t>
      </w:r>
      <w:r>
        <w:rPr>
          <w:rFonts w:eastAsia="Calibri"/>
          <w:spacing w:val="-2"/>
          <w:sz w:val="16"/>
          <w:szCs w:val="16"/>
        </w:rPr>
        <w:t>n</w:t>
      </w:r>
      <w:proofErr w:type="spellEnd"/>
      <w:r>
        <w:rPr>
          <w:rFonts w:eastAsia="Calibri"/>
          <w:spacing w:val="-2"/>
          <w:sz w:val="16"/>
          <w:szCs w:val="16"/>
        </w:rPr>
        <w:t xml:space="preserve"> CZK </w:t>
      </w:r>
      <w:proofErr w:type="spellStart"/>
      <w:r>
        <w:rPr>
          <w:rFonts w:eastAsia="Calibri"/>
          <w:spacing w:val="-2"/>
          <w:sz w:val="16"/>
          <w:szCs w:val="16"/>
        </w:rPr>
        <w:t>from</w:t>
      </w:r>
      <w:proofErr w:type="spellEnd"/>
      <w:r w:rsidRPr="00980C87">
        <w:rPr>
          <w:rFonts w:eastAsia="Calibri"/>
          <w:spacing w:val="-2"/>
          <w:sz w:val="16"/>
          <w:szCs w:val="16"/>
        </w:rPr>
        <w:t xml:space="preserve"> </w:t>
      </w:r>
      <w:proofErr w:type="spellStart"/>
      <w:r w:rsidRPr="00980C87">
        <w:rPr>
          <w:rFonts w:eastAsia="Calibri"/>
          <w:spacing w:val="-2"/>
          <w:sz w:val="16"/>
          <w:szCs w:val="16"/>
        </w:rPr>
        <w:t>corporate</w:t>
      </w:r>
      <w:proofErr w:type="spellEnd"/>
      <w:r w:rsidRPr="00980C87">
        <w:rPr>
          <w:rFonts w:eastAsia="Calibri"/>
          <w:spacing w:val="-2"/>
          <w:sz w:val="16"/>
          <w:szCs w:val="16"/>
        </w:rPr>
        <w:t xml:space="preserve"> tax</w:t>
      </w:r>
      <w:r>
        <w:rPr>
          <w:rFonts w:eastAsia="Calibri"/>
          <w:spacing w:val="-2"/>
          <w:sz w:val="16"/>
          <w:szCs w:val="16"/>
        </w:rPr>
        <w:t xml:space="preserve"> </w:t>
      </w:r>
      <w:proofErr w:type="spellStart"/>
      <w:r>
        <w:rPr>
          <w:rFonts w:eastAsia="Calibri"/>
          <w:spacing w:val="-2"/>
          <w:sz w:val="16"/>
          <w:szCs w:val="16"/>
        </w:rPr>
        <w:t>is</w:t>
      </w:r>
      <w:proofErr w:type="spellEnd"/>
      <w:r>
        <w:rPr>
          <w:rFonts w:eastAsia="Calibri"/>
          <w:spacing w:val="-2"/>
          <w:sz w:val="16"/>
          <w:szCs w:val="16"/>
        </w:rPr>
        <w:t xml:space="preserve"> </w:t>
      </w:r>
      <w:proofErr w:type="spellStart"/>
      <w:r>
        <w:rPr>
          <w:rFonts w:eastAsia="Calibri"/>
          <w:spacing w:val="-2"/>
          <w:sz w:val="16"/>
          <w:szCs w:val="16"/>
        </w:rPr>
        <w:t>anticipated</w:t>
      </w:r>
      <w:proofErr w:type="spellEnd"/>
      <w:r>
        <w:rPr>
          <w:rFonts w:eastAsia="Calibri"/>
          <w:spacing w:val="-2"/>
          <w:sz w:val="16"/>
          <w:szCs w:val="16"/>
        </w:rPr>
        <w:t xml:space="preserve"> </w:t>
      </w:r>
      <w:proofErr w:type="spellStart"/>
      <w:r>
        <w:rPr>
          <w:rFonts w:eastAsia="Calibri"/>
          <w:spacing w:val="-2"/>
          <w:sz w:val="16"/>
          <w:szCs w:val="16"/>
        </w:rPr>
        <w:t>based</w:t>
      </w:r>
      <w:proofErr w:type="spellEnd"/>
      <w:r>
        <w:rPr>
          <w:rFonts w:eastAsia="Calibri"/>
          <w:spacing w:val="-2"/>
          <w:sz w:val="16"/>
          <w:szCs w:val="16"/>
        </w:rPr>
        <w:t xml:space="preserve"> on </w:t>
      </w:r>
      <w:proofErr w:type="spellStart"/>
      <w:r>
        <w:rPr>
          <w:rFonts w:eastAsia="Calibri"/>
          <w:spacing w:val="-2"/>
          <w:sz w:val="16"/>
          <w:szCs w:val="16"/>
        </w:rPr>
        <w:t>the</w:t>
      </w:r>
      <w:proofErr w:type="spellEnd"/>
      <w:r>
        <w:rPr>
          <w:rFonts w:eastAsia="Calibri"/>
          <w:spacing w:val="-2"/>
          <w:sz w:val="16"/>
          <w:szCs w:val="16"/>
        </w:rPr>
        <w:t xml:space="preserve"> MF </w:t>
      </w:r>
      <w:proofErr w:type="spellStart"/>
      <w:r>
        <w:rPr>
          <w:rFonts w:eastAsia="Calibri"/>
          <w:spacing w:val="-2"/>
          <w:sz w:val="16"/>
          <w:szCs w:val="16"/>
        </w:rPr>
        <w:t>estimate</w:t>
      </w:r>
      <w:proofErr w:type="spellEnd"/>
      <w:r>
        <w:rPr>
          <w:rFonts w:eastAsia="Calibri"/>
          <w:spacing w:val="-2"/>
          <w:sz w:val="16"/>
          <w:szCs w:val="16"/>
        </w:rPr>
        <w:t xml:space="preserve"> </w:t>
      </w:r>
      <w:proofErr w:type="spellStart"/>
      <w:r>
        <w:rPr>
          <w:rFonts w:eastAsia="Calibri"/>
          <w:spacing w:val="-2"/>
          <w:sz w:val="16"/>
          <w:szCs w:val="16"/>
        </w:rPr>
        <w:t>this</w:t>
      </w:r>
      <w:proofErr w:type="spellEnd"/>
      <w:r>
        <w:rPr>
          <w:rFonts w:eastAsia="Calibri"/>
          <w:spacing w:val="-2"/>
          <w:sz w:val="16"/>
          <w:szCs w:val="16"/>
        </w:rPr>
        <w:t xml:space="preserve"> </w:t>
      </w:r>
      <w:proofErr w:type="spellStart"/>
      <w:r>
        <w:rPr>
          <w:rFonts w:eastAsia="Calibri"/>
          <w:spacing w:val="-2"/>
          <w:sz w:val="16"/>
          <w:szCs w:val="16"/>
        </w:rPr>
        <w:t>year</w:t>
      </w:r>
      <w:proofErr w:type="spellEnd"/>
      <w:r>
        <w:rPr>
          <w:rFonts w:eastAsia="Calibri"/>
          <w:spacing w:val="-2"/>
          <w:sz w:val="16"/>
          <w:szCs w:val="16"/>
        </w:rPr>
        <w:t>.</w:t>
      </w:r>
    </w:p>
  </w:footnote>
  <w:footnote w:id="88">
    <w:p w14:paraId="394C17C9" w14:textId="77777777" w:rsidR="00165465" w:rsidRPr="005A1EB9" w:rsidRDefault="00165465" w:rsidP="006233F9">
      <w:pPr>
        <w:pStyle w:val="Textpoznpodarou"/>
        <w:jc w:val="both"/>
        <w:rPr>
          <w:spacing w:val="-2"/>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It relates to the social security insurance and active employment policy. </w:t>
      </w:r>
    </w:p>
  </w:footnote>
  <w:footnote w:id="89">
    <w:p w14:paraId="37394240" w14:textId="77777777" w:rsidR="00165465" w:rsidRPr="005A1EB9" w:rsidRDefault="00165465" w:rsidP="006233F9">
      <w:pPr>
        <w:autoSpaceDE w:val="0"/>
        <w:autoSpaceDN w:val="0"/>
        <w:adjustRightInd w:val="0"/>
        <w:spacing w:after="0" w:line="240" w:lineRule="auto"/>
        <w:rPr>
          <w:rFonts w:ascii="Calibri" w:eastAsia="Calibri" w:hAnsi="Calibri" w:cs="Calibri"/>
          <w:sz w:val="22"/>
          <w:szCs w:val="22"/>
          <w:lang w:val="en-GB" w:eastAsia="en-US"/>
        </w:rPr>
      </w:pPr>
      <w:r w:rsidRPr="005A1EB9">
        <w:rPr>
          <w:rStyle w:val="Znakapoznpodarou"/>
          <w:sz w:val="16"/>
          <w:szCs w:val="16"/>
          <w:lang w:val="en-GB"/>
        </w:rPr>
        <w:footnoteRef/>
      </w:r>
      <w:r w:rsidRPr="005A1EB9">
        <w:rPr>
          <w:sz w:val="16"/>
          <w:szCs w:val="16"/>
          <w:lang w:val="en-GB"/>
        </w:rPr>
        <w:t xml:space="preserve"> </w:t>
      </w:r>
      <w:r w:rsidRPr="0008792A">
        <w:rPr>
          <w:sz w:val="16"/>
          <w:szCs w:val="16"/>
          <w:lang w:val="en-GB"/>
        </w:rPr>
        <w:t xml:space="preserve">The </w:t>
      </w:r>
      <w:r>
        <w:rPr>
          <w:sz w:val="16"/>
          <w:szCs w:val="16"/>
          <w:lang w:val="en-GB"/>
        </w:rPr>
        <w:t xml:space="preserve">yield </w:t>
      </w:r>
      <w:r w:rsidRPr="0008792A">
        <w:rPr>
          <w:sz w:val="16"/>
          <w:szCs w:val="16"/>
          <w:lang w:val="en-GB"/>
        </w:rPr>
        <w:t>from this tax remains the exclusive income of municipalities</w:t>
      </w:r>
      <w:r>
        <w:rPr>
          <w:sz w:val="16"/>
          <w:szCs w:val="16"/>
          <w:lang w:val="en-GB"/>
        </w:rPr>
        <w:t xml:space="preserve">. </w:t>
      </w:r>
    </w:p>
  </w:footnote>
  <w:footnote w:id="90">
    <w:p w14:paraId="2AAF6EFD" w14:textId="77777777" w:rsidR="00165465" w:rsidRPr="005A1EB9" w:rsidRDefault="00165465" w:rsidP="006233F9">
      <w:pPr>
        <w:spacing w:after="0" w:line="240" w:lineRule="auto"/>
        <w:rPr>
          <w:spacing w:val="-2"/>
          <w:lang w:val="en-GB"/>
        </w:rPr>
      </w:pPr>
      <w:r w:rsidRPr="005A1EB9">
        <w:rPr>
          <w:rStyle w:val="Znakapoznpodarou"/>
          <w:spacing w:val="-2"/>
          <w:sz w:val="16"/>
          <w:szCs w:val="16"/>
          <w:lang w:val="en-GB"/>
        </w:rPr>
        <w:footnoteRef/>
      </w:r>
      <w:r w:rsidRPr="005A1EB9">
        <w:rPr>
          <w:spacing w:val="-2"/>
          <w:sz w:val="16"/>
          <w:szCs w:val="16"/>
          <w:lang w:val="en-GB"/>
        </w:rPr>
        <w:t xml:space="preserve"> </w:t>
      </w:r>
      <w:r w:rsidRPr="000F1ABC">
        <w:rPr>
          <w:spacing w:val="-2"/>
          <w:sz w:val="16"/>
          <w:szCs w:val="16"/>
          <w:lang w:val="en-GB"/>
        </w:rPr>
        <w:t>This includes in particular the reintroduction of the payment of sickness insurance premiums paid by employees (0.6% of the assessment base, this rate was 1.1%</w:t>
      </w:r>
      <w:r>
        <w:rPr>
          <w:spacing w:val="-2"/>
          <w:sz w:val="16"/>
          <w:szCs w:val="16"/>
          <w:lang w:val="en-GB"/>
        </w:rPr>
        <w:t xml:space="preserve"> until 2008</w:t>
      </w:r>
      <w:r w:rsidRPr="000F1ABC">
        <w:rPr>
          <w:spacing w:val="-2"/>
          <w:sz w:val="16"/>
          <w:szCs w:val="16"/>
          <w:lang w:val="en-GB"/>
        </w:rPr>
        <w:t xml:space="preserve">). </w:t>
      </w:r>
      <w:r>
        <w:rPr>
          <w:spacing w:val="-2"/>
          <w:sz w:val="16"/>
          <w:szCs w:val="16"/>
          <w:lang w:val="en-GB"/>
        </w:rPr>
        <w:t>T</w:t>
      </w:r>
      <w:r w:rsidRPr="000F1ABC">
        <w:rPr>
          <w:spacing w:val="-2"/>
          <w:sz w:val="16"/>
          <w:szCs w:val="16"/>
          <w:lang w:val="en-GB"/>
        </w:rPr>
        <w:t>he increase in the assessment base for self-employed persons and the setting of limits for participation in insurance</w:t>
      </w:r>
      <w:r>
        <w:rPr>
          <w:spacing w:val="-2"/>
          <w:sz w:val="16"/>
          <w:szCs w:val="16"/>
          <w:lang w:val="en-GB"/>
        </w:rPr>
        <w:t xml:space="preserve"> scheme</w:t>
      </w:r>
      <w:r w:rsidRPr="000F1ABC">
        <w:rPr>
          <w:spacing w:val="-2"/>
          <w:sz w:val="16"/>
          <w:szCs w:val="16"/>
          <w:lang w:val="en-GB"/>
        </w:rPr>
        <w:t xml:space="preserve"> for employees working on the basis of an agreement to complete a job</w:t>
      </w:r>
      <w:r>
        <w:rPr>
          <w:spacing w:val="-2"/>
          <w:sz w:val="16"/>
          <w:szCs w:val="16"/>
          <w:lang w:val="en-GB"/>
        </w:rPr>
        <w:t xml:space="preserve"> is less important from the budgetary point of view</w:t>
      </w:r>
      <w:r w:rsidRPr="000F1ABC">
        <w:rPr>
          <w:spacing w:val="-2"/>
          <w:sz w:val="16"/>
          <w:szCs w:val="16"/>
          <w:lang w:val="en-GB"/>
        </w:rPr>
        <w:t>. According to the M</w:t>
      </w:r>
      <w:r>
        <w:rPr>
          <w:spacing w:val="-2"/>
          <w:sz w:val="16"/>
          <w:szCs w:val="16"/>
          <w:lang w:val="en-GB"/>
        </w:rPr>
        <w:t>F</w:t>
      </w:r>
      <w:r w:rsidRPr="000F1ABC">
        <w:rPr>
          <w:spacing w:val="-2"/>
          <w:sz w:val="16"/>
          <w:szCs w:val="16"/>
          <w:lang w:val="en-GB"/>
        </w:rPr>
        <w:t xml:space="preserve">'s estimates, </w:t>
      </w:r>
      <w:r>
        <w:rPr>
          <w:spacing w:val="-2"/>
          <w:sz w:val="16"/>
          <w:szCs w:val="16"/>
          <w:lang w:val="en-GB"/>
        </w:rPr>
        <w:t xml:space="preserve">the annual increase of SB </w:t>
      </w:r>
      <w:r w:rsidRPr="000F1ABC">
        <w:rPr>
          <w:spacing w:val="-2"/>
          <w:sz w:val="16"/>
          <w:szCs w:val="16"/>
          <w:lang w:val="en-GB"/>
        </w:rPr>
        <w:t xml:space="preserve">collection by 18 </w:t>
      </w:r>
      <w:proofErr w:type="spellStart"/>
      <w:r w:rsidRPr="000F1ABC">
        <w:rPr>
          <w:spacing w:val="-2"/>
          <w:sz w:val="16"/>
          <w:szCs w:val="16"/>
          <w:lang w:val="en-GB"/>
        </w:rPr>
        <w:t>b</w:t>
      </w:r>
      <w:r>
        <w:rPr>
          <w:spacing w:val="-2"/>
          <w:sz w:val="16"/>
          <w:szCs w:val="16"/>
          <w:lang w:val="en-GB"/>
        </w:rPr>
        <w:t>n</w:t>
      </w:r>
      <w:proofErr w:type="spellEnd"/>
      <w:r>
        <w:rPr>
          <w:spacing w:val="-2"/>
          <w:sz w:val="16"/>
          <w:szCs w:val="16"/>
          <w:lang w:val="en-GB"/>
        </w:rPr>
        <w:t xml:space="preserve"> CZK </w:t>
      </w:r>
      <w:r w:rsidRPr="000F1ABC">
        <w:rPr>
          <w:spacing w:val="-2"/>
          <w:sz w:val="16"/>
          <w:szCs w:val="16"/>
          <w:lang w:val="en-GB"/>
        </w:rPr>
        <w:t>is expected due to these adjustments</w:t>
      </w:r>
      <w:r>
        <w:rPr>
          <w:spacing w:val="-2"/>
          <w:sz w:val="16"/>
          <w:szCs w:val="16"/>
          <w:lang w:val="en-GB"/>
        </w:rPr>
        <w:t xml:space="preserve"> this year. </w:t>
      </w:r>
    </w:p>
  </w:footnote>
  <w:footnote w:id="91">
    <w:p w14:paraId="27419C4E" w14:textId="77777777" w:rsidR="00165465" w:rsidRPr="005A1EB9" w:rsidRDefault="00165465" w:rsidP="00E551F6">
      <w:pPr>
        <w:pStyle w:val="Textpoznpodarou"/>
        <w:jc w:val="both"/>
        <w:rPr>
          <w:spacing w:val="-2"/>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R</w:t>
      </w:r>
      <w:r>
        <w:rPr>
          <w:spacing w:val="-2"/>
          <w:sz w:val="16"/>
          <w:szCs w:val="16"/>
          <w:lang w:val="en-GB"/>
        </w:rPr>
        <w:t>eal expenditure on the final household consumption rose by 1.5% after adjustment, year-on-year, in Q</w:t>
      </w:r>
      <w:r w:rsidRPr="005A1EB9">
        <w:rPr>
          <w:spacing w:val="-2"/>
          <w:sz w:val="16"/>
          <w:szCs w:val="16"/>
          <w:lang w:val="en-GB"/>
        </w:rPr>
        <w:t>1</w:t>
      </w:r>
      <w:r>
        <w:rPr>
          <w:spacing w:val="-2"/>
          <w:sz w:val="16"/>
          <w:szCs w:val="16"/>
          <w:lang w:val="en-GB"/>
        </w:rPr>
        <w:t xml:space="preserve"> </w:t>
      </w:r>
      <w:r w:rsidRPr="005A1EB9">
        <w:rPr>
          <w:spacing w:val="-2"/>
          <w:sz w:val="16"/>
          <w:szCs w:val="16"/>
          <w:lang w:val="en-GB"/>
        </w:rPr>
        <w:t>2024 (</w:t>
      </w:r>
      <w:r>
        <w:rPr>
          <w:spacing w:val="-2"/>
          <w:sz w:val="16"/>
          <w:szCs w:val="16"/>
          <w:lang w:val="en-GB"/>
        </w:rPr>
        <w:t>it increased for the first time after six quarters</w:t>
      </w:r>
      <w:r w:rsidRPr="005A1EB9">
        <w:rPr>
          <w:spacing w:val="-2"/>
          <w:sz w:val="16"/>
          <w:szCs w:val="16"/>
          <w:lang w:val="en-GB"/>
        </w:rPr>
        <w:t xml:space="preserve">). </w:t>
      </w:r>
      <w:r w:rsidRPr="00C007AE">
        <w:rPr>
          <w:spacing w:val="-2"/>
          <w:sz w:val="16"/>
          <w:szCs w:val="16"/>
          <w:lang w:val="en-GB"/>
        </w:rPr>
        <w:t xml:space="preserve">According to the first </w:t>
      </w:r>
      <w:r>
        <w:rPr>
          <w:spacing w:val="-2"/>
          <w:sz w:val="16"/>
          <w:szCs w:val="16"/>
          <w:lang w:val="en-GB"/>
        </w:rPr>
        <w:t xml:space="preserve">GDP </w:t>
      </w:r>
      <w:r w:rsidRPr="00C007AE">
        <w:rPr>
          <w:spacing w:val="-2"/>
          <w:sz w:val="16"/>
          <w:szCs w:val="16"/>
          <w:lang w:val="en-GB"/>
        </w:rPr>
        <w:t xml:space="preserve">estimate, these expenditures also </w:t>
      </w:r>
      <w:r>
        <w:rPr>
          <w:spacing w:val="-2"/>
          <w:sz w:val="16"/>
          <w:szCs w:val="16"/>
          <w:lang w:val="en-GB"/>
        </w:rPr>
        <w:t xml:space="preserve">grew </w:t>
      </w:r>
      <w:r w:rsidRPr="00C007AE">
        <w:rPr>
          <w:spacing w:val="-2"/>
          <w:sz w:val="16"/>
          <w:szCs w:val="16"/>
          <w:lang w:val="en-GB"/>
        </w:rPr>
        <w:t>in Q2. Government consumption expenditure grew even</w:t>
      </w:r>
      <w:r>
        <w:rPr>
          <w:spacing w:val="-2"/>
          <w:sz w:val="16"/>
          <w:szCs w:val="16"/>
          <w:lang w:val="en-GB"/>
        </w:rPr>
        <w:t xml:space="preserve"> faster</w:t>
      </w:r>
      <w:r w:rsidRPr="00C007AE">
        <w:rPr>
          <w:spacing w:val="-2"/>
          <w:sz w:val="16"/>
          <w:szCs w:val="16"/>
          <w:lang w:val="en-GB"/>
        </w:rPr>
        <w:t>.</w:t>
      </w:r>
    </w:p>
  </w:footnote>
  <w:footnote w:id="92">
    <w:p w14:paraId="1B161F40" w14:textId="77777777" w:rsidR="00165465" w:rsidRPr="005A1EB9" w:rsidRDefault="00165465" w:rsidP="00E551F6">
      <w:pPr>
        <w:pStyle w:val="Textpoznpodarou"/>
        <w:jc w:val="both"/>
        <w:rPr>
          <w:sz w:val="16"/>
          <w:szCs w:val="16"/>
          <w:lang w:val="en-GB"/>
        </w:rPr>
      </w:pPr>
      <w:r w:rsidRPr="005A1EB9">
        <w:rPr>
          <w:rStyle w:val="Znakapoznpodarou"/>
          <w:spacing w:val="-2"/>
          <w:sz w:val="16"/>
          <w:szCs w:val="16"/>
          <w:lang w:val="en-GB"/>
        </w:rPr>
        <w:footnoteRef/>
      </w:r>
      <w:r w:rsidRPr="005A1EB9">
        <w:rPr>
          <w:spacing w:val="-2"/>
          <w:sz w:val="16"/>
          <w:szCs w:val="16"/>
          <w:lang w:val="en-GB"/>
        </w:rPr>
        <w:t xml:space="preserve"> </w:t>
      </w:r>
      <w:r w:rsidRPr="00DF6A1E">
        <w:rPr>
          <w:spacing w:val="-2"/>
          <w:sz w:val="16"/>
          <w:szCs w:val="16"/>
          <w:lang w:val="en-GB"/>
        </w:rPr>
        <w:t xml:space="preserve">This concerns the unification of two reduced rates (10% and 15%) into one of 12%. </w:t>
      </w:r>
      <w:r>
        <w:rPr>
          <w:spacing w:val="-2"/>
          <w:sz w:val="16"/>
          <w:szCs w:val="16"/>
          <w:lang w:val="en-GB"/>
        </w:rPr>
        <w:t>Thus m</w:t>
      </w:r>
      <w:r w:rsidRPr="00DF6A1E">
        <w:rPr>
          <w:spacing w:val="-2"/>
          <w:sz w:val="16"/>
          <w:szCs w:val="16"/>
          <w:lang w:val="en-GB"/>
        </w:rPr>
        <w:t>any goods and services are now subject to lower taxation. At the same time, the negative budgetary impact is dampened by the transfer of some items of no demonstrable social or health significance to the basic tax rate of 21%.</w:t>
      </w:r>
      <w:r>
        <w:rPr>
          <w:spacing w:val="-2"/>
          <w:sz w:val="16"/>
          <w:szCs w:val="16"/>
          <w:lang w:val="en-GB"/>
        </w:rPr>
        <w:t xml:space="preserve"> </w:t>
      </w:r>
    </w:p>
  </w:footnote>
  <w:footnote w:id="93">
    <w:p w14:paraId="3AB99598" w14:textId="77777777" w:rsidR="00165465" w:rsidRPr="005A1EB9" w:rsidRDefault="00165465" w:rsidP="00E551F6">
      <w:pPr>
        <w:pStyle w:val="Textpoznpodarou"/>
        <w:jc w:val="both"/>
        <w:rPr>
          <w:lang w:val="en-GB"/>
        </w:rPr>
      </w:pPr>
      <w:r w:rsidRPr="005A1EB9">
        <w:rPr>
          <w:rStyle w:val="Znakapoznpodarou"/>
          <w:sz w:val="16"/>
          <w:szCs w:val="16"/>
          <w:lang w:val="en-GB"/>
        </w:rPr>
        <w:footnoteRef/>
      </w:r>
      <w:r w:rsidRPr="005A1EB9">
        <w:rPr>
          <w:sz w:val="16"/>
          <w:szCs w:val="16"/>
          <w:lang w:val="en-GB"/>
        </w:rPr>
        <w:t xml:space="preserve"> </w:t>
      </w:r>
      <w:r w:rsidRPr="009F592C">
        <w:rPr>
          <w:sz w:val="16"/>
          <w:szCs w:val="16"/>
          <w:lang w:val="en-GB"/>
        </w:rPr>
        <w:t xml:space="preserve">This increase </w:t>
      </w:r>
      <w:r>
        <w:rPr>
          <w:sz w:val="16"/>
          <w:szCs w:val="16"/>
          <w:lang w:val="en-GB"/>
        </w:rPr>
        <w:t xml:space="preserve">eventuated </w:t>
      </w:r>
      <w:r w:rsidRPr="009F592C">
        <w:rPr>
          <w:sz w:val="16"/>
          <w:szCs w:val="16"/>
          <w:lang w:val="en-GB"/>
        </w:rPr>
        <w:t>last</w:t>
      </w:r>
      <w:r>
        <w:rPr>
          <w:sz w:val="16"/>
          <w:szCs w:val="16"/>
          <w:lang w:val="en-GB"/>
        </w:rPr>
        <w:t xml:space="preserve"> year since</w:t>
      </w:r>
      <w:r w:rsidRPr="009F592C">
        <w:rPr>
          <w:sz w:val="16"/>
          <w:szCs w:val="16"/>
          <w:lang w:val="en-GB"/>
        </w:rPr>
        <w:t xml:space="preserve"> August (by 1.5 </w:t>
      </w:r>
      <w:r>
        <w:rPr>
          <w:sz w:val="16"/>
          <w:szCs w:val="16"/>
          <w:lang w:val="en-GB"/>
        </w:rPr>
        <w:t>CZK</w:t>
      </w:r>
      <w:r w:rsidRPr="009F592C">
        <w:rPr>
          <w:sz w:val="16"/>
          <w:szCs w:val="16"/>
          <w:lang w:val="en-GB"/>
        </w:rPr>
        <w:t xml:space="preserve"> per litre). The excise duty rate on diesel fuel thus returned to the original level (9.95</w:t>
      </w:r>
      <w:r>
        <w:rPr>
          <w:sz w:val="16"/>
          <w:szCs w:val="16"/>
          <w:lang w:val="en-GB"/>
        </w:rPr>
        <w:t xml:space="preserve"> CZK</w:t>
      </w:r>
      <w:r w:rsidRPr="009F592C">
        <w:rPr>
          <w:sz w:val="16"/>
          <w:szCs w:val="16"/>
          <w:lang w:val="en-GB"/>
        </w:rPr>
        <w:t xml:space="preserve"> per litre) valid until May 2022.</w:t>
      </w:r>
      <w:r>
        <w:rPr>
          <w:sz w:val="16"/>
          <w:szCs w:val="16"/>
          <w:lang w:val="en-GB"/>
        </w:rPr>
        <w:t xml:space="preserve"> </w:t>
      </w:r>
    </w:p>
  </w:footnote>
  <w:footnote w:id="94">
    <w:p w14:paraId="7CACBCA9" w14:textId="77777777" w:rsidR="00165465" w:rsidRPr="00952E7F" w:rsidRDefault="00165465" w:rsidP="00E551F6">
      <w:pPr>
        <w:pStyle w:val="Textpoznpodarou"/>
        <w:jc w:val="both"/>
        <w:rPr>
          <w:spacing w:val="-2"/>
          <w:sz w:val="16"/>
          <w:szCs w:val="16"/>
          <w:lang w:val="en-GB"/>
        </w:rPr>
      </w:pPr>
      <w:r w:rsidRPr="008534DA">
        <w:rPr>
          <w:rStyle w:val="Znakapoznpodarou"/>
          <w:spacing w:val="-2"/>
          <w:sz w:val="16"/>
          <w:szCs w:val="16"/>
        </w:rPr>
        <w:footnoteRef/>
      </w:r>
      <w:r w:rsidRPr="008534DA">
        <w:rPr>
          <w:spacing w:val="-2"/>
          <w:sz w:val="16"/>
          <w:szCs w:val="16"/>
        </w:rPr>
        <w:t xml:space="preserve"> </w:t>
      </w:r>
      <w:r w:rsidRPr="00952E7F">
        <w:rPr>
          <w:spacing w:val="-2"/>
          <w:sz w:val="16"/>
          <w:szCs w:val="16"/>
          <w:lang w:val="en-GB"/>
        </w:rPr>
        <w:t>It applies to energy, petrochemical and mining companies</w:t>
      </w:r>
      <w:r>
        <w:rPr>
          <w:spacing w:val="-2"/>
          <w:sz w:val="16"/>
          <w:szCs w:val="16"/>
          <w:lang w:val="en-GB"/>
        </w:rPr>
        <w:t xml:space="preserve"> (in the area of fossil fuels)</w:t>
      </w:r>
      <w:r w:rsidRPr="00952E7F">
        <w:rPr>
          <w:spacing w:val="-2"/>
          <w:sz w:val="16"/>
          <w:szCs w:val="16"/>
          <w:lang w:val="en-GB"/>
        </w:rPr>
        <w:t xml:space="preserve"> and also involves large banks. Vast majority of the collection of this tax however flowed into the SB from the energy industry. </w:t>
      </w:r>
      <w:r>
        <w:rPr>
          <w:spacing w:val="-2"/>
          <w:sz w:val="16"/>
          <w:szCs w:val="16"/>
          <w:lang w:val="en-GB"/>
        </w:rPr>
        <w:t xml:space="preserve">It serves as </w:t>
      </w:r>
      <w:r w:rsidRPr="00952E7F">
        <w:rPr>
          <w:spacing w:val="-2"/>
          <w:sz w:val="16"/>
          <w:szCs w:val="16"/>
          <w:lang w:val="en-GB"/>
        </w:rPr>
        <w:t xml:space="preserve">60% </w:t>
      </w:r>
      <w:r>
        <w:rPr>
          <w:spacing w:val="-2"/>
          <w:sz w:val="16"/>
          <w:szCs w:val="16"/>
          <w:lang w:val="en-GB"/>
        </w:rPr>
        <w:t xml:space="preserve">tax surcharge applied to excess profit of these firms established as the difference between the tax base in years </w:t>
      </w:r>
      <w:r w:rsidRPr="00952E7F">
        <w:rPr>
          <w:spacing w:val="-2"/>
          <w:sz w:val="16"/>
          <w:szCs w:val="16"/>
          <w:lang w:val="en-GB"/>
        </w:rPr>
        <w:t>2023–2025 a</w:t>
      </w:r>
      <w:r>
        <w:rPr>
          <w:spacing w:val="-2"/>
          <w:sz w:val="16"/>
          <w:szCs w:val="16"/>
          <w:lang w:val="en-GB"/>
        </w:rPr>
        <w:t xml:space="preserve">nd the average of tax bases for years </w:t>
      </w:r>
      <w:r w:rsidRPr="00952E7F">
        <w:rPr>
          <w:spacing w:val="-2"/>
          <w:sz w:val="16"/>
          <w:szCs w:val="16"/>
          <w:lang w:val="en-GB"/>
        </w:rPr>
        <w:t>2018 </w:t>
      </w:r>
      <w:r>
        <w:rPr>
          <w:spacing w:val="-2"/>
          <w:sz w:val="16"/>
          <w:szCs w:val="16"/>
          <w:lang w:val="en-GB"/>
        </w:rPr>
        <w:t xml:space="preserve">till </w:t>
      </w:r>
      <w:r w:rsidRPr="00952E7F">
        <w:rPr>
          <w:spacing w:val="-2"/>
          <w:sz w:val="16"/>
          <w:szCs w:val="16"/>
          <w:lang w:val="en-GB"/>
        </w:rPr>
        <w:t>2021 </w:t>
      </w:r>
      <w:r>
        <w:rPr>
          <w:spacing w:val="-2"/>
          <w:sz w:val="16"/>
          <w:szCs w:val="16"/>
          <w:lang w:val="en-GB"/>
        </w:rPr>
        <w:t xml:space="preserve">plus </w:t>
      </w:r>
      <w:r w:rsidRPr="00952E7F">
        <w:rPr>
          <w:spacing w:val="-2"/>
          <w:sz w:val="16"/>
          <w:szCs w:val="16"/>
          <w:lang w:val="en-GB"/>
        </w:rPr>
        <w:t>20</w:t>
      </w:r>
      <w:r>
        <w:rPr>
          <w:spacing w:val="-2"/>
          <w:sz w:val="16"/>
          <w:szCs w:val="16"/>
          <w:lang w:val="en-GB"/>
        </w:rPr>
        <w:t xml:space="preserve">%. </w:t>
      </w:r>
    </w:p>
  </w:footnote>
  <w:footnote w:id="95">
    <w:p w14:paraId="09CE9470" w14:textId="77777777" w:rsidR="00165465" w:rsidRPr="00952E7F" w:rsidRDefault="00165465" w:rsidP="00E551F6">
      <w:pPr>
        <w:pStyle w:val="Textpoznpodarou"/>
        <w:jc w:val="both"/>
        <w:rPr>
          <w:sz w:val="16"/>
          <w:szCs w:val="16"/>
          <w:lang w:val="en-GB"/>
        </w:rPr>
      </w:pPr>
      <w:r w:rsidRPr="00952E7F">
        <w:rPr>
          <w:rStyle w:val="Znakapoznpodarou"/>
          <w:spacing w:val="-2"/>
          <w:sz w:val="16"/>
          <w:szCs w:val="16"/>
          <w:lang w:val="en-GB"/>
        </w:rPr>
        <w:footnoteRef/>
      </w:r>
      <w:r w:rsidRPr="00952E7F">
        <w:rPr>
          <w:spacing w:val="-2"/>
          <w:sz w:val="16"/>
          <w:szCs w:val="16"/>
          <w:lang w:val="en-GB"/>
        </w:rPr>
        <w:t xml:space="preserve"> This levy (taxed by 90% rate) presents a difference between real income and ceiling of the market income from the sale of electricity above the given limit (for the period from 1st December 2022 till the end of year 2023)</w:t>
      </w:r>
      <w:r>
        <w:rPr>
          <w:spacing w:val="-2"/>
          <w:sz w:val="16"/>
          <w:szCs w:val="16"/>
          <w:lang w:val="en-GB"/>
        </w:rPr>
        <w:t xml:space="preserve">. </w:t>
      </w:r>
    </w:p>
  </w:footnote>
  <w:footnote w:id="96">
    <w:p w14:paraId="03EAED97" w14:textId="77777777" w:rsidR="00165465" w:rsidRPr="006A100D" w:rsidRDefault="00165465" w:rsidP="00E551F6">
      <w:pPr>
        <w:pStyle w:val="Textpoznpodarou"/>
        <w:jc w:val="both"/>
        <w:rPr>
          <w:spacing w:val="-2"/>
          <w:sz w:val="16"/>
          <w:szCs w:val="16"/>
          <w:lang w:val="en-GB"/>
        </w:rPr>
      </w:pPr>
      <w:r w:rsidRPr="006A100D">
        <w:rPr>
          <w:rStyle w:val="Znakapoznpodarou"/>
          <w:spacing w:val="-2"/>
          <w:sz w:val="16"/>
          <w:szCs w:val="16"/>
          <w:lang w:val="en-GB"/>
        </w:rPr>
        <w:footnoteRef/>
      </w:r>
      <w:r w:rsidRPr="006A100D">
        <w:rPr>
          <w:spacing w:val="-2"/>
          <w:sz w:val="16"/>
          <w:szCs w:val="16"/>
          <w:lang w:val="en-GB"/>
        </w:rPr>
        <w:t xml:space="preserve"> </w:t>
      </w:r>
      <w:r>
        <w:rPr>
          <w:spacing w:val="-2"/>
          <w:sz w:val="16"/>
          <w:szCs w:val="16"/>
          <w:lang w:val="en-GB"/>
        </w:rPr>
        <w:t xml:space="preserve">Still </w:t>
      </w:r>
      <w:r w:rsidRPr="00942D28">
        <w:rPr>
          <w:spacing w:val="-2"/>
          <w:sz w:val="16"/>
          <w:szCs w:val="16"/>
          <w:lang w:val="en-GB"/>
        </w:rPr>
        <w:t xml:space="preserve">the </w:t>
      </w:r>
      <w:r>
        <w:rPr>
          <w:spacing w:val="-2"/>
          <w:sz w:val="16"/>
          <w:szCs w:val="16"/>
          <w:lang w:val="en-GB"/>
        </w:rPr>
        <w:t>state-</w:t>
      </w:r>
      <w:r w:rsidRPr="00942D28">
        <w:rPr>
          <w:spacing w:val="-2"/>
          <w:sz w:val="16"/>
          <w:szCs w:val="16"/>
          <w:lang w:val="en-GB"/>
        </w:rPr>
        <w:t xml:space="preserve">wide </w:t>
      </w:r>
      <w:r>
        <w:rPr>
          <w:spacing w:val="-2"/>
          <w:sz w:val="16"/>
          <w:szCs w:val="16"/>
          <w:lang w:val="en-GB"/>
        </w:rPr>
        <w:t xml:space="preserve">ITNP </w:t>
      </w:r>
      <w:r w:rsidRPr="00942D28">
        <w:rPr>
          <w:spacing w:val="-2"/>
          <w:sz w:val="16"/>
          <w:szCs w:val="16"/>
          <w:lang w:val="en-GB"/>
        </w:rPr>
        <w:t xml:space="preserve">collection from dependent activities (at the level of all public budgets) </w:t>
      </w:r>
      <w:r>
        <w:rPr>
          <w:spacing w:val="-2"/>
          <w:sz w:val="16"/>
          <w:szCs w:val="16"/>
          <w:lang w:val="en-GB"/>
        </w:rPr>
        <w:t xml:space="preserve">was situated slightly below </w:t>
      </w:r>
      <w:r w:rsidRPr="00942D28">
        <w:rPr>
          <w:spacing w:val="-2"/>
          <w:sz w:val="16"/>
          <w:szCs w:val="16"/>
          <w:lang w:val="en-GB"/>
        </w:rPr>
        <w:t>the level of the record year 2019</w:t>
      </w:r>
      <w:r>
        <w:rPr>
          <w:spacing w:val="-2"/>
          <w:sz w:val="16"/>
          <w:szCs w:val="16"/>
          <w:lang w:val="en-GB"/>
        </w:rPr>
        <w:t xml:space="preserve"> in H1 2024 </w:t>
      </w:r>
      <w:r w:rsidRPr="00942D28">
        <w:rPr>
          <w:spacing w:val="-2"/>
          <w:sz w:val="16"/>
          <w:szCs w:val="16"/>
          <w:lang w:val="en-GB"/>
        </w:rPr>
        <w:t xml:space="preserve">(by almost 8% or 8 </w:t>
      </w:r>
      <w:proofErr w:type="spellStart"/>
      <w:r w:rsidRPr="00942D28">
        <w:rPr>
          <w:spacing w:val="-2"/>
          <w:sz w:val="16"/>
          <w:szCs w:val="16"/>
          <w:lang w:val="en-GB"/>
        </w:rPr>
        <w:t>b</w:t>
      </w:r>
      <w:r>
        <w:rPr>
          <w:spacing w:val="-2"/>
          <w:sz w:val="16"/>
          <w:szCs w:val="16"/>
          <w:lang w:val="en-GB"/>
        </w:rPr>
        <w:t>n</w:t>
      </w:r>
      <w:proofErr w:type="spellEnd"/>
      <w:r>
        <w:rPr>
          <w:spacing w:val="-2"/>
          <w:sz w:val="16"/>
          <w:szCs w:val="16"/>
          <w:lang w:val="en-GB"/>
        </w:rPr>
        <w:t xml:space="preserve"> CZK respective</w:t>
      </w:r>
      <w:r w:rsidRPr="00942D28">
        <w:rPr>
          <w:spacing w:val="-2"/>
          <w:sz w:val="16"/>
          <w:szCs w:val="16"/>
          <w:lang w:val="en-GB"/>
        </w:rPr>
        <w:t>). The abolition of the so-called super-gross salary played a key role here.</w:t>
      </w:r>
    </w:p>
  </w:footnote>
  <w:footnote w:id="97">
    <w:p w14:paraId="7614EF08" w14:textId="77777777" w:rsidR="00165465" w:rsidRPr="006A100D" w:rsidRDefault="00165465" w:rsidP="00E551F6">
      <w:pPr>
        <w:pStyle w:val="Textpoznpodarou"/>
        <w:jc w:val="both"/>
        <w:rPr>
          <w:sz w:val="16"/>
          <w:szCs w:val="16"/>
          <w:lang w:val="en-GB"/>
        </w:rPr>
      </w:pPr>
      <w:r w:rsidRPr="006A100D">
        <w:rPr>
          <w:rStyle w:val="Znakapoznpodarou"/>
          <w:sz w:val="16"/>
          <w:szCs w:val="16"/>
          <w:lang w:val="en-GB"/>
        </w:rPr>
        <w:footnoteRef/>
      </w:r>
      <w:r w:rsidRPr="006A100D">
        <w:rPr>
          <w:sz w:val="16"/>
          <w:szCs w:val="16"/>
          <w:lang w:val="en-GB"/>
        </w:rPr>
        <w:t xml:space="preserve"> </w:t>
      </w:r>
      <w:r>
        <w:rPr>
          <w:sz w:val="16"/>
          <w:szCs w:val="16"/>
          <w:lang w:val="en-GB"/>
        </w:rPr>
        <w:t>T</w:t>
      </w:r>
      <w:r w:rsidRPr="000B268E">
        <w:rPr>
          <w:sz w:val="16"/>
          <w:szCs w:val="16"/>
          <w:lang w:val="en-GB"/>
        </w:rPr>
        <w:t>his year's share of social benefit</w:t>
      </w:r>
      <w:r>
        <w:rPr>
          <w:sz w:val="16"/>
          <w:szCs w:val="16"/>
          <w:lang w:val="en-GB"/>
        </w:rPr>
        <w:t>s on</w:t>
      </w:r>
      <w:r w:rsidRPr="000B268E">
        <w:rPr>
          <w:sz w:val="16"/>
          <w:szCs w:val="16"/>
          <w:lang w:val="en-GB"/>
        </w:rPr>
        <w:t xml:space="preserve"> all expenditures </w:t>
      </w:r>
      <w:r>
        <w:rPr>
          <w:sz w:val="16"/>
          <w:szCs w:val="16"/>
          <w:lang w:val="en-GB"/>
        </w:rPr>
        <w:t xml:space="preserve">however counts among the </w:t>
      </w:r>
      <w:r w:rsidRPr="000B268E">
        <w:rPr>
          <w:sz w:val="16"/>
          <w:szCs w:val="16"/>
          <w:lang w:val="en-GB"/>
        </w:rPr>
        <w:t>average</w:t>
      </w:r>
      <w:r>
        <w:rPr>
          <w:sz w:val="16"/>
          <w:szCs w:val="16"/>
          <w:lang w:val="en-GB"/>
        </w:rPr>
        <w:t xml:space="preserve"> in the long-term view</w:t>
      </w:r>
      <w:r w:rsidRPr="000B268E">
        <w:rPr>
          <w:sz w:val="16"/>
          <w:szCs w:val="16"/>
          <w:lang w:val="en-GB"/>
        </w:rPr>
        <w:t>.</w:t>
      </w:r>
      <w:r>
        <w:rPr>
          <w:sz w:val="16"/>
          <w:szCs w:val="16"/>
          <w:lang w:val="en-GB"/>
        </w:rPr>
        <w:t xml:space="preserve"> </w:t>
      </w:r>
    </w:p>
  </w:footnote>
  <w:footnote w:id="98">
    <w:p w14:paraId="1C230729" w14:textId="77777777" w:rsidR="00165465" w:rsidRPr="006A100D" w:rsidRDefault="00165465" w:rsidP="00E551F6">
      <w:pPr>
        <w:pStyle w:val="Textpoznpodarou"/>
        <w:jc w:val="both"/>
        <w:rPr>
          <w:spacing w:val="-2"/>
          <w:sz w:val="16"/>
          <w:szCs w:val="16"/>
          <w:lang w:val="en-GB"/>
        </w:rPr>
      </w:pPr>
      <w:r w:rsidRPr="006A100D">
        <w:rPr>
          <w:rStyle w:val="Znakapoznpodarou"/>
          <w:spacing w:val="-2"/>
          <w:sz w:val="16"/>
          <w:szCs w:val="16"/>
          <w:lang w:val="en-GB"/>
        </w:rPr>
        <w:footnoteRef/>
      </w:r>
      <w:r w:rsidRPr="006A100D">
        <w:rPr>
          <w:spacing w:val="-2"/>
          <w:sz w:val="16"/>
          <w:szCs w:val="16"/>
          <w:lang w:val="en-GB"/>
        </w:rPr>
        <w:t xml:space="preserve"> </w:t>
      </w:r>
      <w:bookmarkStart w:id="104" w:name="_Hlk179228647"/>
      <w:r>
        <w:rPr>
          <w:spacing w:val="-2"/>
          <w:sz w:val="16"/>
          <w:szCs w:val="16"/>
          <w:lang w:val="en-GB"/>
        </w:rPr>
        <w:t xml:space="preserve">In </w:t>
      </w:r>
      <w:r w:rsidRPr="00CB48B8">
        <w:rPr>
          <w:spacing w:val="-2"/>
          <w:sz w:val="16"/>
          <w:szCs w:val="16"/>
          <w:lang w:val="en-GB"/>
        </w:rPr>
        <w:t xml:space="preserve">particular, </w:t>
      </w:r>
      <w:r>
        <w:rPr>
          <w:spacing w:val="-2"/>
          <w:sz w:val="16"/>
          <w:szCs w:val="16"/>
          <w:lang w:val="en-GB"/>
        </w:rPr>
        <w:t xml:space="preserve">newly not one </w:t>
      </w:r>
      <w:r w:rsidRPr="00CB48B8">
        <w:rPr>
          <w:spacing w:val="-2"/>
          <w:sz w:val="16"/>
          <w:szCs w:val="16"/>
          <w:lang w:val="en-GB"/>
        </w:rPr>
        <w:t xml:space="preserve">half, but only </w:t>
      </w:r>
      <w:r>
        <w:rPr>
          <w:spacing w:val="-2"/>
          <w:sz w:val="16"/>
          <w:szCs w:val="16"/>
          <w:lang w:val="en-GB"/>
        </w:rPr>
        <w:t>one</w:t>
      </w:r>
      <w:r w:rsidRPr="00CB48B8">
        <w:rPr>
          <w:spacing w:val="-2"/>
          <w:sz w:val="16"/>
          <w:szCs w:val="16"/>
          <w:lang w:val="en-GB"/>
        </w:rPr>
        <w:t xml:space="preserve"> third of the </w:t>
      </w:r>
      <w:r>
        <w:rPr>
          <w:spacing w:val="-2"/>
          <w:sz w:val="16"/>
          <w:szCs w:val="16"/>
          <w:lang w:val="en-GB"/>
        </w:rPr>
        <w:t xml:space="preserve">real wage increase is considered during the increase of pension. </w:t>
      </w:r>
      <w:r w:rsidRPr="00CB48B8">
        <w:rPr>
          <w:spacing w:val="-2"/>
          <w:sz w:val="16"/>
          <w:szCs w:val="16"/>
          <w:lang w:val="en-GB"/>
        </w:rPr>
        <w:t xml:space="preserve">From January 2024, only the basic </w:t>
      </w:r>
      <w:r>
        <w:rPr>
          <w:spacing w:val="-2"/>
          <w:sz w:val="16"/>
          <w:szCs w:val="16"/>
          <w:lang w:val="en-GB"/>
        </w:rPr>
        <w:t xml:space="preserve">assessment </w:t>
      </w:r>
      <w:r w:rsidRPr="00CB48B8">
        <w:rPr>
          <w:spacing w:val="-2"/>
          <w:sz w:val="16"/>
          <w:szCs w:val="16"/>
          <w:lang w:val="en-GB"/>
        </w:rPr>
        <w:t xml:space="preserve">of all pensions </w:t>
      </w:r>
      <w:r>
        <w:rPr>
          <w:spacing w:val="-2"/>
          <w:sz w:val="16"/>
          <w:szCs w:val="16"/>
          <w:lang w:val="en-GB"/>
        </w:rPr>
        <w:t xml:space="preserve">was raised </w:t>
      </w:r>
      <w:r w:rsidRPr="00CB48B8">
        <w:rPr>
          <w:spacing w:val="-2"/>
          <w:sz w:val="16"/>
          <w:szCs w:val="16"/>
          <w:lang w:val="en-GB"/>
        </w:rPr>
        <w:t>(by 360</w:t>
      </w:r>
      <w:r>
        <w:rPr>
          <w:spacing w:val="-2"/>
          <w:sz w:val="16"/>
          <w:szCs w:val="16"/>
          <w:lang w:val="en-GB"/>
        </w:rPr>
        <w:t xml:space="preserve"> CZK</w:t>
      </w:r>
      <w:r w:rsidRPr="00CB48B8">
        <w:rPr>
          <w:spacing w:val="-2"/>
          <w:sz w:val="16"/>
          <w:szCs w:val="16"/>
          <w:lang w:val="en-GB"/>
        </w:rPr>
        <w:t xml:space="preserve">), the percentage </w:t>
      </w:r>
      <w:r>
        <w:rPr>
          <w:spacing w:val="-2"/>
          <w:sz w:val="16"/>
          <w:szCs w:val="16"/>
          <w:lang w:val="en-GB"/>
        </w:rPr>
        <w:t xml:space="preserve">assessment did not </w:t>
      </w:r>
      <w:r w:rsidRPr="00CB48B8">
        <w:rPr>
          <w:spacing w:val="-2"/>
          <w:sz w:val="16"/>
          <w:szCs w:val="16"/>
          <w:lang w:val="en-GB"/>
        </w:rPr>
        <w:t>increase. The average old-age pension increased by 2.1% and reached (without concurrence with other pensions) 21.9</w:t>
      </w:r>
      <w:r>
        <w:rPr>
          <w:spacing w:val="-2"/>
          <w:sz w:val="16"/>
          <w:szCs w:val="16"/>
          <w:lang w:val="en-GB"/>
        </w:rPr>
        <w:t> </w:t>
      </w:r>
      <w:r w:rsidRPr="00CB48B8">
        <w:rPr>
          <w:spacing w:val="-2"/>
          <w:sz w:val="16"/>
          <w:szCs w:val="16"/>
          <w:lang w:val="en-GB"/>
        </w:rPr>
        <w:t>thousand</w:t>
      </w:r>
      <w:r>
        <w:rPr>
          <w:spacing w:val="-2"/>
          <w:sz w:val="16"/>
          <w:szCs w:val="16"/>
          <w:lang w:val="en-GB"/>
        </w:rPr>
        <w:t xml:space="preserve"> CZK</w:t>
      </w:r>
      <w:r w:rsidRPr="00CB48B8">
        <w:rPr>
          <w:spacing w:val="-2"/>
          <w:sz w:val="16"/>
          <w:szCs w:val="16"/>
          <w:lang w:val="en-GB"/>
        </w:rPr>
        <w:t xml:space="preserve"> per month for m</w:t>
      </w:r>
      <w:r>
        <w:rPr>
          <w:spacing w:val="-2"/>
          <w:sz w:val="16"/>
          <w:szCs w:val="16"/>
          <w:lang w:val="en-GB"/>
        </w:rPr>
        <w:t>ales</w:t>
      </w:r>
      <w:r w:rsidRPr="00CB48B8">
        <w:rPr>
          <w:spacing w:val="-2"/>
          <w:sz w:val="16"/>
          <w:szCs w:val="16"/>
          <w:lang w:val="en-GB"/>
        </w:rPr>
        <w:t xml:space="preserve"> and 19.5</w:t>
      </w:r>
      <w:r>
        <w:rPr>
          <w:spacing w:val="-2"/>
          <w:sz w:val="16"/>
          <w:szCs w:val="16"/>
          <w:lang w:val="en-GB"/>
        </w:rPr>
        <w:t> </w:t>
      </w:r>
      <w:r w:rsidRPr="00CB48B8">
        <w:rPr>
          <w:spacing w:val="-2"/>
          <w:sz w:val="16"/>
          <w:szCs w:val="16"/>
          <w:lang w:val="en-GB"/>
        </w:rPr>
        <w:t>thousand</w:t>
      </w:r>
      <w:r>
        <w:rPr>
          <w:spacing w:val="-2"/>
          <w:sz w:val="16"/>
          <w:szCs w:val="16"/>
          <w:lang w:val="en-GB"/>
        </w:rPr>
        <w:t xml:space="preserve"> CZK</w:t>
      </w:r>
      <w:r w:rsidRPr="00CB48B8">
        <w:rPr>
          <w:spacing w:val="-2"/>
          <w:sz w:val="16"/>
          <w:szCs w:val="16"/>
          <w:lang w:val="en-GB"/>
        </w:rPr>
        <w:t xml:space="preserve"> for </w:t>
      </w:r>
      <w:r>
        <w:rPr>
          <w:spacing w:val="-2"/>
          <w:sz w:val="16"/>
          <w:szCs w:val="16"/>
          <w:lang w:val="en-GB"/>
        </w:rPr>
        <w:t xml:space="preserve">females </w:t>
      </w:r>
      <w:r w:rsidRPr="00CB48B8">
        <w:rPr>
          <w:spacing w:val="-2"/>
          <w:sz w:val="16"/>
          <w:szCs w:val="16"/>
          <w:lang w:val="en-GB"/>
        </w:rPr>
        <w:t>at the end of June 2024.</w:t>
      </w:r>
    </w:p>
    <w:bookmarkEnd w:id="104"/>
  </w:footnote>
  <w:footnote w:id="99">
    <w:p w14:paraId="06D6701D" w14:textId="77777777" w:rsidR="00165465" w:rsidRPr="002C0EB7" w:rsidRDefault="00165465" w:rsidP="00E551F6">
      <w:pPr>
        <w:pStyle w:val="Textpoznpodarou"/>
        <w:jc w:val="both"/>
        <w:rPr>
          <w:sz w:val="16"/>
          <w:szCs w:val="16"/>
          <w:lang w:val="en-GB"/>
        </w:rPr>
      </w:pPr>
      <w:r w:rsidRPr="002C0EB7">
        <w:rPr>
          <w:rStyle w:val="Znakapoznpodarou"/>
          <w:spacing w:val="-2"/>
          <w:sz w:val="16"/>
          <w:szCs w:val="16"/>
          <w:lang w:val="en-GB"/>
        </w:rPr>
        <w:footnoteRef/>
      </w:r>
      <w:r w:rsidRPr="002C0EB7">
        <w:rPr>
          <w:spacing w:val="-2"/>
          <w:sz w:val="16"/>
          <w:szCs w:val="16"/>
          <w:lang w:val="en-GB"/>
        </w:rPr>
        <w:t xml:space="preserve"> Growth of the number of all recipients of permanently reduced old age pensions (SOP) accelerated during the last year and this development also continued at the beginning of year 2024 (to 8.5%, year-on-year, in Q1, the most since year 2012). Nevertheless, the pace slightly slowed in Q2 (to 8.3%). Number of SOP do not include persons, which lodged the request for early retirement, but postponed the commencement of its </w:t>
      </w:r>
      <w:proofErr w:type="spellStart"/>
      <w:r w:rsidRPr="002C0EB7">
        <w:rPr>
          <w:spacing w:val="-2"/>
          <w:sz w:val="16"/>
          <w:szCs w:val="16"/>
          <w:lang w:val="en-GB"/>
        </w:rPr>
        <w:t>payout</w:t>
      </w:r>
      <w:proofErr w:type="spellEnd"/>
      <w:r w:rsidRPr="002C0EB7">
        <w:rPr>
          <w:spacing w:val="-2"/>
          <w:sz w:val="16"/>
          <w:szCs w:val="16"/>
          <w:lang w:val="en-GB"/>
        </w:rPr>
        <w:t xml:space="preserve">. </w:t>
      </w:r>
    </w:p>
  </w:footnote>
  <w:footnote w:id="100">
    <w:p w14:paraId="6B97AF32" w14:textId="77777777" w:rsidR="00165465" w:rsidRPr="002C0EB7" w:rsidRDefault="00165465" w:rsidP="00E551F6">
      <w:pPr>
        <w:pStyle w:val="Textpoznpodarou"/>
        <w:jc w:val="both"/>
        <w:rPr>
          <w:rFonts w:cs="Arial"/>
          <w:color w:val="000000" w:themeColor="text1"/>
          <w:spacing w:val="-4"/>
          <w:sz w:val="16"/>
          <w:szCs w:val="16"/>
          <w:lang w:val="en-GB"/>
        </w:rPr>
      </w:pPr>
      <w:r w:rsidRPr="002C0EB7">
        <w:rPr>
          <w:rStyle w:val="Znakapoznpodarou"/>
          <w:spacing w:val="-4"/>
          <w:sz w:val="16"/>
          <w:szCs w:val="16"/>
          <w:lang w:val="en-GB"/>
        </w:rPr>
        <w:footnoteRef/>
      </w:r>
      <w:r w:rsidRPr="002C0EB7">
        <w:rPr>
          <w:spacing w:val="-4"/>
          <w:sz w:val="16"/>
          <w:szCs w:val="16"/>
          <w:lang w:val="en-GB"/>
        </w:rPr>
        <w:t xml:space="preserve"> It expresses the difference between the income from insurance on pensions and outlays on the pension insurance benefits according to the CSSA accounting balance</w:t>
      </w:r>
      <w:r w:rsidRPr="002C0EB7">
        <w:rPr>
          <w:rFonts w:cs="Arial"/>
          <w:color w:val="000000" w:themeColor="text1"/>
          <w:spacing w:val="-4"/>
          <w:sz w:val="16"/>
          <w:szCs w:val="16"/>
          <w:lang w:val="en-GB"/>
        </w:rPr>
        <w:t>.</w:t>
      </w:r>
    </w:p>
  </w:footnote>
  <w:footnote w:id="101">
    <w:p w14:paraId="352906E1"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bookmarkStart w:id="107" w:name="_Hlk179442248"/>
      <w:r w:rsidRPr="00E02054">
        <w:rPr>
          <w:sz w:val="16"/>
          <w:szCs w:val="16"/>
          <w:lang w:val="en-GB"/>
        </w:rPr>
        <w:t>From January 2024, the basic contribution has been increased from 300</w:t>
      </w:r>
      <w:r>
        <w:rPr>
          <w:sz w:val="16"/>
          <w:szCs w:val="16"/>
          <w:lang w:val="en-GB"/>
        </w:rPr>
        <w:t> </w:t>
      </w:r>
      <w:r w:rsidRPr="00E02054">
        <w:rPr>
          <w:sz w:val="16"/>
          <w:szCs w:val="16"/>
          <w:lang w:val="en-GB"/>
        </w:rPr>
        <w:t>thousand to 350</w:t>
      </w:r>
      <w:r>
        <w:rPr>
          <w:sz w:val="16"/>
          <w:szCs w:val="16"/>
          <w:lang w:val="en-GB"/>
        </w:rPr>
        <w:t> </w:t>
      </w:r>
      <w:r w:rsidRPr="00E02054">
        <w:rPr>
          <w:sz w:val="16"/>
          <w:szCs w:val="16"/>
          <w:lang w:val="en-GB"/>
        </w:rPr>
        <w:t xml:space="preserve">thousand </w:t>
      </w:r>
      <w:r>
        <w:rPr>
          <w:sz w:val="16"/>
          <w:szCs w:val="16"/>
          <w:lang w:val="en-GB"/>
        </w:rPr>
        <w:t>CZK</w:t>
      </w:r>
      <w:r w:rsidRPr="00E02054">
        <w:rPr>
          <w:sz w:val="16"/>
          <w:szCs w:val="16"/>
          <w:lang w:val="en-GB"/>
        </w:rPr>
        <w:t>. At the same time, the maximum period for receiving the allowance up to 3 years of age has been reduced (from the previous 4 years).</w:t>
      </w:r>
      <w:bookmarkEnd w:id="107"/>
    </w:p>
  </w:footnote>
  <w:footnote w:id="102">
    <w:p w14:paraId="01F9A701" w14:textId="77777777" w:rsidR="00165465" w:rsidRPr="005E5241" w:rsidRDefault="00165465" w:rsidP="00E551F6">
      <w:pPr>
        <w:pStyle w:val="Textpoznpodarou"/>
        <w:jc w:val="both"/>
        <w:rPr>
          <w:spacing w:val="-4"/>
          <w:sz w:val="16"/>
          <w:szCs w:val="16"/>
          <w:lang w:val="en"/>
        </w:rPr>
      </w:pPr>
      <w:bookmarkStart w:id="109" w:name="_Hlk179442466"/>
      <w:r w:rsidRPr="002C0EB7">
        <w:rPr>
          <w:rStyle w:val="Znakapoznpodarou"/>
          <w:spacing w:val="-4"/>
          <w:sz w:val="16"/>
          <w:szCs w:val="16"/>
          <w:lang w:val="en-GB"/>
        </w:rPr>
        <w:footnoteRef/>
      </w:r>
      <w:bookmarkEnd w:id="109"/>
      <w:r>
        <w:rPr>
          <w:spacing w:val="-4"/>
          <w:sz w:val="16"/>
          <w:szCs w:val="16"/>
          <w:lang w:val="en-GB"/>
        </w:rPr>
        <w:t xml:space="preserve"> </w:t>
      </w:r>
      <w:r w:rsidRPr="005E5241">
        <w:rPr>
          <w:spacing w:val="-4"/>
          <w:sz w:val="16"/>
          <w:szCs w:val="16"/>
          <w:lang w:val="en-GB"/>
        </w:rPr>
        <w:t>Admissible cost of housing is considered during the calculation of the benefit amount (determined by the government regulation) since July 2023, whose size is dependent on the number of persons and the form of housing.</w:t>
      </w:r>
      <w:r>
        <w:rPr>
          <w:spacing w:val="-4"/>
          <w:sz w:val="16"/>
          <w:szCs w:val="16"/>
          <w:lang w:val="en-GB"/>
        </w:rPr>
        <w:t xml:space="preserve"> </w:t>
      </w:r>
      <w:r w:rsidRPr="005E5241">
        <w:rPr>
          <w:spacing w:val="-4"/>
          <w:sz w:val="16"/>
          <w:szCs w:val="16"/>
          <w:lang w:val="en-GB"/>
        </w:rPr>
        <w:t>49</w:t>
      </w:r>
      <w:r>
        <w:rPr>
          <w:spacing w:val="-4"/>
          <w:sz w:val="16"/>
          <w:szCs w:val="16"/>
          <w:lang w:val="en-GB"/>
        </w:rPr>
        <w:t> </w:t>
      </w:r>
      <w:r w:rsidRPr="005E5241">
        <w:rPr>
          <w:spacing w:val="-4"/>
          <w:sz w:val="16"/>
          <w:szCs w:val="16"/>
          <w:lang w:val="en-GB"/>
        </w:rPr>
        <w:t xml:space="preserve">thousand recipients </w:t>
      </w:r>
      <w:r>
        <w:rPr>
          <w:spacing w:val="-4"/>
          <w:sz w:val="16"/>
          <w:szCs w:val="16"/>
          <w:lang w:val="en-GB"/>
        </w:rPr>
        <w:t xml:space="preserve">drew the </w:t>
      </w:r>
      <w:r w:rsidRPr="005E5241">
        <w:rPr>
          <w:spacing w:val="-4"/>
          <w:sz w:val="16"/>
          <w:szCs w:val="16"/>
          <w:lang w:val="en-GB"/>
        </w:rPr>
        <w:t>humanitarian benefits</w:t>
      </w:r>
      <w:r>
        <w:rPr>
          <w:spacing w:val="-4"/>
          <w:sz w:val="16"/>
          <w:szCs w:val="16"/>
          <w:lang w:val="en-GB"/>
        </w:rPr>
        <w:t xml:space="preserve"> this year in June</w:t>
      </w:r>
      <w:r w:rsidRPr="005E5241">
        <w:rPr>
          <w:spacing w:val="-4"/>
          <w:sz w:val="16"/>
          <w:szCs w:val="16"/>
          <w:lang w:val="en-GB"/>
        </w:rPr>
        <w:t>, almost 60% less</w:t>
      </w:r>
      <w:r>
        <w:rPr>
          <w:spacing w:val="-4"/>
          <w:sz w:val="16"/>
          <w:szCs w:val="16"/>
          <w:lang w:val="en-GB"/>
        </w:rPr>
        <w:t>,</w:t>
      </w:r>
      <w:r w:rsidRPr="005E5241">
        <w:rPr>
          <w:spacing w:val="-4"/>
          <w:sz w:val="16"/>
          <w:szCs w:val="16"/>
          <w:lang w:val="en-GB"/>
        </w:rPr>
        <w:t xml:space="preserve"> year-on-year</w:t>
      </w:r>
      <w:r>
        <w:rPr>
          <w:spacing w:val="-4"/>
          <w:sz w:val="16"/>
          <w:szCs w:val="16"/>
          <w:lang w:val="en-GB"/>
        </w:rPr>
        <w:t>.</w:t>
      </w:r>
    </w:p>
  </w:footnote>
  <w:footnote w:id="103">
    <w:p w14:paraId="61888CDB" w14:textId="77777777" w:rsidR="00165465" w:rsidRPr="002C0EB7" w:rsidRDefault="00165465" w:rsidP="00E551F6">
      <w:pPr>
        <w:pStyle w:val="Textpoznpodarou"/>
        <w:jc w:val="both"/>
        <w:rPr>
          <w:spacing w:val="-2"/>
          <w:sz w:val="16"/>
          <w:szCs w:val="16"/>
          <w:lang w:val="en-GB"/>
        </w:rPr>
      </w:pPr>
      <w:r w:rsidRPr="002C0EB7">
        <w:rPr>
          <w:rStyle w:val="Znakapoznpodarou"/>
          <w:spacing w:val="-2"/>
          <w:sz w:val="16"/>
          <w:szCs w:val="16"/>
          <w:lang w:val="en-GB"/>
        </w:rPr>
        <w:footnoteRef/>
      </w:r>
      <w:r w:rsidRPr="002C0EB7">
        <w:rPr>
          <w:spacing w:val="-2"/>
          <w:sz w:val="16"/>
          <w:szCs w:val="16"/>
          <w:lang w:val="en-GB"/>
        </w:rPr>
        <w:t xml:space="preserve"> </w:t>
      </w:r>
      <w:r w:rsidRPr="00F832F3">
        <w:rPr>
          <w:spacing w:val="-2"/>
          <w:sz w:val="16"/>
          <w:szCs w:val="16"/>
          <w:lang w:val="en-GB"/>
        </w:rPr>
        <w:t xml:space="preserve">Expenditure increased for the third year in a row, but its growth rate slowed down noticeably compared to last year. </w:t>
      </w:r>
      <w:r>
        <w:rPr>
          <w:spacing w:val="-2"/>
          <w:sz w:val="16"/>
          <w:szCs w:val="16"/>
          <w:lang w:val="en-GB"/>
        </w:rPr>
        <w:t>T</w:t>
      </w:r>
      <w:r w:rsidRPr="00F832F3">
        <w:rPr>
          <w:spacing w:val="-2"/>
          <w:sz w:val="16"/>
          <w:szCs w:val="16"/>
          <w:lang w:val="en-GB"/>
        </w:rPr>
        <w:t>he volume of contributions has almost tripled this year</w:t>
      </w:r>
      <w:r>
        <w:rPr>
          <w:spacing w:val="-2"/>
          <w:sz w:val="16"/>
          <w:szCs w:val="16"/>
          <w:lang w:val="en-GB"/>
        </w:rPr>
        <w:t xml:space="preserve"> compared to H1 2022</w:t>
      </w:r>
      <w:r w:rsidRPr="00F832F3">
        <w:rPr>
          <w:spacing w:val="-2"/>
          <w:sz w:val="16"/>
          <w:szCs w:val="16"/>
          <w:lang w:val="en-GB"/>
        </w:rPr>
        <w:t xml:space="preserve"> (to 9.9 </w:t>
      </w:r>
      <w:proofErr w:type="spellStart"/>
      <w:r w:rsidRPr="00F832F3">
        <w:rPr>
          <w:spacing w:val="-2"/>
          <w:sz w:val="16"/>
          <w:szCs w:val="16"/>
          <w:lang w:val="en-GB"/>
        </w:rPr>
        <w:t>b</w:t>
      </w:r>
      <w:r>
        <w:rPr>
          <w:spacing w:val="-2"/>
          <w:sz w:val="16"/>
          <w:szCs w:val="16"/>
          <w:lang w:val="en-GB"/>
        </w:rPr>
        <w:t>n</w:t>
      </w:r>
      <w:proofErr w:type="spellEnd"/>
      <w:r>
        <w:rPr>
          <w:spacing w:val="-2"/>
          <w:sz w:val="16"/>
          <w:szCs w:val="16"/>
          <w:lang w:val="en-GB"/>
        </w:rPr>
        <w:t xml:space="preserve"> CZK</w:t>
      </w:r>
      <w:r w:rsidRPr="00F832F3">
        <w:rPr>
          <w:spacing w:val="-2"/>
          <w:sz w:val="16"/>
          <w:szCs w:val="16"/>
          <w:lang w:val="en-GB"/>
        </w:rPr>
        <w:t>) and the number of recipients has increased by almost three quarters (it was 281</w:t>
      </w:r>
      <w:r>
        <w:rPr>
          <w:spacing w:val="-2"/>
          <w:sz w:val="16"/>
          <w:szCs w:val="16"/>
          <w:lang w:val="en-GB"/>
        </w:rPr>
        <w:t> </w:t>
      </w:r>
      <w:r w:rsidRPr="00F832F3">
        <w:rPr>
          <w:spacing w:val="-2"/>
          <w:sz w:val="16"/>
          <w:szCs w:val="16"/>
          <w:lang w:val="en-GB"/>
        </w:rPr>
        <w:t>thousand</w:t>
      </w:r>
      <w:r>
        <w:rPr>
          <w:spacing w:val="-2"/>
          <w:sz w:val="16"/>
          <w:szCs w:val="16"/>
          <w:lang w:val="en-GB"/>
        </w:rPr>
        <w:t xml:space="preserve"> in June</w:t>
      </w:r>
      <w:r w:rsidRPr="00F832F3">
        <w:rPr>
          <w:spacing w:val="-2"/>
          <w:sz w:val="16"/>
          <w:szCs w:val="16"/>
          <w:lang w:val="en-GB"/>
        </w:rPr>
        <w:t>).</w:t>
      </w:r>
    </w:p>
  </w:footnote>
  <w:footnote w:id="104">
    <w:p w14:paraId="4E908FF1"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r w:rsidRPr="00AF0067">
        <w:rPr>
          <w:sz w:val="16"/>
          <w:szCs w:val="16"/>
          <w:lang w:val="en-GB"/>
        </w:rPr>
        <w:t xml:space="preserve">This expresses the difference between </w:t>
      </w:r>
      <w:r>
        <w:rPr>
          <w:sz w:val="16"/>
          <w:szCs w:val="16"/>
          <w:lang w:val="en-GB"/>
        </w:rPr>
        <w:t xml:space="preserve">revenues </w:t>
      </w:r>
      <w:r w:rsidRPr="00AF0067">
        <w:rPr>
          <w:sz w:val="16"/>
          <w:szCs w:val="16"/>
          <w:lang w:val="en-GB"/>
        </w:rPr>
        <w:t>from sickness insurance premiums and expenditure on benefits from this insurance according to the CS</w:t>
      </w:r>
      <w:r>
        <w:rPr>
          <w:sz w:val="16"/>
          <w:szCs w:val="16"/>
          <w:lang w:val="en-GB"/>
        </w:rPr>
        <w:t>SA</w:t>
      </w:r>
      <w:r w:rsidRPr="00AF0067">
        <w:rPr>
          <w:sz w:val="16"/>
          <w:szCs w:val="16"/>
          <w:lang w:val="en-GB"/>
        </w:rPr>
        <w:t xml:space="preserve"> balance sheet.</w:t>
      </w:r>
      <w:r>
        <w:rPr>
          <w:sz w:val="16"/>
          <w:szCs w:val="16"/>
          <w:lang w:val="en-GB"/>
        </w:rPr>
        <w:t xml:space="preserve"> </w:t>
      </w:r>
    </w:p>
  </w:footnote>
  <w:footnote w:id="105">
    <w:p w14:paraId="1AEEEDFD"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w:t>
      </w:r>
      <w:r>
        <w:rPr>
          <w:sz w:val="16"/>
          <w:szCs w:val="16"/>
          <w:lang w:val="en-GB"/>
        </w:rPr>
        <w:t>E</w:t>
      </w:r>
      <w:r w:rsidRPr="00527E5E">
        <w:rPr>
          <w:sz w:val="16"/>
          <w:szCs w:val="16"/>
          <w:lang w:val="en-GB"/>
        </w:rPr>
        <w:t>xpenditure on these benefits increased by 12.7%</w:t>
      </w:r>
      <w:r>
        <w:rPr>
          <w:sz w:val="16"/>
          <w:szCs w:val="16"/>
          <w:lang w:val="en-GB"/>
        </w:rPr>
        <w:t xml:space="preserve"> compared to H1 2020</w:t>
      </w:r>
      <w:r w:rsidRPr="00527E5E">
        <w:rPr>
          <w:sz w:val="16"/>
          <w:szCs w:val="16"/>
          <w:lang w:val="en-GB"/>
        </w:rPr>
        <w:t xml:space="preserve"> and the average monthly number of </w:t>
      </w:r>
      <w:r>
        <w:rPr>
          <w:sz w:val="16"/>
          <w:szCs w:val="16"/>
          <w:lang w:val="en-GB"/>
        </w:rPr>
        <w:t xml:space="preserve">their </w:t>
      </w:r>
      <w:r w:rsidRPr="00527E5E">
        <w:rPr>
          <w:sz w:val="16"/>
          <w:szCs w:val="16"/>
          <w:lang w:val="en-GB"/>
        </w:rPr>
        <w:t>recipients</w:t>
      </w:r>
      <w:r>
        <w:rPr>
          <w:sz w:val="16"/>
          <w:szCs w:val="16"/>
          <w:lang w:val="en-GB"/>
        </w:rPr>
        <w:t xml:space="preserve"> </w:t>
      </w:r>
      <w:r w:rsidRPr="00527E5E">
        <w:rPr>
          <w:sz w:val="16"/>
          <w:szCs w:val="16"/>
          <w:lang w:val="en-GB"/>
        </w:rPr>
        <w:t>remained almost unchanged (around 370</w:t>
      </w:r>
      <w:r>
        <w:rPr>
          <w:sz w:val="16"/>
          <w:szCs w:val="16"/>
          <w:lang w:val="en-GB"/>
        </w:rPr>
        <w:t> </w:t>
      </w:r>
      <w:r w:rsidRPr="00527E5E">
        <w:rPr>
          <w:sz w:val="16"/>
          <w:szCs w:val="16"/>
          <w:lang w:val="en-GB"/>
        </w:rPr>
        <w:t xml:space="preserve">thousand persons). </w:t>
      </w:r>
      <w:r>
        <w:rPr>
          <w:sz w:val="16"/>
          <w:szCs w:val="16"/>
          <w:lang w:val="en-GB"/>
        </w:rPr>
        <w:t>The</w:t>
      </w:r>
      <w:r w:rsidRPr="00527E5E">
        <w:rPr>
          <w:sz w:val="16"/>
          <w:szCs w:val="16"/>
          <w:lang w:val="en-GB"/>
        </w:rPr>
        <w:t xml:space="preserve"> population of the Czech Republic aged over 65 increased by 5%</w:t>
      </w:r>
      <w:r>
        <w:rPr>
          <w:sz w:val="16"/>
          <w:szCs w:val="16"/>
          <w:lang w:val="en-GB"/>
        </w:rPr>
        <w:t xml:space="preserve"> between years 2020 and 2023</w:t>
      </w:r>
      <w:r w:rsidRPr="00527E5E">
        <w:rPr>
          <w:sz w:val="16"/>
          <w:szCs w:val="16"/>
          <w:lang w:val="en-GB"/>
        </w:rPr>
        <w:t>, of which 80 years and older by 11.5%.</w:t>
      </w:r>
      <w:r>
        <w:rPr>
          <w:sz w:val="16"/>
          <w:szCs w:val="16"/>
          <w:lang w:val="en-GB"/>
        </w:rPr>
        <w:t xml:space="preserve"> </w:t>
      </w:r>
    </w:p>
  </w:footnote>
  <w:footnote w:id="106">
    <w:p w14:paraId="5B2CC9CA" w14:textId="77777777" w:rsidR="00165465" w:rsidRPr="002C0EB7" w:rsidRDefault="00165465" w:rsidP="00E551F6">
      <w:pPr>
        <w:pStyle w:val="Textpoznpodarou"/>
        <w:jc w:val="both"/>
        <w:rPr>
          <w:sz w:val="16"/>
          <w:szCs w:val="16"/>
          <w:lang w:val="en-GB"/>
        </w:rPr>
      </w:pPr>
      <w:r w:rsidRPr="002C0EB7">
        <w:rPr>
          <w:rStyle w:val="Znakapoznpodarou"/>
          <w:sz w:val="16"/>
          <w:szCs w:val="16"/>
          <w:lang w:val="en-GB"/>
        </w:rPr>
        <w:footnoteRef/>
      </w:r>
      <w:r w:rsidRPr="002C0EB7">
        <w:rPr>
          <w:sz w:val="16"/>
          <w:szCs w:val="16"/>
          <w:lang w:val="en-GB"/>
        </w:rPr>
        <w:t xml:space="preserve"> The monthly payment per person went up from 1900 CZK to 2085 CZK as of January this year. </w:t>
      </w:r>
    </w:p>
  </w:footnote>
  <w:footnote w:id="107">
    <w:p w14:paraId="60464424" w14:textId="77777777" w:rsidR="00165465" w:rsidRPr="007F4332" w:rsidRDefault="00165465" w:rsidP="00E551F6">
      <w:pPr>
        <w:pStyle w:val="Textpoznpodarou"/>
        <w:jc w:val="both"/>
        <w:rPr>
          <w:color w:val="0D0D0D" w:themeColor="text1" w:themeTint="F2"/>
          <w:spacing w:val="-2"/>
        </w:rPr>
      </w:pPr>
      <w:r w:rsidRPr="00BA6711">
        <w:rPr>
          <w:rStyle w:val="Znakapoznpodarou"/>
          <w:spacing w:val="-2"/>
          <w:sz w:val="16"/>
          <w:szCs w:val="16"/>
        </w:rPr>
        <w:footnoteRef/>
      </w:r>
      <w:r>
        <w:rPr>
          <w:spacing w:val="-2"/>
          <w:sz w:val="16"/>
          <w:szCs w:val="16"/>
        </w:rPr>
        <w:t xml:space="preserve"> </w:t>
      </w:r>
      <w:r w:rsidRPr="001F4DCB">
        <w:rPr>
          <w:spacing w:val="-2"/>
          <w:sz w:val="16"/>
          <w:szCs w:val="16"/>
        </w:rPr>
        <w:t xml:space="preserve">In H1 2024, </w:t>
      </w:r>
      <w:proofErr w:type="spellStart"/>
      <w:r w:rsidRPr="001F4DCB">
        <w:rPr>
          <w:spacing w:val="-2"/>
          <w:sz w:val="16"/>
          <w:szCs w:val="16"/>
        </w:rPr>
        <w:t>government</w:t>
      </w:r>
      <w:proofErr w:type="spellEnd"/>
      <w:r w:rsidRPr="001F4DCB">
        <w:rPr>
          <w:spacing w:val="-2"/>
          <w:sz w:val="16"/>
          <w:szCs w:val="16"/>
        </w:rPr>
        <w:t xml:space="preserve"> </w:t>
      </w:r>
      <w:proofErr w:type="spellStart"/>
      <w:r w:rsidRPr="001F4DCB">
        <w:rPr>
          <w:spacing w:val="-2"/>
          <w:sz w:val="16"/>
          <w:szCs w:val="16"/>
        </w:rPr>
        <w:t>bonds</w:t>
      </w:r>
      <w:proofErr w:type="spellEnd"/>
      <w:r w:rsidRPr="001F4DCB">
        <w:rPr>
          <w:spacing w:val="-2"/>
          <w:sz w:val="16"/>
          <w:szCs w:val="16"/>
        </w:rPr>
        <w:t xml:space="preserve"> (</w:t>
      </w:r>
      <w:proofErr w:type="spellStart"/>
      <w:r w:rsidRPr="001F4DCB">
        <w:rPr>
          <w:spacing w:val="-2"/>
          <w:sz w:val="16"/>
          <w:szCs w:val="16"/>
        </w:rPr>
        <w:t>with</w:t>
      </w:r>
      <w:proofErr w:type="spellEnd"/>
      <w:r w:rsidRPr="001F4DCB">
        <w:rPr>
          <w:spacing w:val="-2"/>
          <w:sz w:val="16"/>
          <w:szCs w:val="16"/>
        </w:rPr>
        <w:t xml:space="preserve"> maturit</w:t>
      </w:r>
      <w:r>
        <w:rPr>
          <w:spacing w:val="-2"/>
          <w:sz w:val="16"/>
          <w:szCs w:val="16"/>
        </w:rPr>
        <w:t>y</w:t>
      </w:r>
      <w:r w:rsidRPr="001F4DCB">
        <w:rPr>
          <w:spacing w:val="-2"/>
          <w:sz w:val="16"/>
          <w:szCs w:val="16"/>
        </w:rPr>
        <w:t xml:space="preserve"> </w:t>
      </w:r>
      <w:proofErr w:type="spellStart"/>
      <w:r w:rsidRPr="001F4DCB">
        <w:rPr>
          <w:spacing w:val="-2"/>
          <w:sz w:val="16"/>
          <w:szCs w:val="16"/>
        </w:rPr>
        <w:t>over</w:t>
      </w:r>
      <w:proofErr w:type="spellEnd"/>
      <w:r w:rsidRPr="001F4DCB">
        <w:rPr>
          <w:spacing w:val="-2"/>
          <w:sz w:val="16"/>
          <w:szCs w:val="16"/>
        </w:rPr>
        <w:t xml:space="preserve"> 1 </w:t>
      </w:r>
      <w:proofErr w:type="spellStart"/>
      <w:r w:rsidRPr="001F4DCB">
        <w:rPr>
          <w:spacing w:val="-2"/>
          <w:sz w:val="16"/>
          <w:szCs w:val="16"/>
        </w:rPr>
        <w:t>year</w:t>
      </w:r>
      <w:proofErr w:type="spellEnd"/>
      <w:r w:rsidRPr="001F4DCB">
        <w:rPr>
          <w:spacing w:val="-2"/>
          <w:sz w:val="16"/>
          <w:szCs w:val="16"/>
        </w:rPr>
        <w:t xml:space="preserve">) </w:t>
      </w:r>
      <w:proofErr w:type="spellStart"/>
      <w:r w:rsidRPr="001F4DCB">
        <w:rPr>
          <w:spacing w:val="-2"/>
          <w:sz w:val="16"/>
          <w:szCs w:val="16"/>
        </w:rPr>
        <w:t>were</w:t>
      </w:r>
      <w:proofErr w:type="spellEnd"/>
      <w:r w:rsidRPr="001F4DCB">
        <w:rPr>
          <w:spacing w:val="-2"/>
          <w:sz w:val="16"/>
          <w:szCs w:val="16"/>
        </w:rPr>
        <w:t xml:space="preserve"> sold </w:t>
      </w:r>
      <w:proofErr w:type="spellStart"/>
      <w:r w:rsidRPr="001F4DCB">
        <w:rPr>
          <w:spacing w:val="-2"/>
          <w:sz w:val="16"/>
          <w:szCs w:val="16"/>
        </w:rPr>
        <w:t>with</w:t>
      </w:r>
      <w:proofErr w:type="spellEnd"/>
      <w:r w:rsidRPr="001F4DCB">
        <w:rPr>
          <w:spacing w:val="-2"/>
          <w:sz w:val="16"/>
          <w:szCs w:val="16"/>
        </w:rPr>
        <w:t xml:space="preserve"> a </w:t>
      </w:r>
      <w:proofErr w:type="spellStart"/>
      <w:r w:rsidRPr="001F4DCB">
        <w:rPr>
          <w:spacing w:val="-2"/>
          <w:sz w:val="16"/>
          <w:szCs w:val="16"/>
        </w:rPr>
        <w:t>total</w:t>
      </w:r>
      <w:proofErr w:type="spellEnd"/>
      <w:r w:rsidRPr="001F4DCB">
        <w:rPr>
          <w:spacing w:val="-2"/>
          <w:sz w:val="16"/>
          <w:szCs w:val="16"/>
        </w:rPr>
        <w:t xml:space="preserve"> </w:t>
      </w:r>
      <w:proofErr w:type="spellStart"/>
      <w:r w:rsidRPr="001F4DCB">
        <w:rPr>
          <w:spacing w:val="-2"/>
          <w:sz w:val="16"/>
          <w:szCs w:val="16"/>
        </w:rPr>
        <w:t>value</w:t>
      </w:r>
      <w:proofErr w:type="spellEnd"/>
      <w:r w:rsidRPr="001F4DCB">
        <w:rPr>
          <w:spacing w:val="-2"/>
          <w:sz w:val="16"/>
          <w:szCs w:val="16"/>
        </w:rPr>
        <w:t xml:space="preserve"> </w:t>
      </w:r>
      <w:proofErr w:type="spellStart"/>
      <w:r w:rsidRPr="001F4DCB">
        <w:rPr>
          <w:spacing w:val="-2"/>
          <w:sz w:val="16"/>
          <w:szCs w:val="16"/>
        </w:rPr>
        <w:t>of</w:t>
      </w:r>
      <w:proofErr w:type="spellEnd"/>
      <w:r w:rsidRPr="001F4DCB">
        <w:rPr>
          <w:spacing w:val="-2"/>
          <w:sz w:val="16"/>
          <w:szCs w:val="16"/>
        </w:rPr>
        <w:t xml:space="preserve"> 161.4 </w:t>
      </w:r>
      <w:proofErr w:type="spellStart"/>
      <w:r w:rsidRPr="001F4DCB">
        <w:rPr>
          <w:spacing w:val="-2"/>
          <w:sz w:val="16"/>
          <w:szCs w:val="16"/>
        </w:rPr>
        <w:t>b</w:t>
      </w:r>
      <w:r>
        <w:rPr>
          <w:spacing w:val="-2"/>
          <w:sz w:val="16"/>
          <w:szCs w:val="16"/>
        </w:rPr>
        <w:t>n</w:t>
      </w:r>
      <w:proofErr w:type="spellEnd"/>
      <w:r>
        <w:rPr>
          <w:spacing w:val="-2"/>
          <w:sz w:val="16"/>
          <w:szCs w:val="16"/>
        </w:rPr>
        <w:t xml:space="preserve"> CZK</w:t>
      </w:r>
      <w:r w:rsidRPr="001F4DCB">
        <w:rPr>
          <w:spacing w:val="-2"/>
          <w:sz w:val="16"/>
          <w:szCs w:val="16"/>
        </w:rPr>
        <w:t xml:space="preserve">, </w:t>
      </w:r>
      <w:r>
        <w:rPr>
          <w:spacing w:val="-2"/>
          <w:sz w:val="16"/>
          <w:szCs w:val="16"/>
        </w:rPr>
        <w:t xml:space="preserve">in </w:t>
      </w:r>
      <w:proofErr w:type="spellStart"/>
      <w:r>
        <w:rPr>
          <w:spacing w:val="-2"/>
          <w:sz w:val="16"/>
          <w:szCs w:val="16"/>
        </w:rPr>
        <w:t>that</w:t>
      </w:r>
      <w:proofErr w:type="spellEnd"/>
      <w:r>
        <w:rPr>
          <w:spacing w:val="-2"/>
          <w:sz w:val="16"/>
          <w:szCs w:val="16"/>
        </w:rPr>
        <w:t xml:space="preserve"> </w:t>
      </w:r>
      <w:proofErr w:type="spellStart"/>
      <w:r>
        <w:rPr>
          <w:spacing w:val="-2"/>
          <w:sz w:val="16"/>
          <w:szCs w:val="16"/>
        </w:rPr>
        <w:t>the</w:t>
      </w:r>
      <w:proofErr w:type="spellEnd"/>
      <w:r>
        <w:rPr>
          <w:spacing w:val="-2"/>
          <w:sz w:val="16"/>
          <w:szCs w:val="16"/>
        </w:rPr>
        <w:t xml:space="preserve"> </w:t>
      </w:r>
      <w:proofErr w:type="spellStart"/>
      <w:r w:rsidRPr="001F4DCB">
        <w:rPr>
          <w:spacing w:val="-2"/>
          <w:sz w:val="16"/>
          <w:szCs w:val="16"/>
        </w:rPr>
        <w:t>fixed-interest</w:t>
      </w:r>
      <w:proofErr w:type="spellEnd"/>
      <w:r w:rsidRPr="001F4DCB">
        <w:rPr>
          <w:spacing w:val="-2"/>
          <w:sz w:val="16"/>
          <w:szCs w:val="16"/>
        </w:rPr>
        <w:t xml:space="preserve"> </w:t>
      </w:r>
      <w:proofErr w:type="spellStart"/>
      <w:r w:rsidRPr="001F4DCB">
        <w:rPr>
          <w:spacing w:val="-2"/>
          <w:sz w:val="16"/>
          <w:szCs w:val="16"/>
        </w:rPr>
        <w:t>bonds</w:t>
      </w:r>
      <w:proofErr w:type="spellEnd"/>
      <w:r w:rsidRPr="001F4DCB">
        <w:rPr>
          <w:spacing w:val="-2"/>
          <w:sz w:val="16"/>
          <w:szCs w:val="16"/>
        </w:rPr>
        <w:t xml:space="preserve"> </w:t>
      </w:r>
      <w:proofErr w:type="spellStart"/>
      <w:r w:rsidRPr="001F4DCB">
        <w:rPr>
          <w:spacing w:val="-2"/>
          <w:sz w:val="16"/>
          <w:szCs w:val="16"/>
        </w:rPr>
        <w:t>worth</w:t>
      </w:r>
      <w:proofErr w:type="spellEnd"/>
      <w:r w:rsidRPr="001F4DCB">
        <w:rPr>
          <w:spacing w:val="-2"/>
          <w:sz w:val="16"/>
          <w:szCs w:val="16"/>
        </w:rPr>
        <w:t xml:space="preserve"> 144 </w:t>
      </w:r>
      <w:proofErr w:type="spellStart"/>
      <w:r w:rsidRPr="001F4DCB">
        <w:rPr>
          <w:spacing w:val="-2"/>
          <w:sz w:val="16"/>
          <w:szCs w:val="16"/>
        </w:rPr>
        <w:t>b</w:t>
      </w:r>
      <w:r>
        <w:rPr>
          <w:spacing w:val="-2"/>
          <w:sz w:val="16"/>
          <w:szCs w:val="16"/>
        </w:rPr>
        <w:t>n</w:t>
      </w:r>
      <w:proofErr w:type="spellEnd"/>
      <w:r>
        <w:rPr>
          <w:spacing w:val="-2"/>
          <w:sz w:val="16"/>
          <w:szCs w:val="16"/>
        </w:rPr>
        <w:t xml:space="preserve"> CZK </w:t>
      </w:r>
      <w:proofErr w:type="spellStart"/>
      <w:r w:rsidRPr="001F4DCB">
        <w:rPr>
          <w:spacing w:val="-2"/>
          <w:sz w:val="16"/>
          <w:szCs w:val="16"/>
        </w:rPr>
        <w:t>with</w:t>
      </w:r>
      <w:proofErr w:type="spellEnd"/>
      <w:r w:rsidRPr="001F4DCB">
        <w:rPr>
          <w:spacing w:val="-2"/>
          <w:sz w:val="16"/>
          <w:szCs w:val="16"/>
        </w:rPr>
        <w:t xml:space="preserve"> </w:t>
      </w:r>
      <w:proofErr w:type="spellStart"/>
      <w:r w:rsidRPr="001F4DCB">
        <w:rPr>
          <w:spacing w:val="-2"/>
          <w:sz w:val="16"/>
          <w:szCs w:val="16"/>
        </w:rPr>
        <w:t>an</w:t>
      </w:r>
      <w:proofErr w:type="spellEnd"/>
      <w:r w:rsidRPr="001F4DCB">
        <w:rPr>
          <w:spacing w:val="-2"/>
          <w:sz w:val="16"/>
          <w:szCs w:val="16"/>
        </w:rPr>
        <w:t xml:space="preserve"> </w:t>
      </w:r>
      <w:proofErr w:type="spellStart"/>
      <w:r w:rsidRPr="001F4DCB">
        <w:rPr>
          <w:spacing w:val="-2"/>
          <w:sz w:val="16"/>
          <w:szCs w:val="16"/>
        </w:rPr>
        <w:t>average</w:t>
      </w:r>
      <w:proofErr w:type="spellEnd"/>
      <w:r w:rsidRPr="001F4DCB">
        <w:rPr>
          <w:spacing w:val="-2"/>
          <w:sz w:val="16"/>
          <w:szCs w:val="16"/>
        </w:rPr>
        <w:t xml:space="preserve"> </w:t>
      </w:r>
      <w:proofErr w:type="spellStart"/>
      <w:r w:rsidRPr="001F4DCB">
        <w:rPr>
          <w:spacing w:val="-2"/>
          <w:sz w:val="16"/>
          <w:szCs w:val="16"/>
        </w:rPr>
        <w:t>annual</w:t>
      </w:r>
      <w:proofErr w:type="spellEnd"/>
      <w:r w:rsidRPr="001F4DCB">
        <w:rPr>
          <w:spacing w:val="-2"/>
          <w:sz w:val="16"/>
          <w:szCs w:val="16"/>
        </w:rPr>
        <w:t xml:space="preserve"> </w:t>
      </w:r>
      <w:proofErr w:type="spellStart"/>
      <w:r w:rsidRPr="001F4DCB">
        <w:rPr>
          <w:spacing w:val="-2"/>
          <w:sz w:val="16"/>
          <w:szCs w:val="16"/>
        </w:rPr>
        <w:t>yield</w:t>
      </w:r>
      <w:proofErr w:type="spellEnd"/>
      <w:r w:rsidRPr="001F4DCB">
        <w:rPr>
          <w:spacing w:val="-2"/>
          <w:sz w:val="16"/>
          <w:szCs w:val="16"/>
        </w:rPr>
        <w:t xml:space="preserve"> </w:t>
      </w:r>
      <w:proofErr w:type="spellStart"/>
      <w:r w:rsidRPr="001F4DCB">
        <w:rPr>
          <w:spacing w:val="-2"/>
          <w:sz w:val="16"/>
          <w:szCs w:val="16"/>
        </w:rPr>
        <w:t>of</w:t>
      </w:r>
      <w:proofErr w:type="spellEnd"/>
      <w:r w:rsidRPr="001F4DCB">
        <w:rPr>
          <w:spacing w:val="-2"/>
          <w:sz w:val="16"/>
          <w:szCs w:val="16"/>
        </w:rPr>
        <w:t xml:space="preserve"> 4.0% </w:t>
      </w:r>
      <w:r>
        <w:rPr>
          <w:spacing w:val="-2"/>
          <w:sz w:val="16"/>
          <w:szCs w:val="16"/>
        </w:rPr>
        <w:t xml:space="preserve">and </w:t>
      </w:r>
      <w:proofErr w:type="spellStart"/>
      <w:r w:rsidRPr="001F4DCB">
        <w:rPr>
          <w:spacing w:val="-2"/>
          <w:sz w:val="16"/>
          <w:szCs w:val="16"/>
        </w:rPr>
        <w:t>an</w:t>
      </w:r>
      <w:proofErr w:type="spellEnd"/>
      <w:r w:rsidRPr="001F4DCB">
        <w:rPr>
          <w:spacing w:val="-2"/>
          <w:sz w:val="16"/>
          <w:szCs w:val="16"/>
        </w:rPr>
        <w:t xml:space="preserve"> </w:t>
      </w:r>
      <w:proofErr w:type="spellStart"/>
      <w:r w:rsidRPr="001F4DCB">
        <w:rPr>
          <w:spacing w:val="-2"/>
          <w:sz w:val="16"/>
          <w:szCs w:val="16"/>
        </w:rPr>
        <w:t>average</w:t>
      </w:r>
      <w:proofErr w:type="spellEnd"/>
      <w:r w:rsidRPr="001F4DCB">
        <w:rPr>
          <w:spacing w:val="-2"/>
          <w:sz w:val="16"/>
          <w:szCs w:val="16"/>
        </w:rPr>
        <w:t xml:space="preserve"> </w:t>
      </w:r>
      <w:proofErr w:type="spellStart"/>
      <w:r w:rsidRPr="001F4DCB">
        <w:rPr>
          <w:spacing w:val="-2"/>
          <w:sz w:val="16"/>
          <w:szCs w:val="16"/>
        </w:rPr>
        <w:t>residual</w:t>
      </w:r>
      <w:proofErr w:type="spellEnd"/>
      <w:r w:rsidRPr="001F4DCB">
        <w:rPr>
          <w:spacing w:val="-2"/>
          <w:sz w:val="16"/>
          <w:szCs w:val="16"/>
        </w:rPr>
        <w:t xml:space="preserve"> </w:t>
      </w:r>
      <w:proofErr w:type="spellStart"/>
      <w:r w:rsidRPr="001F4DCB">
        <w:rPr>
          <w:spacing w:val="-2"/>
          <w:sz w:val="16"/>
          <w:szCs w:val="16"/>
        </w:rPr>
        <w:t>time</w:t>
      </w:r>
      <w:proofErr w:type="spellEnd"/>
      <w:r w:rsidRPr="001F4DCB">
        <w:rPr>
          <w:spacing w:val="-2"/>
          <w:sz w:val="16"/>
          <w:szCs w:val="16"/>
        </w:rPr>
        <w:t xml:space="preserve"> to maturity </w:t>
      </w:r>
      <w:proofErr w:type="spellStart"/>
      <w:r w:rsidRPr="001F4DCB">
        <w:rPr>
          <w:spacing w:val="-2"/>
          <w:sz w:val="16"/>
          <w:szCs w:val="16"/>
        </w:rPr>
        <w:t>of</w:t>
      </w:r>
      <w:proofErr w:type="spellEnd"/>
      <w:r w:rsidRPr="001F4DCB">
        <w:rPr>
          <w:spacing w:val="-2"/>
          <w:sz w:val="16"/>
          <w:szCs w:val="16"/>
        </w:rPr>
        <w:t xml:space="preserve"> 10.1 </w:t>
      </w:r>
      <w:proofErr w:type="spellStart"/>
      <w:r w:rsidRPr="001F4DCB">
        <w:rPr>
          <w:spacing w:val="-2"/>
          <w:sz w:val="16"/>
          <w:szCs w:val="16"/>
        </w:rPr>
        <w:t>years</w:t>
      </w:r>
      <w:proofErr w:type="spellEnd"/>
      <w:r w:rsidRPr="001F4DCB">
        <w:rPr>
          <w:spacing w:val="-2"/>
          <w:sz w:val="16"/>
          <w:szCs w:val="16"/>
        </w:rPr>
        <w:t>.</w:t>
      </w:r>
      <w:r>
        <w:rPr>
          <w:spacing w:val="-2"/>
          <w:sz w:val="16"/>
          <w:szCs w:val="16"/>
        </w:rPr>
        <w:t xml:space="preserve"> </w:t>
      </w:r>
      <w:proofErr w:type="spellStart"/>
      <w:r>
        <w:rPr>
          <w:spacing w:val="-2"/>
          <w:sz w:val="16"/>
          <w:szCs w:val="16"/>
        </w:rPr>
        <w:t>T</w:t>
      </w:r>
      <w:r w:rsidRPr="001F4DCB">
        <w:rPr>
          <w:spacing w:val="-2"/>
          <w:sz w:val="16"/>
          <w:szCs w:val="16"/>
        </w:rPr>
        <w:t>he</w:t>
      </w:r>
      <w:proofErr w:type="spellEnd"/>
      <w:r w:rsidRPr="001F4DCB">
        <w:rPr>
          <w:spacing w:val="-2"/>
          <w:sz w:val="16"/>
          <w:szCs w:val="16"/>
        </w:rPr>
        <w:t xml:space="preserve"> </w:t>
      </w:r>
      <w:proofErr w:type="spellStart"/>
      <w:r w:rsidRPr="001F4DCB">
        <w:rPr>
          <w:spacing w:val="-2"/>
          <w:sz w:val="16"/>
          <w:szCs w:val="16"/>
        </w:rPr>
        <w:t>total</w:t>
      </w:r>
      <w:proofErr w:type="spellEnd"/>
      <w:r w:rsidRPr="001F4DCB">
        <w:rPr>
          <w:spacing w:val="-2"/>
          <w:sz w:val="16"/>
          <w:szCs w:val="16"/>
        </w:rPr>
        <w:t xml:space="preserve"> </w:t>
      </w:r>
      <w:proofErr w:type="spellStart"/>
      <w:r w:rsidRPr="001F4DCB">
        <w:rPr>
          <w:spacing w:val="-2"/>
          <w:sz w:val="16"/>
          <w:szCs w:val="16"/>
        </w:rPr>
        <w:t>issue</w:t>
      </w:r>
      <w:proofErr w:type="spellEnd"/>
      <w:r w:rsidRPr="001F4DCB">
        <w:rPr>
          <w:spacing w:val="-2"/>
          <w:sz w:val="16"/>
          <w:szCs w:val="16"/>
        </w:rPr>
        <w:t xml:space="preserve"> </w:t>
      </w:r>
      <w:proofErr w:type="spellStart"/>
      <w:r w:rsidRPr="001F4DCB">
        <w:rPr>
          <w:spacing w:val="-2"/>
          <w:sz w:val="16"/>
          <w:szCs w:val="16"/>
        </w:rPr>
        <w:t>of</w:t>
      </w:r>
      <w:proofErr w:type="spellEnd"/>
      <w:r w:rsidRPr="001F4DCB">
        <w:rPr>
          <w:spacing w:val="-2"/>
          <w:sz w:val="16"/>
          <w:szCs w:val="16"/>
        </w:rPr>
        <w:t xml:space="preserve"> medium- and long-term </w:t>
      </w:r>
      <w:r>
        <w:rPr>
          <w:spacing w:val="-2"/>
          <w:sz w:val="16"/>
          <w:szCs w:val="16"/>
        </w:rPr>
        <w:t xml:space="preserve">CZK </w:t>
      </w:r>
      <w:proofErr w:type="spellStart"/>
      <w:r>
        <w:rPr>
          <w:spacing w:val="-2"/>
          <w:sz w:val="16"/>
          <w:szCs w:val="16"/>
        </w:rPr>
        <w:t>denominated</w:t>
      </w:r>
      <w:proofErr w:type="spellEnd"/>
      <w:r>
        <w:rPr>
          <w:spacing w:val="-2"/>
          <w:sz w:val="16"/>
          <w:szCs w:val="16"/>
        </w:rPr>
        <w:t xml:space="preserve"> </w:t>
      </w:r>
      <w:proofErr w:type="spellStart"/>
      <w:r w:rsidRPr="001F4DCB">
        <w:rPr>
          <w:spacing w:val="-2"/>
          <w:sz w:val="16"/>
          <w:szCs w:val="16"/>
        </w:rPr>
        <w:t>government</w:t>
      </w:r>
      <w:proofErr w:type="spellEnd"/>
      <w:r w:rsidRPr="001F4DCB">
        <w:rPr>
          <w:spacing w:val="-2"/>
          <w:sz w:val="16"/>
          <w:szCs w:val="16"/>
        </w:rPr>
        <w:t xml:space="preserve"> </w:t>
      </w:r>
      <w:proofErr w:type="spellStart"/>
      <w:r w:rsidRPr="001F4DCB">
        <w:rPr>
          <w:spacing w:val="-2"/>
          <w:sz w:val="16"/>
          <w:szCs w:val="16"/>
        </w:rPr>
        <w:t>bonds</w:t>
      </w:r>
      <w:proofErr w:type="spellEnd"/>
      <w:r w:rsidRPr="001F4DCB">
        <w:rPr>
          <w:spacing w:val="-2"/>
          <w:sz w:val="16"/>
          <w:szCs w:val="16"/>
        </w:rPr>
        <w:t xml:space="preserve"> </w:t>
      </w:r>
      <w:proofErr w:type="spellStart"/>
      <w:r w:rsidRPr="001F4DCB">
        <w:rPr>
          <w:spacing w:val="-2"/>
          <w:sz w:val="16"/>
          <w:szCs w:val="16"/>
        </w:rPr>
        <w:t>amounted</w:t>
      </w:r>
      <w:proofErr w:type="spellEnd"/>
      <w:r w:rsidRPr="001F4DCB">
        <w:rPr>
          <w:spacing w:val="-2"/>
          <w:sz w:val="16"/>
          <w:szCs w:val="16"/>
        </w:rPr>
        <w:t xml:space="preserve"> to 287 </w:t>
      </w:r>
      <w:proofErr w:type="spellStart"/>
      <w:r w:rsidRPr="001F4DCB">
        <w:rPr>
          <w:spacing w:val="-2"/>
          <w:sz w:val="16"/>
          <w:szCs w:val="16"/>
        </w:rPr>
        <w:t>b</w:t>
      </w:r>
      <w:r>
        <w:rPr>
          <w:spacing w:val="-2"/>
          <w:sz w:val="16"/>
          <w:szCs w:val="16"/>
        </w:rPr>
        <w:t>n</w:t>
      </w:r>
      <w:proofErr w:type="spellEnd"/>
      <w:r>
        <w:rPr>
          <w:spacing w:val="-2"/>
          <w:sz w:val="16"/>
          <w:szCs w:val="16"/>
        </w:rPr>
        <w:t xml:space="preserve"> CZK in H1 2023</w:t>
      </w:r>
      <w:r w:rsidRPr="001F4DCB">
        <w:rPr>
          <w:spacing w:val="-2"/>
          <w:sz w:val="16"/>
          <w:szCs w:val="16"/>
        </w:rPr>
        <w:t xml:space="preserve">, </w:t>
      </w:r>
      <w:proofErr w:type="spellStart"/>
      <w:r w:rsidRPr="001F4DCB">
        <w:rPr>
          <w:spacing w:val="-2"/>
          <w:sz w:val="16"/>
          <w:szCs w:val="16"/>
        </w:rPr>
        <w:t>of</w:t>
      </w:r>
      <w:proofErr w:type="spellEnd"/>
      <w:r w:rsidRPr="001F4DCB">
        <w:rPr>
          <w:spacing w:val="-2"/>
          <w:sz w:val="16"/>
          <w:szCs w:val="16"/>
        </w:rPr>
        <w:t xml:space="preserve"> </w:t>
      </w:r>
      <w:proofErr w:type="spellStart"/>
      <w:r w:rsidRPr="001F4DCB">
        <w:rPr>
          <w:spacing w:val="-2"/>
          <w:sz w:val="16"/>
          <w:szCs w:val="16"/>
        </w:rPr>
        <w:t>which</w:t>
      </w:r>
      <w:proofErr w:type="spellEnd"/>
      <w:r w:rsidRPr="001F4DCB">
        <w:rPr>
          <w:spacing w:val="-2"/>
          <w:sz w:val="16"/>
          <w:szCs w:val="16"/>
        </w:rPr>
        <w:t xml:space="preserve"> </w:t>
      </w:r>
      <w:proofErr w:type="spellStart"/>
      <w:r>
        <w:rPr>
          <w:spacing w:val="-2"/>
          <w:sz w:val="16"/>
          <w:szCs w:val="16"/>
        </w:rPr>
        <w:t>the</w:t>
      </w:r>
      <w:proofErr w:type="spellEnd"/>
      <w:r>
        <w:rPr>
          <w:spacing w:val="-2"/>
          <w:sz w:val="16"/>
          <w:szCs w:val="16"/>
        </w:rPr>
        <w:t xml:space="preserve"> </w:t>
      </w:r>
      <w:proofErr w:type="spellStart"/>
      <w:r w:rsidRPr="001F4DCB">
        <w:rPr>
          <w:spacing w:val="-2"/>
          <w:sz w:val="16"/>
          <w:szCs w:val="16"/>
        </w:rPr>
        <w:t>fixed-interest</w:t>
      </w:r>
      <w:proofErr w:type="spellEnd"/>
      <w:r w:rsidRPr="001F4DCB">
        <w:rPr>
          <w:spacing w:val="-2"/>
          <w:sz w:val="16"/>
          <w:szCs w:val="16"/>
        </w:rPr>
        <w:t xml:space="preserve"> </w:t>
      </w:r>
      <w:proofErr w:type="spellStart"/>
      <w:r w:rsidRPr="001F4DCB">
        <w:rPr>
          <w:spacing w:val="-2"/>
          <w:sz w:val="16"/>
          <w:szCs w:val="16"/>
        </w:rPr>
        <w:t>bonds</w:t>
      </w:r>
      <w:proofErr w:type="spellEnd"/>
      <w:r w:rsidRPr="001F4DCB">
        <w:rPr>
          <w:spacing w:val="-2"/>
          <w:sz w:val="16"/>
          <w:szCs w:val="16"/>
        </w:rPr>
        <w:t xml:space="preserve"> </w:t>
      </w:r>
      <w:proofErr w:type="spellStart"/>
      <w:r w:rsidRPr="001F4DCB">
        <w:rPr>
          <w:spacing w:val="-2"/>
          <w:sz w:val="16"/>
          <w:szCs w:val="16"/>
        </w:rPr>
        <w:t>amounted</w:t>
      </w:r>
      <w:proofErr w:type="spellEnd"/>
      <w:r w:rsidRPr="001F4DCB">
        <w:rPr>
          <w:spacing w:val="-2"/>
          <w:sz w:val="16"/>
          <w:szCs w:val="16"/>
        </w:rPr>
        <w:t xml:space="preserve"> to 253 </w:t>
      </w:r>
      <w:proofErr w:type="spellStart"/>
      <w:r w:rsidRPr="001F4DCB">
        <w:rPr>
          <w:spacing w:val="-2"/>
          <w:sz w:val="16"/>
          <w:szCs w:val="16"/>
        </w:rPr>
        <w:t>b</w:t>
      </w:r>
      <w:r>
        <w:rPr>
          <w:spacing w:val="-2"/>
          <w:sz w:val="16"/>
          <w:szCs w:val="16"/>
        </w:rPr>
        <w:t>n</w:t>
      </w:r>
      <w:proofErr w:type="spellEnd"/>
      <w:r>
        <w:rPr>
          <w:spacing w:val="-2"/>
          <w:sz w:val="16"/>
          <w:szCs w:val="16"/>
        </w:rPr>
        <w:t xml:space="preserve"> CZK </w:t>
      </w:r>
      <w:proofErr w:type="spellStart"/>
      <w:r w:rsidRPr="001F4DCB">
        <w:rPr>
          <w:spacing w:val="-2"/>
          <w:sz w:val="16"/>
          <w:szCs w:val="16"/>
        </w:rPr>
        <w:t>with</w:t>
      </w:r>
      <w:proofErr w:type="spellEnd"/>
      <w:r w:rsidRPr="001F4DCB">
        <w:rPr>
          <w:spacing w:val="-2"/>
          <w:sz w:val="16"/>
          <w:szCs w:val="16"/>
        </w:rPr>
        <w:t xml:space="preserve"> </w:t>
      </w:r>
      <w:proofErr w:type="spellStart"/>
      <w:r w:rsidRPr="001F4DCB">
        <w:rPr>
          <w:spacing w:val="-2"/>
          <w:sz w:val="16"/>
          <w:szCs w:val="16"/>
        </w:rPr>
        <w:t>an</w:t>
      </w:r>
      <w:proofErr w:type="spellEnd"/>
      <w:r w:rsidRPr="001F4DCB">
        <w:rPr>
          <w:spacing w:val="-2"/>
          <w:sz w:val="16"/>
          <w:szCs w:val="16"/>
        </w:rPr>
        <w:t xml:space="preserve"> </w:t>
      </w:r>
      <w:proofErr w:type="spellStart"/>
      <w:r w:rsidRPr="001F4DCB">
        <w:rPr>
          <w:spacing w:val="-2"/>
          <w:sz w:val="16"/>
          <w:szCs w:val="16"/>
        </w:rPr>
        <w:t>average</w:t>
      </w:r>
      <w:proofErr w:type="spellEnd"/>
      <w:r w:rsidRPr="001F4DCB">
        <w:rPr>
          <w:spacing w:val="-2"/>
          <w:sz w:val="16"/>
          <w:szCs w:val="16"/>
        </w:rPr>
        <w:t xml:space="preserve"> </w:t>
      </w:r>
      <w:proofErr w:type="spellStart"/>
      <w:r w:rsidRPr="001F4DCB">
        <w:rPr>
          <w:spacing w:val="-2"/>
          <w:sz w:val="16"/>
          <w:szCs w:val="16"/>
        </w:rPr>
        <w:t>annual</w:t>
      </w:r>
      <w:proofErr w:type="spellEnd"/>
      <w:r w:rsidRPr="001F4DCB">
        <w:rPr>
          <w:spacing w:val="-2"/>
          <w:sz w:val="16"/>
          <w:szCs w:val="16"/>
        </w:rPr>
        <w:t xml:space="preserve"> </w:t>
      </w:r>
      <w:proofErr w:type="spellStart"/>
      <w:r w:rsidRPr="001F4DCB">
        <w:rPr>
          <w:spacing w:val="-2"/>
          <w:sz w:val="16"/>
          <w:szCs w:val="16"/>
        </w:rPr>
        <w:t>yield</w:t>
      </w:r>
      <w:proofErr w:type="spellEnd"/>
      <w:r w:rsidRPr="001F4DCB">
        <w:rPr>
          <w:spacing w:val="-2"/>
          <w:sz w:val="16"/>
          <w:szCs w:val="16"/>
        </w:rPr>
        <w:t xml:space="preserve"> </w:t>
      </w:r>
      <w:proofErr w:type="spellStart"/>
      <w:r w:rsidRPr="001F4DCB">
        <w:rPr>
          <w:spacing w:val="-2"/>
          <w:sz w:val="16"/>
          <w:szCs w:val="16"/>
        </w:rPr>
        <w:t>of</w:t>
      </w:r>
      <w:proofErr w:type="spellEnd"/>
      <w:r w:rsidRPr="001F4DCB">
        <w:rPr>
          <w:spacing w:val="-2"/>
          <w:sz w:val="16"/>
          <w:szCs w:val="16"/>
        </w:rPr>
        <w:t xml:space="preserve"> 4.6% and a </w:t>
      </w:r>
      <w:proofErr w:type="spellStart"/>
      <w:r>
        <w:rPr>
          <w:spacing w:val="-2"/>
          <w:sz w:val="16"/>
          <w:szCs w:val="16"/>
        </w:rPr>
        <w:t>time</w:t>
      </w:r>
      <w:proofErr w:type="spellEnd"/>
      <w:r>
        <w:rPr>
          <w:spacing w:val="-2"/>
          <w:sz w:val="16"/>
          <w:szCs w:val="16"/>
        </w:rPr>
        <w:t xml:space="preserve"> to </w:t>
      </w:r>
      <w:r w:rsidRPr="001F4DCB">
        <w:rPr>
          <w:spacing w:val="-2"/>
          <w:sz w:val="16"/>
          <w:szCs w:val="16"/>
        </w:rPr>
        <w:t xml:space="preserve">maturity 8.7 </w:t>
      </w:r>
      <w:proofErr w:type="spellStart"/>
      <w:r w:rsidRPr="001F4DCB">
        <w:rPr>
          <w:spacing w:val="-2"/>
          <w:sz w:val="16"/>
          <w:szCs w:val="16"/>
        </w:rPr>
        <w:t>years</w:t>
      </w:r>
      <w:proofErr w:type="spellEnd"/>
      <w:r w:rsidRPr="001F4DCB">
        <w:rPr>
          <w:spacing w:val="-2"/>
          <w:sz w:val="16"/>
          <w:szCs w:val="16"/>
        </w:rPr>
        <w:t>.</w:t>
      </w:r>
      <w:r>
        <w:rPr>
          <w:spacing w:val="-2"/>
          <w:sz w:val="16"/>
          <w:szCs w:val="16"/>
        </w:rPr>
        <w:t xml:space="preserve"> </w:t>
      </w:r>
    </w:p>
  </w:footnote>
  <w:footnote w:id="108">
    <w:p w14:paraId="02B0F94A" w14:textId="77777777" w:rsidR="00165465" w:rsidRPr="00F8091C" w:rsidRDefault="00165465" w:rsidP="00E551F6">
      <w:pPr>
        <w:pStyle w:val="Textpoznpodarou"/>
        <w:jc w:val="both"/>
        <w:rPr>
          <w:spacing w:val="-4"/>
          <w:sz w:val="16"/>
          <w:szCs w:val="16"/>
          <w:lang w:val="en-GB"/>
        </w:rPr>
      </w:pPr>
      <w:r w:rsidRPr="00F8091C">
        <w:rPr>
          <w:rStyle w:val="Znakapoznpodarou"/>
          <w:spacing w:val="-4"/>
          <w:sz w:val="16"/>
          <w:szCs w:val="16"/>
          <w:lang w:val="en-GB"/>
        </w:rPr>
        <w:footnoteRef/>
      </w:r>
      <w:r w:rsidRPr="00F8091C">
        <w:rPr>
          <w:spacing w:val="-4"/>
          <w:sz w:val="16"/>
          <w:szCs w:val="16"/>
          <w:lang w:val="en-GB"/>
        </w:rPr>
        <w:t xml:space="preserve"> Unless stated otherwise, d</w:t>
      </w:r>
      <w:r w:rsidRPr="00F8091C">
        <w:rPr>
          <w:sz w:val="16"/>
          <w:szCs w:val="16"/>
          <w:lang w:val="en-GB"/>
        </w:rPr>
        <w:t>ata regarding the budget balance of sector VI in the CR are expressed without seasonal adjustment</w:t>
      </w:r>
      <w:r>
        <w:rPr>
          <w:sz w:val="16"/>
          <w:szCs w:val="16"/>
          <w:lang w:val="en-GB"/>
        </w:rPr>
        <w:t>.</w:t>
      </w:r>
    </w:p>
  </w:footnote>
  <w:footnote w:id="109">
    <w:p w14:paraId="5A58480D" w14:textId="77777777" w:rsidR="00165465" w:rsidRPr="00F8091C" w:rsidRDefault="00165465" w:rsidP="00E551F6">
      <w:pPr>
        <w:pStyle w:val="Textpoznpodarou"/>
        <w:jc w:val="both"/>
        <w:rPr>
          <w:spacing w:val="-4"/>
          <w:sz w:val="16"/>
          <w:szCs w:val="16"/>
          <w:lang w:val="en-GB"/>
        </w:rPr>
      </w:pPr>
      <w:r w:rsidRPr="00F8091C">
        <w:rPr>
          <w:rStyle w:val="Znakapoznpodarou"/>
          <w:spacing w:val="-4"/>
          <w:sz w:val="16"/>
          <w:szCs w:val="16"/>
          <w:lang w:val="en-GB"/>
        </w:rPr>
        <w:footnoteRef/>
      </w:r>
      <w:r w:rsidRPr="00F8091C">
        <w:rPr>
          <w:spacing w:val="-4"/>
          <w:sz w:val="16"/>
          <w:szCs w:val="16"/>
          <w:lang w:val="en-GB"/>
        </w:rPr>
        <w:t xml:space="preserve"> Data regarding the budget of government institutions for Q2 2024 will be published by the CZSO on 2</w:t>
      </w:r>
      <w:r w:rsidRPr="00F8091C">
        <w:rPr>
          <w:spacing w:val="-4"/>
          <w:sz w:val="16"/>
          <w:szCs w:val="16"/>
          <w:vertAlign w:val="superscript"/>
          <w:lang w:val="en-GB"/>
        </w:rPr>
        <w:t>nd</w:t>
      </w:r>
      <w:r w:rsidRPr="00F8091C">
        <w:rPr>
          <w:spacing w:val="-4"/>
          <w:sz w:val="16"/>
          <w:szCs w:val="16"/>
          <w:lang w:val="en-GB"/>
        </w:rPr>
        <w:t xml:space="preserve"> October 2024, Eurostat subsequently on behalf of the Union member states on 22</w:t>
      </w:r>
      <w:r w:rsidRPr="00F8091C">
        <w:rPr>
          <w:spacing w:val="-4"/>
          <w:sz w:val="16"/>
          <w:szCs w:val="16"/>
          <w:vertAlign w:val="superscript"/>
          <w:lang w:val="en-GB"/>
        </w:rPr>
        <w:t>nd</w:t>
      </w:r>
      <w:r w:rsidRPr="00F8091C">
        <w:rPr>
          <w:spacing w:val="-4"/>
          <w:sz w:val="16"/>
          <w:szCs w:val="16"/>
          <w:lang w:val="en-GB"/>
        </w:rPr>
        <w:t xml:space="preserve"> October. More detailed assessment of the domestic development for Q1 2024 is offered in the publication Analysis of the sector accounts: </w:t>
      </w:r>
      <w:hyperlink r:id="rId3" w:history="1">
        <w:proofErr w:type="spellStart"/>
        <w:r w:rsidRPr="00F8091C">
          <w:rPr>
            <w:rStyle w:val="Hypertextovodkaz"/>
            <w:i/>
            <w:spacing w:val="-4"/>
            <w:sz w:val="16"/>
            <w:szCs w:val="16"/>
            <w:lang w:val="en-GB"/>
          </w:rPr>
          <w:t>Analýza</w:t>
        </w:r>
        <w:proofErr w:type="spellEnd"/>
        <w:r w:rsidRPr="00F8091C">
          <w:rPr>
            <w:rStyle w:val="Hypertextovodkaz"/>
            <w:i/>
            <w:spacing w:val="-4"/>
            <w:sz w:val="16"/>
            <w:szCs w:val="16"/>
            <w:lang w:val="en-GB"/>
          </w:rPr>
          <w:t xml:space="preserve"> </w:t>
        </w:r>
        <w:proofErr w:type="spellStart"/>
        <w:r w:rsidRPr="00F8091C">
          <w:rPr>
            <w:rStyle w:val="Hypertextovodkaz"/>
            <w:i/>
            <w:spacing w:val="-4"/>
            <w:sz w:val="16"/>
            <w:szCs w:val="16"/>
            <w:lang w:val="en-GB"/>
          </w:rPr>
          <w:t>sektorových</w:t>
        </w:r>
        <w:proofErr w:type="spellEnd"/>
        <w:r w:rsidRPr="00F8091C">
          <w:rPr>
            <w:rStyle w:val="Hypertextovodkaz"/>
            <w:i/>
            <w:spacing w:val="-4"/>
            <w:sz w:val="16"/>
            <w:szCs w:val="16"/>
            <w:lang w:val="en-GB"/>
          </w:rPr>
          <w:t xml:space="preserve"> </w:t>
        </w:r>
        <w:proofErr w:type="spellStart"/>
        <w:r w:rsidRPr="00F8091C">
          <w:rPr>
            <w:rStyle w:val="Hypertextovodkaz"/>
            <w:i/>
            <w:spacing w:val="-4"/>
            <w:sz w:val="16"/>
            <w:szCs w:val="16"/>
            <w:lang w:val="en-GB"/>
          </w:rPr>
          <w:t>účtů</w:t>
        </w:r>
        <w:proofErr w:type="spellEnd"/>
      </w:hyperlink>
      <w:r w:rsidRPr="00F8091C">
        <w:rPr>
          <w:rStyle w:val="Hypertextovodkaz"/>
          <w:i/>
          <w:spacing w:val="-4"/>
          <w:sz w:val="16"/>
          <w:szCs w:val="16"/>
          <w:lang w:val="en-GB"/>
        </w:rPr>
        <w:t xml:space="preserve">  </w:t>
      </w:r>
    </w:p>
  </w:footnote>
  <w:footnote w:id="110">
    <w:p w14:paraId="07D0EF19" w14:textId="77777777" w:rsidR="00165465" w:rsidRPr="00F8091C" w:rsidRDefault="00165465" w:rsidP="00E551F6">
      <w:pPr>
        <w:pStyle w:val="Textpoznpodarou"/>
        <w:jc w:val="both"/>
        <w:rPr>
          <w:sz w:val="16"/>
          <w:szCs w:val="16"/>
          <w:lang w:val="en-GB"/>
        </w:rPr>
      </w:pPr>
      <w:r w:rsidRPr="00F8091C">
        <w:rPr>
          <w:rStyle w:val="Znakapoznpodarou"/>
          <w:sz w:val="16"/>
          <w:szCs w:val="16"/>
          <w:lang w:val="en-GB"/>
        </w:rPr>
        <w:footnoteRef/>
      </w:r>
      <w:r w:rsidRPr="00F8091C">
        <w:rPr>
          <w:sz w:val="16"/>
          <w:szCs w:val="16"/>
          <w:lang w:val="en-GB"/>
        </w:rPr>
        <w:t xml:space="preserve"> </w:t>
      </w:r>
      <w:r>
        <w:rPr>
          <w:sz w:val="16"/>
          <w:szCs w:val="16"/>
          <w:lang w:val="en-GB"/>
        </w:rPr>
        <w:t>All below stated figures related to revenues, expenditures and balance are adjusted for seasonality as well as calendar effects.</w:t>
      </w:r>
    </w:p>
  </w:footnote>
  <w:footnote w:id="111">
    <w:p w14:paraId="75714A6D" w14:textId="77777777" w:rsidR="00165465" w:rsidRPr="00F8091C" w:rsidRDefault="00165465" w:rsidP="00E551F6">
      <w:pPr>
        <w:pStyle w:val="Textpoznpodarou"/>
        <w:jc w:val="both"/>
        <w:rPr>
          <w:sz w:val="16"/>
          <w:szCs w:val="16"/>
          <w:lang w:val="en-GB"/>
        </w:rPr>
      </w:pPr>
      <w:r w:rsidRPr="00F8091C">
        <w:rPr>
          <w:rStyle w:val="Znakapoznpodarou"/>
          <w:sz w:val="16"/>
          <w:szCs w:val="16"/>
          <w:lang w:val="en-GB"/>
        </w:rPr>
        <w:footnoteRef/>
      </w:r>
      <w:r w:rsidRPr="00F8091C">
        <w:rPr>
          <w:sz w:val="16"/>
          <w:szCs w:val="16"/>
          <w:lang w:val="en-GB"/>
        </w:rPr>
        <w:t xml:space="preserve"> </w:t>
      </w:r>
      <w:r>
        <w:rPr>
          <w:sz w:val="16"/>
          <w:szCs w:val="16"/>
          <w:lang w:val="en-GB"/>
        </w:rPr>
        <w:t>T</w:t>
      </w:r>
      <w:r w:rsidRPr="00841626">
        <w:rPr>
          <w:sz w:val="16"/>
          <w:szCs w:val="16"/>
          <w:lang w:val="en-GB"/>
        </w:rPr>
        <w:t>he debt ratio of sector VI increased from 17% of GDP to 24%</w:t>
      </w:r>
      <w:r>
        <w:rPr>
          <w:sz w:val="16"/>
          <w:szCs w:val="16"/>
          <w:lang w:val="en-GB"/>
        </w:rPr>
        <w:t>,</w:t>
      </w:r>
      <w:r w:rsidRPr="00841626">
        <w:rPr>
          <w:sz w:val="16"/>
          <w:szCs w:val="16"/>
          <w:lang w:val="en-GB"/>
        </w:rPr>
        <w:t xml:space="preserve"> year-on-year,</w:t>
      </w:r>
      <w:r>
        <w:rPr>
          <w:sz w:val="16"/>
          <w:szCs w:val="16"/>
          <w:lang w:val="en-GB"/>
        </w:rPr>
        <w:t xml:space="preserve"> in Estonia, and thus the country left its position as </w:t>
      </w:r>
      <w:r w:rsidRPr="00841626">
        <w:rPr>
          <w:sz w:val="16"/>
          <w:szCs w:val="16"/>
          <w:lang w:val="en-GB"/>
        </w:rPr>
        <w:t>the least indebted economy in the EU (in favour of Bulgaria) for the first time since its accession to the EU.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65465" w14:paraId="745E33F7" w14:textId="77777777" w:rsidTr="7BDB84E4">
      <w:trPr>
        <w:trHeight w:val="300"/>
      </w:trPr>
      <w:tc>
        <w:tcPr>
          <w:tcW w:w="3210" w:type="dxa"/>
        </w:tcPr>
        <w:p w14:paraId="6FA5C7C1" w14:textId="77777777" w:rsidR="00165465" w:rsidRDefault="00165465" w:rsidP="7BDB84E4">
          <w:pPr>
            <w:pStyle w:val="Zhlav"/>
            <w:ind w:left="-115"/>
          </w:pPr>
        </w:p>
      </w:tc>
      <w:tc>
        <w:tcPr>
          <w:tcW w:w="3210" w:type="dxa"/>
        </w:tcPr>
        <w:p w14:paraId="45ED3A50" w14:textId="77777777" w:rsidR="00165465" w:rsidRDefault="00165465" w:rsidP="7BDB84E4">
          <w:pPr>
            <w:pStyle w:val="Zhlav"/>
            <w:jc w:val="center"/>
          </w:pPr>
        </w:p>
      </w:tc>
      <w:tc>
        <w:tcPr>
          <w:tcW w:w="3210" w:type="dxa"/>
        </w:tcPr>
        <w:p w14:paraId="38E2EB00" w14:textId="77777777" w:rsidR="00165465" w:rsidRDefault="00165465" w:rsidP="7BDB84E4">
          <w:pPr>
            <w:pStyle w:val="Zhlav"/>
            <w:ind w:right="-115"/>
            <w:jc w:val="right"/>
          </w:pPr>
        </w:p>
      </w:tc>
    </w:tr>
  </w:tbl>
  <w:p w14:paraId="5CFC8A2F" w14:textId="77777777" w:rsidR="00165465" w:rsidRDefault="00165465" w:rsidP="7BDB84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65465" w14:paraId="394452B9" w14:textId="77777777" w:rsidTr="7BDB84E4">
      <w:trPr>
        <w:trHeight w:val="300"/>
      </w:trPr>
      <w:tc>
        <w:tcPr>
          <w:tcW w:w="3210" w:type="dxa"/>
        </w:tcPr>
        <w:p w14:paraId="4F43D27D" w14:textId="77777777" w:rsidR="00165465" w:rsidRDefault="00165465" w:rsidP="7BDB84E4">
          <w:pPr>
            <w:pStyle w:val="Zhlav"/>
            <w:ind w:left="-115"/>
          </w:pPr>
        </w:p>
      </w:tc>
      <w:tc>
        <w:tcPr>
          <w:tcW w:w="3210" w:type="dxa"/>
        </w:tcPr>
        <w:p w14:paraId="77EEF221" w14:textId="77777777" w:rsidR="00165465" w:rsidRDefault="00165465" w:rsidP="7BDB84E4">
          <w:pPr>
            <w:pStyle w:val="Zhlav"/>
            <w:jc w:val="center"/>
          </w:pPr>
        </w:p>
      </w:tc>
      <w:tc>
        <w:tcPr>
          <w:tcW w:w="3210" w:type="dxa"/>
        </w:tcPr>
        <w:p w14:paraId="24CBCB55" w14:textId="77777777" w:rsidR="00165465" w:rsidRDefault="00165465" w:rsidP="7BDB84E4">
          <w:pPr>
            <w:pStyle w:val="Zhlav"/>
            <w:ind w:right="-115"/>
            <w:jc w:val="right"/>
          </w:pPr>
        </w:p>
      </w:tc>
    </w:tr>
  </w:tbl>
  <w:p w14:paraId="0D264AB1" w14:textId="77777777" w:rsidR="00165465" w:rsidRDefault="00165465" w:rsidP="7BDB84E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165465" w:rsidRPr="00C27E4F" w:rsidRDefault="00165465" w:rsidP="00C27E4F">
    <w:pPr>
      <w:pStyle w:val="Zhlav"/>
    </w:pPr>
    <w:proofErr w:type="spellStart"/>
    <w:r>
      <w:t>The</w:t>
    </w:r>
    <w:proofErr w:type="spellEnd"/>
    <w:r>
      <w:t xml:space="preserve"> Czech </w:t>
    </w:r>
    <w:proofErr w:type="spellStart"/>
    <w:r>
      <w:t>Economy</w:t>
    </w:r>
    <w:proofErr w:type="spellEnd"/>
    <w:r>
      <w:t xml:space="preserve"> </w:t>
    </w:r>
    <w:proofErr w:type="spellStart"/>
    <w:r>
      <w:t>Development</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165465" w:rsidRPr="006F5416" w:rsidRDefault="00165465" w:rsidP="00937AE2">
    <w:pPr>
      <w:pStyle w:val="Zhlav"/>
    </w:pPr>
    <w:proofErr w:type="spellStart"/>
    <w:r>
      <w:t>The</w:t>
    </w:r>
    <w:proofErr w:type="spellEnd"/>
    <w:r>
      <w:t xml:space="preserve"> Czech </w:t>
    </w:r>
    <w:proofErr w:type="spellStart"/>
    <w:r>
      <w:t>Economy</w:t>
    </w:r>
    <w:proofErr w:type="spellEnd"/>
    <w:r>
      <w:t xml:space="preserve"> </w:t>
    </w:r>
    <w:proofErr w:type="spellStart"/>
    <w:r>
      <w:t>Development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14329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5"/>
  </w:num>
  <w:num w:numId="21">
    <w:abstractNumId w:val="19"/>
  </w:num>
  <w:num w:numId="22">
    <w:abstractNumId w:val="15"/>
  </w:num>
  <w:num w:numId="23">
    <w:abstractNumId w:val="13"/>
  </w:num>
  <w:num w:numId="24">
    <w:abstractNumId w:val="14"/>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165E9"/>
    <w:rsid w:val="0002195D"/>
    <w:rsid w:val="000234D6"/>
    <w:rsid w:val="00023D29"/>
    <w:rsid w:val="00026389"/>
    <w:rsid w:val="00031AE0"/>
    <w:rsid w:val="000322EF"/>
    <w:rsid w:val="00033FCD"/>
    <w:rsid w:val="00040A98"/>
    <w:rsid w:val="00040D10"/>
    <w:rsid w:val="00041CEC"/>
    <w:rsid w:val="00042F74"/>
    <w:rsid w:val="0004694F"/>
    <w:rsid w:val="000522E4"/>
    <w:rsid w:val="000610E1"/>
    <w:rsid w:val="00061186"/>
    <w:rsid w:val="00062EC5"/>
    <w:rsid w:val="00062F22"/>
    <w:rsid w:val="000674C7"/>
    <w:rsid w:val="000712B3"/>
    <w:rsid w:val="00074573"/>
    <w:rsid w:val="0008263E"/>
    <w:rsid w:val="00082C19"/>
    <w:rsid w:val="00083363"/>
    <w:rsid w:val="00085395"/>
    <w:rsid w:val="00087634"/>
    <w:rsid w:val="00087F2B"/>
    <w:rsid w:val="00095135"/>
    <w:rsid w:val="000974D1"/>
    <w:rsid w:val="0009799E"/>
    <w:rsid w:val="000A1183"/>
    <w:rsid w:val="000A256D"/>
    <w:rsid w:val="000A3A2C"/>
    <w:rsid w:val="000A57D4"/>
    <w:rsid w:val="000B7C8D"/>
    <w:rsid w:val="000C3408"/>
    <w:rsid w:val="000C6AFD"/>
    <w:rsid w:val="000D0754"/>
    <w:rsid w:val="000D3968"/>
    <w:rsid w:val="000D5637"/>
    <w:rsid w:val="000E5D6A"/>
    <w:rsid w:val="000E6FBD"/>
    <w:rsid w:val="00100F5C"/>
    <w:rsid w:val="00101CDA"/>
    <w:rsid w:val="00104C4C"/>
    <w:rsid w:val="00111F50"/>
    <w:rsid w:val="00117623"/>
    <w:rsid w:val="0012192F"/>
    <w:rsid w:val="00125D69"/>
    <w:rsid w:val="001405FA"/>
    <w:rsid w:val="001425C3"/>
    <w:rsid w:val="001443DB"/>
    <w:rsid w:val="001476BD"/>
    <w:rsid w:val="001612F4"/>
    <w:rsid w:val="0016256B"/>
    <w:rsid w:val="00163793"/>
    <w:rsid w:val="00165465"/>
    <w:rsid w:val="001706D6"/>
    <w:rsid w:val="001714F2"/>
    <w:rsid w:val="00175B9F"/>
    <w:rsid w:val="00181BBC"/>
    <w:rsid w:val="00184B08"/>
    <w:rsid w:val="00185010"/>
    <w:rsid w:val="0019143B"/>
    <w:rsid w:val="0019301D"/>
    <w:rsid w:val="001A0487"/>
    <w:rsid w:val="001A552F"/>
    <w:rsid w:val="001B2CA9"/>
    <w:rsid w:val="001B3110"/>
    <w:rsid w:val="001B4729"/>
    <w:rsid w:val="001B6310"/>
    <w:rsid w:val="001B6C09"/>
    <w:rsid w:val="001C05CD"/>
    <w:rsid w:val="001D48D4"/>
    <w:rsid w:val="001D68B2"/>
    <w:rsid w:val="001E504C"/>
    <w:rsid w:val="001E6062"/>
    <w:rsid w:val="001F2AEE"/>
    <w:rsid w:val="001F4597"/>
    <w:rsid w:val="00203DA4"/>
    <w:rsid w:val="002118B9"/>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3C0F"/>
    <w:rsid w:val="002558C1"/>
    <w:rsid w:val="00255B91"/>
    <w:rsid w:val="00271465"/>
    <w:rsid w:val="00285412"/>
    <w:rsid w:val="00291640"/>
    <w:rsid w:val="002A16D4"/>
    <w:rsid w:val="002A230C"/>
    <w:rsid w:val="002B2299"/>
    <w:rsid w:val="002B4845"/>
    <w:rsid w:val="002C43BD"/>
    <w:rsid w:val="002C544F"/>
    <w:rsid w:val="002D0E59"/>
    <w:rsid w:val="002D4EE0"/>
    <w:rsid w:val="002E02A1"/>
    <w:rsid w:val="002E278F"/>
    <w:rsid w:val="002E42AC"/>
    <w:rsid w:val="002E4E4C"/>
    <w:rsid w:val="002F39EC"/>
    <w:rsid w:val="00302ADD"/>
    <w:rsid w:val="00304771"/>
    <w:rsid w:val="0030495D"/>
    <w:rsid w:val="003052D4"/>
    <w:rsid w:val="00306C5B"/>
    <w:rsid w:val="003103E0"/>
    <w:rsid w:val="00314F9F"/>
    <w:rsid w:val="00316A85"/>
    <w:rsid w:val="003209D6"/>
    <w:rsid w:val="00321924"/>
    <w:rsid w:val="00322607"/>
    <w:rsid w:val="0032656E"/>
    <w:rsid w:val="00332190"/>
    <w:rsid w:val="0034335E"/>
    <w:rsid w:val="00344668"/>
    <w:rsid w:val="003462D9"/>
    <w:rsid w:val="003500C2"/>
    <w:rsid w:val="00360C86"/>
    <w:rsid w:val="00360FBC"/>
    <w:rsid w:val="00362E90"/>
    <w:rsid w:val="00364FA0"/>
    <w:rsid w:val="003657F3"/>
    <w:rsid w:val="003818DC"/>
    <w:rsid w:val="00384327"/>
    <w:rsid w:val="00385D98"/>
    <w:rsid w:val="003A2B4D"/>
    <w:rsid w:val="003A2D12"/>
    <w:rsid w:val="003A478C"/>
    <w:rsid w:val="003A5525"/>
    <w:rsid w:val="003A6B38"/>
    <w:rsid w:val="003B461F"/>
    <w:rsid w:val="003B5A32"/>
    <w:rsid w:val="003C3490"/>
    <w:rsid w:val="003C7E62"/>
    <w:rsid w:val="003D1AE0"/>
    <w:rsid w:val="003D4488"/>
    <w:rsid w:val="003D6920"/>
    <w:rsid w:val="003E0A6F"/>
    <w:rsid w:val="003E48F2"/>
    <w:rsid w:val="003E4C91"/>
    <w:rsid w:val="003F313C"/>
    <w:rsid w:val="003F37FC"/>
    <w:rsid w:val="003F3E6A"/>
    <w:rsid w:val="003F4B2C"/>
    <w:rsid w:val="003F551C"/>
    <w:rsid w:val="003F59AA"/>
    <w:rsid w:val="003F72ED"/>
    <w:rsid w:val="003F7D23"/>
    <w:rsid w:val="004018AC"/>
    <w:rsid w:val="00407C13"/>
    <w:rsid w:val="0041041D"/>
    <w:rsid w:val="00410638"/>
    <w:rsid w:val="0041501E"/>
    <w:rsid w:val="004159C3"/>
    <w:rsid w:val="0041630C"/>
    <w:rsid w:val="00416C72"/>
    <w:rsid w:val="00432A58"/>
    <w:rsid w:val="00434617"/>
    <w:rsid w:val="004350ED"/>
    <w:rsid w:val="00440900"/>
    <w:rsid w:val="00441BF6"/>
    <w:rsid w:val="004441A0"/>
    <w:rsid w:val="004455BA"/>
    <w:rsid w:val="004479D4"/>
    <w:rsid w:val="0045078A"/>
    <w:rsid w:val="0045086D"/>
    <w:rsid w:val="00451504"/>
    <w:rsid w:val="00460FB3"/>
    <w:rsid w:val="0046627E"/>
    <w:rsid w:val="004738EA"/>
    <w:rsid w:val="00473D3B"/>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697D"/>
    <w:rsid w:val="004C70DC"/>
    <w:rsid w:val="004D0211"/>
    <w:rsid w:val="004D0794"/>
    <w:rsid w:val="004F06F5"/>
    <w:rsid w:val="004F33A0"/>
    <w:rsid w:val="0050689D"/>
    <w:rsid w:val="005108C0"/>
    <w:rsid w:val="00511873"/>
    <w:rsid w:val="00512A2F"/>
    <w:rsid w:val="00513B7E"/>
    <w:rsid w:val="00515C74"/>
    <w:rsid w:val="0052007E"/>
    <w:rsid w:val="0052337A"/>
    <w:rsid w:val="00525137"/>
    <w:rsid w:val="005251DD"/>
    <w:rsid w:val="00530702"/>
    <w:rsid w:val="00532CE7"/>
    <w:rsid w:val="0053324C"/>
    <w:rsid w:val="00534A28"/>
    <w:rsid w:val="00541508"/>
    <w:rsid w:val="00543498"/>
    <w:rsid w:val="0055599F"/>
    <w:rsid w:val="00556D68"/>
    <w:rsid w:val="00563EB8"/>
    <w:rsid w:val="005647BF"/>
    <w:rsid w:val="00564AF1"/>
    <w:rsid w:val="005710B6"/>
    <w:rsid w:val="0057364B"/>
    <w:rsid w:val="00574773"/>
    <w:rsid w:val="00583FFD"/>
    <w:rsid w:val="00586A86"/>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7C78"/>
    <w:rsid w:val="005F18C5"/>
    <w:rsid w:val="005F3EB1"/>
    <w:rsid w:val="005F46D8"/>
    <w:rsid w:val="005F5469"/>
    <w:rsid w:val="005F7B4A"/>
    <w:rsid w:val="0060171C"/>
    <w:rsid w:val="00603FF5"/>
    <w:rsid w:val="00604307"/>
    <w:rsid w:val="0060487F"/>
    <w:rsid w:val="00604EAD"/>
    <w:rsid w:val="006104FB"/>
    <w:rsid w:val="00612A2F"/>
    <w:rsid w:val="00616E05"/>
    <w:rsid w:val="00622E30"/>
    <w:rsid w:val="006233F9"/>
    <w:rsid w:val="00624093"/>
    <w:rsid w:val="00625F8F"/>
    <w:rsid w:val="006350D5"/>
    <w:rsid w:val="006404A7"/>
    <w:rsid w:val="006451E4"/>
    <w:rsid w:val="00645B33"/>
    <w:rsid w:val="006516CB"/>
    <w:rsid w:val="00656FC8"/>
    <w:rsid w:val="00657E87"/>
    <w:rsid w:val="00664803"/>
    <w:rsid w:val="00665BA4"/>
    <w:rsid w:val="00667AF2"/>
    <w:rsid w:val="006710C9"/>
    <w:rsid w:val="00673BDC"/>
    <w:rsid w:val="006741AC"/>
    <w:rsid w:val="00674D89"/>
    <w:rsid w:val="00675E37"/>
    <w:rsid w:val="0068174E"/>
    <w:rsid w:val="00681DCE"/>
    <w:rsid w:val="0068260E"/>
    <w:rsid w:val="00695BEF"/>
    <w:rsid w:val="006977F6"/>
    <w:rsid w:val="00697A13"/>
    <w:rsid w:val="006A109C"/>
    <w:rsid w:val="006B0F92"/>
    <w:rsid w:val="006B344A"/>
    <w:rsid w:val="006B78D8"/>
    <w:rsid w:val="006C113F"/>
    <w:rsid w:val="006C123E"/>
    <w:rsid w:val="006C1752"/>
    <w:rsid w:val="006C4AC1"/>
    <w:rsid w:val="006C56D4"/>
    <w:rsid w:val="006C6924"/>
    <w:rsid w:val="006C7CA6"/>
    <w:rsid w:val="006D3E8A"/>
    <w:rsid w:val="006D61F6"/>
    <w:rsid w:val="006E279A"/>
    <w:rsid w:val="006E313B"/>
    <w:rsid w:val="006E7124"/>
    <w:rsid w:val="006E7227"/>
    <w:rsid w:val="006F19D3"/>
    <w:rsid w:val="006F438E"/>
    <w:rsid w:val="006F5416"/>
    <w:rsid w:val="006F7076"/>
    <w:rsid w:val="00705242"/>
    <w:rsid w:val="00706AD4"/>
    <w:rsid w:val="00707150"/>
    <w:rsid w:val="007140BE"/>
    <w:rsid w:val="007155B7"/>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24B"/>
    <w:rsid w:val="00763B85"/>
    <w:rsid w:val="0076521E"/>
    <w:rsid w:val="007661E9"/>
    <w:rsid w:val="007701DE"/>
    <w:rsid w:val="00770D15"/>
    <w:rsid w:val="00771C27"/>
    <w:rsid w:val="007750EE"/>
    <w:rsid w:val="00776160"/>
    <w:rsid w:val="00776169"/>
    <w:rsid w:val="00776527"/>
    <w:rsid w:val="00780EF1"/>
    <w:rsid w:val="00790764"/>
    <w:rsid w:val="00793CA9"/>
    <w:rsid w:val="0079453C"/>
    <w:rsid w:val="00794677"/>
    <w:rsid w:val="00797445"/>
    <w:rsid w:val="007A516D"/>
    <w:rsid w:val="007B6689"/>
    <w:rsid w:val="007C21D2"/>
    <w:rsid w:val="007C6BBD"/>
    <w:rsid w:val="007D40DF"/>
    <w:rsid w:val="007E29B4"/>
    <w:rsid w:val="007E3731"/>
    <w:rsid w:val="007E435A"/>
    <w:rsid w:val="007E7E61"/>
    <w:rsid w:val="007E7FCE"/>
    <w:rsid w:val="007F0845"/>
    <w:rsid w:val="007F708D"/>
    <w:rsid w:val="00800216"/>
    <w:rsid w:val="00801E13"/>
    <w:rsid w:val="00807C82"/>
    <w:rsid w:val="00814B15"/>
    <w:rsid w:val="00816905"/>
    <w:rsid w:val="00821777"/>
    <w:rsid w:val="00821FF6"/>
    <w:rsid w:val="00822574"/>
    <w:rsid w:val="00825C4D"/>
    <w:rsid w:val="0083143E"/>
    <w:rsid w:val="00831CDE"/>
    <w:rsid w:val="00834304"/>
    <w:rsid w:val="00834FAA"/>
    <w:rsid w:val="00836086"/>
    <w:rsid w:val="00846121"/>
    <w:rsid w:val="0084708F"/>
    <w:rsid w:val="008477C8"/>
    <w:rsid w:val="0085114D"/>
    <w:rsid w:val="00852217"/>
    <w:rsid w:val="00855408"/>
    <w:rsid w:val="00856D65"/>
    <w:rsid w:val="008602EC"/>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A7D9B"/>
    <w:rsid w:val="008B5CF6"/>
    <w:rsid w:val="008B7C02"/>
    <w:rsid w:val="008B7D2B"/>
    <w:rsid w:val="008C0049"/>
    <w:rsid w:val="008C0E88"/>
    <w:rsid w:val="008C53CB"/>
    <w:rsid w:val="008D1E6A"/>
    <w:rsid w:val="008D2A16"/>
    <w:rsid w:val="008E2C57"/>
    <w:rsid w:val="008E31FF"/>
    <w:rsid w:val="008E6F06"/>
    <w:rsid w:val="008E6F7F"/>
    <w:rsid w:val="008E7FC9"/>
    <w:rsid w:val="008F029B"/>
    <w:rsid w:val="008F3FC9"/>
    <w:rsid w:val="008F585B"/>
    <w:rsid w:val="009003A8"/>
    <w:rsid w:val="00902500"/>
    <w:rsid w:val="00902EFF"/>
    <w:rsid w:val="00906401"/>
    <w:rsid w:val="0091155E"/>
    <w:rsid w:val="00912A92"/>
    <w:rsid w:val="00914DDD"/>
    <w:rsid w:val="0091728D"/>
    <w:rsid w:val="0092180B"/>
    <w:rsid w:val="00921F14"/>
    <w:rsid w:val="00922D58"/>
    <w:rsid w:val="009231A3"/>
    <w:rsid w:val="00924AC8"/>
    <w:rsid w:val="0092597A"/>
    <w:rsid w:val="00930FB1"/>
    <w:rsid w:val="0093139F"/>
    <w:rsid w:val="00932443"/>
    <w:rsid w:val="00937AE2"/>
    <w:rsid w:val="0094427A"/>
    <w:rsid w:val="00945245"/>
    <w:rsid w:val="0095759C"/>
    <w:rsid w:val="009721DB"/>
    <w:rsid w:val="00974923"/>
    <w:rsid w:val="00980D3D"/>
    <w:rsid w:val="00987A30"/>
    <w:rsid w:val="00992CF3"/>
    <w:rsid w:val="009930C0"/>
    <w:rsid w:val="00994868"/>
    <w:rsid w:val="009968D6"/>
    <w:rsid w:val="009A1CAB"/>
    <w:rsid w:val="009A60D1"/>
    <w:rsid w:val="009A75AE"/>
    <w:rsid w:val="009B6FD3"/>
    <w:rsid w:val="009C1750"/>
    <w:rsid w:val="009C2E29"/>
    <w:rsid w:val="009C554B"/>
    <w:rsid w:val="009C719E"/>
    <w:rsid w:val="009C7A10"/>
    <w:rsid w:val="009D3ACD"/>
    <w:rsid w:val="009D73B5"/>
    <w:rsid w:val="009E1B59"/>
    <w:rsid w:val="009E5273"/>
    <w:rsid w:val="009E5DDB"/>
    <w:rsid w:val="009F4CA7"/>
    <w:rsid w:val="00A10D66"/>
    <w:rsid w:val="00A119FE"/>
    <w:rsid w:val="00A14114"/>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299B"/>
    <w:rsid w:val="00AE31A7"/>
    <w:rsid w:val="00AE31F4"/>
    <w:rsid w:val="00AE6221"/>
    <w:rsid w:val="00AF5165"/>
    <w:rsid w:val="00AF6128"/>
    <w:rsid w:val="00B00913"/>
    <w:rsid w:val="00B01593"/>
    <w:rsid w:val="00B023F2"/>
    <w:rsid w:val="00B04705"/>
    <w:rsid w:val="00B10A4D"/>
    <w:rsid w:val="00B14BC1"/>
    <w:rsid w:val="00B17E71"/>
    <w:rsid w:val="00B17FDE"/>
    <w:rsid w:val="00B2379C"/>
    <w:rsid w:val="00B25189"/>
    <w:rsid w:val="00B2687D"/>
    <w:rsid w:val="00B32DDB"/>
    <w:rsid w:val="00B34528"/>
    <w:rsid w:val="00B34CC9"/>
    <w:rsid w:val="00B35AAE"/>
    <w:rsid w:val="00B402FC"/>
    <w:rsid w:val="00B439DA"/>
    <w:rsid w:val="00B46604"/>
    <w:rsid w:val="00B530CD"/>
    <w:rsid w:val="00B55F5E"/>
    <w:rsid w:val="00B5752E"/>
    <w:rsid w:val="00B61F47"/>
    <w:rsid w:val="00B63A11"/>
    <w:rsid w:val="00B63B6A"/>
    <w:rsid w:val="00B64C24"/>
    <w:rsid w:val="00B6608F"/>
    <w:rsid w:val="00B67298"/>
    <w:rsid w:val="00B679FB"/>
    <w:rsid w:val="00B76D1E"/>
    <w:rsid w:val="00B80EC6"/>
    <w:rsid w:val="00B84CF6"/>
    <w:rsid w:val="00B92D1D"/>
    <w:rsid w:val="00B938C5"/>
    <w:rsid w:val="00B95940"/>
    <w:rsid w:val="00BA6C2B"/>
    <w:rsid w:val="00BA7CB2"/>
    <w:rsid w:val="00BB46F3"/>
    <w:rsid w:val="00BB4CB1"/>
    <w:rsid w:val="00BB4F98"/>
    <w:rsid w:val="00BB73B5"/>
    <w:rsid w:val="00BC5C12"/>
    <w:rsid w:val="00BC7154"/>
    <w:rsid w:val="00BC731E"/>
    <w:rsid w:val="00BD366B"/>
    <w:rsid w:val="00BD6D50"/>
    <w:rsid w:val="00BE18B9"/>
    <w:rsid w:val="00BE2495"/>
    <w:rsid w:val="00BE6FF8"/>
    <w:rsid w:val="00BE7090"/>
    <w:rsid w:val="00BF1578"/>
    <w:rsid w:val="00C04E28"/>
    <w:rsid w:val="00C050C9"/>
    <w:rsid w:val="00C21F94"/>
    <w:rsid w:val="00C2492A"/>
    <w:rsid w:val="00C27913"/>
    <w:rsid w:val="00C27E4F"/>
    <w:rsid w:val="00C32964"/>
    <w:rsid w:val="00C33B68"/>
    <w:rsid w:val="00C36A79"/>
    <w:rsid w:val="00C401D2"/>
    <w:rsid w:val="00C405D4"/>
    <w:rsid w:val="00C4293F"/>
    <w:rsid w:val="00C4431F"/>
    <w:rsid w:val="00C4513B"/>
    <w:rsid w:val="00C47052"/>
    <w:rsid w:val="00C503A6"/>
    <w:rsid w:val="00C5390B"/>
    <w:rsid w:val="00C54697"/>
    <w:rsid w:val="00C65535"/>
    <w:rsid w:val="00C71E85"/>
    <w:rsid w:val="00C72884"/>
    <w:rsid w:val="00C73885"/>
    <w:rsid w:val="00C747B1"/>
    <w:rsid w:val="00C8030A"/>
    <w:rsid w:val="00C82191"/>
    <w:rsid w:val="00C83134"/>
    <w:rsid w:val="00C85545"/>
    <w:rsid w:val="00C90CF4"/>
    <w:rsid w:val="00C9222E"/>
    <w:rsid w:val="00C92EB6"/>
    <w:rsid w:val="00C93389"/>
    <w:rsid w:val="00CA0914"/>
    <w:rsid w:val="00CA3057"/>
    <w:rsid w:val="00CA6AB4"/>
    <w:rsid w:val="00CB4930"/>
    <w:rsid w:val="00CC2E7D"/>
    <w:rsid w:val="00CD10A5"/>
    <w:rsid w:val="00CD2076"/>
    <w:rsid w:val="00CD29B5"/>
    <w:rsid w:val="00CD6331"/>
    <w:rsid w:val="00CE670B"/>
    <w:rsid w:val="00CF4908"/>
    <w:rsid w:val="00CF51EC"/>
    <w:rsid w:val="00CF73AE"/>
    <w:rsid w:val="00D01CDA"/>
    <w:rsid w:val="00D040DD"/>
    <w:rsid w:val="00D075BE"/>
    <w:rsid w:val="00D13986"/>
    <w:rsid w:val="00D21D83"/>
    <w:rsid w:val="00D235B7"/>
    <w:rsid w:val="00D23C02"/>
    <w:rsid w:val="00D25F28"/>
    <w:rsid w:val="00D26071"/>
    <w:rsid w:val="00D27973"/>
    <w:rsid w:val="00D35E1A"/>
    <w:rsid w:val="00D42211"/>
    <w:rsid w:val="00D50F46"/>
    <w:rsid w:val="00D54978"/>
    <w:rsid w:val="00D57677"/>
    <w:rsid w:val="00D66223"/>
    <w:rsid w:val="00D71625"/>
    <w:rsid w:val="00D8084C"/>
    <w:rsid w:val="00D915EA"/>
    <w:rsid w:val="00DA7C0C"/>
    <w:rsid w:val="00DB08A9"/>
    <w:rsid w:val="00DB2A7E"/>
    <w:rsid w:val="00DB2EC8"/>
    <w:rsid w:val="00DC5B3B"/>
    <w:rsid w:val="00DD129F"/>
    <w:rsid w:val="00DE02BD"/>
    <w:rsid w:val="00DF42FF"/>
    <w:rsid w:val="00E01C0E"/>
    <w:rsid w:val="00E03F9A"/>
    <w:rsid w:val="00E04694"/>
    <w:rsid w:val="00E063CE"/>
    <w:rsid w:val="00E12B1E"/>
    <w:rsid w:val="00E17262"/>
    <w:rsid w:val="00E200EF"/>
    <w:rsid w:val="00E2206E"/>
    <w:rsid w:val="00E253A2"/>
    <w:rsid w:val="00E3309D"/>
    <w:rsid w:val="00E43C1C"/>
    <w:rsid w:val="00E47EBA"/>
    <w:rsid w:val="00E50156"/>
    <w:rsid w:val="00E51643"/>
    <w:rsid w:val="00E53470"/>
    <w:rsid w:val="00E539F6"/>
    <w:rsid w:val="00E551F6"/>
    <w:rsid w:val="00E61613"/>
    <w:rsid w:val="00E62166"/>
    <w:rsid w:val="00E6519D"/>
    <w:rsid w:val="00E67696"/>
    <w:rsid w:val="00E71A58"/>
    <w:rsid w:val="00E72A7A"/>
    <w:rsid w:val="00E75C94"/>
    <w:rsid w:val="00E93820"/>
    <w:rsid w:val="00E94A86"/>
    <w:rsid w:val="00E96143"/>
    <w:rsid w:val="00E97D7E"/>
    <w:rsid w:val="00EA0987"/>
    <w:rsid w:val="00EA0C68"/>
    <w:rsid w:val="00EA32BC"/>
    <w:rsid w:val="00EA4302"/>
    <w:rsid w:val="00EB4511"/>
    <w:rsid w:val="00EB75B3"/>
    <w:rsid w:val="00EC03D7"/>
    <w:rsid w:val="00ED4F37"/>
    <w:rsid w:val="00ED62C6"/>
    <w:rsid w:val="00ED64C1"/>
    <w:rsid w:val="00EE3446"/>
    <w:rsid w:val="00EE3E78"/>
    <w:rsid w:val="00EE4B1B"/>
    <w:rsid w:val="00EE7F19"/>
    <w:rsid w:val="00EF089C"/>
    <w:rsid w:val="00EF150D"/>
    <w:rsid w:val="00EF1F5A"/>
    <w:rsid w:val="00EF3741"/>
    <w:rsid w:val="00EF47BF"/>
    <w:rsid w:val="00F04811"/>
    <w:rsid w:val="00F0488C"/>
    <w:rsid w:val="00F10F11"/>
    <w:rsid w:val="00F15AAA"/>
    <w:rsid w:val="00F15BEF"/>
    <w:rsid w:val="00F24407"/>
    <w:rsid w:val="00F24931"/>
    <w:rsid w:val="00F24FAA"/>
    <w:rsid w:val="00F312E5"/>
    <w:rsid w:val="00F3364D"/>
    <w:rsid w:val="00F437CC"/>
    <w:rsid w:val="00F44537"/>
    <w:rsid w:val="00F44B6A"/>
    <w:rsid w:val="00F47067"/>
    <w:rsid w:val="00F50FC3"/>
    <w:rsid w:val="00F525EB"/>
    <w:rsid w:val="00F63DDE"/>
    <w:rsid w:val="00F63FB7"/>
    <w:rsid w:val="00F6421B"/>
    <w:rsid w:val="00F649D2"/>
    <w:rsid w:val="00F6602B"/>
    <w:rsid w:val="00F73A0C"/>
    <w:rsid w:val="00F756DB"/>
    <w:rsid w:val="00F77810"/>
    <w:rsid w:val="00F84E7D"/>
    <w:rsid w:val="00F85066"/>
    <w:rsid w:val="00F87A4D"/>
    <w:rsid w:val="00F9785E"/>
    <w:rsid w:val="00FA5D4D"/>
    <w:rsid w:val="00FB0EE2"/>
    <w:rsid w:val="00FB542E"/>
    <w:rsid w:val="00FC0E5F"/>
    <w:rsid w:val="00FC1A95"/>
    <w:rsid w:val="00FC50BA"/>
    <w:rsid w:val="00FC56DE"/>
    <w:rsid w:val="00FC684B"/>
    <w:rsid w:val="00FD3265"/>
    <w:rsid w:val="00FD5F92"/>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398557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ntTable" Target="fontTable.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chart" Target="charts/chart4.xml"/><Relationship Id="rId29"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3" Type="http://schemas.openxmlformats.org/officeDocument/2006/relationships/hyperlink" Target="https://csu.gov.cz/rychle-informace/analyza-ctvrtletnich-sektorovych-uctu-1-ctvrtleti-2024" TargetMode="External"/><Relationship Id="rId2" Type="http://schemas.openxmlformats.org/officeDocument/2006/relationships/hyperlink" Target="https://csu.gov.cz/methodological-note-to-consumer-price-index-imputed-rentals" TargetMode="External"/><Relationship Id="rId1" Type="http://schemas.openxmlformats.org/officeDocument/2006/relationships/hyperlink" Target="https://csu.gov.cz/update-of-the-compilation-method-international-trade-in-goods-change-of-ownersh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zabojnikova31519.CZSO\AppData\Roaming\Microsoft\Excel\Makroanal&#253;za%20grafy_eng%20(version%201).xlsb"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zabojnikova31519.CZSO\AppData\Roaming\Microsoft\Excel\Makroanal&#253;za%20grafy_eng%20(version%201).xlsb"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file:///C:\Users\zabojnikova31519.CZSO\AppData\Roaming\Microsoft\Excel\Makroanal&#253;za%20grafy_eng%20(version%201).xlsb" TargetMode="External"/><Relationship Id="rId2" Type="http://schemas.microsoft.com/office/2011/relationships/chartColorStyle" Target="colors2.xml"/><Relationship Id="rId1" Type="http://schemas.microsoft.com/office/2011/relationships/chartStyle" Target="style2.xml"/></Relationships>
</file>

<file path=word/charts/_rels/chart13.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Qmakro-2024\1.%20pololet&#237;\ENGL\ENGL-TRH%20PR&#193;CE%20grafy-rok-2q2024.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2024\1.%20pololet&#237;\ENGL\ENGL-St&#225;tn&#237;%20rozpo&#269;et-grafy-1.pol-2024.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Qmakro-2024\1.%20pololet&#237;\ENGL\ENGL-St&#225;tn&#237;%20rozpo&#269;et-grafy-1.pol-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2/ENG/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Qmakro-2024\1.%20pololet&#237;\ENGL\ENGL-ODV&#282;TV&#205;_grafy_1.pol.202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Qmakro-2024\1.%20pololet&#237;\ENGL\ENGL-ODV&#282;TV&#205;_grafy_1.pol.2024.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C:\Users\zabojnikova31519.CZSO\AppData\Roaming\Microsoft\Excel\Makroanal&#253;za%20grafy_eng%20(version%201).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1'!$C$9:$C$30</c:f>
              <c:numCache>
                <c:formatCode>0.0</c:formatCode>
                <c:ptCount val="22"/>
                <c:pt idx="0">
                  <c:v>3.4189856936099829</c:v>
                </c:pt>
                <c:pt idx="1">
                  <c:v>3.6131741333642537</c:v>
                </c:pt>
                <c:pt idx="2">
                  <c:v>3.6825803056472921</c:v>
                </c:pt>
                <c:pt idx="3">
                  <c:v>3.3199919158713271</c:v>
                </c:pt>
                <c:pt idx="4">
                  <c:v>-1.5501786832516729</c:v>
                </c:pt>
                <c:pt idx="5">
                  <c:v>-10.594932915034789</c:v>
                </c:pt>
                <c:pt idx="6">
                  <c:v>-4.7011751782364399</c:v>
                </c:pt>
                <c:pt idx="7">
                  <c:v>-4.4366398308301314</c:v>
                </c:pt>
                <c:pt idx="8">
                  <c:v>-1.2288638498452684</c:v>
                </c:pt>
                <c:pt idx="9">
                  <c:v>9.7404575003667162</c:v>
                </c:pt>
                <c:pt idx="10">
                  <c:v>3.9736849039729805</c:v>
                </c:pt>
                <c:pt idx="11">
                  <c:v>3.9029603596385698</c:v>
                </c:pt>
                <c:pt idx="12">
                  <c:v>4.8437098358771209</c:v>
                </c:pt>
                <c:pt idx="13">
                  <c:v>3.6483773841026448</c:v>
                </c:pt>
                <c:pt idx="14">
                  <c:v>2.0520198238941418</c:v>
                </c:pt>
                <c:pt idx="15">
                  <c:v>0.95157210327245423</c:v>
                </c:pt>
                <c:pt idx="16">
                  <c:v>0.28194122653326303</c:v>
                </c:pt>
                <c:pt idx="17">
                  <c:v>0.17520468854441162</c:v>
                </c:pt>
                <c:pt idx="18" formatCode="General">
                  <c:v>-0.36641834862845712</c:v>
                </c:pt>
                <c:pt idx="19" formatCode="General">
                  <c:v>4.80414775099689E-2</c:v>
                </c:pt>
                <c:pt idx="20" formatCode="General">
                  <c:v>0.40552379101710301</c:v>
                </c:pt>
                <c:pt idx="21" formatCode="General">
                  <c:v>0.59788490150663165</c:v>
                </c:pt>
              </c:numCache>
            </c:numRef>
          </c:val>
          <c:extLst>
            <c:ext xmlns:c16="http://schemas.microsoft.com/office/drawing/2014/chart" uri="{C3380CC4-5D6E-409C-BE32-E72D297353CC}">
              <c16:uniqueId val="{00000000-EC1F-4B73-8EAA-6334A7408EE3}"/>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1'!$D$9:$D$30</c:f>
              <c:numCache>
                <c:formatCode>#\ ##0.0</c:formatCode>
                <c:ptCount val="22"/>
                <c:pt idx="0" formatCode="#\ ##0.##########">
                  <c:v>2</c:v>
                </c:pt>
                <c:pt idx="1">
                  <c:v>2</c:v>
                </c:pt>
                <c:pt idx="2" formatCode="#\ ##0.##########">
                  <c:v>2.1</c:v>
                </c:pt>
                <c:pt idx="3" formatCode="#\ ##0.##########">
                  <c:v>1.4</c:v>
                </c:pt>
                <c:pt idx="4" formatCode="#\ ##0.##########">
                  <c:v>-2.2999999999999998</c:v>
                </c:pt>
                <c:pt idx="5" formatCode="#\ ##0.##########">
                  <c:v>-13.2</c:v>
                </c:pt>
                <c:pt idx="6" formatCode="#\ ##0.##########">
                  <c:v>-4</c:v>
                </c:pt>
                <c:pt idx="7" formatCode="#\ ##0.##########">
                  <c:v>-3.7</c:v>
                </c:pt>
                <c:pt idx="8" formatCode="#\ ##0.##########">
                  <c:v>0</c:v>
                </c:pt>
                <c:pt idx="9" formatCode="#\ ##0.##########">
                  <c:v>14.6</c:v>
                </c:pt>
                <c:pt idx="10" formatCode="#\ ##0.##########">
                  <c:v>5.2</c:v>
                </c:pt>
                <c:pt idx="11" formatCode="#\ ##0.##########">
                  <c:v>5.8</c:v>
                </c:pt>
                <c:pt idx="12" formatCode="#\ ##0.##########">
                  <c:v>5.5</c:v>
                </c:pt>
                <c:pt idx="13" formatCode="#\ ##0.##########">
                  <c:v>4</c:v>
                </c:pt>
                <c:pt idx="14" formatCode="#\ ##0.##########">
                  <c:v>2.6</c:v>
                </c:pt>
                <c:pt idx="15" formatCode="#\ ##0.##########">
                  <c:v>1.5</c:v>
                </c:pt>
                <c:pt idx="16" formatCode="#\ ##0.##########">
                  <c:v>1.2</c:v>
                </c:pt>
                <c:pt idx="17" formatCode="#\ ##0.##########">
                  <c:v>0.5</c:v>
                </c:pt>
                <c:pt idx="18" formatCode="#\ ##0.##########">
                  <c:v>0.1</c:v>
                </c:pt>
                <c:pt idx="19" formatCode="#\ ##0.##########">
                  <c:v>0.4</c:v>
                </c:pt>
                <c:pt idx="20" formatCode="#\ ##0.##########">
                  <c:v>0.7</c:v>
                </c:pt>
                <c:pt idx="21" formatCode="#\ ##0.##########">
                  <c:v>0.8</c:v>
                </c:pt>
              </c:numCache>
            </c:numRef>
          </c:val>
          <c:extLst>
            <c:ext xmlns:c16="http://schemas.microsoft.com/office/drawing/2014/chart" uri="{C3380CC4-5D6E-409C-BE32-E72D297353CC}">
              <c16:uniqueId val="{00000001-EC1F-4B73-8EAA-6334A7408EE3}"/>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1'!$E$9:$E$30</c:f>
              <c:numCache>
                <c:formatCode>0.0</c:formatCode>
                <c:ptCount val="22"/>
                <c:pt idx="0">
                  <c:v>1.3072240756125382</c:v>
                </c:pt>
                <c:pt idx="1">
                  <c:v>0.49696583288741181</c:v>
                </c:pt>
                <c:pt idx="2">
                  <c:v>0.73496507853789694</c:v>
                </c:pt>
                <c:pt idx="3">
                  <c:v>0.74204395610576057</c:v>
                </c:pt>
                <c:pt idx="4">
                  <c:v>-3.4680711506351827</c:v>
                </c:pt>
                <c:pt idx="5">
                  <c:v>-8.7358630828085069</c:v>
                </c:pt>
                <c:pt idx="6">
                  <c:v>7.3756119585801656</c:v>
                </c:pt>
                <c:pt idx="7">
                  <c:v>1.0216888693163071</c:v>
                </c:pt>
                <c:pt idx="8">
                  <c:v>-0.22778321796964462</c:v>
                </c:pt>
                <c:pt idx="9">
                  <c:v>1.3997462117176838</c:v>
                </c:pt>
                <c:pt idx="10">
                  <c:v>1.7331100894615759</c:v>
                </c:pt>
                <c:pt idx="11">
                  <c:v>0.95297231935684579</c:v>
                </c:pt>
                <c:pt idx="12">
                  <c:v>0.67556602593998605</c:v>
                </c:pt>
                <c:pt idx="13">
                  <c:v>0.24367869523720742</c:v>
                </c:pt>
                <c:pt idx="14">
                  <c:v>0.16625083402912821</c:v>
                </c:pt>
                <c:pt idx="15">
                  <c:v>-0.13562414811659096</c:v>
                </c:pt>
                <c:pt idx="16">
                  <c:v>7.7659497292046353E-3</c:v>
                </c:pt>
                <c:pt idx="17">
                  <c:v>0.13698288252822977</c:v>
                </c:pt>
                <c:pt idx="18" formatCode="General">
                  <c:v>-0.37532379182387388</c:v>
                </c:pt>
                <c:pt idx="19" formatCode="General">
                  <c:v>0.27979574512603733</c:v>
                </c:pt>
                <c:pt idx="20" formatCode="General">
                  <c:v>0.36510435448376199</c:v>
                </c:pt>
                <c:pt idx="21" formatCode="General">
                  <c:v>0.32882951109067449</c:v>
                </c:pt>
              </c:numCache>
            </c:numRef>
          </c:val>
          <c:smooth val="0"/>
          <c:extLst>
            <c:ext xmlns:c16="http://schemas.microsoft.com/office/drawing/2014/chart" uri="{C3380CC4-5D6E-409C-BE32-E72D297353CC}">
              <c16:uniqueId val="{00000002-EC1F-4B73-8EAA-6334A7408EE3}"/>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1'!$F$9:$F$30</c:f>
              <c:numCache>
                <c:formatCode>#\ ##0.##########</c:formatCode>
                <c:ptCount val="22"/>
                <c:pt idx="0">
                  <c:v>0.7</c:v>
                </c:pt>
                <c:pt idx="1">
                  <c:v>0.4</c:v>
                </c:pt>
                <c:pt idx="2">
                  <c:v>0.3</c:v>
                </c:pt>
                <c:pt idx="3" formatCode="#\ ##0.0">
                  <c:v>0</c:v>
                </c:pt>
                <c:pt idx="4">
                  <c:v>-3.1</c:v>
                </c:pt>
                <c:pt idx="5">
                  <c:v>-10.7</c:v>
                </c:pt>
                <c:pt idx="6">
                  <c:v>10.8</c:v>
                </c:pt>
                <c:pt idx="7">
                  <c:v>0.4</c:v>
                </c:pt>
                <c:pt idx="8">
                  <c:v>0.7</c:v>
                </c:pt>
                <c:pt idx="9">
                  <c:v>2.2999999999999998</c:v>
                </c:pt>
                <c:pt idx="10">
                  <c:v>1.8</c:v>
                </c:pt>
                <c:pt idx="11">
                  <c:v>0.9</c:v>
                </c:pt>
                <c:pt idx="12">
                  <c:v>0.4</c:v>
                </c:pt>
                <c:pt idx="13">
                  <c:v>0.8</c:v>
                </c:pt>
                <c:pt idx="14">
                  <c:v>0.5</c:v>
                </c:pt>
                <c:pt idx="15">
                  <c:v>-0.2</c:v>
                </c:pt>
                <c:pt idx="16">
                  <c:v>0.1</c:v>
                </c:pt>
                <c:pt idx="17">
                  <c:v>0.1</c:v>
                </c:pt>
                <c:pt idx="18">
                  <c:v>0.2</c:v>
                </c:pt>
                <c:pt idx="19">
                  <c:v>0.1</c:v>
                </c:pt>
                <c:pt idx="20">
                  <c:v>0.3</c:v>
                </c:pt>
                <c:pt idx="21">
                  <c:v>0.2</c:v>
                </c:pt>
              </c:numCache>
            </c:numRef>
          </c:val>
          <c:smooth val="0"/>
          <c:extLst>
            <c:ext xmlns:c16="http://schemas.microsoft.com/office/drawing/2014/chart" uri="{C3380CC4-5D6E-409C-BE32-E72D297353CC}">
              <c16:uniqueId val="{00000003-EC1F-4B73-8EAA-6334A7408EE3}"/>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2'!$C$10:$C$31</c:f>
              <c:numCache>
                <c:formatCode>0.0</c:formatCode>
                <c:ptCount val="22"/>
                <c:pt idx="0">
                  <c:v>2.7</c:v>
                </c:pt>
                <c:pt idx="1">
                  <c:v>2.8</c:v>
                </c:pt>
                <c:pt idx="2">
                  <c:v>2.8</c:v>
                </c:pt>
                <c:pt idx="3">
                  <c:v>3</c:v>
                </c:pt>
                <c:pt idx="4">
                  <c:v>3.6</c:v>
                </c:pt>
                <c:pt idx="5">
                  <c:v>3.1</c:v>
                </c:pt>
                <c:pt idx="6">
                  <c:v>3.3</c:v>
                </c:pt>
                <c:pt idx="7">
                  <c:v>2.6</c:v>
                </c:pt>
                <c:pt idx="8">
                  <c:v>2.2000000000000002</c:v>
                </c:pt>
                <c:pt idx="9">
                  <c:v>2.9</c:v>
                </c:pt>
                <c:pt idx="10">
                  <c:v>4.0999999999999996</c:v>
                </c:pt>
                <c:pt idx="11">
                  <c:v>6.1</c:v>
                </c:pt>
                <c:pt idx="12">
                  <c:v>11.2</c:v>
                </c:pt>
                <c:pt idx="13">
                  <c:v>15.8</c:v>
                </c:pt>
                <c:pt idx="14">
                  <c:v>17.600000000000001</c:v>
                </c:pt>
                <c:pt idx="15">
                  <c:v>15.7</c:v>
                </c:pt>
                <c:pt idx="16">
                  <c:v>16.399999999999999</c:v>
                </c:pt>
                <c:pt idx="17">
                  <c:v>11.1</c:v>
                </c:pt>
                <c:pt idx="18">
                  <c:v>8</c:v>
                </c:pt>
                <c:pt idx="19">
                  <c:v>7.6</c:v>
                </c:pt>
                <c:pt idx="20">
                  <c:v>2.1</c:v>
                </c:pt>
                <c:pt idx="21">
                  <c:v>2.5</c:v>
                </c:pt>
              </c:numCache>
            </c:numRef>
          </c:val>
          <c:extLst>
            <c:ext xmlns:c16="http://schemas.microsoft.com/office/drawing/2014/chart" uri="{C3380CC4-5D6E-409C-BE32-E72D297353CC}">
              <c16:uniqueId val="{00000000-BC33-44E8-8152-9EDDA1DF7402}"/>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2'!$D$10:$D$31</c:f>
              <c:numCache>
                <c:formatCode>0.0</c:formatCode>
                <c:ptCount val="22"/>
                <c:pt idx="0">
                  <c:v>1</c:v>
                </c:pt>
                <c:pt idx="1">
                  <c:v>2.5</c:v>
                </c:pt>
                <c:pt idx="2">
                  <c:v>3.5</c:v>
                </c:pt>
                <c:pt idx="3">
                  <c:v>4.3</c:v>
                </c:pt>
                <c:pt idx="4">
                  <c:v>6.1</c:v>
                </c:pt>
                <c:pt idx="5">
                  <c:v>6.5</c:v>
                </c:pt>
                <c:pt idx="6">
                  <c:v>4</c:v>
                </c:pt>
                <c:pt idx="7">
                  <c:v>1.7</c:v>
                </c:pt>
                <c:pt idx="8">
                  <c:v>0.3</c:v>
                </c:pt>
                <c:pt idx="9">
                  <c:v>-0.8</c:v>
                </c:pt>
                <c:pt idx="10">
                  <c:v>1.4</c:v>
                </c:pt>
                <c:pt idx="11">
                  <c:v>2.2999999999999998</c:v>
                </c:pt>
                <c:pt idx="12">
                  <c:v>6.7</c:v>
                </c:pt>
                <c:pt idx="13">
                  <c:v>14.6</c:v>
                </c:pt>
                <c:pt idx="14">
                  <c:v>20</c:v>
                </c:pt>
                <c:pt idx="15">
                  <c:v>25.5</c:v>
                </c:pt>
                <c:pt idx="16">
                  <c:v>24.1</c:v>
                </c:pt>
                <c:pt idx="17">
                  <c:v>14.6</c:v>
                </c:pt>
                <c:pt idx="18">
                  <c:v>7.8</c:v>
                </c:pt>
                <c:pt idx="19">
                  <c:v>1.6</c:v>
                </c:pt>
                <c:pt idx="20">
                  <c:v>-4.9000000000000004</c:v>
                </c:pt>
                <c:pt idx="21">
                  <c:v>-3.6</c:v>
                </c:pt>
              </c:numCache>
            </c:numRef>
          </c:val>
          <c:smooth val="0"/>
          <c:extLst>
            <c:ext xmlns:c16="http://schemas.microsoft.com/office/drawing/2014/chart" uri="{C3380CC4-5D6E-409C-BE32-E72D297353CC}">
              <c16:uniqueId val="{00000001-BC33-44E8-8152-9EDDA1DF7402}"/>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2'!$F$10:$F$31</c:f>
              <c:numCache>
                <c:formatCode>0.0</c:formatCode>
                <c:ptCount val="22"/>
                <c:pt idx="0">
                  <c:v>5.4</c:v>
                </c:pt>
                <c:pt idx="1">
                  <c:v>5.7</c:v>
                </c:pt>
                <c:pt idx="2">
                  <c:v>5.2</c:v>
                </c:pt>
                <c:pt idx="3">
                  <c:v>5</c:v>
                </c:pt>
                <c:pt idx="4">
                  <c:v>4.2</c:v>
                </c:pt>
                <c:pt idx="5">
                  <c:v>3.2</c:v>
                </c:pt>
                <c:pt idx="6">
                  <c:v>2.7</c:v>
                </c:pt>
                <c:pt idx="7">
                  <c:v>1.4</c:v>
                </c:pt>
                <c:pt idx="8">
                  <c:v>0.6</c:v>
                </c:pt>
                <c:pt idx="9">
                  <c:v>1.3</c:v>
                </c:pt>
                <c:pt idx="10">
                  <c:v>3.6</c:v>
                </c:pt>
                <c:pt idx="11">
                  <c:v>5.6</c:v>
                </c:pt>
                <c:pt idx="12">
                  <c:v>16</c:v>
                </c:pt>
                <c:pt idx="13">
                  <c:v>21.4</c:v>
                </c:pt>
                <c:pt idx="14">
                  <c:v>23.6</c:v>
                </c:pt>
                <c:pt idx="15">
                  <c:v>14.9</c:v>
                </c:pt>
                <c:pt idx="16">
                  <c:v>22.2</c:v>
                </c:pt>
                <c:pt idx="17">
                  <c:v>16</c:v>
                </c:pt>
                <c:pt idx="18">
                  <c:v>11.6</c:v>
                </c:pt>
                <c:pt idx="19">
                  <c:v>17.8</c:v>
                </c:pt>
                <c:pt idx="20">
                  <c:v>3.4</c:v>
                </c:pt>
                <c:pt idx="21">
                  <c:v>3.1</c:v>
                </c:pt>
              </c:numCache>
            </c:numRef>
          </c:val>
          <c:smooth val="0"/>
          <c:extLst>
            <c:ext xmlns:c16="http://schemas.microsoft.com/office/drawing/2014/chart" uri="{C3380CC4-5D6E-409C-BE32-E72D297353CC}">
              <c16:uniqueId val="{00000002-BC33-44E8-8152-9EDDA1DF7402}"/>
            </c:ext>
          </c:extLst>
        </c:ser>
        <c:ser>
          <c:idx val="4"/>
          <c:order val="3"/>
          <c:tx>
            <c:strRef>
              <c:f>'Ceny 2'!$G$5</c:f>
              <c:strCache>
                <c:ptCount val="1"/>
                <c:pt idx="0">
                  <c:v>Transportation</c:v>
                </c:pt>
              </c:strCache>
            </c:strRef>
          </c:tx>
          <c:spPr>
            <a:ln w="19050">
              <a:solidFill>
                <a:srgbClr val="FFC000"/>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2'!$G$10:$G$31</c:f>
              <c:numCache>
                <c:formatCode>0.0</c:formatCode>
                <c:ptCount val="22"/>
                <c:pt idx="0">
                  <c:v>0.6</c:v>
                </c:pt>
                <c:pt idx="1">
                  <c:v>0.8</c:v>
                </c:pt>
                <c:pt idx="2">
                  <c:v>-0.2</c:v>
                </c:pt>
                <c:pt idx="3">
                  <c:v>0.5</c:v>
                </c:pt>
                <c:pt idx="4" formatCode="General">
                  <c:v>1.7</c:v>
                </c:pt>
                <c:pt idx="5">
                  <c:v>-3.4</c:v>
                </c:pt>
                <c:pt idx="6">
                  <c:v>-0.2</c:v>
                </c:pt>
                <c:pt idx="7">
                  <c:v>0.6</c:v>
                </c:pt>
                <c:pt idx="8">
                  <c:v>2.4</c:v>
                </c:pt>
                <c:pt idx="9">
                  <c:v>9.1</c:v>
                </c:pt>
                <c:pt idx="10">
                  <c:v>8.8000000000000007</c:v>
                </c:pt>
                <c:pt idx="11">
                  <c:v>13.1</c:v>
                </c:pt>
                <c:pt idx="12">
                  <c:v>17.2</c:v>
                </c:pt>
                <c:pt idx="13">
                  <c:v>22.7</c:v>
                </c:pt>
                <c:pt idx="14">
                  <c:v>19.7</c:v>
                </c:pt>
                <c:pt idx="15">
                  <c:v>13.1</c:v>
                </c:pt>
                <c:pt idx="16">
                  <c:v>4.5</c:v>
                </c:pt>
                <c:pt idx="17">
                  <c:v>-4</c:v>
                </c:pt>
                <c:pt idx="18">
                  <c:v>-2.4</c:v>
                </c:pt>
                <c:pt idx="19">
                  <c:v>-1.6</c:v>
                </c:pt>
                <c:pt idx="20">
                  <c:v>1.7</c:v>
                </c:pt>
                <c:pt idx="21">
                  <c:v>4.5999999999999996</c:v>
                </c:pt>
              </c:numCache>
            </c:numRef>
          </c:val>
          <c:smooth val="0"/>
          <c:extLst>
            <c:ext xmlns:c16="http://schemas.microsoft.com/office/drawing/2014/chart" uri="{C3380CC4-5D6E-409C-BE32-E72D297353CC}">
              <c16:uniqueId val="{00000003-BC33-44E8-8152-9EDDA1DF7402}"/>
            </c:ext>
          </c:extLst>
        </c:ser>
        <c:ser>
          <c:idx val="5"/>
          <c:order val="4"/>
          <c:tx>
            <c:strRef>
              <c:f>'Ceny 2'!$E$5</c:f>
              <c:strCache>
                <c:ptCount val="1"/>
                <c:pt idx="0">
                  <c:v>Alcoholic beverages and tobacco</c:v>
                </c:pt>
              </c:strCache>
              <c:extLst xmlns:c15="http://schemas.microsoft.com/office/drawing/2012/chart"/>
            </c:strRef>
          </c:tx>
          <c:spPr>
            <a:ln w="22225">
              <a:solidFill>
                <a:schemeClr val="accent2"/>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2'!$E$10:$E$31</c:f>
              <c:numCache>
                <c:formatCode>0.0</c:formatCode>
                <c:ptCount val="22"/>
                <c:pt idx="0">
                  <c:v>3.3</c:v>
                </c:pt>
                <c:pt idx="1">
                  <c:v>1.7</c:v>
                </c:pt>
                <c:pt idx="2">
                  <c:v>1.9</c:v>
                </c:pt>
                <c:pt idx="3">
                  <c:v>1.8</c:v>
                </c:pt>
                <c:pt idx="4" formatCode="General">
                  <c:v>3.5</c:v>
                </c:pt>
                <c:pt idx="5">
                  <c:v>6.6</c:v>
                </c:pt>
                <c:pt idx="6">
                  <c:v>10.3</c:v>
                </c:pt>
                <c:pt idx="7">
                  <c:v>9.9</c:v>
                </c:pt>
                <c:pt idx="8">
                  <c:v>9.9</c:v>
                </c:pt>
                <c:pt idx="9">
                  <c:v>9.8000000000000007</c:v>
                </c:pt>
                <c:pt idx="10">
                  <c:v>6.5</c:v>
                </c:pt>
                <c:pt idx="11">
                  <c:v>7.7</c:v>
                </c:pt>
                <c:pt idx="12">
                  <c:v>7.1</c:v>
                </c:pt>
                <c:pt idx="13">
                  <c:v>5.6</c:v>
                </c:pt>
                <c:pt idx="14">
                  <c:v>6.3</c:v>
                </c:pt>
                <c:pt idx="15">
                  <c:v>6</c:v>
                </c:pt>
                <c:pt idx="16">
                  <c:v>6.8</c:v>
                </c:pt>
                <c:pt idx="17">
                  <c:v>6.5</c:v>
                </c:pt>
                <c:pt idx="18">
                  <c:v>7.2</c:v>
                </c:pt>
                <c:pt idx="19">
                  <c:v>5.9</c:v>
                </c:pt>
                <c:pt idx="20">
                  <c:v>4.7</c:v>
                </c:pt>
                <c:pt idx="21">
                  <c:v>6.2</c:v>
                </c:pt>
              </c:numCache>
            </c:numRef>
          </c:val>
          <c:smooth val="0"/>
          <c:extLst xmlns:c15="http://schemas.microsoft.com/office/drawing/2012/chart">
            <c:ext xmlns:c16="http://schemas.microsoft.com/office/drawing/2014/chart" uri="{C3380CC4-5D6E-409C-BE32-E72D297353CC}">
              <c16:uniqueId val="{00000004-BC33-44E8-8152-9EDDA1DF7402}"/>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2'!$H$10:$H$31</c:f>
              <c:numCache>
                <c:formatCode>0.0</c:formatCode>
                <c:ptCount val="22"/>
                <c:pt idx="0">
                  <c:v>3.8</c:v>
                </c:pt>
                <c:pt idx="1">
                  <c:v>4</c:v>
                </c:pt>
                <c:pt idx="2">
                  <c:v>4.5</c:v>
                </c:pt>
                <c:pt idx="3">
                  <c:v>4.5999999999999996</c:v>
                </c:pt>
                <c:pt idx="4">
                  <c:v>5.5</c:v>
                </c:pt>
                <c:pt idx="5">
                  <c:v>5.0999999999999996</c:v>
                </c:pt>
                <c:pt idx="6">
                  <c:v>4.9000000000000004</c:v>
                </c:pt>
                <c:pt idx="7">
                  <c:v>4.3</c:v>
                </c:pt>
                <c:pt idx="8">
                  <c:v>3</c:v>
                </c:pt>
                <c:pt idx="9">
                  <c:v>2.9</c:v>
                </c:pt>
                <c:pt idx="10">
                  <c:v>4.5999999999999996</c:v>
                </c:pt>
                <c:pt idx="11">
                  <c:v>6.8</c:v>
                </c:pt>
                <c:pt idx="12">
                  <c:v>12.3</c:v>
                </c:pt>
                <c:pt idx="13">
                  <c:v>21.4</c:v>
                </c:pt>
                <c:pt idx="14">
                  <c:v>24.3</c:v>
                </c:pt>
                <c:pt idx="15">
                  <c:v>25.6</c:v>
                </c:pt>
                <c:pt idx="16">
                  <c:v>22.4</c:v>
                </c:pt>
                <c:pt idx="17">
                  <c:v>15.4</c:v>
                </c:pt>
                <c:pt idx="18">
                  <c:v>11.6</c:v>
                </c:pt>
                <c:pt idx="19">
                  <c:v>8.8000000000000007</c:v>
                </c:pt>
                <c:pt idx="20">
                  <c:v>8.6</c:v>
                </c:pt>
                <c:pt idx="21">
                  <c:v>7.8</c:v>
                </c:pt>
              </c:numCache>
            </c:numRef>
          </c:val>
          <c:smooth val="0"/>
          <c:extLst xmlns:c15="http://schemas.microsoft.com/office/drawing/2012/chart">
            <c:ext xmlns:c16="http://schemas.microsoft.com/office/drawing/2014/chart" uri="{C3380CC4-5D6E-409C-BE32-E72D297353CC}">
              <c16:uniqueId val="{00000005-BC33-44E8-8152-9EDDA1DF7402}"/>
            </c:ext>
          </c:extLst>
        </c:ser>
        <c:dLbls>
          <c:showLegendKey val="0"/>
          <c:showVal val="0"/>
          <c:showCatName val="0"/>
          <c:showSerName val="0"/>
          <c:showPercent val="0"/>
          <c:showBubbleSize val="0"/>
        </c:dLbls>
        <c:marker val="1"/>
        <c:smooth val="0"/>
        <c:axId val="130513536"/>
        <c:axId val="130531712"/>
        <c:extLst>
          <c:ext xmlns:c15="http://schemas.microsoft.com/office/drawing/2012/chart" uri="{02D57815-91ED-43cb-92C2-25804820EDAC}">
            <c15:filteredLineSeries>
              <c15:ser>
                <c:idx val="6"/>
                <c:order val="6"/>
                <c:tx>
                  <c:strRef>
                    <c:extLst>
                      <c:ext uri="{02D57815-91ED-43cb-92C2-25804820EDAC}">
                        <c15:formulaRef>
                          <c15:sqref>'Ceny 2'!$I$5</c15:sqref>
                        </c15:formulaRef>
                      </c:ext>
                    </c:extLst>
                    <c:strCache>
                      <c:ptCount val="1"/>
                      <c:pt idx="0">
                        <c:v>Recreation and culture</c:v>
                      </c:pt>
                    </c:strCache>
                  </c:strRef>
                </c:tx>
                <c:spPr>
                  <a:ln w="22225">
                    <a:solidFill>
                      <a:srgbClr val="FF0000"/>
                    </a:solidFill>
                  </a:ln>
                </c:spPr>
                <c:marker>
                  <c:symbol val="none"/>
                </c:marker>
                <c:cat>
                  <c:multiLvlStrRef>
                    <c:extLst>
                      <c:ext uri="{02D57815-91ED-43cb-92C2-25804820EDAC}">
                        <c15:formulaRef>
                          <c15:sqref>'Ceny 2'!$A$10:$B$31</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extLst>
                      <c:ext uri="{02D57815-91ED-43cb-92C2-25804820EDAC}">
                        <c15:formulaRef>
                          <c15:sqref>'Ceny 2'!$I$10:$I$31</c15:sqref>
                        </c15:formulaRef>
                      </c:ext>
                    </c:extLst>
                    <c:numCache>
                      <c:formatCode>General</c:formatCode>
                      <c:ptCount val="22"/>
                      <c:pt idx="0">
                        <c:v>1.7000000000000028</c:v>
                      </c:pt>
                      <c:pt idx="1">
                        <c:v>1</c:v>
                      </c:pt>
                      <c:pt idx="2">
                        <c:v>1.7000000000000028</c:v>
                      </c:pt>
                      <c:pt idx="3">
                        <c:v>2.0999999999999943</c:v>
                      </c:pt>
                      <c:pt idx="4">
                        <c:v>2.0999999999999943</c:v>
                      </c:pt>
                      <c:pt idx="5">
                        <c:v>2</c:v>
                      </c:pt>
                      <c:pt idx="6">
                        <c:v>2.2000000000000028</c:v>
                      </c:pt>
                      <c:pt idx="7">
                        <c:v>2.5</c:v>
                      </c:pt>
                      <c:pt idx="8">
                        <c:v>1.4000000000000057</c:v>
                      </c:pt>
                      <c:pt idx="9">
                        <c:v>2</c:v>
                      </c:pt>
                      <c:pt idx="10">
                        <c:v>3.0999999999999943</c:v>
                      </c:pt>
                      <c:pt idx="11">
                        <c:v>5.2999999999999972</c:v>
                      </c:pt>
                      <c:pt idx="12">
                        <c:v>8.5</c:v>
                      </c:pt>
                      <c:pt idx="13">
                        <c:v>11.299999999999997</c:v>
                      </c:pt>
                      <c:pt idx="14">
                        <c:v>12.599999999999994</c:v>
                      </c:pt>
                      <c:pt idx="15" formatCode="0.0">
                        <c:v>13.2</c:v>
                      </c:pt>
                      <c:pt idx="16" formatCode="0.0">
                        <c:v>14</c:v>
                      </c:pt>
                      <c:pt idx="17" formatCode="0.0">
                        <c:v>11.7</c:v>
                      </c:pt>
                      <c:pt idx="18" formatCode="0.0">
                        <c:v>9.6999999999999993</c:v>
                      </c:pt>
                      <c:pt idx="19" formatCode="0.0">
                        <c:v>6.9</c:v>
                      </c:pt>
                      <c:pt idx="20" formatCode="0.0">
                        <c:v>4.4000000000000004</c:v>
                      </c:pt>
                      <c:pt idx="21" formatCode="0.0">
                        <c:v>3.8</c:v>
                      </c:pt>
                    </c:numCache>
                  </c:numRef>
                </c:val>
                <c:smooth val="0"/>
                <c:extLst>
                  <c:ext xmlns:c16="http://schemas.microsoft.com/office/drawing/2014/chart" uri="{C3380CC4-5D6E-409C-BE32-E72D297353CC}">
                    <c16:uniqueId val="{00000006-BC33-44E8-8152-9EDDA1DF7402}"/>
                  </c:ext>
                </c:extLst>
              </c15:ser>
            </c15:filteredLineSeries>
          </c:ext>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4"/>
      </c:valAx>
      <c:spPr>
        <a:ln>
          <a:solidFill>
            <a:schemeClr val="tx1"/>
          </a:solidFill>
        </a:ln>
      </c:spPr>
    </c:plotArea>
    <c:legend>
      <c:legendPos val="b"/>
      <c:layout>
        <c:manualLayout>
          <c:xMode val="edge"/>
          <c:yMode val="edge"/>
          <c:x val="5.6562816616008108E-2"/>
          <c:y val="0.87970674321738151"/>
          <c:w val="0.9271700861195542"/>
          <c:h val="0.105771324327717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1'!$C$10:$C$31</c:f>
              <c:numCache>
                <c:formatCode>General</c:formatCode>
                <c:ptCount val="22"/>
                <c:pt idx="0">
                  <c:v>11.299999999999997</c:v>
                </c:pt>
                <c:pt idx="1">
                  <c:v>10.599999999999994</c:v>
                </c:pt>
                <c:pt idx="2">
                  <c:v>9.5</c:v>
                </c:pt>
                <c:pt idx="3">
                  <c:v>9.4000000000000057</c:v>
                </c:pt>
                <c:pt idx="4">
                  <c:v>10.599999999999994</c:v>
                </c:pt>
                <c:pt idx="5">
                  <c:v>10.200000000000003</c:v>
                </c:pt>
                <c:pt idx="6">
                  <c:v>11.200000000000003</c:v>
                </c:pt>
                <c:pt idx="7">
                  <c:v>13.299999999999997</c:v>
                </c:pt>
                <c:pt idx="8">
                  <c:v>15.200000000000003</c:v>
                </c:pt>
                <c:pt idx="9">
                  <c:v>17.900000000000006</c:v>
                </c:pt>
                <c:pt idx="10">
                  <c:v>21.299999999999997</c:v>
                </c:pt>
                <c:pt idx="11">
                  <c:v>25.200000000000003</c:v>
                </c:pt>
                <c:pt idx="12">
                  <c:v>27.299999999999997</c:v>
                </c:pt>
                <c:pt idx="13">
                  <c:v>27.599999999999994</c:v>
                </c:pt>
                <c:pt idx="14">
                  <c:v>23.400000000000006</c:v>
                </c:pt>
                <c:pt idx="15">
                  <c:v>13.799999999999997</c:v>
                </c:pt>
                <c:pt idx="16">
                  <c:v>3.7000000000000028</c:v>
                </c:pt>
                <c:pt idx="17">
                  <c:v>-4.0999999999999943</c:v>
                </c:pt>
                <c:pt idx="18">
                  <c:v>-7</c:v>
                </c:pt>
                <c:pt idx="19">
                  <c:v>-5.5</c:v>
                </c:pt>
                <c:pt idx="20">
                  <c:v>9.9999999999994316E-2</c:v>
                </c:pt>
                <c:pt idx="21">
                  <c:v>6.0999999999999943</c:v>
                </c:pt>
              </c:numCache>
            </c:numRef>
          </c:val>
          <c:extLst>
            <c:ext xmlns:c16="http://schemas.microsoft.com/office/drawing/2014/chart" uri="{C3380CC4-5D6E-409C-BE32-E72D297353CC}">
              <c16:uniqueId val="{00000000-0DB5-4432-9F77-CBF1F715753C}"/>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1'!$D$10:$D$31</c:f>
              <c:numCache>
                <c:formatCode>General</c:formatCode>
                <c:ptCount val="22"/>
                <c:pt idx="0">
                  <c:v>9.4000000000000057</c:v>
                </c:pt>
                <c:pt idx="1">
                  <c:v>8.7000000000000028</c:v>
                </c:pt>
                <c:pt idx="2">
                  <c:v>6.5</c:v>
                </c:pt>
                <c:pt idx="3">
                  <c:v>7.0999999999999943</c:v>
                </c:pt>
                <c:pt idx="4">
                  <c:v>6.2000000000000028</c:v>
                </c:pt>
                <c:pt idx="5">
                  <c:v>8</c:v>
                </c:pt>
                <c:pt idx="6">
                  <c:v>9.4000000000000057</c:v>
                </c:pt>
                <c:pt idx="7">
                  <c:v>10.599999999999994</c:v>
                </c:pt>
                <c:pt idx="8">
                  <c:v>14.299999999999997</c:v>
                </c:pt>
                <c:pt idx="9">
                  <c:v>15.799999999999997</c:v>
                </c:pt>
                <c:pt idx="10">
                  <c:v>16.599999999999994</c:v>
                </c:pt>
                <c:pt idx="11">
                  <c:v>20</c:v>
                </c:pt>
                <c:pt idx="12">
                  <c:v>19</c:v>
                </c:pt>
                <c:pt idx="13">
                  <c:v>16.700000000000003</c:v>
                </c:pt>
                <c:pt idx="14">
                  <c:v>15.599999999999994</c:v>
                </c:pt>
                <c:pt idx="15">
                  <c:v>8.4000000000000057</c:v>
                </c:pt>
                <c:pt idx="16">
                  <c:v>1.2000000000000028</c:v>
                </c:pt>
                <c:pt idx="17">
                  <c:v>-3.5999999999999943</c:v>
                </c:pt>
                <c:pt idx="18">
                  <c:v>-5.2999999999999972</c:v>
                </c:pt>
                <c:pt idx="19">
                  <c:v>-2.5999999999999943</c:v>
                </c:pt>
                <c:pt idx="20">
                  <c:v>1</c:v>
                </c:pt>
                <c:pt idx="21">
                  <c:v>8.5999999999999943</c:v>
                </c:pt>
              </c:numCache>
            </c:numRef>
          </c:val>
          <c:extLst>
            <c:ext xmlns:c16="http://schemas.microsoft.com/office/drawing/2014/chart" uri="{C3380CC4-5D6E-409C-BE32-E72D297353CC}">
              <c16:uniqueId val="{00000001-0DB5-4432-9F77-CBF1F715753C}"/>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1'!$E$10:$E$31</c:f>
              <c:numCache>
                <c:formatCode>0.0</c:formatCode>
                <c:ptCount val="22"/>
                <c:pt idx="0">
                  <c:v>7.4232690935046435</c:v>
                </c:pt>
                <c:pt idx="1">
                  <c:v>5.7262569832402335</c:v>
                </c:pt>
                <c:pt idx="2">
                  <c:v>5.1912568306010911</c:v>
                </c:pt>
                <c:pt idx="3">
                  <c:v>5.5144586415601964</c:v>
                </c:pt>
                <c:pt idx="4">
                  <c:v>6.0465116279069662</c:v>
                </c:pt>
                <c:pt idx="5">
                  <c:v>7.1334214002641829</c:v>
                </c:pt>
                <c:pt idx="6">
                  <c:v>7.9870129870129887</c:v>
                </c:pt>
                <c:pt idx="7">
                  <c:v>7.6481835564053569</c:v>
                </c:pt>
                <c:pt idx="8">
                  <c:v>7.6441102756892292</c:v>
                </c:pt>
                <c:pt idx="9">
                  <c:v>7.9531442663378584</c:v>
                </c:pt>
                <c:pt idx="10">
                  <c:v>9.3205051112447421</c:v>
                </c:pt>
                <c:pt idx="11">
                  <c:v>12.433392539964473</c:v>
                </c:pt>
                <c:pt idx="12">
                  <c:v>16.880093131548307</c:v>
                </c:pt>
                <c:pt idx="13">
                  <c:v>24.671616219303274</c:v>
                </c:pt>
                <c:pt idx="14">
                  <c:v>22.937293729372925</c:v>
                </c:pt>
                <c:pt idx="15">
                  <c:v>18.325434439178508</c:v>
                </c:pt>
                <c:pt idx="16">
                  <c:v>9.8107569721115624</c:v>
                </c:pt>
                <c:pt idx="17" formatCode="General">
                  <c:v>-0.73293632615667548</c:v>
                </c:pt>
                <c:pt idx="18" formatCode="General">
                  <c:v>-3.3109619686800897</c:v>
                </c:pt>
                <c:pt idx="19" formatCode="General">
                  <c:v>-4.1833555852247315</c:v>
                </c:pt>
                <c:pt idx="20" formatCode="General">
                  <c:v>-0.68027210884353906</c:v>
                </c:pt>
                <c:pt idx="21" formatCode="General">
                  <c:v>3.3687125057683573</c:v>
                </c:pt>
              </c:numCache>
            </c:numRef>
          </c:val>
          <c:smooth val="0"/>
          <c:extLst>
            <c:ext xmlns:c16="http://schemas.microsoft.com/office/drawing/2014/chart" uri="{C3380CC4-5D6E-409C-BE32-E72D297353CC}">
              <c16:uniqueId val="{00000002-0DB5-4432-9F77-CBF1F715753C}"/>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1'!$F$10:$F$31</c:f>
              <c:numCache>
                <c:formatCode>0.0</c:formatCode>
                <c:ptCount val="22"/>
                <c:pt idx="0">
                  <c:v>8.3178150217256359</c:v>
                </c:pt>
                <c:pt idx="1">
                  <c:v>4.9397590361445651</c:v>
                </c:pt>
                <c:pt idx="2">
                  <c:v>3.3096926713947994</c:v>
                </c:pt>
                <c:pt idx="3">
                  <c:v>2.9530978575564575</c:v>
                </c:pt>
                <c:pt idx="4">
                  <c:v>3.5530085959885298</c:v>
                </c:pt>
                <c:pt idx="5">
                  <c:v>5.2812858783008068</c:v>
                </c:pt>
                <c:pt idx="6">
                  <c:v>6.2356979405034281</c:v>
                </c:pt>
                <c:pt idx="7">
                  <c:v>5.1743532058492718</c:v>
                </c:pt>
                <c:pt idx="8">
                  <c:v>4.759269507470961</c:v>
                </c:pt>
                <c:pt idx="9">
                  <c:v>4.5256270447110012</c:v>
                </c:pt>
                <c:pt idx="10">
                  <c:v>6.2466343564889826</c:v>
                </c:pt>
                <c:pt idx="11">
                  <c:v>9.1443850267379503</c:v>
                </c:pt>
                <c:pt idx="12">
                  <c:v>12.255678816693077</c:v>
                </c:pt>
                <c:pt idx="13">
                  <c:v>19.718309859154942</c:v>
                </c:pt>
                <c:pt idx="14">
                  <c:v>18.499746578813998</c:v>
                </c:pt>
                <c:pt idx="15">
                  <c:v>16.903478686918177</c:v>
                </c:pt>
                <c:pt idx="16">
                  <c:v>10.305882352941182</c:v>
                </c:pt>
                <c:pt idx="17" formatCode="General">
                  <c:v>0.30501089324617681</c:v>
                </c:pt>
                <c:pt idx="18" formatCode="General">
                  <c:v>-1.5825491873396089</c:v>
                </c:pt>
                <c:pt idx="19" formatCode="General">
                  <c:v>-3.5624476110645418</c:v>
                </c:pt>
                <c:pt idx="20" formatCode="General">
                  <c:v>0.3412969283276226</c:v>
                </c:pt>
                <c:pt idx="21" formatCode="General">
                  <c:v>3.9965247610773247</c:v>
                </c:pt>
              </c:numCache>
            </c:numRef>
          </c:val>
          <c:smooth val="0"/>
          <c:extLst>
            <c:ext xmlns:c16="http://schemas.microsoft.com/office/drawing/2014/chart" uri="{C3380CC4-5D6E-409C-BE32-E72D297353CC}">
              <c16:uniqueId val="{00000003-0DB5-4432-9F77-CBF1F715753C}"/>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536533717322946E-2"/>
          <c:y val="2.0784574468085106E-2"/>
          <c:w val="0.93242262856416824"/>
          <c:h val="0.66772044917257678"/>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a:noFill/>
            </a:ln>
            <a:effectLst/>
          </c:spPr>
          <c:invertIfNegative val="0"/>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4'!$C$10:$C$31</c:f>
              <c:numCache>
                <c:formatCode>General</c:formatCode>
                <c:ptCount val="22"/>
                <c:pt idx="0">
                  <c:v>3.5</c:v>
                </c:pt>
                <c:pt idx="1">
                  <c:v>3.5</c:v>
                </c:pt>
                <c:pt idx="2">
                  <c:v>2</c:v>
                </c:pt>
                <c:pt idx="3">
                  <c:v>1.2999999999999972</c:v>
                </c:pt>
                <c:pt idx="4">
                  <c:v>1.4000000000000057</c:v>
                </c:pt>
                <c:pt idx="5">
                  <c:v>-0.59999999999999432</c:v>
                </c:pt>
                <c:pt idx="6">
                  <c:v>-0.29999999999999716</c:v>
                </c:pt>
                <c:pt idx="7">
                  <c:v>9.9999999999994316E-2</c:v>
                </c:pt>
                <c:pt idx="8">
                  <c:v>1.5</c:v>
                </c:pt>
                <c:pt idx="9">
                  <c:v>5.2999999999999972</c:v>
                </c:pt>
                <c:pt idx="10">
                  <c:v>9</c:v>
                </c:pt>
                <c:pt idx="11">
                  <c:v>12.799999999999997</c:v>
                </c:pt>
                <c:pt idx="12">
                  <c:v>21.799999999999997</c:v>
                </c:pt>
                <c:pt idx="13">
                  <c:v>27.700000000000003</c:v>
                </c:pt>
                <c:pt idx="14">
                  <c:v>25.900000000000006</c:v>
                </c:pt>
                <c:pt idx="15">
                  <c:v>21.799999999999997</c:v>
                </c:pt>
                <c:pt idx="16">
                  <c:v>15</c:v>
                </c:pt>
                <c:pt idx="17">
                  <c:v>3.9000000000000057</c:v>
                </c:pt>
                <c:pt idx="18">
                  <c:v>1.3</c:v>
                </c:pt>
                <c:pt idx="19">
                  <c:v>0.8</c:v>
                </c:pt>
                <c:pt idx="20">
                  <c:v>-0.9</c:v>
                </c:pt>
                <c:pt idx="21">
                  <c:v>1.1000000000000001</c:v>
                </c:pt>
              </c:numCache>
            </c:numRef>
          </c:val>
          <c:extLst>
            <c:ext xmlns:c16="http://schemas.microsoft.com/office/drawing/2014/chart" uri="{C3380CC4-5D6E-409C-BE32-E72D297353CC}">
              <c16:uniqueId val="{00000000-EB21-4DB4-805D-E88FF37A466D}"/>
            </c:ext>
          </c:extLst>
        </c:ser>
        <c:dLbls>
          <c:showLegendKey val="0"/>
          <c:showVal val="0"/>
          <c:showCatName val="0"/>
          <c:showSerName val="0"/>
          <c:showPercent val="0"/>
          <c:showBubbleSize val="0"/>
        </c:dLbls>
        <c:gapWidth val="90"/>
        <c:axId val="1717494240"/>
        <c:axId val="1718275936"/>
      </c:barChart>
      <c:lineChart>
        <c:grouping val="standard"/>
        <c:varyColors val="0"/>
        <c:ser>
          <c:idx val="1"/>
          <c:order val="1"/>
          <c:tx>
            <c:strRef>
              <c:f>'Ceny 4'!$D$5</c:f>
              <c:strCache>
                <c:ptCount val="1"/>
                <c:pt idx="0">
                  <c:v>Mining and quarrying</c:v>
                </c:pt>
              </c:strCache>
            </c:strRef>
          </c:tx>
          <c:spPr>
            <a:ln w="22225" cap="rnd">
              <a:solidFill>
                <a:srgbClr val="7DBB2D"/>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4'!$D$10:$D$31</c:f>
              <c:numCache>
                <c:formatCode>General</c:formatCode>
                <c:ptCount val="22"/>
                <c:pt idx="0">
                  <c:v>7.7000000000000028</c:v>
                </c:pt>
                <c:pt idx="1">
                  <c:v>7.7000000000000028</c:v>
                </c:pt>
                <c:pt idx="2">
                  <c:v>6.7000000000000028</c:v>
                </c:pt>
                <c:pt idx="3">
                  <c:v>3.7000000000000028</c:v>
                </c:pt>
                <c:pt idx="4">
                  <c:v>-2.0999999999999943</c:v>
                </c:pt>
                <c:pt idx="5">
                  <c:v>-3.5</c:v>
                </c:pt>
                <c:pt idx="6">
                  <c:v>-3.5999999999999943</c:v>
                </c:pt>
                <c:pt idx="7">
                  <c:v>-2</c:v>
                </c:pt>
                <c:pt idx="8">
                  <c:v>-0.5</c:v>
                </c:pt>
                <c:pt idx="9">
                  <c:v>0.79999999999999716</c:v>
                </c:pt>
                <c:pt idx="10">
                  <c:v>3.2999999999999972</c:v>
                </c:pt>
                <c:pt idx="11">
                  <c:v>13.799999999999997</c:v>
                </c:pt>
                <c:pt idx="12">
                  <c:v>25.200000000000003</c:v>
                </c:pt>
                <c:pt idx="13">
                  <c:v>31.900000000000006</c:v>
                </c:pt>
                <c:pt idx="14">
                  <c:v>30.199999999999989</c:v>
                </c:pt>
                <c:pt idx="15">
                  <c:v>23.299999999999997</c:v>
                </c:pt>
                <c:pt idx="16">
                  <c:v>54</c:v>
                </c:pt>
                <c:pt idx="17">
                  <c:v>47.599999999999994</c:v>
                </c:pt>
                <c:pt idx="18">
                  <c:v>44.5</c:v>
                </c:pt>
                <c:pt idx="19">
                  <c:v>40.200000000000003</c:v>
                </c:pt>
                <c:pt idx="20">
                  <c:v>-1.2</c:v>
                </c:pt>
                <c:pt idx="21">
                  <c:v>-1.7</c:v>
                </c:pt>
              </c:numCache>
            </c:numRef>
          </c:val>
          <c:smooth val="0"/>
          <c:extLst>
            <c:ext xmlns:c16="http://schemas.microsoft.com/office/drawing/2014/chart" uri="{C3380CC4-5D6E-409C-BE32-E72D297353CC}">
              <c16:uniqueId val="{00000001-EB21-4DB4-805D-E88FF37A466D}"/>
            </c:ext>
          </c:extLst>
        </c:ser>
        <c:ser>
          <c:idx val="2"/>
          <c:order val="2"/>
          <c:tx>
            <c:strRef>
              <c:f>'Ceny 4'!$E$5</c:f>
              <c:strCache>
                <c:ptCount val="1"/>
                <c:pt idx="0">
                  <c:v>Manufacturing</c:v>
                </c:pt>
              </c:strCache>
            </c:strRef>
          </c:tx>
          <c:spPr>
            <a:ln w="22225" cap="rnd">
              <a:solidFill>
                <a:srgbClr val="BD1B21"/>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4'!$E$10:$E$31</c:f>
              <c:numCache>
                <c:formatCode>General</c:formatCode>
                <c:ptCount val="22"/>
                <c:pt idx="0">
                  <c:v>2.5999999999999943</c:v>
                </c:pt>
                <c:pt idx="1">
                  <c:v>2.5999999999999943</c:v>
                </c:pt>
                <c:pt idx="2">
                  <c:v>0.79999999999999716</c:v>
                </c:pt>
                <c:pt idx="3">
                  <c:v>-9.9999999999994316E-2</c:v>
                </c:pt>
                <c:pt idx="4">
                  <c:v>0</c:v>
                </c:pt>
                <c:pt idx="5">
                  <c:v>-2.2999999999999972</c:v>
                </c:pt>
                <c:pt idx="6">
                  <c:v>-1.7999999999999972</c:v>
                </c:pt>
                <c:pt idx="7">
                  <c:v>-1.2000000000000028</c:v>
                </c:pt>
                <c:pt idx="8">
                  <c:v>1.7999999999999972</c:v>
                </c:pt>
                <c:pt idx="9">
                  <c:v>6.5</c:v>
                </c:pt>
                <c:pt idx="10">
                  <c:v>11</c:v>
                </c:pt>
                <c:pt idx="11">
                  <c:v>14.5</c:v>
                </c:pt>
                <c:pt idx="12">
                  <c:v>17.5</c:v>
                </c:pt>
                <c:pt idx="13">
                  <c:v>24.200000000000003</c:v>
                </c:pt>
                <c:pt idx="14">
                  <c:v>20.5</c:v>
                </c:pt>
                <c:pt idx="15">
                  <c:v>16</c:v>
                </c:pt>
                <c:pt idx="16">
                  <c:v>10.299999999999997</c:v>
                </c:pt>
                <c:pt idx="17">
                  <c:v>-0.90000000000000568</c:v>
                </c:pt>
                <c:pt idx="18">
                  <c:v>-2.4</c:v>
                </c:pt>
                <c:pt idx="19">
                  <c:v>-2.2999999999999998</c:v>
                </c:pt>
                <c:pt idx="20">
                  <c:v>-1.7</c:v>
                </c:pt>
                <c:pt idx="21">
                  <c:v>0.1</c:v>
                </c:pt>
              </c:numCache>
            </c:numRef>
          </c:val>
          <c:smooth val="0"/>
          <c:extLst>
            <c:ext xmlns:c16="http://schemas.microsoft.com/office/drawing/2014/chart" uri="{C3380CC4-5D6E-409C-BE32-E72D297353CC}">
              <c16:uniqueId val="{00000002-EB21-4DB4-805D-E88FF37A466D}"/>
            </c:ext>
          </c:extLst>
        </c:ser>
        <c:ser>
          <c:idx val="3"/>
          <c:order val="3"/>
          <c:tx>
            <c:strRef>
              <c:f>'Ceny 4'!$F$5</c:f>
              <c:strCache>
                <c:ptCount val="1"/>
                <c:pt idx="0">
                  <c:v>Electricity, gas, steam and air conditioning supply</c:v>
                </c:pt>
              </c:strCache>
            </c:strRef>
          </c:tx>
          <c:spPr>
            <a:ln w="22225" cap="rnd">
              <a:solidFill>
                <a:srgbClr val="FFC000"/>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4'!$F$10:$F$31</c:f>
              <c:numCache>
                <c:formatCode>General</c:formatCode>
                <c:ptCount val="22"/>
                <c:pt idx="0">
                  <c:v>7.7000000000000028</c:v>
                </c:pt>
                <c:pt idx="1">
                  <c:v>8.2999999999999972</c:v>
                </c:pt>
                <c:pt idx="2">
                  <c:v>7.7999999999999972</c:v>
                </c:pt>
                <c:pt idx="3">
                  <c:v>8.2999999999999972</c:v>
                </c:pt>
                <c:pt idx="4">
                  <c:v>8.9000000000000057</c:v>
                </c:pt>
                <c:pt idx="5">
                  <c:v>8.2000000000000028</c:v>
                </c:pt>
                <c:pt idx="6">
                  <c:v>7.7999999999999972</c:v>
                </c:pt>
                <c:pt idx="7">
                  <c:v>6.0999999999999943</c:v>
                </c:pt>
                <c:pt idx="8">
                  <c:v>0.29999999999999716</c:v>
                </c:pt>
                <c:pt idx="9">
                  <c:v>9.9999999999994316E-2</c:v>
                </c:pt>
                <c:pt idx="10">
                  <c:v>0.79999999999999716</c:v>
                </c:pt>
                <c:pt idx="11">
                  <c:v>5.5</c:v>
                </c:pt>
                <c:pt idx="12">
                  <c:v>45</c:v>
                </c:pt>
                <c:pt idx="13">
                  <c:v>47.199999999999989</c:v>
                </c:pt>
                <c:pt idx="14">
                  <c:v>56</c:v>
                </c:pt>
                <c:pt idx="15">
                  <c:v>54.300000000000011</c:v>
                </c:pt>
                <c:pt idx="16">
                  <c:v>28.400000000000006</c:v>
                </c:pt>
                <c:pt idx="17">
                  <c:v>18.400000000000006</c:v>
                </c:pt>
                <c:pt idx="18">
                  <c:v>10.5</c:v>
                </c:pt>
                <c:pt idx="19">
                  <c:v>7.1</c:v>
                </c:pt>
                <c:pt idx="20">
                  <c:v>0.8</c:v>
                </c:pt>
                <c:pt idx="21">
                  <c:v>4.5</c:v>
                </c:pt>
              </c:numCache>
            </c:numRef>
          </c:val>
          <c:smooth val="0"/>
          <c:extLst>
            <c:ext xmlns:c16="http://schemas.microsoft.com/office/drawing/2014/chart" uri="{C3380CC4-5D6E-409C-BE32-E72D297353CC}">
              <c16:uniqueId val="{00000003-EB21-4DB4-805D-E88FF37A466D}"/>
            </c:ext>
          </c:extLst>
        </c:ser>
        <c:ser>
          <c:idx val="4"/>
          <c:order val="4"/>
          <c:tx>
            <c:strRef>
              <c:f>'Ceny 4'!$G$5</c:f>
              <c:strCache>
                <c:ptCount val="1"/>
                <c:pt idx="0">
                  <c:v>Water supply, sewerage</c:v>
                </c:pt>
              </c:strCache>
            </c:strRef>
          </c:tx>
          <c:spPr>
            <a:ln w="22225" cap="rnd">
              <a:solidFill>
                <a:srgbClr val="0071BC"/>
              </a:solidFill>
              <a:round/>
            </a:ln>
            <a:effectLst/>
          </c:spPr>
          <c:marker>
            <c:symbol val="none"/>
          </c:marker>
          <c:cat>
            <c:multiLvlStrRef>
              <c:f>'Ceny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'Ceny 4'!$G$10:$G$31</c:f>
              <c:numCache>
                <c:formatCode>General</c:formatCode>
                <c:ptCount val="22"/>
                <c:pt idx="0">
                  <c:v>2.9000000000000057</c:v>
                </c:pt>
                <c:pt idx="1">
                  <c:v>2.9000000000000057</c:v>
                </c:pt>
                <c:pt idx="2">
                  <c:v>2.9000000000000057</c:v>
                </c:pt>
                <c:pt idx="3">
                  <c:v>2.9000000000000057</c:v>
                </c:pt>
                <c:pt idx="4">
                  <c:v>5.4000000000000057</c:v>
                </c:pt>
                <c:pt idx="5">
                  <c:v>6.0999999999999943</c:v>
                </c:pt>
                <c:pt idx="6">
                  <c:v>6.4000000000000057</c:v>
                </c:pt>
                <c:pt idx="7">
                  <c:v>6.4000000000000057</c:v>
                </c:pt>
                <c:pt idx="8">
                  <c:v>6.9000000000000057</c:v>
                </c:pt>
                <c:pt idx="9">
                  <c:v>6.2000000000000028</c:v>
                </c:pt>
                <c:pt idx="10">
                  <c:v>5.9000000000000057</c:v>
                </c:pt>
                <c:pt idx="11">
                  <c:v>5.9000000000000057</c:v>
                </c:pt>
                <c:pt idx="12">
                  <c:v>5.2999999999999972</c:v>
                </c:pt>
                <c:pt idx="13">
                  <c:v>5.2999999999999972</c:v>
                </c:pt>
                <c:pt idx="14">
                  <c:v>5.2999999999999972</c:v>
                </c:pt>
                <c:pt idx="15">
                  <c:v>5.2999999999999972</c:v>
                </c:pt>
                <c:pt idx="16">
                  <c:v>16.299999999999997</c:v>
                </c:pt>
                <c:pt idx="17">
                  <c:v>16.299999999999997</c:v>
                </c:pt>
                <c:pt idx="18">
                  <c:v>16.3</c:v>
                </c:pt>
                <c:pt idx="19">
                  <c:v>16.3</c:v>
                </c:pt>
                <c:pt idx="20">
                  <c:v>9.1999999999999993</c:v>
                </c:pt>
                <c:pt idx="21">
                  <c:v>9.1999999999999993</c:v>
                </c:pt>
              </c:numCache>
            </c:numRef>
          </c:val>
          <c:smooth val="0"/>
          <c:extLst>
            <c:ext xmlns:c16="http://schemas.microsoft.com/office/drawing/2014/chart" uri="{C3380CC4-5D6E-409C-BE32-E72D297353CC}">
              <c16:uniqueId val="{00000004-EB21-4DB4-805D-E88FF37A466D}"/>
            </c:ext>
          </c:extLst>
        </c:ser>
        <c:dLbls>
          <c:showLegendKey val="0"/>
          <c:showVal val="0"/>
          <c:showCatName val="0"/>
          <c:showSerName val="0"/>
          <c:showPercent val="0"/>
          <c:showBubbleSize val="0"/>
        </c:dLbls>
        <c:marker val="1"/>
        <c:smooth val="0"/>
        <c:axId val="1717494240"/>
        <c:axId val="1718275936"/>
      </c:lineChart>
      <c:catAx>
        <c:axId val="171749424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8275936"/>
        <c:crosses val="autoZero"/>
        <c:auto val="1"/>
        <c:lblAlgn val="ctr"/>
        <c:lblOffset val="100"/>
        <c:noMultiLvlLbl val="0"/>
      </c:catAx>
      <c:valAx>
        <c:axId val="1718275936"/>
        <c:scaling>
          <c:orientation val="minMax"/>
          <c:max val="60"/>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7494240"/>
        <c:crosses val="autoZero"/>
        <c:crossBetween val="between"/>
        <c:majorUnit val="5"/>
      </c:valAx>
      <c:spPr>
        <a:noFill/>
        <a:ln>
          <a:solidFill>
            <a:schemeClr val="tx1"/>
          </a:solidFill>
        </a:ln>
        <a:effectLst/>
      </c:spPr>
    </c:plotArea>
    <c:legend>
      <c:legendPos val="b"/>
      <c:layout>
        <c:manualLayout>
          <c:xMode val="edge"/>
          <c:yMode val="edge"/>
          <c:x val="5.4913125880123238E-2"/>
          <c:y val="0.80408628841607566"/>
          <c:w val="0.93175198788738656"/>
          <c:h val="0.18321187943262413"/>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1-SNÚ'!$AC$28:$AC$66</c:f>
              <c:numCache>
                <c:formatCode>#\ ##0.0</c:formatCode>
                <c:ptCount val="39"/>
                <c:pt idx="0">
                  <c:v>-6.1573326356334918E-2</c:v>
                </c:pt>
                <c:pt idx="1">
                  <c:v>-5.9676888347252419E-2</c:v>
                </c:pt>
                <c:pt idx="2">
                  <c:v>-7.707844703464159E-2</c:v>
                </c:pt>
                <c:pt idx="3">
                  <c:v>-0.14243709499262253</c:v>
                </c:pt>
                <c:pt idx="4">
                  <c:v>-0.13840014711933823</c:v>
                </c:pt>
                <c:pt idx="5">
                  <c:v>-4.8650842041975666E-2</c:v>
                </c:pt>
                <c:pt idx="6">
                  <c:v>-5.6369916424211908E-2</c:v>
                </c:pt>
                <c:pt idx="7">
                  <c:v>5.3611107528481909E-2</c:v>
                </c:pt>
                <c:pt idx="8">
                  <c:v>0.11362815565462964</c:v>
                </c:pt>
                <c:pt idx="9">
                  <c:v>5.0071347365045656E-2</c:v>
                </c:pt>
                <c:pt idx="10">
                  <c:v>4.1044524794336977E-2</c:v>
                </c:pt>
                <c:pt idx="11">
                  <c:v>-6.8207996146105745E-2</c:v>
                </c:pt>
                <c:pt idx="12">
                  <c:v>1.1563918372028041E-2</c:v>
                </c:pt>
                <c:pt idx="13">
                  <c:v>9.9469652773378076E-3</c:v>
                </c:pt>
                <c:pt idx="14">
                  <c:v>-4.5877079510242644E-3</c:v>
                </c:pt>
                <c:pt idx="15">
                  <c:v>6.1002100013741969E-2</c:v>
                </c:pt>
                <c:pt idx="16">
                  <c:v>-7.7206500491187602E-2</c:v>
                </c:pt>
                <c:pt idx="17">
                  <c:v>-0.12546310619157755</c:v>
                </c:pt>
                <c:pt idx="18">
                  <c:v>-0.15916772896693915</c:v>
                </c:pt>
                <c:pt idx="19">
                  <c:v>-0.17729355041451639</c:v>
                </c:pt>
                <c:pt idx="20">
                  <c:v>-0.22963797478861914</c:v>
                </c:pt>
                <c:pt idx="21">
                  <c:v>-0.16486981249577076</c:v>
                </c:pt>
                <c:pt idx="22">
                  <c:v>-7.1458262303198058E-2</c:v>
                </c:pt>
                <c:pt idx="23">
                  <c:v>-7.1155713762608958E-2</c:v>
                </c:pt>
                <c:pt idx="24">
                  <c:v>1.988648589111628E-2</c:v>
                </c:pt>
                <c:pt idx="25">
                  <c:v>-4.5264025753272527E-2</c:v>
                </c:pt>
                <c:pt idx="26">
                  <c:v>-5.6861720003765062E-2</c:v>
                </c:pt>
                <c:pt idx="27">
                  <c:v>-7.103915889635871E-4</c:v>
                </c:pt>
                <c:pt idx="28">
                  <c:v>0.1001903961167062</c:v>
                </c:pt>
                <c:pt idx="29">
                  <c:v>0.19187936731668201</c:v>
                </c:pt>
                <c:pt idx="30">
                  <c:v>0.16694191816358248</c:v>
                </c:pt>
                <c:pt idx="31">
                  <c:v>8.0972483290481317E-2</c:v>
                </c:pt>
                <c:pt idx="32">
                  <c:v>2.7154047787342289E-2</c:v>
                </c:pt>
                <c:pt idx="33">
                  <c:v>1.721751485384958E-3</c:v>
                </c:pt>
                <c:pt idx="34">
                  <c:v>-7.2914232297264774E-3</c:v>
                </c:pt>
                <c:pt idx="35">
                  <c:v>2.8663087455489521E-2</c:v>
                </c:pt>
                <c:pt idx="36">
                  <c:v>5.2660373376390415E-2</c:v>
                </c:pt>
                <c:pt idx="37">
                  <c:v>4.7286611297760767E-2</c:v>
                </c:pt>
              </c:numCache>
            </c:numRef>
          </c:val>
          <c:extLst>
            <c:ext xmlns:c16="http://schemas.microsoft.com/office/drawing/2014/chart" uri="{C3380CC4-5D6E-409C-BE32-E72D297353CC}">
              <c16:uniqueId val="{00000000-B636-4356-A894-D8B51B3E6067}"/>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1-SNÚ'!$AD$28:$AD$66</c:f>
              <c:numCache>
                <c:formatCode>#\ ##0.0</c:formatCode>
                <c:ptCount val="39"/>
                <c:pt idx="0">
                  <c:v>0.88665589953122292</c:v>
                </c:pt>
                <c:pt idx="1">
                  <c:v>0.90523042979145274</c:v>
                </c:pt>
                <c:pt idx="2">
                  <c:v>0.77326960941049294</c:v>
                </c:pt>
                <c:pt idx="3">
                  <c:v>0.91244318301403449</c:v>
                </c:pt>
                <c:pt idx="4">
                  <c:v>0.62615046214619641</c:v>
                </c:pt>
                <c:pt idx="5">
                  <c:v>0.36311412514139912</c:v>
                </c:pt>
                <c:pt idx="6">
                  <c:v>0.36892459176709286</c:v>
                </c:pt>
                <c:pt idx="7">
                  <c:v>0.20801494720027841</c:v>
                </c:pt>
                <c:pt idx="8">
                  <c:v>0.34123025002420737</c:v>
                </c:pt>
                <c:pt idx="9">
                  <c:v>0.52235302041005405</c:v>
                </c:pt>
                <c:pt idx="10">
                  <c:v>0.6007043202184712</c:v>
                </c:pt>
                <c:pt idx="11">
                  <c:v>0.58624629993025279</c:v>
                </c:pt>
                <c:pt idx="12">
                  <c:v>0.11964573015131148</c:v>
                </c:pt>
                <c:pt idx="13">
                  <c:v>7.6152907170797243E-2</c:v>
                </c:pt>
                <c:pt idx="14">
                  <c:v>-0.12298441683462999</c:v>
                </c:pt>
                <c:pt idx="15">
                  <c:v>-0.10363777422981803</c:v>
                </c:pt>
                <c:pt idx="16">
                  <c:v>-4.3879683818856575E-2</c:v>
                </c:pt>
                <c:pt idx="17">
                  <c:v>-0.13090182754073737</c:v>
                </c:pt>
                <c:pt idx="18">
                  <c:v>-0.222700438793799</c:v>
                </c:pt>
                <c:pt idx="19">
                  <c:v>-0.5875860652367344</c:v>
                </c:pt>
                <c:pt idx="20">
                  <c:v>-1.0288745963154016</c:v>
                </c:pt>
                <c:pt idx="21">
                  <c:v>-1.3602085728947291</c:v>
                </c:pt>
                <c:pt idx="22">
                  <c:v>-1.3450219745832801</c:v>
                </c:pt>
                <c:pt idx="23">
                  <c:v>-1.0779931429042369</c:v>
                </c:pt>
                <c:pt idx="24">
                  <c:v>-0.34893294500656458</c:v>
                </c:pt>
                <c:pt idx="25">
                  <c:v>2.32270870065563E-3</c:v>
                </c:pt>
                <c:pt idx="26">
                  <c:v>0.30744821432919089</c:v>
                </c:pt>
                <c:pt idx="27">
                  <c:v>0.30287641394325915</c:v>
                </c:pt>
                <c:pt idx="28">
                  <c:v>-3.0965857946131374E-2</c:v>
                </c:pt>
                <c:pt idx="29">
                  <c:v>0.16543682902296636</c:v>
                </c:pt>
                <c:pt idx="30">
                  <c:v>-2.5206250094264231E-2</c:v>
                </c:pt>
                <c:pt idx="31">
                  <c:v>-8.6847696031558105E-2</c:v>
                </c:pt>
                <c:pt idx="32">
                  <c:v>0.20651069351362475</c:v>
                </c:pt>
                <c:pt idx="33">
                  <c:v>-2.3281074432813999E-2</c:v>
                </c:pt>
                <c:pt idx="34">
                  <c:v>-0.23904650619303264</c:v>
                </c:pt>
                <c:pt idx="35">
                  <c:v>-0.18165745517748966</c:v>
                </c:pt>
                <c:pt idx="36">
                  <c:v>-0.56622475044999632</c:v>
                </c:pt>
                <c:pt idx="37">
                  <c:v>-0.6585132748737107</c:v>
                </c:pt>
              </c:numCache>
            </c:numRef>
          </c:val>
          <c:extLst>
            <c:ext xmlns:c16="http://schemas.microsoft.com/office/drawing/2014/chart" uri="{C3380CC4-5D6E-409C-BE32-E72D297353CC}">
              <c16:uniqueId val="{00000001-B636-4356-A894-D8B51B3E6067}"/>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1-SNÚ'!$AE$28:$AE$66</c:f>
              <c:numCache>
                <c:formatCode>#\ ##0.0</c:formatCode>
                <c:ptCount val="39"/>
                <c:pt idx="0">
                  <c:v>-0.10117304071905125</c:v>
                </c:pt>
                <c:pt idx="1">
                  <c:v>-9.1106454297089121E-2</c:v>
                </c:pt>
                <c:pt idx="2">
                  <c:v>-0.14253348773808819</c:v>
                </c:pt>
                <c:pt idx="3">
                  <c:v>-0.16445842723255458</c:v>
                </c:pt>
                <c:pt idx="4">
                  <c:v>-0.1244766301438134</c:v>
                </c:pt>
                <c:pt idx="5">
                  <c:v>-0.14361558611517708</c:v>
                </c:pt>
                <c:pt idx="6">
                  <c:v>-5.3202850205105789E-2</c:v>
                </c:pt>
                <c:pt idx="7">
                  <c:v>-1.892269971292557E-2</c:v>
                </c:pt>
                <c:pt idx="8">
                  <c:v>-2.522295323322548E-2</c:v>
                </c:pt>
                <c:pt idx="9">
                  <c:v>-4.955475341057251E-3</c:v>
                </c:pt>
                <c:pt idx="10">
                  <c:v>4.3264182079252173E-2</c:v>
                </c:pt>
                <c:pt idx="11">
                  <c:v>-9.7203529235831032E-2</c:v>
                </c:pt>
                <c:pt idx="12">
                  <c:v>5.0774905955341509E-2</c:v>
                </c:pt>
                <c:pt idx="13">
                  <c:v>9.1527209015807957E-3</c:v>
                </c:pt>
                <c:pt idx="14">
                  <c:v>-5.7910411840798107E-3</c:v>
                </c:pt>
                <c:pt idx="15">
                  <c:v>5.1320718963795246E-2</c:v>
                </c:pt>
                <c:pt idx="16">
                  <c:v>-4.7853409991260497E-2</c:v>
                </c:pt>
                <c:pt idx="17">
                  <c:v>2.6839717342942881E-2</c:v>
                </c:pt>
                <c:pt idx="18">
                  <c:v>4.1303727040787566E-2</c:v>
                </c:pt>
                <c:pt idx="19">
                  <c:v>5.3863451406236225E-2</c:v>
                </c:pt>
                <c:pt idx="20">
                  <c:v>-5.219809701293044E-2</c:v>
                </c:pt>
                <c:pt idx="21">
                  <c:v>-0.28539533059612732</c:v>
                </c:pt>
                <c:pt idx="22">
                  <c:v>-0.16438202614531755</c:v>
                </c:pt>
                <c:pt idx="23">
                  <c:v>-8.379854260961106E-2</c:v>
                </c:pt>
                <c:pt idx="24">
                  <c:v>0.10062675606296018</c:v>
                </c:pt>
                <c:pt idx="25">
                  <c:v>0.31345049895046107</c:v>
                </c:pt>
                <c:pt idx="26">
                  <c:v>0.17250227801546797</c:v>
                </c:pt>
                <c:pt idx="27">
                  <c:v>0.23625320276207945</c:v>
                </c:pt>
                <c:pt idx="28">
                  <c:v>0.12256523305435475</c:v>
                </c:pt>
                <c:pt idx="29">
                  <c:v>0.14558592922631924</c:v>
                </c:pt>
                <c:pt idx="30">
                  <c:v>0.1425086346017527</c:v>
                </c:pt>
                <c:pt idx="31">
                  <c:v>0.1263359047432184</c:v>
                </c:pt>
                <c:pt idx="32">
                  <c:v>0.27042481713564209</c:v>
                </c:pt>
                <c:pt idx="33">
                  <c:v>0.23488807492463704</c:v>
                </c:pt>
                <c:pt idx="34">
                  <c:v>0.19670016358962122</c:v>
                </c:pt>
                <c:pt idx="35">
                  <c:v>9.2659876591768275E-2</c:v>
                </c:pt>
                <c:pt idx="36">
                  <c:v>-9.6882420208916353E-2</c:v>
                </c:pt>
                <c:pt idx="37">
                  <c:v>-6.2709378412496367E-2</c:v>
                </c:pt>
              </c:numCache>
            </c:numRef>
          </c:val>
          <c:extLst>
            <c:ext xmlns:c16="http://schemas.microsoft.com/office/drawing/2014/chart" uri="{C3380CC4-5D6E-409C-BE32-E72D297353CC}">
              <c16:uniqueId val="{00000002-B636-4356-A894-D8B51B3E6067}"/>
            </c:ext>
          </c:extLst>
        </c:ser>
        <c:ser>
          <c:idx val="3"/>
          <c:order val="3"/>
          <c:tx>
            <c:strRef>
              <c:f>'Trh práce 1-SNÚ'!$AF$7</c:f>
              <c:strCache>
                <c:ptCount val="1"/>
                <c:pt idx="0">
                  <c:v>Trade,transport.,accommod.,food serv.</c:v>
                </c:pt>
              </c:strCache>
            </c:strRef>
          </c:tx>
          <c:spPr>
            <a:solidFill>
              <a:srgbClr val="FDDEB3"/>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1-SNÚ'!$AF$28:$AF$66</c:f>
              <c:numCache>
                <c:formatCode>#\ ##0.0</c:formatCode>
                <c:ptCount val="39"/>
                <c:pt idx="0">
                  <c:v>0.25998500994419238</c:v>
                </c:pt>
                <c:pt idx="1">
                  <c:v>0.48955477662614383</c:v>
                </c:pt>
                <c:pt idx="2">
                  <c:v>0.32600328194900458</c:v>
                </c:pt>
                <c:pt idx="3">
                  <c:v>0.15828076146259132</c:v>
                </c:pt>
                <c:pt idx="4">
                  <c:v>-5.6703862717618583E-2</c:v>
                </c:pt>
                <c:pt idx="5">
                  <c:v>7.8393714906065587E-2</c:v>
                </c:pt>
                <c:pt idx="6">
                  <c:v>-0.13956333881390184</c:v>
                </c:pt>
                <c:pt idx="7">
                  <c:v>-7.6460796805432718E-2</c:v>
                </c:pt>
                <c:pt idx="8">
                  <c:v>0.15973256369708291</c:v>
                </c:pt>
                <c:pt idx="9">
                  <c:v>-1.5191688883395588E-2</c:v>
                </c:pt>
                <c:pt idx="10">
                  <c:v>0.35531738037577776</c:v>
                </c:pt>
                <c:pt idx="11">
                  <c:v>0.17142372253177482</c:v>
                </c:pt>
                <c:pt idx="12">
                  <c:v>0.11459482327617278</c:v>
                </c:pt>
                <c:pt idx="13">
                  <c:v>0.34360524541678317</c:v>
                </c:pt>
                <c:pt idx="14">
                  <c:v>0.13954905087091021</c:v>
                </c:pt>
                <c:pt idx="15">
                  <c:v>0.16123729177746221</c:v>
                </c:pt>
                <c:pt idx="16">
                  <c:v>9.5669331999762464E-2</c:v>
                </c:pt>
                <c:pt idx="17">
                  <c:v>-0.18752413199774384</c:v>
                </c:pt>
                <c:pt idx="18">
                  <c:v>-0.32173233019841657</c:v>
                </c:pt>
                <c:pt idx="19">
                  <c:v>-0.34416791851901818</c:v>
                </c:pt>
                <c:pt idx="20">
                  <c:v>-0.17007381394220211</c:v>
                </c:pt>
                <c:pt idx="21">
                  <c:v>-0.68801691905386031</c:v>
                </c:pt>
                <c:pt idx="22">
                  <c:v>-0.5805213183815886</c:v>
                </c:pt>
                <c:pt idx="23">
                  <c:v>-1.024799611162776</c:v>
                </c:pt>
                <c:pt idx="24">
                  <c:v>-0.89384919901442583</c:v>
                </c:pt>
                <c:pt idx="25">
                  <c:v>-0.27162254639898481</c:v>
                </c:pt>
                <c:pt idx="26">
                  <c:v>0.18479100442221555</c:v>
                </c:pt>
                <c:pt idx="27">
                  <c:v>0.62815896259788329</c:v>
                </c:pt>
                <c:pt idx="28">
                  <c:v>6.9644543642100654E-2</c:v>
                </c:pt>
                <c:pt idx="29">
                  <c:v>0.38341680525887634</c:v>
                </c:pt>
                <c:pt idx="30">
                  <c:v>-5.4710948222554075E-2</c:v>
                </c:pt>
                <c:pt idx="31">
                  <c:v>-0.15716194082380397</c:v>
                </c:pt>
                <c:pt idx="32">
                  <c:v>0.22884281777327048</c:v>
                </c:pt>
                <c:pt idx="33">
                  <c:v>0.16863807211743323</c:v>
                </c:pt>
                <c:pt idx="34">
                  <c:v>0.26428604814208584</c:v>
                </c:pt>
                <c:pt idx="35">
                  <c:v>0.30836175507036739</c:v>
                </c:pt>
                <c:pt idx="36">
                  <c:v>0.34109094336578877</c:v>
                </c:pt>
                <c:pt idx="37">
                  <c:v>0.37864467018422299</c:v>
                </c:pt>
              </c:numCache>
            </c:numRef>
          </c:val>
          <c:extLst>
            <c:ext xmlns:c16="http://schemas.microsoft.com/office/drawing/2014/chart" uri="{C3380CC4-5D6E-409C-BE32-E72D297353CC}">
              <c16:uniqueId val="{00000003-B636-4356-A894-D8B51B3E6067}"/>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1-SNÚ'!$AG$28:$AG$66</c:f>
              <c:numCache>
                <c:formatCode>#\ ##0.0</c:formatCode>
                <c:ptCount val="39"/>
                <c:pt idx="0">
                  <c:v>1.4183504250133379E-2</c:v>
                </c:pt>
                <c:pt idx="1">
                  <c:v>5.629821000764499E-2</c:v>
                </c:pt>
                <c:pt idx="2">
                  <c:v>6.26372452292175E-2</c:v>
                </c:pt>
                <c:pt idx="3">
                  <c:v>9.4516337489973887E-2</c:v>
                </c:pt>
                <c:pt idx="4">
                  <c:v>0.10299907118296198</c:v>
                </c:pt>
                <c:pt idx="5">
                  <c:v>9.0773702896897832E-2</c:v>
                </c:pt>
                <c:pt idx="6">
                  <c:v>0.11426543181982249</c:v>
                </c:pt>
                <c:pt idx="7">
                  <c:v>0.13630888775913119</c:v>
                </c:pt>
                <c:pt idx="8">
                  <c:v>0.10306256214490077</c:v>
                </c:pt>
                <c:pt idx="9">
                  <c:v>0.113076676701345</c:v>
                </c:pt>
                <c:pt idx="10">
                  <c:v>0.14247903571964249</c:v>
                </c:pt>
                <c:pt idx="11">
                  <c:v>0.13951722056886845</c:v>
                </c:pt>
                <c:pt idx="12">
                  <c:v>0.13227299733915818</c:v>
                </c:pt>
                <c:pt idx="13">
                  <c:v>0.14892082045443958</c:v>
                </c:pt>
                <c:pt idx="14">
                  <c:v>0.10555488703709108</c:v>
                </c:pt>
                <c:pt idx="15">
                  <c:v>0.12454203777844085</c:v>
                </c:pt>
                <c:pt idx="16">
                  <c:v>0.1256784621979638</c:v>
                </c:pt>
                <c:pt idx="17">
                  <c:v>7.6458736775003838E-2</c:v>
                </c:pt>
                <c:pt idx="18">
                  <c:v>0.11512037432787062</c:v>
                </c:pt>
                <c:pt idx="19">
                  <c:v>0.12022992158448997</c:v>
                </c:pt>
                <c:pt idx="20">
                  <c:v>9.8320126142908748E-2</c:v>
                </c:pt>
                <c:pt idx="21">
                  <c:v>5.3757438014449162E-2</c:v>
                </c:pt>
                <c:pt idx="22">
                  <c:v>7.7959563030390977E-2</c:v>
                </c:pt>
                <c:pt idx="23">
                  <c:v>5.8793836667762431E-2</c:v>
                </c:pt>
                <c:pt idx="24">
                  <c:v>2.8455305359929017E-2</c:v>
                </c:pt>
                <c:pt idx="25">
                  <c:v>8.2292993386038724E-2</c:v>
                </c:pt>
                <c:pt idx="26">
                  <c:v>6.4760246180956965E-2</c:v>
                </c:pt>
                <c:pt idx="27">
                  <c:v>-2.2214136984618119E-2</c:v>
                </c:pt>
                <c:pt idx="28">
                  <c:v>0.19577982320442494</c:v>
                </c:pt>
                <c:pt idx="29">
                  <c:v>0.1773093767482338</c:v>
                </c:pt>
                <c:pt idx="30">
                  <c:v>0.17446420222312728</c:v>
                </c:pt>
                <c:pt idx="31">
                  <c:v>0.25679575689123113</c:v>
                </c:pt>
                <c:pt idx="32">
                  <c:v>0.141934737250551</c:v>
                </c:pt>
                <c:pt idx="33">
                  <c:v>6.7279310760423094E-2</c:v>
                </c:pt>
                <c:pt idx="34">
                  <c:v>2.9427436316896094E-2</c:v>
                </c:pt>
                <c:pt idx="35">
                  <c:v>1.8012526927700064E-2</c:v>
                </c:pt>
                <c:pt idx="36">
                  <c:v>4.7016194694732727E-2</c:v>
                </c:pt>
                <c:pt idx="37">
                  <c:v>1.3904559547618768E-2</c:v>
                </c:pt>
              </c:numCache>
            </c:numRef>
          </c:val>
          <c:extLst>
            <c:ext xmlns:c16="http://schemas.microsoft.com/office/drawing/2014/chart" uri="{C3380CC4-5D6E-409C-BE32-E72D297353CC}">
              <c16:uniqueId val="{00000004-B636-4356-A894-D8B51B3E6067}"/>
            </c:ext>
          </c:extLst>
        </c:ser>
        <c:ser>
          <c:idx val="5"/>
          <c:order val="5"/>
          <c:tx>
            <c:strRef>
              <c:f>'Trh práce 1-SNÚ'!$AH$7</c:f>
              <c:strCache>
                <c:ptCount val="1"/>
                <c:pt idx="0">
                  <c:v>Professional,scient.,technic.,admin.act.</c:v>
                </c:pt>
              </c:strCache>
            </c:strRef>
          </c:tx>
          <c:spPr>
            <a:solidFill>
              <a:srgbClr val="E8C0BE"/>
            </a:solidFill>
            <a:ln w="19050">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1-SNÚ'!$AH$28:$AH$66</c:f>
              <c:numCache>
                <c:formatCode>#\ ##0.0</c:formatCode>
                <c:ptCount val="39"/>
                <c:pt idx="0">
                  <c:v>0.11759915174382432</c:v>
                </c:pt>
                <c:pt idx="1">
                  <c:v>0.14665821211342547</c:v>
                </c:pt>
                <c:pt idx="2">
                  <c:v>0.27033225330885341</c:v>
                </c:pt>
                <c:pt idx="3">
                  <c:v>0.34628057749677232</c:v>
                </c:pt>
                <c:pt idx="4">
                  <c:v>0.1873751956720211</c:v>
                </c:pt>
                <c:pt idx="5">
                  <c:v>0.20516788210079692</c:v>
                </c:pt>
                <c:pt idx="6">
                  <c:v>0.18977292521436465</c:v>
                </c:pt>
                <c:pt idx="7">
                  <c:v>0.2038377083012908</c:v>
                </c:pt>
                <c:pt idx="8">
                  <c:v>0.29841078105477886</c:v>
                </c:pt>
                <c:pt idx="9">
                  <c:v>0.23426579179886092</c:v>
                </c:pt>
                <c:pt idx="10">
                  <c:v>0.20577753829291368</c:v>
                </c:pt>
                <c:pt idx="11">
                  <c:v>5.6773405997204894E-2</c:v>
                </c:pt>
                <c:pt idx="12">
                  <c:v>0.10777799783190666</c:v>
                </c:pt>
                <c:pt idx="13">
                  <c:v>0.10518064804667848</c:v>
                </c:pt>
                <c:pt idx="14">
                  <c:v>9.8748533437620648E-2</c:v>
                </c:pt>
                <c:pt idx="15">
                  <c:v>0.22141224467237378</c:v>
                </c:pt>
                <c:pt idx="16">
                  <c:v>3.724431087059718E-2</c:v>
                </c:pt>
                <c:pt idx="17">
                  <c:v>2.5573165795878261E-2</c:v>
                </c:pt>
                <c:pt idx="18">
                  <c:v>2.2396959985967045E-2</c:v>
                </c:pt>
                <c:pt idx="19">
                  <c:v>-0.18724759065711963</c:v>
                </c:pt>
                <c:pt idx="20">
                  <c:v>-0.19133070373579164</c:v>
                </c:pt>
                <c:pt idx="21">
                  <c:v>-0.3504112611767094</c:v>
                </c:pt>
                <c:pt idx="22">
                  <c:v>-0.52251402310016892</c:v>
                </c:pt>
                <c:pt idx="23">
                  <c:v>-0.24405342203916677</c:v>
                </c:pt>
                <c:pt idx="24">
                  <c:v>-0.10997283570482894</c:v>
                </c:pt>
                <c:pt idx="25">
                  <c:v>0.14882612029903389</c:v>
                </c:pt>
                <c:pt idx="26">
                  <c:v>0.28609151976270597</c:v>
                </c:pt>
                <c:pt idx="27">
                  <c:v>0.12335853943489318</c:v>
                </c:pt>
                <c:pt idx="28">
                  <c:v>0.16279030253185092</c:v>
                </c:pt>
                <c:pt idx="29">
                  <c:v>0.11160194861751378</c:v>
                </c:pt>
                <c:pt idx="30">
                  <c:v>0.16264347012955688</c:v>
                </c:pt>
                <c:pt idx="31">
                  <c:v>0.22346522307166092</c:v>
                </c:pt>
                <c:pt idx="32">
                  <c:v>0.25007819079916555</c:v>
                </c:pt>
                <c:pt idx="33">
                  <c:v>0.24783864044514128</c:v>
                </c:pt>
                <c:pt idx="34">
                  <c:v>0.2914886655760654</c:v>
                </c:pt>
                <c:pt idx="35">
                  <c:v>0.29023711697921695</c:v>
                </c:pt>
                <c:pt idx="36">
                  <c:v>0.1729577526705996</c:v>
                </c:pt>
                <c:pt idx="37">
                  <c:v>6.998566589880019E-2</c:v>
                </c:pt>
              </c:numCache>
            </c:numRef>
          </c:val>
          <c:extLst>
            <c:ext xmlns:c16="http://schemas.microsoft.com/office/drawing/2014/chart" uri="{C3380CC4-5D6E-409C-BE32-E72D297353CC}">
              <c16:uniqueId val="{00000005-B636-4356-A894-D8B51B3E6067}"/>
            </c:ext>
          </c:extLst>
        </c:ser>
        <c:ser>
          <c:idx val="6"/>
          <c:order val="6"/>
          <c:tx>
            <c:strRef>
              <c:f>'Trh práce 1-SNÚ'!$AI$7</c:f>
              <c:strCache>
                <c:ptCount val="1"/>
                <c:pt idx="0">
                  <c:v>Public admin,education,health,soc.work</c:v>
                </c:pt>
              </c:strCache>
            </c:strRef>
          </c:tx>
          <c:spPr>
            <a:solidFill>
              <a:srgbClr val="D58D8B"/>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1-SNÚ'!$AI$28:$AI$66</c:f>
              <c:numCache>
                <c:formatCode>#\ ##0.0</c:formatCode>
                <c:ptCount val="39"/>
                <c:pt idx="0">
                  <c:v>0.29810932511306687</c:v>
                </c:pt>
                <c:pt idx="1">
                  <c:v>0.22837508358300088</c:v>
                </c:pt>
                <c:pt idx="2">
                  <c:v>8.7664748087127292E-2</c:v>
                </c:pt>
                <c:pt idx="3">
                  <c:v>6.3608520735520563E-2</c:v>
                </c:pt>
                <c:pt idx="4">
                  <c:v>0.31886213213126613</c:v>
                </c:pt>
                <c:pt idx="5">
                  <c:v>0.28817753636693877</c:v>
                </c:pt>
                <c:pt idx="6">
                  <c:v>0.36508162726951909</c:v>
                </c:pt>
                <c:pt idx="7">
                  <c:v>0.46049727622848979</c:v>
                </c:pt>
                <c:pt idx="8">
                  <c:v>0.25543763072520886</c:v>
                </c:pt>
                <c:pt idx="9">
                  <c:v>0.32021171933565312</c:v>
                </c:pt>
                <c:pt idx="10">
                  <c:v>0.40612074323310393</c:v>
                </c:pt>
                <c:pt idx="11">
                  <c:v>0.45188510919558089</c:v>
                </c:pt>
                <c:pt idx="12">
                  <c:v>0.60669746453968465</c:v>
                </c:pt>
                <c:pt idx="13">
                  <c:v>0.67766064774410706</c:v>
                </c:pt>
                <c:pt idx="14">
                  <c:v>0.54779865226677038</c:v>
                </c:pt>
                <c:pt idx="15">
                  <c:v>0.53702526690063701</c:v>
                </c:pt>
                <c:pt idx="16">
                  <c:v>0.28440258119756973</c:v>
                </c:pt>
                <c:pt idx="17">
                  <c:v>0.27707677667843045</c:v>
                </c:pt>
                <c:pt idx="18">
                  <c:v>0.33524516272328342</c:v>
                </c:pt>
                <c:pt idx="19">
                  <c:v>0.37920241903644225</c:v>
                </c:pt>
                <c:pt idx="20">
                  <c:v>0.39000877571158382</c:v>
                </c:pt>
                <c:pt idx="21">
                  <c:v>0.31581562839071159</c:v>
                </c:pt>
                <c:pt idx="22">
                  <c:v>0.4292913488797877</c:v>
                </c:pt>
                <c:pt idx="23">
                  <c:v>0.43905266815196531</c:v>
                </c:pt>
                <c:pt idx="24">
                  <c:v>0.48013825373146052</c:v>
                </c:pt>
                <c:pt idx="25">
                  <c:v>0.61638162295910981</c:v>
                </c:pt>
                <c:pt idx="26">
                  <c:v>0.58629302803612371</c:v>
                </c:pt>
                <c:pt idx="27">
                  <c:v>0.47863113300738547</c:v>
                </c:pt>
                <c:pt idx="28">
                  <c:v>0.23949857455870413</c:v>
                </c:pt>
                <c:pt idx="29">
                  <c:v>0.19858498227191301</c:v>
                </c:pt>
                <c:pt idx="30">
                  <c:v>0.21793885646200037</c:v>
                </c:pt>
                <c:pt idx="31">
                  <c:v>0.27781094092662112</c:v>
                </c:pt>
                <c:pt idx="32">
                  <c:v>0.47818353791525892</c:v>
                </c:pt>
                <c:pt idx="33">
                  <c:v>0.43397494776730211</c:v>
                </c:pt>
                <c:pt idx="34">
                  <c:v>0.2680065435849463</c:v>
                </c:pt>
                <c:pt idx="35">
                  <c:v>0.25837886136539057</c:v>
                </c:pt>
                <c:pt idx="36">
                  <c:v>0.31968777074128485</c:v>
                </c:pt>
                <c:pt idx="37">
                  <c:v>0.29247713338712877</c:v>
                </c:pt>
              </c:numCache>
            </c:numRef>
          </c:val>
          <c:extLst>
            <c:ext xmlns:c16="http://schemas.microsoft.com/office/drawing/2014/chart" uri="{C3380CC4-5D6E-409C-BE32-E72D297353CC}">
              <c16:uniqueId val="{00000006-B636-4356-A894-D8B51B3E6067}"/>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1-SNÚ'!$AJ$28:$AJ$66</c:f>
              <c:numCache>
                <c:formatCode>#\ ##0.0</c:formatCode>
                <c:ptCount val="39"/>
                <c:pt idx="0">
                  <c:v>-0.11167788297920554</c:v>
                </c:pt>
                <c:pt idx="1">
                  <c:v>3.2922470332453942E-2</c:v>
                </c:pt>
                <c:pt idx="2">
                  <c:v>2.8686723369582272E-2</c:v>
                </c:pt>
                <c:pt idx="3">
                  <c:v>-3.2096578937316919E-2</c:v>
                </c:pt>
                <c:pt idx="4">
                  <c:v>0.1719564056042851</c:v>
                </c:pt>
                <c:pt idx="5">
                  <c:v>0.10973961273620712</c:v>
                </c:pt>
                <c:pt idx="6">
                  <c:v>0.13297815844368727</c:v>
                </c:pt>
                <c:pt idx="7">
                  <c:v>0.21049819060105912</c:v>
                </c:pt>
                <c:pt idx="8">
                  <c:v>-7.8204602142011373E-2</c:v>
                </c:pt>
                <c:pt idx="9">
                  <c:v>-4.3087762424945671E-2</c:v>
                </c:pt>
                <c:pt idx="10">
                  <c:v>-2.4186610414937963E-2</c:v>
                </c:pt>
                <c:pt idx="11">
                  <c:v>-3.215383918742503E-2</c:v>
                </c:pt>
                <c:pt idx="12">
                  <c:v>0.16045174095835293</c:v>
                </c:pt>
                <c:pt idx="13">
                  <c:v>0.15856521644577473</c:v>
                </c:pt>
                <c:pt idx="14">
                  <c:v>-1.9178123401822754E-2</c:v>
                </c:pt>
                <c:pt idx="15">
                  <c:v>-1.4963843331568139E-2</c:v>
                </c:pt>
                <c:pt idx="16">
                  <c:v>-0.11518182702557608</c:v>
                </c:pt>
                <c:pt idx="17">
                  <c:v>-3.7866166105623093E-2</c:v>
                </c:pt>
                <c:pt idx="18">
                  <c:v>9.4440514607494364E-2</c:v>
                </c:pt>
                <c:pt idx="19">
                  <c:v>7.8646220757913818E-2</c:v>
                </c:pt>
                <c:pt idx="20">
                  <c:v>-0.19809850857772601</c:v>
                </c:pt>
                <c:pt idx="21">
                  <c:v>-0.41738438003451656</c:v>
                </c:pt>
                <c:pt idx="22">
                  <c:v>-0.37552484458995661</c:v>
                </c:pt>
                <c:pt idx="23">
                  <c:v>-0.44219932777610815</c:v>
                </c:pt>
                <c:pt idx="24">
                  <c:v>2.3886532147575315E-2</c:v>
                </c:pt>
                <c:pt idx="25">
                  <c:v>0.20574208143493422</c:v>
                </c:pt>
                <c:pt idx="26">
                  <c:v>0.14351545379237532</c:v>
                </c:pt>
                <c:pt idx="27">
                  <c:v>0.21300227805302802</c:v>
                </c:pt>
                <c:pt idx="28">
                  <c:v>0.10114495400653761</c:v>
                </c:pt>
                <c:pt idx="29">
                  <c:v>0.12974320154172242</c:v>
                </c:pt>
                <c:pt idx="30">
                  <c:v>5.4560125484518086E-2</c:v>
                </c:pt>
                <c:pt idx="31">
                  <c:v>5.7942402577863039E-2</c:v>
                </c:pt>
                <c:pt idx="32">
                  <c:v>-9.0047058191729826E-2</c:v>
                </c:pt>
                <c:pt idx="33">
                  <c:v>-5.1034959789617189E-2</c:v>
                </c:pt>
                <c:pt idx="34">
                  <c:v>-6.212666510866946E-2</c:v>
                </c:pt>
                <c:pt idx="35">
                  <c:v>-3.0568977234146574E-2</c:v>
                </c:pt>
                <c:pt idx="36">
                  <c:v>4.4035770308378831E-2</c:v>
                </c:pt>
                <c:pt idx="37">
                  <c:v>0.14602564733963946</c:v>
                </c:pt>
              </c:numCache>
            </c:numRef>
          </c:val>
          <c:extLst>
            <c:ext xmlns:c16="http://schemas.microsoft.com/office/drawing/2014/chart" uri="{C3380CC4-5D6E-409C-BE32-E72D297353CC}">
              <c16:uniqueId val="{00000007-B636-4356-A894-D8B51B3E6067}"/>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c:v>
                </c:pt>
              </c:strCache>
            </c:strRef>
          </c:tx>
          <c:spPr>
            <a:ln w="19050">
              <a:solidFill>
                <a:schemeClr val="tx1">
                  <a:lumMod val="95000"/>
                  <a:lumOff val="5000"/>
                </a:schemeClr>
              </a:solidFill>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1-SNÚ'!$AK$28:$AK$66</c:f>
              <c:numCache>
                <c:formatCode>#\ ##0.0</c:formatCode>
                <c:ptCount val="39"/>
                <c:pt idx="0">
                  <c:v>1.3021086405278481</c:v>
                </c:pt>
                <c:pt idx="1">
                  <c:v>1.7082558398097802</c:v>
                </c:pt>
                <c:pt idx="2">
                  <c:v>1.3289819265815481</c:v>
                </c:pt>
                <c:pt idx="3">
                  <c:v>1.2361372790363987</c:v>
                </c:pt>
                <c:pt idx="4">
                  <c:v>1.0877626267559606</c:v>
                </c:pt>
                <c:pt idx="5">
                  <c:v>0.94310014599115277</c:v>
                </c:pt>
                <c:pt idx="6">
                  <c:v>0.92188662907126684</c:v>
                </c:pt>
                <c:pt idx="7">
                  <c:v>1.1773846211003729</c:v>
                </c:pt>
                <c:pt idx="8">
                  <c:v>1.1680743879255715</c:v>
                </c:pt>
                <c:pt idx="9">
                  <c:v>1.1767436289615603</c:v>
                </c:pt>
                <c:pt idx="10">
                  <c:v>1.7705211142985604</c:v>
                </c:pt>
                <c:pt idx="11">
                  <c:v>1.2082803936543201</c:v>
                </c:pt>
                <c:pt idx="12">
                  <c:v>1.3037795784239563</c:v>
                </c:pt>
                <c:pt idx="13">
                  <c:v>1.5291851714574989</c:v>
                </c:pt>
                <c:pt idx="14">
                  <c:v>0.73910983424083554</c:v>
                </c:pt>
                <c:pt idx="15">
                  <c:v>1.0379380425450648</c:v>
                </c:pt>
                <c:pt idx="16">
                  <c:v>0.25887326493901242</c:v>
                </c:pt>
                <c:pt idx="17">
                  <c:v>-7.5806835243426463E-2</c:v>
                </c:pt>
                <c:pt idx="18">
                  <c:v>-9.5093759273751743E-2</c:v>
                </c:pt>
                <c:pt idx="19">
                  <c:v>-0.66435311204230629</c:v>
                </c:pt>
                <c:pt idx="20">
                  <c:v>-1.3818847925181785</c:v>
                </c:pt>
                <c:pt idx="21">
                  <c:v>-2.8967132098465527</c:v>
                </c:pt>
                <c:pt idx="22">
                  <c:v>-2.5521715371933311</c:v>
                </c:pt>
                <c:pt idx="23">
                  <c:v>-2.4461532554347798</c:v>
                </c:pt>
                <c:pt idx="24">
                  <c:v>-0.69976164653277806</c:v>
                </c:pt>
                <c:pt idx="25">
                  <c:v>1.0521294535779759</c:v>
                </c:pt>
                <c:pt idx="26">
                  <c:v>1.6885400245352713</c:v>
                </c:pt>
                <c:pt idx="27">
                  <c:v>1.9593560012249469</c:v>
                </c:pt>
                <c:pt idx="28">
                  <c:v>0.96064796916854789</c:v>
                </c:pt>
                <c:pt idx="29">
                  <c:v>1.5035584400042268</c:v>
                </c:pt>
                <c:pt idx="30">
                  <c:v>0.83914000874771943</c:v>
                </c:pt>
                <c:pt idx="31">
                  <c:v>0.77931307464571375</c:v>
                </c:pt>
                <c:pt idx="32">
                  <c:v>1.5130817839831252</c:v>
                </c:pt>
                <c:pt idx="33">
                  <c:v>1.0800247632778905</c:v>
                </c:pt>
                <c:pt idx="34">
                  <c:v>0.74144426267818631</c:v>
                </c:pt>
                <c:pt idx="35">
                  <c:v>0.78408679197829656</c:v>
                </c:pt>
                <c:pt idx="36">
                  <c:v>0.31434163449826258</c:v>
                </c:pt>
                <c:pt idx="37">
                  <c:v>0.2271016343689638</c:v>
                </c:pt>
              </c:numCache>
            </c:numRef>
          </c:val>
          <c:smooth val="0"/>
          <c:extLst>
            <c:ext xmlns:c16="http://schemas.microsoft.com/office/drawing/2014/chart" uri="{C3380CC4-5D6E-409C-BE32-E72D297353CC}">
              <c16:uniqueId val="{00000008-B636-4356-A894-D8B51B3E6067}"/>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1-SNÚ'!$AL$28:$AL$66</c:f>
              <c:numCache>
                <c:formatCode>General</c:formatCode>
                <c:ptCount val="39"/>
              </c:numCache>
            </c:numRef>
          </c:val>
          <c:smooth val="0"/>
          <c:extLst>
            <c:ext xmlns:c16="http://schemas.microsoft.com/office/drawing/2014/chart" uri="{C3380CC4-5D6E-409C-BE32-E72D297353CC}">
              <c16:uniqueId val="{00000009-B636-4356-A894-D8B51B3E6067}"/>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1-SNÚ'!$AM$28:$AM$66</c:f>
              <c:numCache>
                <c:formatCode>#\ ##0.0</c:formatCode>
                <c:ptCount val="39"/>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pt idx="37">
                  <c:v>-9.6</c:v>
                </c:pt>
                <c:pt idx="38">
                  <c:v>-10.7</c:v>
                </c:pt>
              </c:numCache>
            </c:numRef>
          </c:val>
          <c:smooth val="0"/>
          <c:extLst>
            <c:ext xmlns:c16="http://schemas.microsoft.com/office/drawing/2014/chart" uri="{C3380CC4-5D6E-409C-BE32-E72D297353CC}">
              <c16:uniqueId val="{0000000A-B636-4356-A894-D8B51B3E6067}"/>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1-SNÚ'!$AN$28:$AN$66</c:f>
              <c:numCache>
                <c:formatCode>#\ ##0.0</c:formatCode>
                <c:ptCount val="39"/>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9.1999999999999993</c:v>
                </c:pt>
                <c:pt idx="29">
                  <c:v>8.6</c:v>
                </c:pt>
                <c:pt idx="30">
                  <c:v>1.4</c:v>
                </c:pt>
                <c:pt idx="31">
                  <c:v>-1.9</c:v>
                </c:pt>
                <c:pt idx="32">
                  <c:v>-12.8</c:v>
                </c:pt>
                <c:pt idx="33">
                  <c:v>-12.4</c:v>
                </c:pt>
                <c:pt idx="34">
                  <c:v>-8.3000000000000007</c:v>
                </c:pt>
                <c:pt idx="35">
                  <c:v>-0.3</c:v>
                </c:pt>
                <c:pt idx="36">
                  <c:v>-0.6</c:v>
                </c:pt>
                <c:pt idx="37">
                  <c:v>-8.3000000000000007</c:v>
                </c:pt>
                <c:pt idx="38">
                  <c:v>-6.8</c:v>
                </c:pt>
              </c:numCache>
            </c:numRef>
          </c:val>
          <c:smooth val="0"/>
          <c:extLst>
            <c:ext xmlns:c16="http://schemas.microsoft.com/office/drawing/2014/chart" uri="{C3380CC4-5D6E-409C-BE32-E72D297353CC}">
              <c16:uniqueId val="{0000000B-B636-4356-A894-D8B51B3E6067}"/>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1-SNÚ'!$AO$28:$AO$66</c:f>
              <c:numCache>
                <c:formatCode>#\ ##0.0</c:formatCode>
                <c:ptCount val="39"/>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5.3</c:v>
                </c:pt>
                <c:pt idx="25">
                  <c:v>13.1</c:v>
                </c:pt>
                <c:pt idx="26">
                  <c:v>10.8</c:v>
                </c:pt>
                <c:pt idx="27">
                  <c:v>8.5</c:v>
                </c:pt>
                <c:pt idx="28">
                  <c:v>10.3</c:v>
                </c:pt>
                <c:pt idx="29">
                  <c:v>3.3</c:v>
                </c:pt>
                <c:pt idx="30">
                  <c:v>5.2</c:v>
                </c:pt>
                <c:pt idx="31">
                  <c:v>12.6</c:v>
                </c:pt>
                <c:pt idx="32">
                  <c:v>11.2</c:v>
                </c:pt>
                <c:pt idx="33">
                  <c:v>9</c:v>
                </c:pt>
                <c:pt idx="34">
                  <c:v>11.4</c:v>
                </c:pt>
                <c:pt idx="35">
                  <c:v>10.6</c:v>
                </c:pt>
                <c:pt idx="36">
                  <c:v>5.9</c:v>
                </c:pt>
                <c:pt idx="37">
                  <c:v>9.1</c:v>
                </c:pt>
                <c:pt idx="38">
                  <c:v>2.6</c:v>
                </c:pt>
              </c:numCache>
            </c:numRef>
          </c:val>
          <c:smooth val="0"/>
          <c:extLst>
            <c:ext xmlns:c16="http://schemas.microsoft.com/office/drawing/2014/chart" uri="{C3380CC4-5D6E-409C-BE32-E72D297353CC}">
              <c16:uniqueId val="{0000000C-B636-4356-A894-D8B51B3E6067}"/>
            </c:ext>
          </c:extLst>
        </c:ser>
        <c:ser>
          <c:idx val="13"/>
          <c:order val="13"/>
          <c:tx>
            <c:strRef>
              <c:f>'Trh práce 1-SNÚ'!$AP$7</c:f>
              <c:strCache>
                <c:ptCount val="1"/>
                <c:pt idx="0">
                  <c:v>Employment expect. (selected services)</c:v>
                </c:pt>
              </c:strCache>
            </c:strRef>
          </c:tx>
          <c:spPr>
            <a:ln w="15875">
              <a:solidFill>
                <a:srgbClr val="C00000"/>
              </a:solidFill>
              <a:prstDash val="sysDot"/>
            </a:ln>
          </c:spPr>
          <c:marker>
            <c:symbol val="none"/>
          </c:marker>
          <c:cat>
            <c:multiLvlStrRef>
              <c:f>'Trh práce 1-SNÚ'!$AA$28:$AB$66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1-SNÚ'!$AP$28:$AP$66</c:f>
              <c:numCache>
                <c:formatCode>#\ ##0.0</c:formatCode>
                <c:ptCount val="39"/>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pt idx="37">
                  <c:v>-16</c:v>
                </c:pt>
                <c:pt idx="38">
                  <c:v>-15.7</c:v>
                </c:pt>
              </c:numCache>
            </c:numRef>
          </c:val>
          <c:smooth val="0"/>
          <c:extLst>
            <c:ext xmlns:c16="http://schemas.microsoft.com/office/drawing/2014/chart" uri="{C3380CC4-5D6E-409C-BE32-E72D297353CC}">
              <c16:uniqueId val="{0000000D-B636-4356-A894-D8B51B3E6067}"/>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656372322027451"/>
          <c:h val="0.76494082349138992"/>
        </c:manualLayout>
      </c:layout>
      <c:barChart>
        <c:barDir val="col"/>
        <c:grouping val="clustered"/>
        <c:varyColors val="0"/>
        <c:ser>
          <c:idx val="0"/>
          <c:order val="0"/>
          <c:tx>
            <c:strRef>
              <c:f>'Trh práce-2b'!$A$32</c:f>
              <c:strCache>
                <c:ptCount val="1"/>
                <c:pt idx="0">
                  <c:v>Male unemployment rate</c:v>
                </c:pt>
              </c:strCache>
            </c:strRef>
          </c:tx>
          <c:spPr>
            <a:solidFill>
              <a:srgbClr val="BCBCBC"/>
            </a:solidFill>
          </c:spPr>
          <c:invertIfNegative val="0"/>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práce-2b'!$B$32:$AN$32</c:f>
              <c:numCache>
                <c:formatCode>0.0</c:formatCode>
                <c:ptCount val="39"/>
                <c:pt idx="0">
                  <c:v>5.0116834356202711</c:v>
                </c:pt>
                <c:pt idx="1">
                  <c:v>4.3144171499961006</c:v>
                </c:pt>
                <c:pt idx="2">
                  <c:v>4.0699746498252383</c:v>
                </c:pt>
                <c:pt idx="3">
                  <c:v>3.788181157882581</c:v>
                </c:pt>
                <c:pt idx="4">
                  <c:v>3.6422518091247906</c:v>
                </c:pt>
                <c:pt idx="5">
                  <c:v>3.5638435908152037</c:v>
                </c:pt>
                <c:pt idx="6">
                  <c:v>3.4025925990827304</c:v>
                </c:pt>
                <c:pt idx="7">
                  <c:v>3.1529010237125679</c:v>
                </c:pt>
                <c:pt idx="8">
                  <c:v>2.6882635524440506</c:v>
                </c:pt>
                <c:pt idx="9">
                  <c:v>2.4873275349702868</c:v>
                </c:pt>
                <c:pt idx="10">
                  <c:v>2.2565941418714899</c:v>
                </c:pt>
                <c:pt idx="11">
                  <c:v>2.0813168878012083</c:v>
                </c:pt>
                <c:pt idx="12">
                  <c:v>1.8912512679597702</c:v>
                </c:pt>
                <c:pt idx="13">
                  <c:v>1.8276752649046539</c:v>
                </c:pt>
                <c:pt idx="14">
                  <c:v>1.8939194395031631</c:v>
                </c:pt>
                <c:pt idx="15">
                  <c:v>1.6782847964860206</c:v>
                </c:pt>
                <c:pt idx="16">
                  <c:v>1.8009051131350233</c:v>
                </c:pt>
                <c:pt idx="17">
                  <c:v>1.6740402528100713</c:v>
                </c:pt>
                <c:pt idx="18">
                  <c:v>1.7696924435634074</c:v>
                </c:pt>
                <c:pt idx="19">
                  <c:v>1.8537329598795036</c:v>
                </c:pt>
                <c:pt idx="20">
                  <c:v>1.8415714826171661</c:v>
                </c:pt>
                <c:pt idx="21">
                  <c:v>2.2782884607539797</c:v>
                </c:pt>
                <c:pt idx="22">
                  <c:v>2.5160163484602922</c:v>
                </c:pt>
                <c:pt idx="23">
                  <c:v>2.5627694319040919</c:v>
                </c:pt>
                <c:pt idx="24">
                  <c:v>2.6539228447108481</c:v>
                </c:pt>
                <c:pt idx="25">
                  <c:v>2.5479223676372951</c:v>
                </c:pt>
                <c:pt idx="26">
                  <c:v>2.2824742673948308</c:v>
                </c:pt>
                <c:pt idx="27">
                  <c:v>1.957707379533411</c:v>
                </c:pt>
                <c:pt idx="28">
                  <c:v>1.9827325378513576</c:v>
                </c:pt>
                <c:pt idx="29">
                  <c:v>1.8850313203109046</c:v>
                </c:pt>
                <c:pt idx="30">
                  <c:v>1.900165270330973</c:v>
                </c:pt>
                <c:pt idx="31">
                  <c:v>2.0945872255105722</c:v>
                </c:pt>
                <c:pt idx="32">
                  <c:v>2.1816558358367728</c:v>
                </c:pt>
                <c:pt idx="33">
                  <c:v>2.2471673118848834</c:v>
                </c:pt>
                <c:pt idx="34">
                  <c:v>2.318554497142125</c:v>
                </c:pt>
                <c:pt idx="35">
                  <c:v>2.355575597618718</c:v>
                </c:pt>
                <c:pt idx="36">
                  <c:v>2.4338145992567601</c:v>
                </c:pt>
                <c:pt idx="37">
                  <c:v>2.4830067209308866</c:v>
                </c:pt>
              </c:numCache>
            </c:numRef>
          </c:val>
          <c:extLst>
            <c:ext xmlns:c16="http://schemas.microsoft.com/office/drawing/2014/chart" uri="{C3380CC4-5D6E-409C-BE32-E72D297353CC}">
              <c16:uniqueId val="{00000000-43AE-4E3A-8BBF-93F8BAFD9EDA}"/>
            </c:ext>
          </c:extLst>
        </c:ser>
        <c:ser>
          <c:idx val="1"/>
          <c:order val="1"/>
          <c:tx>
            <c:strRef>
              <c:f>'Trh práce-2b'!$A$33</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práce-2b'!$B$33:$AN$33</c:f>
              <c:numCache>
                <c:formatCode>0.0</c:formatCode>
                <c:ptCount val="39"/>
                <c:pt idx="0">
                  <c:v>6.9167370955668472</c:v>
                </c:pt>
                <c:pt idx="1">
                  <c:v>6.1502064445681066</c:v>
                </c:pt>
                <c:pt idx="2">
                  <c:v>5.9839702762481792</c:v>
                </c:pt>
                <c:pt idx="3">
                  <c:v>5.6693800297492487</c:v>
                </c:pt>
                <c:pt idx="4">
                  <c:v>5.0615432640052243</c:v>
                </c:pt>
                <c:pt idx="5">
                  <c:v>4.7962841495875521</c:v>
                </c:pt>
                <c:pt idx="6">
                  <c:v>4.8166680310125551</c:v>
                </c:pt>
                <c:pt idx="7">
                  <c:v>4.3736174018530916</c:v>
                </c:pt>
                <c:pt idx="8">
                  <c:v>4.2602157089566015</c:v>
                </c:pt>
                <c:pt idx="9">
                  <c:v>3.8863748200461621</c:v>
                </c:pt>
                <c:pt idx="10">
                  <c:v>3.4171467662038459</c:v>
                </c:pt>
                <c:pt idx="11">
                  <c:v>3.0348244863363938</c:v>
                </c:pt>
                <c:pt idx="12">
                  <c:v>2.9313401764553944</c:v>
                </c:pt>
                <c:pt idx="13">
                  <c:v>2.8833100157381772</c:v>
                </c:pt>
                <c:pt idx="14">
                  <c:v>2.8659110366928537</c:v>
                </c:pt>
                <c:pt idx="15">
                  <c:v>2.6899917309070567</c:v>
                </c:pt>
                <c:pt idx="16">
                  <c:v>2.2363695446447416</c:v>
                </c:pt>
                <c:pt idx="17">
                  <c:v>2.4627784154123873</c:v>
                </c:pt>
                <c:pt idx="18">
                  <c:v>2.5739133097610503</c:v>
                </c:pt>
                <c:pt idx="19">
                  <c:v>2.4454526419656264</c:v>
                </c:pt>
                <c:pt idx="20">
                  <c:v>2.0344410292522253</c:v>
                </c:pt>
                <c:pt idx="21">
                  <c:v>2.8017898963096233</c:v>
                </c:pt>
                <c:pt idx="22">
                  <c:v>3.3786935724421236</c:v>
                </c:pt>
                <c:pt idx="23">
                  <c:v>3.9084647466352336</c:v>
                </c:pt>
                <c:pt idx="24">
                  <c:v>4.1399659954972456</c:v>
                </c:pt>
                <c:pt idx="25">
                  <c:v>3.8956044477176626</c:v>
                </c:pt>
                <c:pt idx="26">
                  <c:v>3.2699358178156586</c:v>
                </c:pt>
                <c:pt idx="27">
                  <c:v>2.7480957830745378</c:v>
                </c:pt>
                <c:pt idx="28">
                  <c:v>2.9825670027236391</c:v>
                </c:pt>
                <c:pt idx="29">
                  <c:v>3.199371338415451</c:v>
                </c:pt>
                <c:pt idx="30">
                  <c:v>2.9049841886011145</c:v>
                </c:pt>
                <c:pt idx="31">
                  <c:v>2.8106218880042451</c:v>
                </c:pt>
                <c:pt idx="32">
                  <c:v>3.0139871339214444</c:v>
                </c:pt>
                <c:pt idx="33">
                  <c:v>3.1834039918089965</c:v>
                </c:pt>
                <c:pt idx="34">
                  <c:v>3.2231424303778895</c:v>
                </c:pt>
                <c:pt idx="35">
                  <c:v>3.3137277250512422</c:v>
                </c:pt>
                <c:pt idx="36">
                  <c:v>3.5203258225787226</c:v>
                </c:pt>
                <c:pt idx="37">
                  <c:v>3.2089044506205635</c:v>
                </c:pt>
              </c:numCache>
            </c:numRef>
          </c:val>
          <c:extLst>
            <c:ext xmlns:c16="http://schemas.microsoft.com/office/drawing/2014/chart" uri="{C3380CC4-5D6E-409C-BE32-E72D297353CC}">
              <c16:uniqueId val="{00000001-43AE-4E3A-8BBF-93F8BAFD9EDA}"/>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Vacancies for lower qualifications</c:v>
                </c:pt>
              </c:strCache>
            </c:strRef>
          </c:tx>
          <c:spPr>
            <a:ln w="19050">
              <a:noFill/>
              <a:prstDash val="sysDash"/>
            </a:ln>
          </c:spPr>
          <c:marker>
            <c:symbol val="circle"/>
            <c:size val="4"/>
            <c:spPr>
              <a:solidFill>
                <a:schemeClr val="tx2">
                  <a:lumMod val="60000"/>
                  <a:lumOff val="40000"/>
                </a:schemeClr>
              </a:solidFill>
              <a:ln>
                <a:noFill/>
              </a:ln>
            </c:spPr>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práce-2b'!$B$34:$AN$34</c:f>
              <c:numCache>
                <c:formatCode>0.0</c:formatCode>
                <c:ptCount val="39"/>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43.887</c:v>
                </c:pt>
                <c:pt idx="32">
                  <c:v>43.122</c:v>
                </c:pt>
                <c:pt idx="33">
                  <c:v>42.853999999999999</c:v>
                </c:pt>
                <c:pt idx="34">
                  <c:v>41.186</c:v>
                </c:pt>
                <c:pt idx="35">
                  <c:v>38.177999999999997</c:v>
                </c:pt>
                <c:pt idx="36">
                  <c:v>37.228000000000002</c:v>
                </c:pt>
                <c:pt idx="37">
                  <c:v>36.956000000000003</c:v>
                </c:pt>
              </c:numCache>
            </c:numRef>
          </c:val>
          <c:smooth val="0"/>
          <c:extLst>
            <c:ext xmlns:c16="http://schemas.microsoft.com/office/drawing/2014/chart" uri="{C3380CC4-5D6E-409C-BE32-E72D297353CC}">
              <c16:uniqueId val="{00000002-43AE-4E3A-8BBF-93F8BAFD9EDA}"/>
            </c:ext>
          </c:extLst>
        </c:ser>
        <c:ser>
          <c:idx val="5"/>
          <c:order val="3"/>
          <c:tx>
            <c:strRef>
              <c:f>'Trh práce-2b'!$A$35</c:f>
              <c:strCache>
                <c:ptCount val="1"/>
                <c:pt idx="0">
                  <c:v>Vacancies for higher qualifications </c:v>
                </c:pt>
              </c:strCache>
            </c:strRef>
          </c:tx>
          <c:spPr>
            <a:ln w="19050">
              <a:noFill/>
              <a:prstDash val="dash"/>
            </a:ln>
          </c:spPr>
          <c:marker>
            <c:symbol val="triangle"/>
            <c:size val="5"/>
            <c:spPr>
              <a:solidFill>
                <a:srgbClr val="00B050"/>
              </a:solidFill>
              <a:ln>
                <a:noFill/>
              </a:ln>
            </c:spPr>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práce-2b'!$B$35:$AN$35</c:f>
              <c:numCache>
                <c:formatCode>0.0</c:formatCode>
                <c:ptCount val="39"/>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34.299999999999997</c:v>
                </c:pt>
                <c:pt idx="13">
                  <c:v>38</c:v>
                </c:pt>
                <c:pt idx="14">
                  <c:v>37.200000000000003</c:v>
                </c:pt>
                <c:pt idx="15">
                  <c:v>36.6</c:v>
                </c:pt>
                <c:pt idx="16">
                  <c:v>37.299999999999997</c:v>
                </c:pt>
                <c:pt idx="17">
                  <c:v>38.299999999999997</c:v>
                </c:pt>
                <c:pt idx="18">
                  <c:v>38.6</c:v>
                </c:pt>
                <c:pt idx="19">
                  <c:v>36.299999999999997</c:v>
                </c:pt>
                <c:pt idx="20">
                  <c:v>37.700000000000003</c:v>
                </c:pt>
                <c:pt idx="21">
                  <c:v>38.1</c:v>
                </c:pt>
                <c:pt idx="22">
                  <c:v>34.4</c:v>
                </c:pt>
                <c:pt idx="23">
                  <c:v>34.1</c:v>
                </c:pt>
                <c:pt idx="24">
                  <c:v>36.299999999999997</c:v>
                </c:pt>
                <c:pt idx="25">
                  <c:v>39.6</c:v>
                </c:pt>
                <c:pt idx="26">
                  <c:v>40.299999999999997</c:v>
                </c:pt>
                <c:pt idx="27">
                  <c:v>39.200000000000003</c:v>
                </c:pt>
                <c:pt idx="28">
                  <c:v>42.5</c:v>
                </c:pt>
                <c:pt idx="29">
                  <c:v>41</c:v>
                </c:pt>
                <c:pt idx="30">
                  <c:v>38.5</c:v>
                </c:pt>
                <c:pt idx="31">
                  <c:v>36.56</c:v>
                </c:pt>
                <c:pt idx="32">
                  <c:v>37.613</c:v>
                </c:pt>
                <c:pt idx="33">
                  <c:v>38.130000000000003</c:v>
                </c:pt>
                <c:pt idx="34">
                  <c:v>36.289000000000001</c:v>
                </c:pt>
                <c:pt idx="35">
                  <c:v>34.274000000000001</c:v>
                </c:pt>
                <c:pt idx="36">
                  <c:v>35.200000000000003</c:v>
                </c:pt>
                <c:pt idx="37">
                  <c:v>33.491999999999997</c:v>
                </c:pt>
              </c:numCache>
            </c:numRef>
          </c:val>
          <c:smooth val="0"/>
          <c:extLst>
            <c:ext xmlns:c16="http://schemas.microsoft.com/office/drawing/2014/chart" uri="{C3380CC4-5D6E-409C-BE32-E72D297353CC}">
              <c16:uniqueId val="{00000003-43AE-4E3A-8BBF-93F8BAFD9EDA}"/>
            </c:ext>
          </c:extLst>
        </c:ser>
        <c:ser>
          <c:idx val="6"/>
          <c:order val="4"/>
          <c:tx>
            <c:strRef>
              <c:f>'Trh práce-2b'!$A$36</c:f>
              <c:strCache>
                <c:ptCount val="1"/>
                <c:pt idx="0">
                  <c:v>Employed foreigners (Ukrainians)</c:v>
                </c:pt>
              </c:strCache>
            </c:strRef>
          </c:tx>
          <c:spPr>
            <a:ln w="15875">
              <a:solidFill>
                <a:srgbClr val="FFC000"/>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práce-2b'!$B$36:$AN$36</c:f>
              <c:numCache>
                <c:formatCode>#,##0</c:formatCode>
                <c:ptCount val="39"/>
                <c:pt idx="0">
                  <c:v>35.723999999999997</c:v>
                </c:pt>
                <c:pt idx="1">
                  <c:v>38.613999999999997</c:v>
                </c:pt>
                <c:pt idx="2">
                  <c:v>40.725999999999999</c:v>
                </c:pt>
                <c:pt idx="3">
                  <c:v>41.776000000000003</c:v>
                </c:pt>
                <c:pt idx="4">
                  <c:v>43.104999999999997</c:v>
                </c:pt>
                <c:pt idx="5">
                  <c:v>49.847000000000001</c:v>
                </c:pt>
                <c:pt idx="6">
                  <c:v>54.764000000000003</c:v>
                </c:pt>
                <c:pt idx="7">
                  <c:v>54.540999999999997</c:v>
                </c:pt>
                <c:pt idx="8">
                  <c:v>59.363</c:v>
                </c:pt>
                <c:pt idx="9">
                  <c:v>69.864000000000004</c:v>
                </c:pt>
                <c:pt idx="10">
                  <c:v>76.724000000000004</c:v>
                </c:pt>
                <c:pt idx="11">
                  <c:v>81.688999999999993</c:v>
                </c:pt>
                <c:pt idx="12">
                  <c:v>97.317999999999998</c:v>
                </c:pt>
                <c:pt idx="13">
                  <c:v>115.39100000000001</c:v>
                </c:pt>
                <c:pt idx="14">
                  <c:v>134.202</c:v>
                </c:pt>
                <c:pt idx="15">
                  <c:v>121.08499999999999</c:v>
                </c:pt>
                <c:pt idx="16">
                  <c:v>146.08500000000001</c:v>
                </c:pt>
                <c:pt idx="17">
                  <c:v>152.69800000000001</c:v>
                </c:pt>
                <c:pt idx="18">
                  <c:v>164.92400000000001</c:v>
                </c:pt>
                <c:pt idx="19">
                  <c:v>144.114</c:v>
                </c:pt>
                <c:pt idx="20">
                  <c:v>169.14699999999999</c:v>
                </c:pt>
                <c:pt idx="21">
                  <c:v>133.08600000000001</c:v>
                </c:pt>
                <c:pt idx="22">
                  <c:v>173.584</c:v>
                </c:pt>
                <c:pt idx="23">
                  <c:v>159.46799999999999</c:v>
                </c:pt>
                <c:pt idx="24">
                  <c:v>186.35599999999999</c:v>
                </c:pt>
                <c:pt idx="25">
                  <c:v>191.58500000000001</c:v>
                </c:pt>
                <c:pt idx="26">
                  <c:v>214.10599999999999</c:v>
                </c:pt>
                <c:pt idx="27">
                  <c:v>195.11600000000001</c:v>
                </c:pt>
                <c:pt idx="28">
                  <c:v>238.024</c:v>
                </c:pt>
                <c:pt idx="29">
                  <c:v>248.58799999999999</c:v>
                </c:pt>
                <c:pt idx="30">
                  <c:v>262.17899999999997</c:v>
                </c:pt>
                <c:pt idx="31">
                  <c:v>269.911</c:v>
                </c:pt>
                <c:pt idx="32">
                  <c:v>261.31299999999999</c:v>
                </c:pt>
                <c:pt idx="33">
                  <c:v>269.04500000000002</c:v>
                </c:pt>
                <c:pt idx="34">
                  <c:v>282.22300000000001</c:v>
                </c:pt>
                <c:pt idx="35">
                  <c:v>285.54500000000002</c:v>
                </c:pt>
                <c:pt idx="36">
                  <c:v>283.649</c:v>
                </c:pt>
                <c:pt idx="37">
                  <c:v>286.25599999999997</c:v>
                </c:pt>
              </c:numCache>
            </c:numRef>
          </c:val>
          <c:smooth val="0"/>
          <c:extLst>
            <c:ext xmlns:c16="http://schemas.microsoft.com/office/drawing/2014/chart" uri="{C3380CC4-5D6E-409C-BE32-E72D297353CC}">
              <c16:uniqueId val="{00000004-43AE-4E3A-8BBF-93F8BAFD9EDA}"/>
            </c:ext>
          </c:extLst>
        </c:ser>
        <c:ser>
          <c:idx val="7"/>
          <c:order val="5"/>
          <c:tx>
            <c:strRef>
              <c:f>'Trh práce-2b'!$A$37</c:f>
              <c:strCache>
                <c:ptCount val="1"/>
                <c:pt idx="0">
                  <c:v>Employed foreigners (Slovakians)</c:v>
                </c:pt>
              </c:strCache>
            </c:strRef>
          </c:tx>
          <c:spPr>
            <a:ln w="19050">
              <a:solidFill>
                <a:schemeClr val="accent2">
                  <a:lumMod val="60000"/>
                  <a:lumOff val="40000"/>
                </a:schemeClr>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práce-2b'!$B$37:$AN$37</c:f>
              <c:numCache>
                <c:formatCode>#,##0</c:formatCode>
                <c:ptCount val="39"/>
                <c:pt idx="0">
                  <c:v>132.65199999999999</c:v>
                </c:pt>
                <c:pt idx="1">
                  <c:v>141.858</c:v>
                </c:pt>
                <c:pt idx="2">
                  <c:v>148.23099999999999</c:v>
                </c:pt>
                <c:pt idx="3">
                  <c:v>150.31700000000001</c:v>
                </c:pt>
                <c:pt idx="4">
                  <c:v>148.67500000000001</c:v>
                </c:pt>
                <c:pt idx="5">
                  <c:v>153.64599999999999</c:v>
                </c:pt>
                <c:pt idx="6">
                  <c:v>159.30099999999999</c:v>
                </c:pt>
                <c:pt idx="7">
                  <c:v>161.559</c:v>
                </c:pt>
                <c:pt idx="8">
                  <c:v>159.88200000000001</c:v>
                </c:pt>
                <c:pt idx="9">
                  <c:v>165.69800000000001</c:v>
                </c:pt>
                <c:pt idx="10">
                  <c:v>170.643</c:v>
                </c:pt>
                <c:pt idx="11">
                  <c:v>177.059</c:v>
                </c:pt>
                <c:pt idx="12">
                  <c:v>180.01900000000001</c:v>
                </c:pt>
                <c:pt idx="13">
                  <c:v>187.33799999999999</c:v>
                </c:pt>
                <c:pt idx="14">
                  <c:v>192.66499999999999</c:v>
                </c:pt>
                <c:pt idx="15">
                  <c:v>191.81800000000001</c:v>
                </c:pt>
                <c:pt idx="16">
                  <c:v>187.18299999999999</c:v>
                </c:pt>
                <c:pt idx="17">
                  <c:v>191.41800000000001</c:v>
                </c:pt>
                <c:pt idx="18">
                  <c:v>199.02799999999999</c:v>
                </c:pt>
                <c:pt idx="19">
                  <c:v>201.952</c:v>
                </c:pt>
                <c:pt idx="20">
                  <c:v>198.05799999999999</c:v>
                </c:pt>
                <c:pt idx="21">
                  <c:v>199.249</c:v>
                </c:pt>
                <c:pt idx="22">
                  <c:v>202.91</c:v>
                </c:pt>
                <c:pt idx="23">
                  <c:v>204.29400000000001</c:v>
                </c:pt>
                <c:pt idx="24">
                  <c:v>201.91800000000001</c:v>
                </c:pt>
                <c:pt idx="25">
                  <c:v>204.476</c:v>
                </c:pt>
                <c:pt idx="26">
                  <c:v>208.249</c:v>
                </c:pt>
                <c:pt idx="27">
                  <c:v>209.273</c:v>
                </c:pt>
                <c:pt idx="28">
                  <c:v>207.86</c:v>
                </c:pt>
                <c:pt idx="29">
                  <c:v>211.31700000000001</c:v>
                </c:pt>
                <c:pt idx="30">
                  <c:v>212.55099999999999</c:v>
                </c:pt>
                <c:pt idx="31">
                  <c:v>213.447</c:v>
                </c:pt>
                <c:pt idx="32">
                  <c:v>209.79599999999999</c:v>
                </c:pt>
                <c:pt idx="33">
                  <c:v>212.12299999999999</c:v>
                </c:pt>
                <c:pt idx="34">
                  <c:v>215.20599999999999</c:v>
                </c:pt>
                <c:pt idx="35">
                  <c:v>216.239</c:v>
                </c:pt>
                <c:pt idx="36">
                  <c:v>213.9</c:v>
                </c:pt>
                <c:pt idx="37">
                  <c:v>216.68</c:v>
                </c:pt>
              </c:numCache>
            </c:numRef>
          </c:val>
          <c:smooth val="0"/>
          <c:extLst>
            <c:ext xmlns:c16="http://schemas.microsoft.com/office/drawing/2014/chart" uri="{C3380CC4-5D6E-409C-BE32-E72D297353CC}">
              <c16:uniqueId val="{00000005-43AE-4E3A-8BBF-93F8BAFD9EDA}"/>
            </c:ext>
          </c:extLst>
        </c:ser>
        <c:ser>
          <c:idx val="2"/>
          <c:order val="6"/>
          <c:tx>
            <c:strRef>
              <c:f>'Trh práce-2b'!$A$38</c:f>
              <c:strCache>
                <c:ptCount val="1"/>
                <c:pt idx="0">
                  <c:v>Employed foreigners (other citizens)</c:v>
                </c:pt>
              </c:strCache>
            </c:strRef>
          </c:tx>
          <c:spPr>
            <a:ln w="19050">
              <a:solidFill>
                <a:srgbClr val="D4A97E"/>
              </a:solidFill>
              <a:prstDash val="sys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práce-2b'!$B$38:$AN$38</c:f>
              <c:numCache>
                <c:formatCode>#,##0</c:formatCode>
                <c:ptCount val="39"/>
                <c:pt idx="0">
                  <c:v>100.735</c:v>
                </c:pt>
                <c:pt idx="1">
                  <c:v>113.586</c:v>
                </c:pt>
                <c:pt idx="2">
                  <c:v>124.599</c:v>
                </c:pt>
                <c:pt idx="3">
                  <c:v>129.863</c:v>
                </c:pt>
                <c:pt idx="4">
                  <c:v>134.048</c:v>
                </c:pt>
                <c:pt idx="5">
                  <c:v>145.23599999999999</c:v>
                </c:pt>
                <c:pt idx="6">
                  <c:v>159.786</c:v>
                </c:pt>
                <c:pt idx="7">
                  <c:v>165.274</c:v>
                </c:pt>
                <c:pt idx="8">
                  <c:v>173.614</c:v>
                </c:pt>
                <c:pt idx="9">
                  <c:v>187.52799999999999</c:v>
                </c:pt>
                <c:pt idx="10">
                  <c:v>199.11799999999999</c:v>
                </c:pt>
                <c:pt idx="11">
                  <c:v>213.59899999999999</c:v>
                </c:pt>
                <c:pt idx="12">
                  <c:v>228.61600000000001</c:v>
                </c:pt>
                <c:pt idx="13">
                  <c:v>244.029</c:v>
                </c:pt>
                <c:pt idx="14">
                  <c:v>258.82100000000003</c:v>
                </c:pt>
                <c:pt idx="15">
                  <c:v>255.77199999999999</c:v>
                </c:pt>
                <c:pt idx="16">
                  <c:v>255.12200000000001</c:v>
                </c:pt>
                <c:pt idx="17">
                  <c:v>262.36599999999999</c:v>
                </c:pt>
                <c:pt idx="18">
                  <c:v>277.37400000000002</c:v>
                </c:pt>
                <c:pt idx="19">
                  <c:v>275.80399999999997</c:v>
                </c:pt>
                <c:pt idx="20">
                  <c:v>277.709</c:v>
                </c:pt>
                <c:pt idx="21">
                  <c:v>270.178</c:v>
                </c:pt>
                <c:pt idx="22">
                  <c:v>278.71699999999998</c:v>
                </c:pt>
                <c:pt idx="23">
                  <c:v>280.40199999999999</c:v>
                </c:pt>
                <c:pt idx="24">
                  <c:v>281.459</c:v>
                </c:pt>
                <c:pt idx="25">
                  <c:v>285.55</c:v>
                </c:pt>
                <c:pt idx="26">
                  <c:v>297.53500000000003</c:v>
                </c:pt>
                <c:pt idx="27">
                  <c:v>297.44099999999997</c:v>
                </c:pt>
                <c:pt idx="28">
                  <c:v>300.39299999999997</c:v>
                </c:pt>
                <c:pt idx="29">
                  <c:v>307.61</c:v>
                </c:pt>
                <c:pt idx="30">
                  <c:v>310.33499999999998</c:v>
                </c:pt>
                <c:pt idx="31">
                  <c:v>309.93200000000002</c:v>
                </c:pt>
                <c:pt idx="32">
                  <c:v>308.2</c:v>
                </c:pt>
                <c:pt idx="33">
                  <c:v>314.923</c:v>
                </c:pt>
                <c:pt idx="34">
                  <c:v>320.48399999999998</c:v>
                </c:pt>
                <c:pt idx="35">
                  <c:v>322.161</c:v>
                </c:pt>
                <c:pt idx="36">
                  <c:v>320.39100000000002</c:v>
                </c:pt>
                <c:pt idx="37">
                  <c:v>324.68299999999999</c:v>
                </c:pt>
              </c:numCache>
            </c:numRef>
          </c:val>
          <c:smooth val="0"/>
          <c:extLst>
            <c:ext xmlns:c16="http://schemas.microsoft.com/office/drawing/2014/chart" uri="{C3380CC4-5D6E-409C-BE32-E72D297353CC}">
              <c16:uniqueId val="{00000006-43AE-4E3A-8BBF-93F8BAFD9EDA}"/>
            </c:ext>
          </c:extLst>
        </c:ser>
        <c:ser>
          <c:idx val="3"/>
          <c:order val="7"/>
          <c:tx>
            <c:strRef>
              <c:f>'Trh práce-2b'!$A$39</c:f>
              <c:strCache>
                <c:ptCount val="1"/>
                <c:pt idx="0">
                  <c:v>Unemployment expectations</c:v>
                </c:pt>
              </c:strCache>
            </c:strRef>
          </c:tx>
          <c:spPr>
            <a:ln w="19050">
              <a:solidFill>
                <a:schemeClr val="tx1">
                  <a:lumMod val="85000"/>
                  <a:lumOff val="15000"/>
                </a:schemeClr>
              </a:solidFill>
              <a:prstDash val="dash"/>
            </a:ln>
          </c:spPr>
          <c:marker>
            <c:symbol val="none"/>
          </c:marker>
          <c:cat>
            <c:multiLvlStrRef>
              <c:f>'Trh práce-2b'!$B$30:$AN$31</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práce-2b'!$B$39:$AN$39</c:f>
              <c:numCache>
                <c:formatCode>0.0</c:formatCode>
                <c:ptCount val="39"/>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pt idx="37">
                  <c:v>22</c:v>
                </c:pt>
                <c:pt idx="38">
                  <c:v>24</c:v>
                </c:pt>
              </c:numCache>
            </c:numRef>
          </c:val>
          <c:smooth val="0"/>
          <c:extLst>
            <c:ext xmlns:c16="http://schemas.microsoft.com/office/drawing/2014/chart" uri="{C3380CC4-5D6E-409C-BE32-E72D297353CC}">
              <c16:uniqueId val="{00000007-43AE-4E3A-8BBF-93F8BAFD9EDA}"/>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layout/>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Job vacancies, unemployment expect., employed foreigners</a:t>
                </a:r>
              </a:p>
            </c:rich>
          </c:tx>
          <c:layout/>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6395209750566906"/>
        </c:manualLayout>
      </c:layout>
      <c:barChart>
        <c:barDir val="col"/>
        <c:grouping val="clustered"/>
        <c:varyColors val="0"/>
        <c:ser>
          <c:idx val="4"/>
          <c:order val="1"/>
          <c:tx>
            <c:strRef>
              <c:f>'Trh práce 3'!$D$8</c:f>
              <c:strCache>
                <c:ptCount val="1"/>
                <c:pt idx="0">
                  <c:v>Total average wage (real)</c:v>
                </c:pt>
              </c:strCache>
            </c:strRef>
          </c:tx>
          <c:spPr>
            <a:solidFill>
              <a:srgbClr val="DBDBDB"/>
            </a:solidFill>
            <a:ln w="19050">
              <a:noFill/>
            </a:ln>
          </c:spPr>
          <c:invertIfNegative val="0"/>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3'!$D$29:$D$66</c:f>
              <c:numCache>
                <c:formatCode>#\ ##0.0</c:formatCode>
                <c:ptCount val="38"/>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0.79999999999999716</c:v>
                </c:pt>
                <c:pt idx="25">
                  <c:v>8.0999999999999943</c:v>
                </c:pt>
                <c:pt idx="26">
                  <c:v>1.2000000000000028</c:v>
                </c:pt>
                <c:pt idx="27">
                  <c:v>-2.0999999999999943</c:v>
                </c:pt>
                <c:pt idx="28">
                  <c:v>-5.2999999999999972</c:v>
                </c:pt>
                <c:pt idx="29">
                  <c:v>-11.5</c:v>
                </c:pt>
                <c:pt idx="30">
                  <c:v>-11.599999999999994</c:v>
                </c:pt>
                <c:pt idx="31">
                  <c:v>-8.7000000000000028</c:v>
                </c:pt>
                <c:pt idx="32">
                  <c:v>-6.4000000000000057</c:v>
                </c:pt>
                <c:pt idx="33">
                  <c:v>-2.4000000000000057</c:v>
                </c:pt>
                <c:pt idx="34">
                  <c:v>-0.20000000000000284</c:v>
                </c:pt>
                <c:pt idx="35">
                  <c:v>-0.5</c:v>
                </c:pt>
                <c:pt idx="36">
                  <c:v>5</c:v>
                </c:pt>
                <c:pt idx="37">
                  <c:v>3.9000000000000057</c:v>
                </c:pt>
              </c:numCache>
            </c:numRef>
          </c:val>
          <c:extLst>
            <c:ext xmlns:c16="http://schemas.microsoft.com/office/drawing/2014/chart" uri="{C3380CC4-5D6E-409C-BE32-E72D297353CC}">
              <c16:uniqueId val="{00000000-35CD-474A-BFBB-F618A4B318F2}"/>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Total average wage (nominal)</c:v>
                </c:pt>
              </c:strCache>
            </c:strRef>
          </c:tx>
          <c:spPr>
            <a:ln w="19050">
              <a:solidFill>
                <a:schemeClr val="tx1">
                  <a:lumMod val="95000"/>
                  <a:lumOff val="5000"/>
                </a:schemeClr>
              </a:solidFill>
              <a:prstDash val="solid"/>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3'!$C$29:$C$66</c:f>
              <c:numCache>
                <c:formatCode>#\ ##0.0</c:formatCode>
                <c:ptCount val="38"/>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5.5</c:v>
                </c:pt>
                <c:pt idx="21">
                  <c:v>0.90000000000000568</c:v>
                </c:pt>
                <c:pt idx="22">
                  <c:v>5.4000000000000057</c:v>
                </c:pt>
                <c:pt idx="23">
                  <c:v>6.7000000000000028</c:v>
                </c:pt>
                <c:pt idx="24">
                  <c:v>3</c:v>
                </c:pt>
                <c:pt idx="25">
                  <c:v>11.200000000000003</c:v>
                </c:pt>
                <c:pt idx="26">
                  <c:v>5.2999999999999972</c:v>
                </c:pt>
                <c:pt idx="27">
                  <c:v>3.9000000000000057</c:v>
                </c:pt>
                <c:pt idx="28">
                  <c:v>5.2999999999999972</c:v>
                </c:pt>
                <c:pt idx="29">
                  <c:v>2.5</c:v>
                </c:pt>
                <c:pt idx="30">
                  <c:v>3.9000000000000057</c:v>
                </c:pt>
                <c:pt idx="31">
                  <c:v>5.5999999999999943</c:v>
                </c:pt>
                <c:pt idx="32">
                  <c:v>8.9000000000000057</c:v>
                </c:pt>
                <c:pt idx="33">
                  <c:v>8.4000000000000057</c:v>
                </c:pt>
                <c:pt idx="34">
                  <c:v>7.7999999999999972</c:v>
                </c:pt>
                <c:pt idx="35">
                  <c:v>7.0999999999999943</c:v>
                </c:pt>
                <c:pt idx="36">
                  <c:v>7.2000000000000028</c:v>
                </c:pt>
                <c:pt idx="37">
                  <c:v>6.5</c:v>
                </c:pt>
              </c:numCache>
            </c:numRef>
          </c:val>
          <c:smooth val="0"/>
          <c:extLst>
            <c:ext xmlns:c16="http://schemas.microsoft.com/office/drawing/2014/chart" uri="{C3380CC4-5D6E-409C-BE32-E72D297353CC}">
              <c16:uniqueId val="{00000001-35CD-474A-BFBB-F618A4B318F2}"/>
            </c:ext>
          </c:extLst>
        </c:ser>
        <c:ser>
          <c:idx val="5"/>
          <c:order val="2"/>
          <c:tx>
            <c:strRef>
              <c:f>'Trh práce 3'!$E$8</c:f>
              <c:strCache>
                <c:ptCount val="1"/>
                <c:pt idx="0">
                  <c:v>Wage in industry (nominal)</c:v>
                </c:pt>
              </c:strCache>
            </c:strRef>
          </c:tx>
          <c:spPr>
            <a:ln w="19050">
              <a:solidFill>
                <a:srgbClr val="C0000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3'!$E$29:$E$66</c:f>
              <c:numCache>
                <c:formatCode>#\ ##0.0</c:formatCode>
                <c:ptCount val="38"/>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1.8985680538948344</c:v>
                </c:pt>
                <c:pt idx="25">
                  <c:v>10.170242950877807</c:v>
                </c:pt>
                <c:pt idx="26">
                  <c:v>4.7656227408114233</c:v>
                </c:pt>
                <c:pt idx="27">
                  <c:v>3.7112962913660397</c:v>
                </c:pt>
                <c:pt idx="28">
                  <c:v>4.9627933600457936</c:v>
                </c:pt>
                <c:pt idx="29">
                  <c:v>5.8242790073776121</c:v>
                </c:pt>
                <c:pt idx="30">
                  <c:v>5.6391288746584252</c:v>
                </c:pt>
                <c:pt idx="31">
                  <c:v>7.3649082274419158</c:v>
                </c:pt>
                <c:pt idx="32">
                  <c:v>10.686044609259966</c:v>
                </c:pt>
                <c:pt idx="33">
                  <c:v>9.9249607057749785</c:v>
                </c:pt>
                <c:pt idx="34">
                  <c:v>8.8289088628762613</c:v>
                </c:pt>
                <c:pt idx="35">
                  <c:v>7.7850038255547105</c:v>
                </c:pt>
                <c:pt idx="36">
                  <c:v>8.0703569580962125</c:v>
                </c:pt>
                <c:pt idx="37">
                  <c:v>7.474458614884341</c:v>
                </c:pt>
              </c:numCache>
            </c:numRef>
          </c:val>
          <c:smooth val="0"/>
          <c:extLst>
            <c:ext xmlns:c16="http://schemas.microsoft.com/office/drawing/2014/chart" uri="{C3380CC4-5D6E-409C-BE32-E72D297353CC}">
              <c16:uniqueId val="{00000002-35CD-474A-BFBB-F618A4B318F2}"/>
            </c:ext>
          </c:extLst>
        </c:ser>
        <c:ser>
          <c:idx val="1"/>
          <c:order val="3"/>
          <c:tx>
            <c:strRef>
              <c:f>'Trh práce 3'!$F$8</c:f>
              <c:strCache>
                <c:ptCount val="1"/>
                <c:pt idx="0">
                  <c:v>Wage in trade (nominal)</c:v>
                </c:pt>
              </c:strCache>
            </c:strRef>
          </c:tx>
          <c:spPr>
            <a:ln w="19050">
              <a:solidFill>
                <a:srgbClr val="0070C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3'!$F$29:$F$66</c:f>
              <c:numCache>
                <c:formatCode>#\ ##0.0</c:formatCode>
                <c:ptCount val="38"/>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2.2321294994165299</c:v>
                </c:pt>
                <c:pt idx="25">
                  <c:v>9.8898705823792881</c:v>
                </c:pt>
                <c:pt idx="26">
                  <c:v>6.6146127126443588</c:v>
                </c:pt>
                <c:pt idx="27">
                  <c:v>8.7059366526279263</c:v>
                </c:pt>
                <c:pt idx="28">
                  <c:v>6.7609096496619543</c:v>
                </c:pt>
                <c:pt idx="29">
                  <c:v>5.6167369702460093</c:v>
                </c:pt>
                <c:pt idx="30">
                  <c:v>3.4585503049205073</c:v>
                </c:pt>
                <c:pt idx="31">
                  <c:v>5.3444432650461664</c:v>
                </c:pt>
                <c:pt idx="32">
                  <c:v>8.065356251884765</c:v>
                </c:pt>
                <c:pt idx="33">
                  <c:v>6.8137346878601903</c:v>
                </c:pt>
                <c:pt idx="34">
                  <c:v>6.2713643581944893</c:v>
                </c:pt>
                <c:pt idx="35">
                  <c:v>5.3226862814247653</c:v>
                </c:pt>
                <c:pt idx="36">
                  <c:v>7.321342499809731</c:v>
                </c:pt>
                <c:pt idx="37">
                  <c:v>6.2485884212903642</c:v>
                </c:pt>
              </c:numCache>
            </c:numRef>
          </c:val>
          <c:smooth val="0"/>
          <c:extLst>
            <c:ext xmlns:c16="http://schemas.microsoft.com/office/drawing/2014/chart" uri="{C3380CC4-5D6E-409C-BE32-E72D297353CC}">
              <c16:uniqueId val="{00000003-35CD-474A-BFBB-F618A4B318F2}"/>
            </c:ext>
          </c:extLst>
        </c:ser>
        <c:ser>
          <c:idx val="2"/>
          <c:order val="4"/>
          <c:tx>
            <c:strRef>
              <c:f>'Trh práce 3'!$G$8</c:f>
              <c:strCache>
                <c:ptCount val="1"/>
                <c:pt idx="0">
                  <c:v>Wage in public services (nominal)*</c:v>
                </c:pt>
              </c:strCache>
            </c:strRef>
          </c:tx>
          <c:spPr>
            <a:ln w="19050">
              <a:solidFill>
                <a:srgbClr val="00B050"/>
              </a:solidFill>
              <a:prstDash val="sysDot"/>
            </a:ln>
          </c:spPr>
          <c:marker>
            <c:symbol val="none"/>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3'!$G$29:$G$66</c:f>
              <c:numCache>
                <c:formatCode>#\ ##0.0</c:formatCode>
                <c:ptCount val="38"/>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4.5485385483402752</c:v>
                </c:pt>
                <c:pt idx="25">
                  <c:v>17.785684079315018</c:v>
                </c:pt>
                <c:pt idx="26">
                  <c:v>5.4643357321226631</c:v>
                </c:pt>
                <c:pt idx="27">
                  <c:v>-0.40508430459891542</c:v>
                </c:pt>
                <c:pt idx="28">
                  <c:v>2.3050985414715655</c:v>
                </c:pt>
                <c:pt idx="29">
                  <c:v>-7.0315803873919265</c:v>
                </c:pt>
                <c:pt idx="30">
                  <c:v>0.30518367768182486</c:v>
                </c:pt>
                <c:pt idx="31">
                  <c:v>3.4014494016982155</c:v>
                </c:pt>
                <c:pt idx="32">
                  <c:v>7.1236563240183841</c:v>
                </c:pt>
                <c:pt idx="33">
                  <c:v>5.8159573906736455</c:v>
                </c:pt>
                <c:pt idx="34">
                  <c:v>5.5362187961367937</c:v>
                </c:pt>
                <c:pt idx="35">
                  <c:v>4.6740026435620194</c:v>
                </c:pt>
                <c:pt idx="36">
                  <c:v>5.4155520574538798</c:v>
                </c:pt>
                <c:pt idx="37">
                  <c:v>5.5868869577609672</c:v>
                </c:pt>
              </c:numCache>
            </c:numRef>
          </c:val>
          <c:smooth val="0"/>
          <c:extLst>
            <c:ext xmlns:c16="http://schemas.microsoft.com/office/drawing/2014/chart" uri="{C3380CC4-5D6E-409C-BE32-E72D297353CC}">
              <c16:uniqueId val="{00000004-35CD-474A-BFBB-F618A4B318F2}"/>
            </c:ext>
          </c:extLst>
        </c:ser>
        <c:ser>
          <c:idx val="3"/>
          <c:order val="5"/>
          <c:tx>
            <c:strRef>
              <c:f>'Trh práce 3'!$H$8</c:f>
              <c:strCache>
                <c:ptCount val="1"/>
                <c:pt idx="0">
                  <c:v>Total median wage (nominal)</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3'!$H$29:$H$66</c:f>
              <c:numCache>
                <c:formatCode>#\ ##0.0</c:formatCode>
                <c:ptCount val="38"/>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2.2999999999999972</c:v>
                </c:pt>
                <c:pt idx="25">
                  <c:v>11.099999999999994</c:v>
                </c:pt>
                <c:pt idx="26">
                  <c:v>4.7000000000000028</c:v>
                </c:pt>
                <c:pt idx="27">
                  <c:v>4.5999999999999943</c:v>
                </c:pt>
                <c:pt idx="28">
                  <c:v>4.2999999999999972</c:v>
                </c:pt>
                <c:pt idx="29">
                  <c:v>3.2000000000000028</c:v>
                </c:pt>
                <c:pt idx="30">
                  <c:v>4.2000000000000028</c:v>
                </c:pt>
                <c:pt idx="31">
                  <c:v>6.2999999999999972</c:v>
                </c:pt>
                <c:pt idx="32">
                  <c:v>9.5999999999999943</c:v>
                </c:pt>
                <c:pt idx="33">
                  <c:v>7.5999999999999943</c:v>
                </c:pt>
                <c:pt idx="34">
                  <c:v>7.7999999999999972</c:v>
                </c:pt>
                <c:pt idx="35">
                  <c:v>7.0999999999999943</c:v>
                </c:pt>
                <c:pt idx="36">
                  <c:v>5.7000000000000028</c:v>
                </c:pt>
                <c:pt idx="37">
                  <c:v>5.7999999999999972</c:v>
                </c:pt>
              </c:numCache>
            </c:numRef>
          </c:val>
          <c:smooth val="0"/>
          <c:extLst>
            <c:ext xmlns:c16="http://schemas.microsoft.com/office/drawing/2014/chart" uri="{C3380CC4-5D6E-409C-BE32-E72D297353CC}">
              <c16:uniqueId val="{00000005-35CD-474A-BFBB-F618A4B318F2}"/>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2133366733495E-3"/>
          <c:y val="0.87578174603174608"/>
          <c:w val="0.97744446685490061"/>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1'!$C$18:$C$83</c:f>
              <c:numCache>
                <c:formatCode>General</c:formatCode>
                <c:ptCount val="66"/>
                <c:pt idx="0">
                  <c:v>1.75</c:v>
                </c:pt>
                <c:pt idx="1">
                  <c:v>1.75</c:v>
                </c:pt>
                <c:pt idx="2">
                  <c:v>1.75</c:v>
                </c:pt>
                <c:pt idx="3">
                  <c:v>1.75</c:v>
                </c:pt>
                <c:pt idx="4">
                  <c:v>2</c:v>
                </c:pt>
                <c:pt idx="5">
                  <c:v>2</c:v>
                </c:pt>
                <c:pt idx="6">
                  <c:v>2</c:v>
                </c:pt>
                <c:pt idx="7">
                  <c:v>2</c:v>
                </c:pt>
                <c:pt idx="8">
                  <c:v>2</c:v>
                </c:pt>
                <c:pt idx="9">
                  <c:v>2</c:v>
                </c:pt>
                <c:pt idx="10">
                  <c:v>2</c:v>
                </c:pt>
                <c:pt idx="11">
                  <c:v>2</c:v>
                </c:pt>
                <c:pt idx="12">
                  <c:v>2</c:v>
                </c:pt>
                <c:pt idx="13">
                  <c:v>2.25</c:v>
                </c:pt>
                <c:pt idx="14">
                  <c:v>1</c:v>
                </c:pt>
                <c:pt idx="15">
                  <c:v>1</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0.5</c:v>
                </c:pt>
                <c:pt idx="30">
                  <c:v>0.5</c:v>
                </c:pt>
                <c:pt idx="31">
                  <c:v>0.75</c:v>
                </c:pt>
                <c:pt idx="32">
                  <c:v>0.75</c:v>
                </c:pt>
                <c:pt idx="33">
                  <c:v>1.5</c:v>
                </c:pt>
                <c:pt idx="34">
                  <c:v>2.75</c:v>
                </c:pt>
                <c:pt idx="35">
                  <c:v>3.75</c:v>
                </c:pt>
                <c:pt idx="36">
                  <c:v>3.75</c:v>
                </c:pt>
                <c:pt idx="37">
                  <c:v>4.5</c:v>
                </c:pt>
                <c:pt idx="38">
                  <c:v>4.5</c:v>
                </c:pt>
                <c:pt idx="39">
                  <c:v>5</c:v>
                </c:pt>
                <c:pt idx="40">
                  <c:v>5.75</c:v>
                </c:pt>
                <c:pt idx="41">
                  <c:v>7</c:v>
                </c:pt>
                <c:pt idx="42">
                  <c:v>7</c:v>
                </c:pt>
                <c:pt idx="43">
                  <c:v>7</c:v>
                </c:pt>
                <c:pt idx="44">
                  <c:v>7</c:v>
                </c:pt>
                <c:pt idx="45">
                  <c:v>7</c:v>
                </c:pt>
                <c:pt idx="46">
                  <c:v>7</c:v>
                </c:pt>
                <c:pt idx="47">
                  <c:v>7</c:v>
                </c:pt>
                <c:pt idx="48">
                  <c:v>7</c:v>
                </c:pt>
                <c:pt idx="49">
                  <c:v>7</c:v>
                </c:pt>
                <c:pt idx="50">
                  <c:v>7</c:v>
                </c:pt>
                <c:pt idx="51" formatCode="###\ ###\ ###\ ###\ ##0.00;\-###\ ###\ ###\ ###\ ##0.00">
                  <c:v>7</c:v>
                </c:pt>
                <c:pt idx="52" formatCode="###\ ###\ ###\ ###\ ##0.00;\-###\ ###\ ###\ ###\ ##0.00">
                  <c:v>7</c:v>
                </c:pt>
                <c:pt idx="53" formatCode="###\ ###\ ###\ ###\ ##0.00;\-###\ ###\ ###\ ###\ ##0.00">
                  <c:v>7</c:v>
                </c:pt>
                <c:pt idx="54" formatCode="###\ ###\ ###\ ###\ ##0.00;\-###\ ###\ ###\ ###\ ##0.00">
                  <c:v>7</c:v>
                </c:pt>
                <c:pt idx="55" formatCode="###\ ###\ ###\ ###\ ##0.00;\-###\ ###\ ###\ ###\ ##0.00">
                  <c:v>7</c:v>
                </c:pt>
                <c:pt idx="56" formatCode="###\ ###\ ###\ ###\ ##0.00;\-###\ ###\ ###\ ###\ ##0.00">
                  <c:v>7</c:v>
                </c:pt>
                <c:pt idx="57" formatCode="###\ ###\ ###\ ###\ ##0.00;\-###\ ###\ ###\ ###\ ##0.00">
                  <c:v>7</c:v>
                </c:pt>
                <c:pt idx="58" formatCode="###\ ###\ ###\ ###\ ##0.00;\-###\ ###\ ###\ ###\ ##0.00">
                  <c:v>7</c:v>
                </c:pt>
                <c:pt idx="59" formatCode="###\ ###\ ###\ ###\ ##0.00;\-###\ ###\ ###\ ###\ ##0.00">
                  <c:v>6.75</c:v>
                </c:pt>
                <c:pt idx="60" formatCode="###\ ###\ ###\ ###\ ##0.00;\-###\ ###\ ###\ ###\ ##0.00">
                  <c:v>6.75</c:v>
                </c:pt>
                <c:pt idx="61" formatCode="###\ ###\ ###\ ###\ ##0.00;\-###\ ###\ ###\ ###\ ##0.00">
                  <c:v>6.25</c:v>
                </c:pt>
                <c:pt idx="62" formatCode="###\ ###\ ###\ ###\ ##0.00;\-###\ ###\ ###\ ###\ ##0.00">
                  <c:v>5.75</c:v>
                </c:pt>
                <c:pt idx="63" formatCode="###\ ###\ ###\ ###\ ##0.00;\-###\ ###\ ###\ ###\ ##0.00">
                  <c:v>5.75</c:v>
                </c:pt>
                <c:pt idx="64" formatCode="###\ ###\ ###\ ###\ ##0.00;\-###\ ###\ ###\ ###\ ##0.00">
                  <c:v>5.25</c:v>
                </c:pt>
                <c:pt idx="65" formatCode="###\ ###\ ###\ ###\ ##0.00;\-###\ ###\ ###\ ###\ ##0.00">
                  <c:v>4.75</c:v>
                </c:pt>
              </c:numCache>
            </c:numRef>
          </c:val>
          <c:extLst>
            <c:ext xmlns:c16="http://schemas.microsoft.com/office/drawing/2014/chart" uri="{C3380CC4-5D6E-409C-BE32-E72D297353CC}">
              <c16:uniqueId val="{00000000-7BE8-4E40-8915-29A940F5F5A2}"/>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1'!$F$18:$F$83</c:f>
              <c:numCache>
                <c:formatCode>General</c:formatCode>
                <c:ptCount val="66"/>
                <c:pt idx="0">
                  <c:v>1.66</c:v>
                </c:pt>
                <c:pt idx="1">
                  <c:v>1.74</c:v>
                </c:pt>
                <c:pt idx="2">
                  <c:v>1.71</c:v>
                </c:pt>
                <c:pt idx="3">
                  <c:v>1.63</c:v>
                </c:pt>
                <c:pt idx="4">
                  <c:v>1.62</c:v>
                </c:pt>
                <c:pt idx="5">
                  <c:v>1.52</c:v>
                </c:pt>
                <c:pt idx="6">
                  <c:v>1.35</c:v>
                </c:pt>
                <c:pt idx="7">
                  <c:v>0.85</c:v>
                </c:pt>
                <c:pt idx="8">
                  <c:v>1.07</c:v>
                </c:pt>
                <c:pt idx="9">
                  <c:v>1.17</c:v>
                </c:pt>
                <c:pt idx="10">
                  <c:v>1.33</c:v>
                </c:pt>
                <c:pt idx="11">
                  <c:v>1.36</c:v>
                </c:pt>
                <c:pt idx="12">
                  <c:v>1.55</c:v>
                </c:pt>
                <c:pt idx="13">
                  <c:v>1.57</c:v>
                </c:pt>
                <c:pt idx="14">
                  <c:v>1.27</c:v>
                </c:pt>
                <c:pt idx="15">
                  <c:v>0.71</c:v>
                </c:pt>
                <c:pt idx="16">
                  <c:v>0.13</c:v>
                </c:pt>
                <c:pt idx="17">
                  <c:v>0.08</c:v>
                </c:pt>
                <c:pt idx="18">
                  <c:v>0.02</c:v>
                </c:pt>
                <c:pt idx="19">
                  <c:v>0.04</c:v>
                </c:pt>
                <c:pt idx="20">
                  <c:v>0.05</c:v>
                </c:pt>
                <c:pt idx="21">
                  <c:v>0</c:v>
                </c:pt>
                <c:pt idx="22">
                  <c:v>0.06</c:v>
                </c:pt>
                <c:pt idx="23">
                  <c:v>0.16</c:v>
                </c:pt>
                <c:pt idx="24">
                  <c:v>0.26</c:v>
                </c:pt>
                <c:pt idx="25">
                  <c:v>0.45</c:v>
                </c:pt>
                <c:pt idx="26">
                  <c:v>0.75</c:v>
                </c:pt>
                <c:pt idx="27">
                  <c:v>0.76</c:v>
                </c:pt>
                <c:pt idx="28">
                  <c:v>0.76</c:v>
                </c:pt>
                <c:pt idx="29">
                  <c:v>0.69</c:v>
                </c:pt>
                <c:pt idx="30">
                  <c:v>0.84</c:v>
                </c:pt>
                <c:pt idx="31">
                  <c:v>1.24</c:v>
                </c:pt>
                <c:pt idx="32">
                  <c:v>1.6</c:v>
                </c:pt>
                <c:pt idx="33">
                  <c:v>2.29</c:v>
                </c:pt>
                <c:pt idx="34">
                  <c:v>3</c:v>
                </c:pt>
                <c:pt idx="35">
                  <c:v>3.07</c:v>
                </c:pt>
                <c:pt idx="36">
                  <c:v>3.81</c:v>
                </c:pt>
                <c:pt idx="37">
                  <c:v>3.77</c:v>
                </c:pt>
                <c:pt idx="38">
                  <c:v>4.54</c:v>
                </c:pt>
                <c:pt idx="39">
                  <c:v>5.13</c:v>
                </c:pt>
                <c:pt idx="40">
                  <c:v>5.65</c:v>
                </c:pt>
                <c:pt idx="41">
                  <c:v>6.26</c:v>
                </c:pt>
                <c:pt idx="42">
                  <c:v>6.38</c:v>
                </c:pt>
                <c:pt idx="43">
                  <c:v>5.86</c:v>
                </c:pt>
                <c:pt idx="44">
                  <c:v>5.9</c:v>
                </c:pt>
                <c:pt idx="45">
                  <c:v>6.18</c:v>
                </c:pt>
                <c:pt idx="46">
                  <c:v>5.68</c:v>
                </c:pt>
                <c:pt idx="47">
                  <c:v>5.19</c:v>
                </c:pt>
                <c:pt idx="48" formatCode="###\ ###\ ###\ ###\ ##0.00;\-###\ ###\ ###\ ###\ ##0.00">
                  <c:v>5.3820143358172814</c:v>
                </c:pt>
                <c:pt idx="49" formatCode="###\ ###\ ###\ ###\ ##0.00;\-###\ ###\ ###\ ###\ ##0.00">
                  <c:v>5.5102623550618501</c:v>
                </c:pt>
                <c:pt idx="50" formatCode="###\ ###\ ###\ ###\ ##0.00;\-###\ ###\ ###\ ###\ ##0.00">
                  <c:v>5.2897725027111999</c:v>
                </c:pt>
                <c:pt idx="51" formatCode="###\ ###\ ###\ ###\ ##0.00;\-###\ ###\ ###\ ###\ ##0.00">
                  <c:v>5.4232360381175866</c:v>
                </c:pt>
                <c:pt idx="52" formatCode="###\ ###\ ###\ ###\ ##0.00;\-###\ ###\ ###\ ###\ ##0.00">
                  <c:v>5.4162815888395777</c:v>
                </c:pt>
                <c:pt idx="53" formatCode="###\ ###\ ###\ ###\ ##0.00;\-###\ ###\ ###\ ###\ ##0.00">
                  <c:v>5.3664752553650841</c:v>
                </c:pt>
                <c:pt idx="54" formatCode="###\ ###\ ###\ ###\ ##0.00;\-###\ ###\ ###\ ###\ ##0.00">
                  <c:v>5.2428078558777935</c:v>
                </c:pt>
                <c:pt idx="55" formatCode="###\ ###\ ###\ ###\ ##0.00;\-###\ ###\ ###\ ###\ ##0.00">
                  <c:v>5.1353490658602521</c:v>
                </c:pt>
                <c:pt idx="56" formatCode="###\ ###\ ###\ ###\ ##0.00;\-###\ ###\ ###\ ###\ ##0.00">
                  <c:v>5.0416686003519704</c:v>
                </c:pt>
                <c:pt idx="57" formatCode="###\ ###\ ###\ ###\ ##0.00;\-###\ ###\ ###\ ###\ ##0.00">
                  <c:v>5.0079198294298592</c:v>
                </c:pt>
                <c:pt idx="58" formatCode="###\ ###\ ###\ ###\ ##0.00;\-###\ ###\ ###\ ###\ ##0.00">
                  <c:v>4.8554647740100689</c:v>
                </c:pt>
                <c:pt idx="59" formatCode="###\ ###\ ###\ ###\ ##0.00;\-###\ ###\ ###\ ###\ ##0.00">
                  <c:v>4.6053753410259048</c:v>
                </c:pt>
                <c:pt idx="60" formatCode="###\ ###\ ###\ ###\ ##0.00;\-###\ ###\ ###\ ###\ ##0.00">
                  <c:v>4.2136537187056122</c:v>
                </c:pt>
                <c:pt idx="61" formatCode="###\ ###\ ###\ ###\ ##0.00;\-###\ ###\ ###\ ###\ ##0.00">
                  <c:v>3.7766020145670578</c:v>
                </c:pt>
                <c:pt idx="62" formatCode="###\ ###\ ###\ ###\ ##0.00;\-###\ ###\ ###\ ###\ ##0.00">
                  <c:v>3.7279261080474861</c:v>
                </c:pt>
                <c:pt idx="63" formatCode="###\ ###\ ###\ ###\ ##0.00;\-###\ ###\ ###\ ###\ ##0.00">
                  <c:v>4.0118973322405145</c:v>
                </c:pt>
                <c:pt idx="64" formatCode="###\ ###\ ###\ ###\ ##0.00;\-###\ ###\ ###\ ###\ ##0.00">
                  <c:v>4.1300681765456435</c:v>
                </c:pt>
                <c:pt idx="65" formatCode="###\ ###\ ###\ ###\ ##0.00;\-###\ ###\ ###\ ###\ ##0.00">
                  <c:v>4.2164856033630391</c:v>
                </c:pt>
              </c:numCache>
            </c:numRef>
          </c:val>
          <c:smooth val="0"/>
          <c:extLst>
            <c:ext xmlns:c16="http://schemas.microsoft.com/office/drawing/2014/chart" uri="{C3380CC4-5D6E-409C-BE32-E72D297353CC}">
              <c16:uniqueId val="{00000001-7BE8-4E40-8915-29A940F5F5A2}"/>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1'!$D$18:$D$83</c:f>
              <c:numCache>
                <c:formatCode>General</c:formatCode>
                <c:ptCount val="66"/>
                <c:pt idx="0">
                  <c:v>2.0099999999999998</c:v>
                </c:pt>
                <c:pt idx="1">
                  <c:v>2.0099999999999998</c:v>
                </c:pt>
                <c:pt idx="2">
                  <c:v>2.0299999999999998</c:v>
                </c:pt>
                <c:pt idx="3">
                  <c:v>2.02</c:v>
                </c:pt>
                <c:pt idx="4">
                  <c:v>2.19</c:v>
                </c:pt>
                <c:pt idx="5">
                  <c:v>2.17</c:v>
                </c:pt>
                <c:pt idx="6">
                  <c:v>2.16</c:v>
                </c:pt>
                <c:pt idx="7">
                  <c:v>2.14</c:v>
                </c:pt>
                <c:pt idx="8">
                  <c:v>2.14</c:v>
                </c:pt>
                <c:pt idx="9">
                  <c:v>2.17</c:v>
                </c:pt>
                <c:pt idx="10">
                  <c:v>2.1800000000000002</c:v>
                </c:pt>
                <c:pt idx="11">
                  <c:v>2.1800000000000002</c:v>
                </c:pt>
                <c:pt idx="12">
                  <c:v>2.17</c:v>
                </c:pt>
                <c:pt idx="13">
                  <c:v>2.34</c:v>
                </c:pt>
                <c:pt idx="14">
                  <c:v>2</c:v>
                </c:pt>
                <c:pt idx="15">
                  <c:v>0.97</c:v>
                </c:pt>
                <c:pt idx="16">
                  <c:v>0.46</c:v>
                </c:pt>
                <c:pt idx="17">
                  <c:v>0.34</c:v>
                </c:pt>
                <c:pt idx="18">
                  <c:v>0.34</c:v>
                </c:pt>
                <c:pt idx="19">
                  <c:v>0.34</c:v>
                </c:pt>
                <c:pt idx="20">
                  <c:v>0.34</c:v>
                </c:pt>
                <c:pt idx="21">
                  <c:v>0.35</c:v>
                </c:pt>
                <c:pt idx="22">
                  <c:v>0.35</c:v>
                </c:pt>
                <c:pt idx="23">
                  <c:v>0.35</c:v>
                </c:pt>
                <c:pt idx="24">
                  <c:v>0.36</c:v>
                </c:pt>
                <c:pt idx="25">
                  <c:v>0.36</c:v>
                </c:pt>
                <c:pt idx="26">
                  <c:v>0.36</c:v>
                </c:pt>
                <c:pt idx="27">
                  <c:v>0.36</c:v>
                </c:pt>
                <c:pt idx="28">
                  <c:v>0.37</c:v>
                </c:pt>
                <c:pt idx="29">
                  <c:v>0.48</c:v>
                </c:pt>
                <c:pt idx="30">
                  <c:v>0.69</c:v>
                </c:pt>
                <c:pt idx="31">
                  <c:v>0.94</c:v>
                </c:pt>
                <c:pt idx="32">
                  <c:v>1.1100000000000001</c:v>
                </c:pt>
                <c:pt idx="33">
                  <c:v>2.02</c:v>
                </c:pt>
                <c:pt idx="34">
                  <c:v>2.97</c:v>
                </c:pt>
                <c:pt idx="35">
                  <c:v>3.5</c:v>
                </c:pt>
                <c:pt idx="36">
                  <c:v>4.21</c:v>
                </c:pt>
                <c:pt idx="37">
                  <c:v>4.6900000000000004</c:v>
                </c:pt>
                <c:pt idx="38">
                  <c:v>4.8600000000000003</c:v>
                </c:pt>
                <c:pt idx="39">
                  <c:v>5.36</c:v>
                </c:pt>
                <c:pt idx="40">
                  <c:v>5.97</c:v>
                </c:pt>
                <c:pt idx="41">
                  <c:v>6.64</c:v>
                </c:pt>
                <c:pt idx="42">
                  <c:v>7.3</c:v>
                </c:pt>
                <c:pt idx="43">
                  <c:v>7.27</c:v>
                </c:pt>
                <c:pt idx="44">
                  <c:v>7.25</c:v>
                </c:pt>
                <c:pt idx="45">
                  <c:v>7.28</c:v>
                </c:pt>
                <c:pt idx="46">
                  <c:v>7.27</c:v>
                </c:pt>
                <c:pt idx="47">
                  <c:v>7.26</c:v>
                </c:pt>
                <c:pt idx="48" formatCode="###\ ###\ ###\ ###\ ##0.00;\-###\ ###\ ###\ ###\ ##0.00">
                  <c:v>7.2161904761904765</c:v>
                </c:pt>
                <c:pt idx="49" formatCode="###\ ###\ ###\ ###\ ##0.00;\-###\ ###\ ###\ ###\ ##0.00">
                  <c:v>7.2010526315789471</c:v>
                </c:pt>
                <c:pt idx="50" formatCode="###\ ###\ ###\ ###\ ##0.00;\-###\ ###\ ###\ ###\ ##0.00">
                  <c:v>7.1931818181818183</c:v>
                </c:pt>
                <c:pt idx="51" formatCode="###\ ###\ ###\ ###\ ##0.00;\-###\ ###\ ###\ ###\ ##0.00">
                  <c:v>7.1788888888888893</c:v>
                </c:pt>
                <c:pt idx="52" formatCode="###\ ###\ ###\ ###\ ##0.00;\-###\ ###\ ###\ ###\ ##0.00">
                  <c:v>7.1790476190476191</c:v>
                </c:pt>
                <c:pt idx="53" formatCode="###\ ###\ ###\ ###\ ##0.00;\-###\ ###\ ###\ ###\ ##0.00">
                  <c:v>7.1472727272727274</c:v>
                </c:pt>
                <c:pt idx="54" formatCode="###\ ###\ ###\ ###\ ##0.00;\-###\ ###\ ###\ ###\ ##0.00">
                  <c:v>7.1121052631578952</c:v>
                </c:pt>
                <c:pt idx="55" formatCode="###\ ###\ ###\ ###\ ##0.00;\-###\ ###\ ###\ ###\ ##0.00">
                  <c:v>7.1030434782608696</c:v>
                </c:pt>
                <c:pt idx="56" formatCode="###\ ###\ ###\ ###\ ##0.00;\-###\ ###\ ###\ ###\ ##0.00">
                  <c:v>7.0895000000000001</c:v>
                </c:pt>
                <c:pt idx="57" formatCode="###\ ###\ ###\ ###\ ##0.00;\-###\ ###\ ###\ ###\ ##0.00">
                  <c:v>7.0472727272727269</c:v>
                </c:pt>
                <c:pt idx="58" formatCode="###\ ###\ ###\ ###\ ##0.00;\-###\ ###\ ###\ ###\ ##0.00">
                  <c:v>7.062380952380952</c:v>
                </c:pt>
                <c:pt idx="59" formatCode="###\ ###\ ###\ ###\ ##0.00;\-###\ ###\ ###\ ###\ ##0.00">
                  <c:v>6.9663157894736845</c:v>
                </c:pt>
                <c:pt idx="60" formatCode="###\ ###\ ###\ ###\ ##0.00;\-###\ ###\ ###\ ###\ ##0.00">
                  <c:v>6.6340909090909088</c:v>
                </c:pt>
                <c:pt idx="61" formatCode="###\ ###\ ###\ ###\ ##0.00;\-###\ ###\ ###\ ###\ ##0.00">
                  <c:v>6.2019047619047623</c:v>
                </c:pt>
                <c:pt idx="62" formatCode="###\ ###\ ###\ ###\ ##0.00;\-###\ ###\ ###\ ###\ ##0.00">
                  <c:v>5.8363157894736846</c:v>
                </c:pt>
                <c:pt idx="63" formatCode="###\ ###\ ###\ ###\ ##0.00;\-###\ ###\ ###\ ###\ ##0.00">
                  <c:v>5.5461904761904766</c:v>
                </c:pt>
                <c:pt idx="64" formatCode="###\ ###\ ###\ ###\ ##0.00;\-###\ ###\ ###\ ###\ ##0.00">
                  <c:v>5.1704761904761902</c:v>
                </c:pt>
                <c:pt idx="65" formatCode="###\ ###\ ###\ ###\ ##0.00;\-###\ ###\ ###\ ###\ ##0.00">
                  <c:v>5.0274999999999999</c:v>
                </c:pt>
              </c:numCache>
            </c:numRef>
          </c:val>
          <c:smooth val="0"/>
          <c:extLst>
            <c:ext xmlns:c16="http://schemas.microsoft.com/office/drawing/2014/chart" uri="{C3380CC4-5D6E-409C-BE32-E72D297353CC}">
              <c16:uniqueId val="{00000002-7BE8-4E40-8915-29A940F5F5A2}"/>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1'!$G$18:$G$83</c:f>
              <c:numCache>
                <c:formatCode>General</c:formatCode>
                <c:ptCount val="66"/>
                <c:pt idx="0">
                  <c:v>1.6</c:v>
                </c:pt>
                <c:pt idx="1">
                  <c:v>1.61</c:v>
                </c:pt>
                <c:pt idx="2">
                  <c:v>1.7</c:v>
                </c:pt>
                <c:pt idx="3">
                  <c:v>1.63</c:v>
                </c:pt>
                <c:pt idx="4">
                  <c:v>1.57</c:v>
                </c:pt>
                <c:pt idx="5">
                  <c:v>1.43</c:v>
                </c:pt>
                <c:pt idx="6">
                  <c:v>1.31</c:v>
                </c:pt>
                <c:pt idx="7">
                  <c:v>0.89</c:v>
                </c:pt>
                <c:pt idx="8">
                  <c:v>1.1299999999999999</c:v>
                </c:pt>
                <c:pt idx="9">
                  <c:v>1.23</c:v>
                </c:pt>
                <c:pt idx="10">
                  <c:v>1.32</c:v>
                </c:pt>
                <c:pt idx="11">
                  <c:v>1.31</c:v>
                </c:pt>
                <c:pt idx="12">
                  <c:v>1.51</c:v>
                </c:pt>
                <c:pt idx="13">
                  <c:v>1.52</c:v>
                </c:pt>
                <c:pt idx="14">
                  <c:v>1.23</c:v>
                </c:pt>
                <c:pt idx="15">
                  <c:v>1.06</c:v>
                </c:pt>
                <c:pt idx="16">
                  <c:v>0.56999999999999995</c:v>
                </c:pt>
                <c:pt idx="17">
                  <c:v>0.52</c:v>
                </c:pt>
                <c:pt idx="18">
                  <c:v>0.52</c:v>
                </c:pt>
                <c:pt idx="19">
                  <c:v>0.57999999999999996</c:v>
                </c:pt>
                <c:pt idx="20">
                  <c:v>0.57999999999999996</c:v>
                </c:pt>
                <c:pt idx="21">
                  <c:v>0.54</c:v>
                </c:pt>
                <c:pt idx="22">
                  <c:v>0.66</c:v>
                </c:pt>
                <c:pt idx="23">
                  <c:v>0.8</c:v>
                </c:pt>
                <c:pt idx="24">
                  <c:v>0.82</c:v>
                </c:pt>
                <c:pt idx="25">
                  <c:v>1.06</c:v>
                </c:pt>
                <c:pt idx="26">
                  <c:v>1.4</c:v>
                </c:pt>
                <c:pt idx="27">
                  <c:v>1.43</c:v>
                </c:pt>
                <c:pt idx="28">
                  <c:v>1.47</c:v>
                </c:pt>
                <c:pt idx="29">
                  <c:v>1.55</c:v>
                </c:pt>
                <c:pt idx="30">
                  <c:v>1.63</c:v>
                </c:pt>
                <c:pt idx="31">
                  <c:v>1.68</c:v>
                </c:pt>
                <c:pt idx="32">
                  <c:v>1.87</c:v>
                </c:pt>
                <c:pt idx="33">
                  <c:v>2.37</c:v>
                </c:pt>
                <c:pt idx="34">
                  <c:v>2.84</c:v>
                </c:pt>
                <c:pt idx="35">
                  <c:v>2.84</c:v>
                </c:pt>
                <c:pt idx="36">
                  <c:v>3.36</c:v>
                </c:pt>
                <c:pt idx="37">
                  <c:v>3.2</c:v>
                </c:pt>
                <c:pt idx="38">
                  <c:v>3.85</c:v>
                </c:pt>
                <c:pt idx="39">
                  <c:v>4.54</c:v>
                </c:pt>
                <c:pt idx="40">
                  <c:v>4.99</c:v>
                </c:pt>
                <c:pt idx="41">
                  <c:v>5.49</c:v>
                </c:pt>
                <c:pt idx="42">
                  <c:v>5.12</c:v>
                </c:pt>
                <c:pt idx="43">
                  <c:v>4.67</c:v>
                </c:pt>
                <c:pt idx="44">
                  <c:v>5.0599999999999996</c:v>
                </c:pt>
                <c:pt idx="45">
                  <c:v>5.69</c:v>
                </c:pt>
                <c:pt idx="46">
                  <c:v>5.31</c:v>
                </c:pt>
                <c:pt idx="47">
                  <c:v>4.9000000000000004</c:v>
                </c:pt>
                <c:pt idx="48" formatCode="###\ ###\ ###\ ###\ ##0.00;\-###\ ###\ ###\ ###\ ##0.00">
                  <c:v>4.7307064721228871</c:v>
                </c:pt>
                <c:pt idx="49" formatCode="###\ ###\ ###\ ###\ ##0.00;\-###\ ###\ ###\ ###\ ##0.00">
                  <c:v>4.869274267276765</c:v>
                </c:pt>
                <c:pt idx="50" formatCode="###\ ###\ ###\ ###\ ##0.00;\-###\ ###\ ###\ ###\ ##0.00">
                  <c:v>4.8901662581800389</c:v>
                </c:pt>
                <c:pt idx="51" formatCode="###\ ###\ ###\ ###\ ##0.00;\-###\ ###\ ###\ ###\ ##0.00">
                  <c:v>4.9165403661897455</c:v>
                </c:pt>
                <c:pt idx="52" formatCode="###\ ###\ ###\ ###\ ##0.00;\-###\ ###\ ###\ ###\ ##0.00">
                  <c:v>4.8278684891401031</c:v>
                </c:pt>
                <c:pt idx="53" formatCode="###\ ###\ ###\ ###\ ##0.00;\-###\ ###\ ###\ ###\ ##0.00">
                  <c:v>4.641252073600076</c:v>
                </c:pt>
                <c:pt idx="54" formatCode="###\ ###\ ###\ ###\ ##0.00;\-###\ ###\ ###\ ###\ ##0.00">
                  <c:v>4.3712476122939803</c:v>
                </c:pt>
                <c:pt idx="55" formatCode="###\ ###\ ###\ ###\ ##0.00;\-###\ ###\ ###\ ###\ ##0.00">
                  <c:v>4.4394883944569479</c:v>
                </c:pt>
                <c:pt idx="56" formatCode="###\ ###\ ###\ ###\ ##0.00;\-###\ ###\ ###\ ###\ ##0.00">
                  <c:v>4.5697569170379646</c:v>
                </c:pt>
                <c:pt idx="57" formatCode="###\ ###\ ###\ ###\ ##0.00;\-###\ ###\ ###\ ###\ ##0.00">
                  <c:v>4.6213398432367514</c:v>
                </c:pt>
                <c:pt idx="58" formatCode="###\ ###\ ###\ ###\ ##0.00;\-###\ ###\ ###\ ###\ ##0.00">
                  <c:v>4.3189525391351618</c:v>
                </c:pt>
                <c:pt idx="59" formatCode="###\ ###\ ###\ ###\ ##0.00;\-###\ ###\ ###\ ###\ ##0.00">
                  <c:v>3.9581509254616192</c:v>
                </c:pt>
                <c:pt idx="60" formatCode="###\ ###\ ###\ ###\ ##0.00;\-###\ ###\ ###\ ###\ ##0.00">
                  <c:v>3.7948081133062201</c:v>
                </c:pt>
                <c:pt idx="61" formatCode="###\ ###\ ###\ ###\ ##0.00;\-###\ ###\ ###\ ###\ ##0.00">
                  <c:v>3.5373832658022923</c:v>
                </c:pt>
                <c:pt idx="62" formatCode="###\ ###\ ###\ ###\ ##0.00;\-###\ ###\ ###\ ###\ ##0.00">
                  <c:v>3.5659496523361214</c:v>
                </c:pt>
                <c:pt idx="63" formatCode="###\ ###\ ###\ ###\ ##0.00;\-###\ ###\ ###\ ###\ ##0.00">
                  <c:v>4.0341267380705332</c:v>
                </c:pt>
                <c:pt idx="64" formatCode="###\ ###\ ###\ ###\ ##0.00;\-###\ ###\ ###\ ###\ ##0.00">
                  <c:v>4.0872759187026269</c:v>
                </c:pt>
                <c:pt idx="65" formatCode="###\ ###\ ###\ ###\ ##0.00;\-###\ ###\ ###\ ###\ ##0.00">
                  <c:v>4.1227102073974615</c:v>
                </c:pt>
              </c:numCache>
            </c:numRef>
          </c:val>
          <c:smooth val="0"/>
          <c:extLst>
            <c:ext xmlns:c16="http://schemas.microsoft.com/office/drawing/2014/chart" uri="{C3380CC4-5D6E-409C-BE32-E72D297353CC}">
              <c16:uniqueId val="{00000003-7BE8-4E40-8915-29A940F5F5A2}"/>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1'!$E$18:$E$83</c:f>
              <c:numCache>
                <c:formatCode>General</c:formatCode>
                <c:ptCount val="66"/>
                <c:pt idx="0">
                  <c:v>2.21</c:v>
                </c:pt>
                <c:pt idx="1">
                  <c:v>2.2000000000000002</c:v>
                </c:pt>
                <c:pt idx="2">
                  <c:v>2.2000000000000002</c:v>
                </c:pt>
                <c:pt idx="3">
                  <c:v>2.21</c:v>
                </c:pt>
                <c:pt idx="4">
                  <c:v>2.3199999999999998</c:v>
                </c:pt>
                <c:pt idx="5">
                  <c:v>2.29</c:v>
                </c:pt>
                <c:pt idx="6">
                  <c:v>2.2799999999999998</c:v>
                </c:pt>
                <c:pt idx="7">
                  <c:v>2.2200000000000002</c:v>
                </c:pt>
                <c:pt idx="8">
                  <c:v>2.2000000000000002</c:v>
                </c:pt>
                <c:pt idx="9">
                  <c:v>2.2799999999999998</c:v>
                </c:pt>
                <c:pt idx="10">
                  <c:v>2.2799999999999998</c:v>
                </c:pt>
                <c:pt idx="11">
                  <c:v>2.27</c:v>
                </c:pt>
                <c:pt idx="12">
                  <c:v>2.27</c:v>
                </c:pt>
                <c:pt idx="13">
                  <c:v>2.42</c:v>
                </c:pt>
                <c:pt idx="14">
                  <c:v>2.0099999999999998</c:v>
                </c:pt>
                <c:pt idx="15">
                  <c:v>0.92</c:v>
                </c:pt>
                <c:pt idx="16">
                  <c:v>0.51</c:v>
                </c:pt>
                <c:pt idx="17">
                  <c:v>0.43</c:v>
                </c:pt>
                <c:pt idx="18">
                  <c:v>0.43</c:v>
                </c:pt>
                <c:pt idx="19">
                  <c:v>0.43</c:v>
                </c:pt>
                <c:pt idx="20">
                  <c:v>0.44</c:v>
                </c:pt>
                <c:pt idx="21">
                  <c:v>0.43</c:v>
                </c:pt>
                <c:pt idx="22">
                  <c:v>0.44</c:v>
                </c:pt>
                <c:pt idx="23">
                  <c:v>0.49</c:v>
                </c:pt>
                <c:pt idx="24">
                  <c:v>0.49</c:v>
                </c:pt>
                <c:pt idx="25">
                  <c:v>0.54</c:v>
                </c:pt>
                <c:pt idx="26">
                  <c:v>0.56000000000000005</c:v>
                </c:pt>
                <c:pt idx="27">
                  <c:v>0.56000000000000005</c:v>
                </c:pt>
                <c:pt idx="28">
                  <c:v>0.67</c:v>
                </c:pt>
                <c:pt idx="29">
                  <c:v>0.78</c:v>
                </c:pt>
                <c:pt idx="30">
                  <c:v>1</c:v>
                </c:pt>
                <c:pt idx="31">
                  <c:v>1.3</c:v>
                </c:pt>
                <c:pt idx="32">
                  <c:v>1.52</c:v>
                </c:pt>
                <c:pt idx="33">
                  <c:v>2.44</c:v>
                </c:pt>
                <c:pt idx="34">
                  <c:v>3.5</c:v>
                </c:pt>
                <c:pt idx="35">
                  <c:v>3.96</c:v>
                </c:pt>
                <c:pt idx="36">
                  <c:v>4.55</c:v>
                </c:pt>
                <c:pt idx="37">
                  <c:v>4.87</c:v>
                </c:pt>
                <c:pt idx="38">
                  <c:v>5.12</c:v>
                </c:pt>
                <c:pt idx="39">
                  <c:v>5.74</c:v>
                </c:pt>
                <c:pt idx="40">
                  <c:v>6.33</c:v>
                </c:pt>
                <c:pt idx="41">
                  <c:v>7.02</c:v>
                </c:pt>
                <c:pt idx="42">
                  <c:v>7.55</c:v>
                </c:pt>
                <c:pt idx="43">
                  <c:v>7.48</c:v>
                </c:pt>
                <c:pt idx="44">
                  <c:v>7.44</c:v>
                </c:pt>
                <c:pt idx="45">
                  <c:v>7.45</c:v>
                </c:pt>
                <c:pt idx="46">
                  <c:v>7.39</c:v>
                </c:pt>
                <c:pt idx="47">
                  <c:v>7.28</c:v>
                </c:pt>
                <c:pt idx="48" formatCode="###\ ###\ ###\ ###\ ##0.00;\-###\ ###\ ###\ ###\ ##0.00">
                  <c:v>7.2480952380952379</c:v>
                </c:pt>
                <c:pt idx="49" formatCode="###\ ###\ ###\ ###\ ##0.00;\-###\ ###\ ###\ ###\ ##0.00">
                  <c:v>7.2326315789473687</c:v>
                </c:pt>
                <c:pt idx="50" formatCode="###\ ###\ ###\ ###\ ##0.00;\-###\ ###\ ###\ ###\ ##0.00">
                  <c:v>7.2263636363636365</c:v>
                </c:pt>
                <c:pt idx="51" formatCode="###\ ###\ ###\ ###\ ##0.00;\-###\ ###\ ###\ ###\ ##0.00">
                  <c:v>7.2088888888888887</c:v>
                </c:pt>
                <c:pt idx="52" formatCode="###\ ###\ ###\ ###\ ##0.00;\-###\ ###\ ###\ ###\ ##0.00">
                  <c:v>7.196190476190476</c:v>
                </c:pt>
                <c:pt idx="53" formatCode="###\ ###\ ###\ ###\ ##0.00;\-###\ ###\ ###\ ###\ ##0.00">
                  <c:v>7.1377272727272727</c:v>
                </c:pt>
                <c:pt idx="54" formatCode="###\ ###\ ###\ ###\ ##0.00;\-###\ ###\ ###\ ###\ ##0.00">
                  <c:v>7.0289473684210524</c:v>
                </c:pt>
                <c:pt idx="55" formatCode="###\ ###\ ###\ ###\ ##0.00;\-###\ ###\ ###\ ###\ ##0.00">
                  <c:v>6.9473913043478257</c:v>
                </c:pt>
                <c:pt idx="56" formatCode="###\ ###\ ###\ ###\ ##0.00;\-###\ ###\ ###\ ###\ ##0.00">
                  <c:v>6.8470000000000004</c:v>
                </c:pt>
                <c:pt idx="57" formatCode="###\ ###\ ###\ ###\ ##0.00;\-###\ ###\ ###\ ###\ ##0.00">
                  <c:v>6.6090909090909093</c:v>
                </c:pt>
                <c:pt idx="58" formatCode="###\ ###\ ###\ ###\ ##0.00;\-###\ ###\ ###\ ###\ ##0.00">
                  <c:v>6.4771428571428569</c:v>
                </c:pt>
                <c:pt idx="59" formatCode="###\ ###\ ###\ ###\ ##0.00;\-###\ ###\ ###\ ###\ ##0.00">
                  <c:v>6.1873684210526312</c:v>
                </c:pt>
                <c:pt idx="60" formatCode="###\ ###\ ###\ ###\ ##0.00;\-###\ ###\ ###\ ###\ ##0.00">
                  <c:v>5.4690909090909088</c:v>
                </c:pt>
                <c:pt idx="61" formatCode="###\ ###\ ###\ ###\ ##0.00;\-###\ ###\ ###\ ###\ ##0.00">
                  <c:v>5.0338095238095235</c:v>
                </c:pt>
                <c:pt idx="62" formatCode="###\ ###\ ###\ ###\ ##0.00;\-###\ ###\ ###\ ###\ ##0.00">
                  <c:v>4.7994736842105263</c:v>
                </c:pt>
                <c:pt idx="63" formatCode="###\ ###\ ###\ ###\ ##0.00;\-###\ ###\ ###\ ###\ ##0.00">
                  <c:v>4.588571428571429</c:v>
                </c:pt>
                <c:pt idx="64" formatCode="###\ ###\ ###\ ###\ ##0.00;\-###\ ###\ ###\ ###\ ##0.00">
                  <c:v>4.6500000000000004</c:v>
                </c:pt>
                <c:pt idx="65" formatCode="###\ ###\ ###\ ###\ ##0.00;\-###\ ###\ ###\ ###\ ##0.00">
                  <c:v>4.5715000000000003</c:v>
                </c:pt>
              </c:numCache>
            </c:numRef>
          </c:val>
          <c:smooth val="0"/>
          <c:extLst>
            <c:ext xmlns:c16="http://schemas.microsoft.com/office/drawing/2014/chart" uri="{C3380CC4-5D6E-409C-BE32-E72D297353CC}">
              <c16:uniqueId val="{00000004-7BE8-4E40-8915-29A940F5F5A2}"/>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2019</c:v>
                  </c:pt>
                  <c:pt idx="12">
                    <c:v>2020</c:v>
                  </c:pt>
                  <c:pt idx="24">
                    <c:v>2021</c:v>
                  </c:pt>
                  <c:pt idx="36">
                    <c:v>2022</c:v>
                  </c:pt>
                  <c:pt idx="48">
                    <c:v>2023</c:v>
                  </c:pt>
                  <c:pt idx="60">
                    <c:v>2024</c:v>
                  </c:pt>
                </c:lvl>
              </c:multiLvlStrCache>
            </c:multiLvlStrRef>
          </c:cat>
          <c:val>
            <c:numRef>
              <c:f>'Měnové podmínky 1'!$H$18:$H$83</c:f>
              <c:numCache>
                <c:formatCode>General</c:formatCode>
                <c:ptCount val="66"/>
                <c:pt idx="0">
                  <c:v>1.85</c:v>
                </c:pt>
                <c:pt idx="1">
                  <c:v>1.76</c:v>
                </c:pt>
                <c:pt idx="2">
                  <c:v>1.82</c:v>
                </c:pt>
                <c:pt idx="3">
                  <c:v>1.82</c:v>
                </c:pt>
                <c:pt idx="4">
                  <c:v>1.86</c:v>
                </c:pt>
                <c:pt idx="5">
                  <c:v>1.58</c:v>
                </c:pt>
                <c:pt idx="6">
                  <c:v>1.36</c:v>
                </c:pt>
                <c:pt idx="7">
                  <c:v>0.99</c:v>
                </c:pt>
                <c:pt idx="8">
                  <c:v>1.24</c:v>
                </c:pt>
                <c:pt idx="9">
                  <c:v>1.32</c:v>
                </c:pt>
                <c:pt idx="10">
                  <c:v>1.47</c:v>
                </c:pt>
                <c:pt idx="11">
                  <c:v>1.51</c:v>
                </c:pt>
                <c:pt idx="12">
                  <c:v>1.62</c:v>
                </c:pt>
                <c:pt idx="13">
                  <c:v>1.47</c:v>
                </c:pt>
                <c:pt idx="14">
                  <c:v>1.28</c:v>
                </c:pt>
                <c:pt idx="15">
                  <c:v>1.28</c:v>
                </c:pt>
                <c:pt idx="16">
                  <c:v>0.92</c:v>
                </c:pt>
                <c:pt idx="17">
                  <c:v>0.86</c:v>
                </c:pt>
                <c:pt idx="18">
                  <c:v>0.86</c:v>
                </c:pt>
                <c:pt idx="19">
                  <c:v>0.95</c:v>
                </c:pt>
                <c:pt idx="20">
                  <c:v>0.98</c:v>
                </c:pt>
                <c:pt idx="21">
                  <c:v>0.94</c:v>
                </c:pt>
                <c:pt idx="22">
                  <c:v>1.1200000000000001</c:v>
                </c:pt>
                <c:pt idx="23">
                  <c:v>1.26</c:v>
                </c:pt>
                <c:pt idx="24">
                  <c:v>1.28</c:v>
                </c:pt>
                <c:pt idx="25">
                  <c:v>1.49</c:v>
                </c:pt>
                <c:pt idx="26">
                  <c:v>1.87</c:v>
                </c:pt>
                <c:pt idx="27">
                  <c:v>1.86</c:v>
                </c:pt>
                <c:pt idx="28">
                  <c:v>1.74</c:v>
                </c:pt>
                <c:pt idx="29">
                  <c:v>1.67</c:v>
                </c:pt>
                <c:pt idx="30">
                  <c:v>1.72</c:v>
                </c:pt>
                <c:pt idx="31">
                  <c:v>1.74</c:v>
                </c:pt>
                <c:pt idx="32">
                  <c:v>1.9</c:v>
                </c:pt>
                <c:pt idx="33">
                  <c:v>2.34</c:v>
                </c:pt>
                <c:pt idx="34">
                  <c:v>2.62</c:v>
                </c:pt>
                <c:pt idx="35">
                  <c:v>2.62</c:v>
                </c:pt>
                <c:pt idx="36">
                  <c:v>3.12</c:v>
                </c:pt>
                <c:pt idx="37">
                  <c:v>3.03</c:v>
                </c:pt>
                <c:pt idx="38">
                  <c:v>3.53</c:v>
                </c:pt>
                <c:pt idx="39">
                  <c:v>4.01</c:v>
                </c:pt>
                <c:pt idx="40">
                  <c:v>4.6100000000000003</c:v>
                </c:pt>
                <c:pt idx="41">
                  <c:v>5.12</c:v>
                </c:pt>
                <c:pt idx="42">
                  <c:v>4.4000000000000004</c:v>
                </c:pt>
                <c:pt idx="43">
                  <c:v>4.1100000000000003</c:v>
                </c:pt>
                <c:pt idx="44">
                  <c:v>4.72</c:v>
                </c:pt>
                <c:pt idx="45">
                  <c:v>5.52</c:v>
                </c:pt>
                <c:pt idx="46">
                  <c:v>5.1100000000000003</c:v>
                </c:pt>
                <c:pt idx="47">
                  <c:v>4.71</c:v>
                </c:pt>
                <c:pt idx="48" formatCode="###\ ###\ ###\ ###\ ##0.00;\-###\ ###\ ###\ ###\ ##0.00">
                  <c:v>4.4683071740930735</c:v>
                </c:pt>
                <c:pt idx="49" formatCode="###\ ###\ ###\ ###\ ##0.00;\-###\ ###\ ###\ ###\ ##0.00">
                  <c:v>4.6124456250457779</c:v>
                </c:pt>
                <c:pt idx="50" formatCode="###\ ###\ ###\ ###\ ##0.00;\-###\ ###\ ###\ ###\ ##0.00">
                  <c:v>4.6664316498532505</c:v>
                </c:pt>
                <c:pt idx="51" formatCode="###\ ###\ ###\ ###\ ##0.00;\-###\ ###\ ###\ ###\ ##0.00">
                  <c:v>4.6464031535593682</c:v>
                </c:pt>
                <c:pt idx="52" formatCode="###\ ###\ ###\ ###\ ##0.00;\-###\ ###\ ###\ ###\ ##0.00">
                  <c:v>4.4999821517871696</c:v>
                </c:pt>
                <c:pt idx="53" formatCode="###\ ###\ ###\ ###\ ##0.00;\-###\ ###\ ###\ ###\ ##0.00">
                  <c:v>4.3475817201909166</c:v>
                </c:pt>
                <c:pt idx="54" formatCode="###\ ###\ ###\ ###\ ##0.00;\-###\ ###\ ###\ ###\ ##0.00">
                  <c:v>4.1488922058727873</c:v>
                </c:pt>
                <c:pt idx="55" formatCode="###\ ###\ ###\ ###\ ##0.00;\-###\ ###\ ###\ ###\ ##0.00">
                  <c:v>4.2612326220421171</c:v>
                </c:pt>
                <c:pt idx="56" formatCode="###\ ###\ ###\ ###\ ##0.00;\-###\ ###\ ###\ ###\ ##0.00">
                  <c:v>4.4941452526073471</c:v>
                </c:pt>
                <c:pt idx="57" formatCode="###\ ###\ ###\ ###\ ##0.00;\-###\ ###\ ###\ ###\ ##0.00">
                  <c:v>4.7196492538174732</c:v>
                </c:pt>
                <c:pt idx="58" formatCode="###\ ###\ ###\ ###\ ##0.00;\-###\ ###\ ###\ ###\ ##0.00">
                  <c:v>4.4238011822001155</c:v>
                </c:pt>
                <c:pt idx="59" formatCode="###\ ###\ ###\ ###\ ##0.00;\-###\ ###\ ###\ ###\ ##0.00">
                  <c:v>3.9723129766524465</c:v>
                </c:pt>
                <c:pt idx="60" formatCode="###\ ###\ ###\ ###\ ##0.00;\-###\ ###\ ###\ ###\ ##0.00">
                  <c:v>3.8808928950535173</c:v>
                </c:pt>
                <c:pt idx="61" formatCode="###\ ###\ ###\ ###\ ##0.00;\-###\ ###\ ###\ ###\ ##0.00">
                  <c:v>3.7595547903987336</c:v>
                </c:pt>
                <c:pt idx="62" formatCode="###\ ###\ ###\ ###\ ##0.00;\-###\ ###\ ###\ ###\ ##0.00">
                  <c:v>3.8237627295684833</c:v>
                </c:pt>
                <c:pt idx="63" formatCode="###\ ###\ ###\ ###\ ##0.00;\-###\ ###\ ###\ ###\ ##0.00">
                  <c:v>4.2047003389485704</c:v>
                </c:pt>
                <c:pt idx="64" formatCode="###\ ###\ ###\ ###\ ##0.00;\-###\ ###\ ###\ ###\ ##0.00">
                  <c:v>4.1563388742973695</c:v>
                </c:pt>
                <c:pt idx="65" formatCode="###\ ###\ ###\ ###\ ##0.00;\-###\ ###\ ###\ ###\ ##0.00">
                  <c:v>4.2111868231811522</c:v>
                </c:pt>
              </c:numCache>
            </c:numRef>
          </c:val>
          <c:smooth val="0"/>
          <c:extLst>
            <c:ext xmlns:c16="http://schemas.microsoft.com/office/drawing/2014/chart" uri="{C3380CC4-5D6E-409C-BE32-E72D297353CC}">
              <c16:uniqueId val="{00000005-7BE8-4E40-8915-29A940F5F5A2}"/>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962774835667442"/>
          <c:h val="0.75194595942833931"/>
        </c:manualLayout>
      </c:layout>
      <c:barChart>
        <c:barDir val="col"/>
        <c:grouping val="stacked"/>
        <c:varyColors val="0"/>
        <c:ser>
          <c:idx val="1"/>
          <c:order val="1"/>
          <c:tx>
            <c:strRef>
              <c:f>'G1-SR-příjmy-příspěvky'!$A$35</c:f>
              <c:strCache>
                <c:ptCount val="1"/>
                <c:pt idx="0">
                  <c:v>Other taxes and fees</c:v>
                </c:pt>
              </c:strCache>
            </c:strRef>
          </c:tx>
          <c:spPr>
            <a:solidFill>
              <a:schemeClr val="bg1">
                <a:lumMod val="75000"/>
              </a:schemeClr>
            </a:solidFill>
            <a:ln w="12700">
              <a:noFill/>
              <a:prstDash val="solid"/>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'G1-SR-příjmy-příspěvky'!$D$35:$U$35</c:f>
              <c:numCache>
                <c:formatCode>0.0</c:formatCode>
                <c:ptCount val="18"/>
                <c:pt idx="0">
                  <c:v>0.54595928439234809</c:v>
                </c:pt>
                <c:pt idx="1">
                  <c:v>0.46668473188209714</c:v>
                </c:pt>
                <c:pt idx="2">
                  <c:v>-0.46157268379491312</c:v>
                </c:pt>
                <c:pt idx="3">
                  <c:v>0.4953100331238699</c:v>
                </c:pt>
                <c:pt idx="4">
                  <c:v>1.0955064214410226</c:v>
                </c:pt>
                <c:pt idx="5">
                  <c:v>-0.43477551457132574</c:v>
                </c:pt>
                <c:pt idx="6">
                  <c:v>-8.2653412292815462E-2</c:v>
                </c:pt>
                <c:pt idx="7">
                  <c:v>0.17424975798643591</c:v>
                </c:pt>
                <c:pt idx="8">
                  <c:v>0.53125962426854922</c:v>
                </c:pt>
                <c:pt idx="9">
                  <c:v>0.44522675502175107</c:v>
                </c:pt>
                <c:pt idx="10">
                  <c:v>0.3176936390146764</c:v>
                </c:pt>
                <c:pt idx="11">
                  <c:v>0.37441716268588993</c:v>
                </c:pt>
                <c:pt idx="12">
                  <c:v>0.32332107581403785</c:v>
                </c:pt>
                <c:pt idx="13">
                  <c:v>0.37604522895516257</c:v>
                </c:pt>
                <c:pt idx="14">
                  <c:v>-0.57557094156431787</c:v>
                </c:pt>
                <c:pt idx="15">
                  <c:v>0.78502585428938398</c:v>
                </c:pt>
                <c:pt idx="16">
                  <c:v>2.2309684611061136</c:v>
                </c:pt>
                <c:pt idx="17">
                  <c:v>2.3717980800999805</c:v>
                </c:pt>
              </c:numCache>
            </c:numRef>
          </c:val>
          <c:extLst>
            <c:ext xmlns:c16="http://schemas.microsoft.com/office/drawing/2014/chart" uri="{C3380CC4-5D6E-409C-BE32-E72D297353CC}">
              <c16:uniqueId val="{00000000-E126-42B4-A5F2-23C47FF5D9BD}"/>
            </c:ext>
          </c:extLst>
        </c:ser>
        <c:ser>
          <c:idx val="3"/>
          <c:order val="2"/>
          <c:tx>
            <c:strRef>
              <c:f>'G1-SR-příjmy-příspěvky'!$A$36</c:f>
              <c:strCache>
                <c:ptCount val="1"/>
                <c:pt idx="0">
                  <c:v>Income tax of natural pers. (paid by employees)</c:v>
                </c:pt>
              </c:strCache>
            </c:strRef>
          </c:tx>
          <c:spPr>
            <a:solidFill>
              <a:srgbClr val="EA6C75"/>
            </a:solidFill>
            <a:ln w="19050">
              <a:noFill/>
              <a:prstDash val="sysDot"/>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'G1-SR-příjmy-příspěvky'!$D$36:$U$36</c:f>
              <c:numCache>
                <c:formatCode>0.0</c:formatCode>
                <c:ptCount val="18"/>
                <c:pt idx="0">
                  <c:v>1.9432449105490393</c:v>
                </c:pt>
                <c:pt idx="1">
                  <c:v>-0.95444554842983087</c:v>
                </c:pt>
                <c:pt idx="2">
                  <c:v>-0.92314536758981236</c:v>
                </c:pt>
                <c:pt idx="3">
                  <c:v>-1.8574126242143194E-2</c:v>
                </c:pt>
                <c:pt idx="4">
                  <c:v>0.97823288807528341</c:v>
                </c:pt>
                <c:pt idx="5">
                  <c:v>0.3407011122061081</c:v>
                </c:pt>
                <c:pt idx="6">
                  <c:v>0.88755028507352618</c:v>
                </c:pt>
                <c:pt idx="7">
                  <c:v>0.7744433688286545</c:v>
                </c:pt>
                <c:pt idx="8">
                  <c:v>0.16682065496355428</c:v>
                </c:pt>
                <c:pt idx="9">
                  <c:v>1.7317249948229458</c:v>
                </c:pt>
                <c:pt idx="10">
                  <c:v>2.0602669574906938</c:v>
                </c:pt>
                <c:pt idx="11">
                  <c:v>2.5970084543680887</c:v>
                </c:pt>
                <c:pt idx="12">
                  <c:v>2.4294937952328688</c:v>
                </c:pt>
                <c:pt idx="13">
                  <c:v>-3.0239365905169362</c:v>
                </c:pt>
                <c:pt idx="14">
                  <c:v>-6.0198084538983654</c:v>
                </c:pt>
                <c:pt idx="15">
                  <c:v>1.4133532159550959</c:v>
                </c:pt>
                <c:pt idx="16">
                  <c:v>2.7818509745347071</c:v>
                </c:pt>
                <c:pt idx="17">
                  <c:v>2.0000217898978088</c:v>
                </c:pt>
              </c:numCache>
            </c:numRef>
          </c:val>
          <c:extLst>
            <c:ext xmlns:c16="http://schemas.microsoft.com/office/drawing/2014/chart" uri="{C3380CC4-5D6E-409C-BE32-E72D297353CC}">
              <c16:uniqueId val="{00000001-E126-42B4-A5F2-23C47FF5D9BD}"/>
            </c:ext>
          </c:extLst>
        </c:ser>
        <c:ser>
          <c:idx val="4"/>
          <c:order val="3"/>
          <c:tx>
            <c:strRef>
              <c:f>'G1-SR-příjmy-příspěvky'!$A$37</c:f>
              <c:strCache>
                <c:ptCount val="1"/>
                <c:pt idx="0">
                  <c:v>Income tax of natural persons (other)</c:v>
                </c:pt>
              </c:strCache>
            </c:strRef>
          </c:tx>
          <c:spPr>
            <a:solidFill>
              <a:srgbClr val="FFD757"/>
            </a:solidFill>
            <a:ln w="19050">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'G1-SR-příjmy-příspěvky'!$D$37:$U$37</c:f>
              <c:numCache>
                <c:formatCode>0.0</c:formatCode>
                <c:ptCount val="18"/>
                <c:pt idx="0">
                  <c:v>-0.63541024059222651</c:v>
                </c:pt>
                <c:pt idx="1">
                  <c:v>0.57808689368620692</c:v>
                </c:pt>
                <c:pt idx="2">
                  <c:v>-1.7239461683906123</c:v>
                </c:pt>
                <c:pt idx="3">
                  <c:v>0.49221434541683318</c:v>
                </c:pt>
                <c:pt idx="4">
                  <c:v>-1.1126684019335842</c:v>
                </c:pt>
                <c:pt idx="5">
                  <c:v>0.42798817401098388</c:v>
                </c:pt>
                <c:pt idx="6">
                  <c:v>-0.30355954375479027</c:v>
                </c:pt>
                <c:pt idx="7">
                  <c:v>0.55870557322638448</c:v>
                </c:pt>
                <c:pt idx="8">
                  <c:v>-0.44399958936453698</c:v>
                </c:pt>
                <c:pt idx="9">
                  <c:v>0.98364050528059654</c:v>
                </c:pt>
                <c:pt idx="10">
                  <c:v>3.5562720785226223E-2</c:v>
                </c:pt>
                <c:pt idx="11">
                  <c:v>4.1187947106004243E-2</c:v>
                </c:pt>
                <c:pt idx="12">
                  <c:v>0.44228200802477585</c:v>
                </c:pt>
                <c:pt idx="13">
                  <c:v>-0.70712939587793489</c:v>
                </c:pt>
                <c:pt idx="14">
                  <c:v>1.1905445188146151</c:v>
                </c:pt>
                <c:pt idx="15">
                  <c:v>1.0848278620336691</c:v>
                </c:pt>
                <c:pt idx="16">
                  <c:v>0.87429381000186324</c:v>
                </c:pt>
                <c:pt idx="17">
                  <c:v>0.5650066065402598</c:v>
                </c:pt>
              </c:numCache>
            </c:numRef>
          </c:val>
          <c:extLst>
            <c:ext xmlns:c16="http://schemas.microsoft.com/office/drawing/2014/chart" uri="{C3380CC4-5D6E-409C-BE32-E72D297353CC}">
              <c16:uniqueId val="{00000002-E126-42B4-A5F2-23C47FF5D9BD}"/>
            </c:ext>
          </c:extLst>
        </c:ser>
        <c:ser>
          <c:idx val="2"/>
          <c:order val="4"/>
          <c:tx>
            <c:strRef>
              <c:f>'G1-SR-příjmy-příspěvky'!$A$38</c:f>
              <c:strCache>
                <c:ptCount val="1"/>
                <c:pt idx="0">
                  <c:v>Income tax of legal persons (corporate tax)</c:v>
                </c:pt>
              </c:strCache>
            </c:strRef>
          </c:tx>
          <c:spPr>
            <a:solidFill>
              <a:srgbClr val="F9B073"/>
            </a:solidFill>
            <a:ln>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'G1-SR-příjmy-příspěvky'!$D$38:$U$38</c:f>
              <c:numCache>
                <c:formatCode>0.0</c:formatCode>
                <c:ptCount val="18"/>
                <c:pt idx="0">
                  <c:v>-0.32078963602714067</c:v>
                </c:pt>
                <c:pt idx="1">
                  <c:v>5.9133471833318154</c:v>
                </c:pt>
                <c:pt idx="2">
                  <c:v>-5.8002446891335806</c:v>
                </c:pt>
                <c:pt idx="3">
                  <c:v>2.2877132154908213</c:v>
                </c:pt>
                <c:pt idx="4">
                  <c:v>-3.0948771488229689</c:v>
                </c:pt>
                <c:pt idx="5">
                  <c:v>-0.35196395889060944</c:v>
                </c:pt>
                <c:pt idx="6">
                  <c:v>-0.52038778929392326</c:v>
                </c:pt>
                <c:pt idx="7">
                  <c:v>1.5378232609597551</c:v>
                </c:pt>
                <c:pt idx="8">
                  <c:v>1.5450159121239975</c:v>
                </c:pt>
                <c:pt idx="9">
                  <c:v>2.3012010768275033</c:v>
                </c:pt>
                <c:pt idx="10">
                  <c:v>1.5576471703928481</c:v>
                </c:pt>
                <c:pt idx="11">
                  <c:v>-1.517450682852658E-2</c:v>
                </c:pt>
                <c:pt idx="12">
                  <c:v>1.1964034041960498</c:v>
                </c:pt>
                <c:pt idx="13">
                  <c:v>-4.7390510722411285</c:v>
                </c:pt>
                <c:pt idx="14">
                  <c:v>8.0545419061014698</c:v>
                </c:pt>
                <c:pt idx="15">
                  <c:v>3.4196071209305705</c:v>
                </c:pt>
                <c:pt idx="16">
                  <c:v>5.0089986951406535</c:v>
                </c:pt>
                <c:pt idx="17">
                  <c:v>0.33728578848166746</c:v>
                </c:pt>
              </c:numCache>
            </c:numRef>
          </c:val>
          <c:extLst>
            <c:ext xmlns:c16="http://schemas.microsoft.com/office/drawing/2014/chart" uri="{C3380CC4-5D6E-409C-BE32-E72D297353CC}">
              <c16:uniqueId val="{00000003-E126-42B4-A5F2-23C47FF5D9BD}"/>
            </c:ext>
          </c:extLst>
        </c:ser>
        <c:ser>
          <c:idx val="5"/>
          <c:order val="5"/>
          <c:tx>
            <c:strRef>
              <c:f>'G1-SR-příjmy-příspěvky'!$A$39</c:f>
              <c:strCache>
                <c:ptCount val="1"/>
                <c:pt idx="0">
                  <c:v>Consumption tax</c:v>
                </c:pt>
              </c:strCache>
            </c:strRef>
          </c:tx>
          <c:spPr>
            <a:solidFill>
              <a:srgbClr val="00B050"/>
            </a:solidFill>
            <a:ln>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'G1-SR-příjmy-příspěvky'!$D$39:$U$39</c:f>
              <c:numCache>
                <c:formatCode>0.0</c:formatCode>
                <c:ptCount val="18"/>
                <c:pt idx="0">
                  <c:v>-2.8439235040098643</c:v>
                </c:pt>
                <c:pt idx="1">
                  <c:v>0.5961521091139016</c:v>
                </c:pt>
                <c:pt idx="2">
                  <c:v>-0.78411745078411788</c:v>
                </c:pt>
                <c:pt idx="3">
                  <c:v>2.1855555211590243</c:v>
                </c:pt>
                <c:pt idx="4">
                  <c:v>1.2127799548067861</c:v>
                </c:pt>
                <c:pt idx="5">
                  <c:v>-0.51809094748697793</c:v>
                </c:pt>
                <c:pt idx="6">
                  <c:v>-0.60422804423572385</c:v>
                </c:pt>
                <c:pt idx="7">
                  <c:v>1.9416401604204083</c:v>
                </c:pt>
                <c:pt idx="8">
                  <c:v>-0.71604558053587108</c:v>
                </c:pt>
                <c:pt idx="9">
                  <c:v>1.4107475667840153</c:v>
                </c:pt>
                <c:pt idx="10">
                  <c:v>0.1446217311932477</c:v>
                </c:pt>
                <c:pt idx="11">
                  <c:v>0.1517450682852812</c:v>
                </c:pt>
                <c:pt idx="12">
                  <c:v>0.59514445319462628</c:v>
                </c:pt>
                <c:pt idx="13">
                  <c:v>-1.0191471511484198</c:v>
                </c:pt>
                <c:pt idx="14">
                  <c:v>-1.71432256636205</c:v>
                </c:pt>
                <c:pt idx="15">
                  <c:v>2.2001267292613349</c:v>
                </c:pt>
                <c:pt idx="16">
                  <c:v>-1.0170175871507856</c:v>
                </c:pt>
                <c:pt idx="17">
                  <c:v>1.1174683098590452</c:v>
                </c:pt>
              </c:numCache>
            </c:numRef>
          </c:val>
          <c:extLst>
            <c:ext xmlns:c16="http://schemas.microsoft.com/office/drawing/2014/chart" uri="{C3380CC4-5D6E-409C-BE32-E72D297353CC}">
              <c16:uniqueId val="{00000004-E126-42B4-A5F2-23C47FF5D9BD}"/>
            </c:ext>
          </c:extLst>
        </c:ser>
        <c:ser>
          <c:idx val="6"/>
          <c:order val="6"/>
          <c:tx>
            <c:strRef>
              <c:f>'G1-SR-příjmy-příspěvky'!$A$40</c:f>
              <c:strCache>
                <c:ptCount val="1"/>
                <c:pt idx="0">
                  <c:v>VAT</c:v>
                </c:pt>
              </c:strCache>
            </c:strRef>
          </c:tx>
          <c:spPr>
            <a:solidFill>
              <a:schemeClr val="accent5">
                <a:lumMod val="60000"/>
                <a:lumOff val="40000"/>
              </a:schemeClr>
            </a:solidFill>
            <a:ln w="19050">
              <a:noFill/>
            </a:ln>
          </c:spPr>
          <c:invertIfNegative val="0"/>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'G1-SR-příjmy-příspěvky'!$D$40:$U$40</c:f>
              <c:numCache>
                <c:formatCode>0.0</c:formatCode>
                <c:ptCount val="18"/>
                <c:pt idx="0">
                  <c:v>3.7569401603948127</c:v>
                </c:pt>
                <c:pt idx="1">
                  <c:v>1.6830759040134873</c:v>
                </c:pt>
                <c:pt idx="2">
                  <c:v>-0.48659770881993125</c:v>
                </c:pt>
                <c:pt idx="3">
                  <c:v>2.7861189363217034</c:v>
                </c:pt>
                <c:pt idx="4">
                  <c:v>2.5056491519121256</c:v>
                </c:pt>
                <c:pt idx="5">
                  <c:v>-2.0695480782767817</c:v>
                </c:pt>
                <c:pt idx="6">
                  <c:v>5.1489480707359938</c:v>
                </c:pt>
                <c:pt idx="7">
                  <c:v>2.7824643894343764</c:v>
                </c:pt>
                <c:pt idx="8">
                  <c:v>-1.9351195975772322</c:v>
                </c:pt>
                <c:pt idx="9">
                  <c:v>2.3089666597639251</c:v>
                </c:pt>
                <c:pt idx="10">
                  <c:v>5.2514284359515422</c:v>
                </c:pt>
                <c:pt idx="11">
                  <c:v>3.2104920875785794</c:v>
                </c:pt>
                <c:pt idx="12">
                  <c:v>1.1536019195484921</c:v>
                </c:pt>
                <c:pt idx="13">
                  <c:v>-2.336937549422708</c:v>
                </c:pt>
                <c:pt idx="14">
                  <c:v>3.7083912152981675</c:v>
                </c:pt>
                <c:pt idx="15">
                  <c:v>9.7528438385958296</c:v>
                </c:pt>
                <c:pt idx="16">
                  <c:v>2.6897010351263342</c:v>
                </c:pt>
                <c:pt idx="17">
                  <c:v>1.2934709414281154</c:v>
                </c:pt>
              </c:numCache>
            </c:numRef>
          </c:val>
          <c:extLst>
            <c:ext xmlns:c16="http://schemas.microsoft.com/office/drawing/2014/chart" uri="{C3380CC4-5D6E-409C-BE32-E72D297353CC}">
              <c16:uniqueId val="{00000005-E126-42B4-A5F2-23C47FF5D9BD}"/>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'G1-SR-příjmy-příspěvky'!$A$34</c:f>
              <c:strCache>
                <c:ptCount val="1"/>
                <c:pt idx="0">
                  <c:v>Total tax income (without SS insurance)</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'G1-SR-příjmy-příspěvky'!$D$34:$U$34</c:f>
              <c:numCache>
                <c:formatCode>0.0</c:formatCode>
                <c:ptCount val="18"/>
                <c:pt idx="0">
                  <c:v>2.4460209747069683</c:v>
                </c:pt>
                <c:pt idx="1">
                  <c:v>8.2829012735976733</c:v>
                </c:pt>
                <c:pt idx="2">
                  <c:v>-10.179624068512965</c:v>
                </c:pt>
                <c:pt idx="3">
                  <c:v>8.228337925270111</c:v>
                </c:pt>
                <c:pt idx="4">
                  <c:v>1.5846228654786643</c:v>
                </c:pt>
                <c:pt idx="5">
                  <c:v>-2.6056892130086027</c:v>
                </c:pt>
                <c:pt idx="6">
                  <c:v>4.525669566232267</c:v>
                </c:pt>
                <c:pt idx="7">
                  <c:v>7.7693265108560183</c:v>
                </c:pt>
                <c:pt idx="8">
                  <c:v>-0.85206857612153897</c:v>
                </c:pt>
                <c:pt idx="9">
                  <c:v>9.1815075585007406</c:v>
                </c:pt>
                <c:pt idx="10">
                  <c:v>9.3672206548282304</c:v>
                </c:pt>
                <c:pt idx="11">
                  <c:v>6.3596762131953142</c:v>
                </c:pt>
                <c:pt idx="12">
                  <c:v>6.1402466560108451</c:v>
                </c:pt>
                <c:pt idx="13">
                  <c:v>-11.450156530251959</c:v>
                </c:pt>
                <c:pt idx="14">
                  <c:v>4.6437756783895168</c:v>
                </c:pt>
                <c:pt idx="15">
                  <c:v>18.655784621065891</c:v>
                </c:pt>
                <c:pt idx="16">
                  <c:v>12.568795388758886</c:v>
                </c:pt>
                <c:pt idx="17">
                  <c:v>7.6850515163068707</c:v>
                </c:pt>
              </c:numCache>
            </c:numRef>
          </c:val>
          <c:smooth val="0"/>
          <c:extLst>
            <c:ext xmlns:c16="http://schemas.microsoft.com/office/drawing/2014/chart" uri="{C3380CC4-5D6E-409C-BE32-E72D297353CC}">
              <c16:uniqueId val="{00000006-E126-42B4-A5F2-23C47FF5D9BD}"/>
            </c:ext>
          </c:extLst>
        </c:ser>
        <c:ser>
          <c:idx val="7"/>
          <c:order val="7"/>
          <c:tx>
            <c:strRef>
              <c:f>'G1-SR-příjmy-příspěvky'!$A$41</c:f>
              <c:strCache>
                <c:ptCount val="1"/>
                <c:pt idx="0">
                  <c:v>Social security (SS) insurance revenues*</c:v>
                </c:pt>
              </c:strCache>
            </c:strRef>
          </c:tx>
          <c:spPr>
            <a:ln w="6350">
              <a:noFill/>
              <a:prstDash val="dash"/>
            </a:ln>
          </c:spPr>
          <c:marker>
            <c:symbol val="triangle"/>
            <c:size val="5"/>
            <c:spPr>
              <a:solidFill>
                <a:schemeClr val="bg1"/>
              </a:solidFill>
              <a:ln>
                <a:solidFill>
                  <a:schemeClr val="tx1">
                    <a:lumMod val="95000"/>
                    <a:lumOff val="5000"/>
                  </a:schemeClr>
                </a:solidFill>
              </a:ln>
            </c:spPr>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'G1-SR-příjmy-příspěvky'!$D$41:$U$41</c:f>
              <c:numCache>
                <c:formatCode>0.0</c:formatCode>
                <c:ptCount val="18"/>
                <c:pt idx="0">
                  <c:v>10.327204736678098</c:v>
                </c:pt>
                <c:pt idx="1">
                  <c:v>8.1233758897299708</c:v>
                </c:pt>
                <c:pt idx="2">
                  <c:v>-5.971786833855802</c:v>
                </c:pt>
                <c:pt idx="3">
                  <c:v>-3.2894371284102846</c:v>
                </c:pt>
                <c:pt idx="4">
                  <c:v>3.774777362826768</c:v>
                </c:pt>
                <c:pt idx="5">
                  <c:v>2.746096777765473</c:v>
                </c:pt>
                <c:pt idx="6">
                  <c:v>-0.75439163702985468</c:v>
                </c:pt>
                <c:pt idx="7">
                  <c:v>2.6441524595504546</c:v>
                </c:pt>
                <c:pt idx="8">
                  <c:v>5.4747421317111673</c:v>
                </c:pt>
                <c:pt idx="9">
                  <c:v>5.8826479438314863</c:v>
                </c:pt>
                <c:pt idx="10">
                  <c:v>7.9619191967034624</c:v>
                </c:pt>
                <c:pt idx="11">
                  <c:v>10.511538124067727</c:v>
                </c:pt>
                <c:pt idx="12">
                  <c:v>8.4358872568479342</c:v>
                </c:pt>
                <c:pt idx="13">
                  <c:v>-1.0433827567270555</c:v>
                </c:pt>
                <c:pt idx="14">
                  <c:v>7.8061413244543019</c:v>
                </c:pt>
                <c:pt idx="15">
                  <c:v>6.4077909917776452</c:v>
                </c:pt>
                <c:pt idx="16">
                  <c:v>9.4923807304041503</c:v>
                </c:pt>
                <c:pt idx="17">
                  <c:v>8.9637092838869421</c:v>
                </c:pt>
              </c:numCache>
            </c:numRef>
          </c:val>
          <c:smooth val="0"/>
          <c:extLst>
            <c:ext xmlns:c16="http://schemas.microsoft.com/office/drawing/2014/chart" uri="{C3380CC4-5D6E-409C-BE32-E72D297353CC}">
              <c16:uniqueId val="{00000007-E126-42B4-A5F2-23C47FF5D9BD}"/>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State budget balance</c:v>
                </c:pt>
              </c:strCache>
            </c:strRef>
          </c:tx>
          <c:spPr>
            <a:ln w="19050">
              <a:solidFill>
                <a:schemeClr val="bg2">
                  <a:lumMod val="50000"/>
                </a:schemeClr>
              </a:solidFill>
            </a:ln>
          </c:spPr>
          <c:marker>
            <c:symbol val="none"/>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'G1-SR-příjmy-příspěvky'!$D$42:$U$42</c:f>
              <c:numCache>
                <c:formatCode>#\ ##0.0</c:formatCode>
                <c:ptCount val="18"/>
                <c:pt idx="0">
                  <c:v>1.2749999999999999</c:v>
                </c:pt>
                <c:pt idx="1">
                  <c:v>-5.6520000000000001</c:v>
                </c:pt>
                <c:pt idx="2">
                  <c:v>-68.259</c:v>
                </c:pt>
                <c:pt idx="3">
                  <c:v>-75.662000000000006</c:v>
                </c:pt>
                <c:pt idx="4">
                  <c:v>-62.856000000000002</c:v>
                </c:pt>
                <c:pt idx="5">
                  <c:v>-71.721999999999994</c:v>
                </c:pt>
                <c:pt idx="6">
                  <c:v>-31.52</c:v>
                </c:pt>
                <c:pt idx="7">
                  <c:v>1.45</c:v>
                </c:pt>
                <c:pt idx="8">
                  <c:v>22.65</c:v>
                </c:pt>
                <c:pt idx="9">
                  <c:v>40.65</c:v>
                </c:pt>
                <c:pt idx="10">
                  <c:v>4.62</c:v>
                </c:pt>
                <c:pt idx="11">
                  <c:v>-5.88</c:v>
                </c:pt>
                <c:pt idx="12">
                  <c:v>-20.68</c:v>
                </c:pt>
                <c:pt idx="13">
                  <c:v>-195.24722774568022</c:v>
                </c:pt>
                <c:pt idx="14">
                  <c:v>-265.05468517270992</c:v>
                </c:pt>
                <c:pt idx="15">
                  <c:v>-182.95611616665974</c:v>
                </c:pt>
                <c:pt idx="16">
                  <c:v>-215.35088808857938</c:v>
                </c:pt>
                <c:pt idx="17">
                  <c:v>-178.61262887817998</c:v>
                </c:pt>
              </c:numCache>
            </c:numRef>
          </c:val>
          <c:smooth val="0"/>
          <c:extLst>
            <c:ext xmlns:c16="http://schemas.microsoft.com/office/drawing/2014/chart" uri="{C3380CC4-5D6E-409C-BE32-E72D297353CC}">
              <c16:uniqueId val="{00000008-E126-42B4-A5F2-23C47FF5D9BD}"/>
            </c:ext>
          </c:extLst>
        </c:ser>
        <c:ser>
          <c:idx val="9"/>
          <c:order val="9"/>
          <c:tx>
            <c:strRef>
              <c:f>'G1-SR-příjmy-příspěvky'!$A$43</c:f>
              <c:strCache>
                <c:ptCount val="1"/>
                <c:pt idx="0">
                  <c:v>SB balance adjusted for EU and FM effect**</c:v>
                </c:pt>
              </c:strCache>
            </c:strRef>
          </c:tx>
          <c:spPr>
            <a:ln w="19050">
              <a:solidFill>
                <a:schemeClr val="bg2">
                  <a:lumMod val="50000"/>
                </a:schemeClr>
              </a:solidFill>
              <a:prstDash val="sysDash"/>
            </a:ln>
          </c:spPr>
          <c:marker>
            <c:symbol val="none"/>
          </c:marker>
          <c:cat>
            <c:numRef>
              <c:f>'G1-SR-příjmy-příspěvky'!$D$33:$U$33</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'G1-SR-příjmy-příspěvky'!$D$43:$U$43</c:f>
              <c:numCache>
                <c:formatCode>General</c:formatCode>
                <c:ptCount val="18"/>
                <c:pt idx="6" formatCode="#\ ##0.0">
                  <c:v>-69.3</c:v>
                </c:pt>
                <c:pt idx="7" formatCode="#\ ##0.0">
                  <c:v>-42.6</c:v>
                </c:pt>
                <c:pt idx="8" formatCode="#\ ##0.0">
                  <c:v>-47.7</c:v>
                </c:pt>
                <c:pt idx="9" formatCode="#\ ##0.0">
                  <c:v>-30.8</c:v>
                </c:pt>
                <c:pt idx="10" formatCode="#\ ##0.0">
                  <c:v>-13.2</c:v>
                </c:pt>
                <c:pt idx="11" formatCode="#\ ##0.0">
                  <c:v>-28.4</c:v>
                </c:pt>
                <c:pt idx="12" formatCode="#\ ##0.0">
                  <c:v>-22.810324545670142</c:v>
                </c:pt>
                <c:pt idx="13" formatCode="#\ ##0.0">
                  <c:v>-195.76510804611019</c:v>
                </c:pt>
                <c:pt idx="14" formatCode="#\ ##0.0">
                  <c:v>-269.57233075196996</c:v>
                </c:pt>
                <c:pt idx="15" formatCode="#\ ##0.0">
                  <c:v>-182.84126075267977</c:v>
                </c:pt>
                <c:pt idx="16" formatCode="#\ ##0.0">
                  <c:v>-250.87933408266929</c:v>
                </c:pt>
                <c:pt idx="17" formatCode="#\ ##0.0">
                  <c:v>-190.20212803307982</c:v>
                </c:pt>
              </c:numCache>
            </c:numRef>
          </c:val>
          <c:smooth val="0"/>
          <c:extLst>
            <c:ext xmlns:c16="http://schemas.microsoft.com/office/drawing/2014/chart" uri="{C3380CC4-5D6E-409C-BE32-E72D297353CC}">
              <c16:uniqueId val="{00000009-E126-42B4-A5F2-23C47FF5D9BD}"/>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4"/>
          <c:min val="-24"/>
        </c:scaling>
        <c:delete val="0"/>
        <c:axPos val="l"/>
        <c:majorGridlines>
          <c:spPr>
            <a:ln w="6350">
              <a:solidFill>
                <a:schemeClr val="bg1">
                  <a:lumMod val="75000"/>
                </a:schemeClr>
              </a:solidFill>
            </a:ln>
          </c:spPr>
        </c:majorGridlines>
        <c:title>
          <c:tx>
            <c:rich>
              <a:bodyPr/>
              <a:lstStyle/>
              <a:p>
                <a:pPr>
                  <a:defRPr b="0"/>
                </a:pPr>
                <a:r>
                  <a:rPr lang="cs-CZ" b="0"/>
                  <a:t>Contribution to</a:t>
                </a:r>
                <a:r>
                  <a:rPr lang="cs-CZ" b="0" baseline="0"/>
                  <a:t> the</a:t>
                </a:r>
                <a:r>
                  <a:rPr lang="cs-CZ" b="0"/>
                  <a:t> growth of tax income, Insurance revenues</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300"/>
          <c:min val="-300"/>
        </c:scaling>
        <c:delete val="0"/>
        <c:axPos val="r"/>
        <c:title>
          <c:tx>
            <c:rich>
              <a:bodyPr/>
              <a:lstStyle/>
              <a:p>
                <a:pPr>
                  <a:defRPr b="0"/>
                </a:pPr>
                <a:r>
                  <a:rPr lang="cs-CZ" b="0"/>
                  <a:t>State budget balance</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7229983176286069E-3"/>
          <c:y val="0.84262968908968383"/>
          <c:w val="0.99194202768122286"/>
          <c:h val="0.15368252151393277"/>
        </c:manualLayout>
      </c:layout>
      <c:overlay val="0"/>
      <c:spPr>
        <a:ln w="6350">
          <a:solidFill>
            <a:schemeClr val="tx1"/>
          </a:solidFill>
        </a:ln>
      </c:spPr>
      <c:txPr>
        <a:bodyPr/>
        <a:lstStyle/>
        <a:p>
          <a:pPr>
            <a:defRPr sz="70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'G2-St.rozpočet-výdaje-2024'!$B$31</c:f>
              <c:strCache>
                <c:ptCount val="1"/>
                <c:pt idx="0">
                  <c:v>Total current expenditures (right axis)</c:v>
                </c:pt>
              </c:strCache>
            </c:strRef>
          </c:tx>
          <c:spPr>
            <a:solidFill>
              <a:srgbClr val="E8E8E8"/>
            </a:solidFill>
            <a:ln w="6350">
              <a:solidFill>
                <a:schemeClr val="bg1">
                  <a:lumMod val="65000"/>
                </a:schemeClr>
              </a:solidFill>
            </a:ln>
          </c:spPr>
          <c:invertIfNegative val="0"/>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'G2-St.rozpočet-výdaje-2024'!$B$34:$B$51</c:f>
              <c:numCache>
                <c:formatCode>0.0</c:formatCode>
                <c:ptCount val="18"/>
                <c:pt idx="0">
                  <c:v>455.274</c:v>
                </c:pt>
                <c:pt idx="1">
                  <c:v>488.71899999999999</c:v>
                </c:pt>
                <c:pt idx="2">
                  <c:v>523.79999999999995</c:v>
                </c:pt>
                <c:pt idx="3">
                  <c:v>527.73400000000004</c:v>
                </c:pt>
                <c:pt idx="4">
                  <c:v>523.22</c:v>
                </c:pt>
                <c:pt idx="5">
                  <c:v>534.42999999999995</c:v>
                </c:pt>
                <c:pt idx="6">
                  <c:v>544.65</c:v>
                </c:pt>
                <c:pt idx="7">
                  <c:v>552.71100000000001</c:v>
                </c:pt>
                <c:pt idx="8">
                  <c:v>564.13</c:v>
                </c:pt>
                <c:pt idx="9">
                  <c:v>575.57000000000005</c:v>
                </c:pt>
                <c:pt idx="10">
                  <c:v>609.53</c:v>
                </c:pt>
                <c:pt idx="11">
                  <c:v>660.76</c:v>
                </c:pt>
                <c:pt idx="12">
                  <c:v>718.74153402592015</c:v>
                </c:pt>
                <c:pt idx="13">
                  <c:v>829.93717826878003</c:v>
                </c:pt>
                <c:pt idx="14">
                  <c:v>918.12541435127969</c:v>
                </c:pt>
                <c:pt idx="15">
                  <c:v>901.965444488</c:v>
                </c:pt>
                <c:pt idx="16">
                  <c:v>1053.4689293659701</c:v>
                </c:pt>
                <c:pt idx="17">
                  <c:v>1058.3205585786502</c:v>
                </c:pt>
              </c:numCache>
            </c:numRef>
          </c:val>
          <c:extLst>
            <c:ext xmlns:c16="http://schemas.microsoft.com/office/drawing/2014/chart" uri="{C3380CC4-5D6E-409C-BE32-E72D297353CC}">
              <c16:uniqueId val="{00000000-57F0-4441-BEE1-4469DF47CC5B}"/>
            </c:ext>
          </c:extLst>
        </c:ser>
        <c:ser>
          <c:idx val="1"/>
          <c:order val="1"/>
          <c:tx>
            <c:strRef>
              <c:f>'G2-St.rozpočet-výdaje-2024'!$C$31</c:f>
              <c:strCache>
                <c:ptCount val="1"/>
                <c:pt idx="0">
                  <c:v>In that expend. on pensions (right axis)</c:v>
                </c:pt>
              </c:strCache>
            </c:strRef>
          </c:tx>
          <c:spPr>
            <a:solidFill>
              <a:schemeClr val="bg1">
                <a:lumMod val="75000"/>
              </a:schemeClr>
            </a:solidFill>
            <a:ln w="6350">
              <a:solidFill>
                <a:schemeClr val="bg1">
                  <a:lumMod val="75000"/>
                </a:schemeClr>
              </a:solidFill>
            </a:ln>
          </c:spPr>
          <c:invertIfNegative val="0"/>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'G2-St.rozpočet-výdaje-2024'!$C$34:$C$51</c:f>
              <c:numCache>
                <c:formatCode>0.0</c:formatCode>
                <c:ptCount val="18"/>
                <c:pt idx="0">
                  <c:v>139.249</c:v>
                </c:pt>
                <c:pt idx="1">
                  <c:v>147.84299999999999</c:v>
                </c:pt>
                <c:pt idx="2">
                  <c:v>165.148</c:v>
                </c:pt>
                <c:pt idx="3">
                  <c:v>169.67400000000001</c:v>
                </c:pt>
                <c:pt idx="4">
                  <c:v>181.59700000000001</c:v>
                </c:pt>
                <c:pt idx="5">
                  <c:v>187.47399999999999</c:v>
                </c:pt>
                <c:pt idx="6">
                  <c:v>184.07900000000001</c:v>
                </c:pt>
                <c:pt idx="7">
                  <c:v>184.58799999999999</c:v>
                </c:pt>
                <c:pt idx="8">
                  <c:v>189.53800000000001</c:v>
                </c:pt>
                <c:pt idx="9">
                  <c:v>197.32599999999999</c:v>
                </c:pt>
                <c:pt idx="10">
                  <c:v>210.6</c:v>
                </c:pt>
                <c:pt idx="11">
                  <c:v>218.4</c:v>
                </c:pt>
                <c:pt idx="12">
                  <c:v>234.8</c:v>
                </c:pt>
                <c:pt idx="13">
                  <c:v>253.4</c:v>
                </c:pt>
                <c:pt idx="14">
                  <c:v>267.63183364664002</c:v>
                </c:pt>
                <c:pt idx="15">
                  <c:v>285.69003688876995</c:v>
                </c:pt>
                <c:pt idx="16">
                  <c:v>342.02983024820003</c:v>
                </c:pt>
                <c:pt idx="17">
                  <c:v>356.69828906272005</c:v>
                </c:pt>
              </c:numCache>
            </c:numRef>
          </c:val>
          <c:extLst>
            <c:ext xmlns:c16="http://schemas.microsoft.com/office/drawing/2014/chart" uri="{C3380CC4-5D6E-409C-BE32-E72D297353CC}">
              <c16:uniqueId val="{00000001-57F0-4441-BEE1-4469DF47CC5B}"/>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Wages of employees in public admin.*</c:v>
                </c:pt>
              </c:strCache>
            </c:strRef>
          </c:tx>
          <c:spPr>
            <a:ln w="15875">
              <a:solidFill>
                <a:srgbClr val="D5D00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'G2-St.rozpočet-výdaje-2024'!$D$34:$D$51</c:f>
              <c:numCache>
                <c:formatCode>0.0</c:formatCode>
                <c:ptCount val="18"/>
                <c:pt idx="0">
                  <c:v>37.92</c:v>
                </c:pt>
                <c:pt idx="1">
                  <c:v>37.729999999999997</c:v>
                </c:pt>
                <c:pt idx="2">
                  <c:v>38.979999999999997</c:v>
                </c:pt>
                <c:pt idx="3">
                  <c:v>39.36</c:v>
                </c:pt>
                <c:pt idx="4">
                  <c:v>35.700000000000003</c:v>
                </c:pt>
                <c:pt idx="5">
                  <c:v>36.299999999999997</c:v>
                </c:pt>
                <c:pt idx="6">
                  <c:v>36.880000000000003</c:v>
                </c:pt>
                <c:pt idx="7">
                  <c:v>38.090000000000003</c:v>
                </c:pt>
                <c:pt idx="8">
                  <c:v>41.88</c:v>
                </c:pt>
                <c:pt idx="9">
                  <c:v>43.22</c:v>
                </c:pt>
                <c:pt idx="10">
                  <c:v>46.52</c:v>
                </c:pt>
                <c:pt idx="11">
                  <c:v>53.13</c:v>
                </c:pt>
                <c:pt idx="12">
                  <c:v>57.572759809109989</c:v>
                </c:pt>
                <c:pt idx="13">
                  <c:v>60.066088983770015</c:v>
                </c:pt>
                <c:pt idx="14">
                  <c:v>60.729182157669975</c:v>
                </c:pt>
                <c:pt idx="15">
                  <c:v>60.899295771150001</c:v>
                </c:pt>
                <c:pt idx="16">
                  <c:v>67.133004954479986</c:v>
                </c:pt>
                <c:pt idx="17">
                  <c:v>67.639216400069998</c:v>
                </c:pt>
              </c:numCache>
            </c:numRef>
          </c:val>
          <c:smooth val="0"/>
          <c:extLst>
            <c:ext xmlns:c16="http://schemas.microsoft.com/office/drawing/2014/chart" uri="{C3380CC4-5D6E-409C-BE32-E72D297353CC}">
              <c16:uniqueId val="{00000002-57F0-4441-BEE1-4469DF47CC5B}"/>
            </c:ext>
          </c:extLst>
        </c:ser>
        <c:ser>
          <c:idx val="7"/>
          <c:order val="3"/>
          <c:tx>
            <c:strRef>
              <c:f>'G2-St.rozpočet-výdaje-2024'!$E$31</c:f>
              <c:strCache>
                <c:ptCount val="1"/>
                <c:pt idx="0">
                  <c:v>Unemployment benefits</c:v>
                </c:pt>
              </c:strCache>
            </c:strRef>
          </c:tx>
          <c:spPr>
            <a:ln w="15875">
              <a:solidFill>
                <a:srgbClr val="996633"/>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'G2-St.rozpočet-výdaje-2024'!$E$34:$E$51</c:f>
              <c:numCache>
                <c:formatCode>0.0</c:formatCode>
                <c:ptCount val="18"/>
                <c:pt idx="0">
                  <c:v>3.78</c:v>
                </c:pt>
                <c:pt idx="1">
                  <c:v>3.56</c:v>
                </c:pt>
                <c:pt idx="2">
                  <c:v>7.3049999999999997</c:v>
                </c:pt>
                <c:pt idx="3">
                  <c:v>7.77</c:v>
                </c:pt>
                <c:pt idx="4">
                  <c:v>6.2279999999999998</c:v>
                </c:pt>
                <c:pt idx="5">
                  <c:v>4.8410000000000002</c:v>
                </c:pt>
                <c:pt idx="6">
                  <c:v>5.3579999999999997</c:v>
                </c:pt>
                <c:pt idx="7">
                  <c:v>5.2690000000000001</c:v>
                </c:pt>
                <c:pt idx="8">
                  <c:v>4.6150000000000002</c:v>
                </c:pt>
                <c:pt idx="9">
                  <c:v>4.4829999999999997</c:v>
                </c:pt>
                <c:pt idx="10">
                  <c:v>4.3310000000000004</c:v>
                </c:pt>
                <c:pt idx="11">
                  <c:v>3.98</c:v>
                </c:pt>
                <c:pt idx="12">
                  <c:v>4.2361097359899995</c:v>
                </c:pt>
                <c:pt idx="13">
                  <c:v>5.1359402661699995</c:v>
                </c:pt>
                <c:pt idx="14">
                  <c:v>5.4746733001600001</c:v>
                </c:pt>
                <c:pt idx="15">
                  <c:v>5.0591815394900008</c:v>
                </c:pt>
                <c:pt idx="16">
                  <c:v>5.3895512285600002</c:v>
                </c:pt>
                <c:pt idx="17">
                  <c:v>6.52299844755</c:v>
                </c:pt>
              </c:numCache>
            </c:numRef>
          </c:val>
          <c:smooth val="0"/>
          <c:extLst>
            <c:ext xmlns:c16="http://schemas.microsoft.com/office/drawing/2014/chart" uri="{C3380CC4-5D6E-409C-BE32-E72D297353CC}">
              <c16:uniqueId val="{00000003-57F0-4441-BEE1-4469DF47CC5B}"/>
            </c:ext>
          </c:extLst>
        </c:ser>
        <c:ser>
          <c:idx val="2"/>
          <c:order val="4"/>
          <c:tx>
            <c:strRef>
              <c:f>'G2-St.rozpočet-výdaje-2024'!$F$31</c:f>
              <c:strCache>
                <c:ptCount val="1"/>
                <c:pt idx="0">
                  <c:v>State social support**</c:v>
                </c:pt>
              </c:strCache>
            </c:strRef>
          </c:tx>
          <c:spPr>
            <a:ln w="15875">
              <a:solidFill>
                <a:srgbClr val="C0000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'G2-St.rozpočet-výdaje-2024'!$F$34:$F$51</c:f>
              <c:numCache>
                <c:formatCode>0.0</c:formatCode>
                <c:ptCount val="18"/>
                <c:pt idx="0">
                  <c:v>23.83</c:v>
                </c:pt>
                <c:pt idx="1">
                  <c:v>21.52</c:v>
                </c:pt>
                <c:pt idx="2">
                  <c:v>20.594999999999999</c:v>
                </c:pt>
                <c:pt idx="3">
                  <c:v>20.64</c:v>
                </c:pt>
                <c:pt idx="4">
                  <c:v>18.405999999999999</c:v>
                </c:pt>
                <c:pt idx="5">
                  <c:v>17.881</c:v>
                </c:pt>
                <c:pt idx="6">
                  <c:v>18.681999999999999</c:v>
                </c:pt>
                <c:pt idx="7">
                  <c:v>18.91</c:v>
                </c:pt>
                <c:pt idx="8">
                  <c:v>18.873999999999999</c:v>
                </c:pt>
                <c:pt idx="9">
                  <c:v>18.963999999999999</c:v>
                </c:pt>
                <c:pt idx="10">
                  <c:v>18.742000000000001</c:v>
                </c:pt>
                <c:pt idx="11">
                  <c:v>19.53</c:v>
                </c:pt>
                <c:pt idx="12">
                  <c:v>19.01942501061</c:v>
                </c:pt>
                <c:pt idx="13">
                  <c:v>25.639216971080003</c:v>
                </c:pt>
                <c:pt idx="14">
                  <c:v>24.53789922679</c:v>
                </c:pt>
                <c:pt idx="15">
                  <c:v>24.165766431880002</c:v>
                </c:pt>
                <c:pt idx="16">
                  <c:v>29.478257635930003</c:v>
                </c:pt>
                <c:pt idx="17">
                  <c:v>30.01827351651</c:v>
                </c:pt>
              </c:numCache>
            </c:numRef>
          </c:val>
          <c:smooth val="0"/>
          <c:extLst>
            <c:ext xmlns:c16="http://schemas.microsoft.com/office/drawing/2014/chart" uri="{C3380CC4-5D6E-409C-BE32-E72D297353CC}">
              <c16:uniqueId val="{00000004-57F0-4441-BEE1-4469DF47CC5B}"/>
            </c:ext>
          </c:extLst>
        </c:ser>
        <c:ser>
          <c:idx val="3"/>
          <c:order val="5"/>
          <c:tx>
            <c:strRef>
              <c:f>'G2-St.rozpočet-výdaje-2024'!$G$31</c:f>
              <c:strCache>
                <c:ptCount val="1"/>
                <c:pt idx="0">
                  <c:v>Sickness benefits</c:v>
                </c:pt>
              </c:strCache>
            </c:strRef>
          </c:tx>
          <c:spPr>
            <a:ln w="15875">
              <a:solidFill>
                <a:srgbClr val="00B0F0"/>
              </a:solidFill>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'G2-St.rozpočet-výdaje-2024'!$G$34:$G$51</c:f>
              <c:numCache>
                <c:formatCode>0.00</c:formatCode>
                <c:ptCount val="18"/>
                <c:pt idx="0">
                  <c:v>18.398</c:v>
                </c:pt>
                <c:pt idx="1">
                  <c:v>16.734000000000002</c:v>
                </c:pt>
                <c:pt idx="2">
                  <c:v>14.089</c:v>
                </c:pt>
                <c:pt idx="3">
                  <c:v>11.56</c:v>
                </c:pt>
                <c:pt idx="4">
                  <c:v>11.773</c:v>
                </c:pt>
                <c:pt idx="5">
                  <c:v>10.244</c:v>
                </c:pt>
                <c:pt idx="6">
                  <c:v>10.609</c:v>
                </c:pt>
                <c:pt idx="7">
                  <c:v>11.201000000000001</c:v>
                </c:pt>
                <c:pt idx="8">
                  <c:v>12.429</c:v>
                </c:pt>
                <c:pt idx="9">
                  <c:v>13.566000000000001</c:v>
                </c:pt>
                <c:pt idx="10">
                  <c:v>14.757999999999999</c:v>
                </c:pt>
                <c:pt idx="11">
                  <c:v>17.3</c:v>
                </c:pt>
                <c:pt idx="12">
                  <c:v>19.93</c:v>
                </c:pt>
                <c:pt idx="13">
                  <c:v>30.15</c:v>
                </c:pt>
                <c:pt idx="14">
                  <c:v>28.65</c:v>
                </c:pt>
                <c:pt idx="15">
                  <c:v>25.56</c:v>
                </c:pt>
                <c:pt idx="16">
                  <c:v>24.3</c:v>
                </c:pt>
                <c:pt idx="17">
                  <c:v>24.95</c:v>
                </c:pt>
              </c:numCache>
            </c:numRef>
          </c:val>
          <c:smooth val="0"/>
          <c:extLst>
            <c:ext xmlns:c16="http://schemas.microsoft.com/office/drawing/2014/chart" uri="{C3380CC4-5D6E-409C-BE32-E72D297353CC}">
              <c16:uniqueId val="{00000005-57F0-4441-BEE1-4469DF47CC5B}"/>
            </c:ext>
          </c:extLst>
        </c:ser>
        <c:ser>
          <c:idx val="4"/>
          <c:order val="6"/>
          <c:tx>
            <c:strRef>
              <c:f>'G2-St.rozpočet-výdaje-2024'!$H$31</c:f>
              <c:strCache>
                <c:ptCount val="1"/>
                <c:pt idx="0">
                  <c:v>Social care benefits***</c:v>
                </c:pt>
              </c:strCache>
            </c:strRef>
          </c:tx>
          <c:spPr>
            <a:ln w="15875">
              <a:solidFill>
                <a:srgbClr val="00B050"/>
              </a:solidFill>
              <a:prstDash val="solid"/>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'G2-St.rozpočet-výdaje-2024'!$H$34:$H$51</c:f>
              <c:numCache>
                <c:formatCode>0.00</c:formatCode>
                <c:ptCount val="18"/>
                <c:pt idx="0">
                  <c:v>11.690999999999999</c:v>
                </c:pt>
                <c:pt idx="1">
                  <c:v>13.247</c:v>
                </c:pt>
                <c:pt idx="2">
                  <c:v>13.003</c:v>
                </c:pt>
                <c:pt idx="3">
                  <c:v>13.486000000000001</c:v>
                </c:pt>
                <c:pt idx="4">
                  <c:v>12.911000000000001</c:v>
                </c:pt>
                <c:pt idx="5">
                  <c:v>13.282</c:v>
                </c:pt>
                <c:pt idx="6">
                  <c:v>15.668000000000001</c:v>
                </c:pt>
                <c:pt idx="7">
                  <c:v>16.734999999999999</c:v>
                </c:pt>
                <c:pt idx="8">
                  <c:v>16.93</c:v>
                </c:pt>
                <c:pt idx="9">
                  <c:v>16.78</c:v>
                </c:pt>
                <c:pt idx="10">
                  <c:v>17.489999999999998</c:v>
                </c:pt>
                <c:pt idx="11">
                  <c:v>17.100000000000001</c:v>
                </c:pt>
                <c:pt idx="12">
                  <c:v>17.32</c:v>
                </c:pt>
                <c:pt idx="13">
                  <c:v>20.09</c:v>
                </c:pt>
                <c:pt idx="14">
                  <c:v>20.37</c:v>
                </c:pt>
                <c:pt idx="15">
                  <c:v>26.55</c:v>
                </c:pt>
                <c:pt idx="16">
                  <c:v>27.539400000000001</c:v>
                </c:pt>
                <c:pt idx="17">
                  <c:v>27.267400000000002</c:v>
                </c:pt>
              </c:numCache>
            </c:numRef>
          </c:val>
          <c:smooth val="0"/>
          <c:extLst>
            <c:ext xmlns:c16="http://schemas.microsoft.com/office/drawing/2014/chart" uri="{C3380CC4-5D6E-409C-BE32-E72D297353CC}">
              <c16:uniqueId val="{00000006-57F0-4441-BEE1-4469DF47CC5B}"/>
            </c:ext>
          </c:extLst>
        </c:ser>
        <c:ser>
          <c:idx val="5"/>
          <c:order val="7"/>
          <c:tx>
            <c:strRef>
              <c:f>'G2-St.rozpočet-výdaje-2024'!$I$31</c:f>
              <c:strCache>
                <c:ptCount val="1"/>
                <c:pt idx="0">
                  <c:v>Non-investment purchases****</c:v>
                </c:pt>
              </c:strCache>
            </c:strRef>
          </c:tx>
          <c:spPr>
            <a:ln w="15875">
              <a:solidFill>
                <a:schemeClr val="accent4">
                  <a:lumMod val="60000"/>
                  <a:lumOff val="40000"/>
                </a:schemeClr>
              </a:solidFill>
              <a:prstDash val="solid"/>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'G2-St.rozpočet-výdaje-2024'!$I$34:$I$51</c:f>
              <c:numCache>
                <c:formatCode>0.0</c:formatCode>
                <c:ptCount val="18"/>
                <c:pt idx="0">
                  <c:v>33.647000000000006</c:v>
                </c:pt>
                <c:pt idx="1">
                  <c:v>31.934000000000005</c:v>
                </c:pt>
                <c:pt idx="2">
                  <c:v>32.001999999999995</c:v>
                </c:pt>
                <c:pt idx="3">
                  <c:v>31.84</c:v>
                </c:pt>
                <c:pt idx="4">
                  <c:v>29.076999999999998</c:v>
                </c:pt>
                <c:pt idx="5">
                  <c:v>26.950000000000003</c:v>
                </c:pt>
                <c:pt idx="6">
                  <c:v>23.5</c:v>
                </c:pt>
                <c:pt idx="7">
                  <c:v>22.14</c:v>
                </c:pt>
                <c:pt idx="8">
                  <c:v>25.509999999999998</c:v>
                </c:pt>
                <c:pt idx="9">
                  <c:v>25.499999999999996</c:v>
                </c:pt>
                <c:pt idx="10">
                  <c:v>29.889999999999997</c:v>
                </c:pt>
                <c:pt idx="11">
                  <c:v>30.75</c:v>
                </c:pt>
                <c:pt idx="12">
                  <c:v>27.947201055630007</c:v>
                </c:pt>
                <c:pt idx="13">
                  <c:v>35.631314475349981</c:v>
                </c:pt>
                <c:pt idx="14">
                  <c:v>32.201508781230004</c:v>
                </c:pt>
                <c:pt idx="15">
                  <c:v>39.474180355079994</c:v>
                </c:pt>
                <c:pt idx="16">
                  <c:v>33.87360443313996</c:v>
                </c:pt>
                <c:pt idx="17">
                  <c:v>39.79393643297</c:v>
                </c:pt>
              </c:numCache>
            </c:numRef>
          </c:val>
          <c:smooth val="0"/>
          <c:extLst>
            <c:ext xmlns:c16="http://schemas.microsoft.com/office/drawing/2014/chart" uri="{C3380CC4-5D6E-409C-BE32-E72D297353CC}">
              <c16:uniqueId val="{00000007-57F0-4441-BEE1-4469DF47CC5B}"/>
            </c:ext>
          </c:extLst>
        </c:ser>
        <c:ser>
          <c:idx val="9"/>
          <c:order val="8"/>
          <c:tx>
            <c:strRef>
              <c:f>'G2-St.rozpočet-výdaje-2024'!$J$31</c:f>
              <c:strCache>
                <c:ptCount val="1"/>
                <c:pt idx="0">
                  <c:v>State debt (net expenditures)*****</c:v>
                </c:pt>
              </c:strCache>
            </c:strRef>
          </c:tx>
          <c:spPr>
            <a:ln w="6350">
              <a:solidFill>
                <a:schemeClr val="accent6">
                  <a:lumMod val="75000"/>
                </a:schemeClr>
              </a:solidFill>
              <a:prstDash val="sysDot"/>
            </a:ln>
          </c:spPr>
          <c:marker>
            <c:symbol val="diamond"/>
            <c:size val="5"/>
            <c:spPr>
              <a:solidFill>
                <a:schemeClr val="accent6">
                  <a:lumMod val="75000"/>
                </a:schemeClr>
              </a:solidFill>
              <a:ln>
                <a:noFill/>
              </a:ln>
            </c:spPr>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'G2-St.rozpočet-výdaje-2024'!$J$34:$J$51</c:f>
              <c:numCache>
                <c:formatCode>0.0</c:formatCode>
                <c:ptCount val="18"/>
                <c:pt idx="0">
                  <c:v>17.05</c:v>
                </c:pt>
                <c:pt idx="1">
                  <c:v>16.5</c:v>
                </c:pt>
                <c:pt idx="2">
                  <c:v>25.770000000000003</c:v>
                </c:pt>
                <c:pt idx="3">
                  <c:v>21.27</c:v>
                </c:pt>
                <c:pt idx="4">
                  <c:v>25.81</c:v>
                </c:pt>
                <c:pt idx="5">
                  <c:v>26.419999999999998</c:v>
                </c:pt>
                <c:pt idx="6">
                  <c:v>30.400000000000002</c:v>
                </c:pt>
                <c:pt idx="7">
                  <c:v>26.86</c:v>
                </c:pt>
                <c:pt idx="8">
                  <c:v>23.55</c:v>
                </c:pt>
                <c:pt idx="9">
                  <c:v>23.76</c:v>
                </c:pt>
                <c:pt idx="10">
                  <c:v>18.739999999999998</c:v>
                </c:pt>
                <c:pt idx="11">
                  <c:v>20.11</c:v>
                </c:pt>
                <c:pt idx="12">
                  <c:v>16.91954772339</c:v>
                </c:pt>
                <c:pt idx="13">
                  <c:v>12.518656263610001</c:v>
                </c:pt>
                <c:pt idx="14">
                  <c:v>18.61619246826</c:v>
                </c:pt>
                <c:pt idx="15">
                  <c:v>23.0003230005</c:v>
                </c:pt>
                <c:pt idx="16">
                  <c:v>37.545198524829999</c:v>
                </c:pt>
                <c:pt idx="17">
                  <c:v>42.868734027680006</c:v>
                </c:pt>
              </c:numCache>
            </c:numRef>
          </c:val>
          <c:smooth val="0"/>
          <c:extLst>
            <c:ext xmlns:c16="http://schemas.microsoft.com/office/drawing/2014/chart" uri="{C3380CC4-5D6E-409C-BE32-E72D297353CC}">
              <c16:uniqueId val="{00000008-57F0-4441-BEE1-4469DF47CC5B}"/>
            </c:ext>
          </c:extLst>
        </c:ser>
        <c:ser>
          <c:idx val="8"/>
          <c:order val="9"/>
          <c:tx>
            <c:strRef>
              <c:f>'G2-St.rozpočet-výdaje-2024'!$K$31</c:f>
              <c:strCache>
                <c:ptCount val="1"/>
                <c:pt idx="0">
                  <c:v>Noninvest. transfers to commercial entities</c:v>
                </c:pt>
              </c:strCache>
            </c:strRef>
          </c:tx>
          <c:spPr>
            <a:ln w="15875">
              <a:noFill/>
              <a:prstDash val="dash"/>
            </a:ln>
          </c:spPr>
          <c:marker>
            <c:symbol val="square"/>
            <c:size val="5"/>
            <c:spPr>
              <a:solidFill>
                <a:schemeClr val="bg1"/>
              </a:solidFill>
              <a:ln>
                <a:solidFill>
                  <a:schemeClr val="bg2">
                    <a:lumMod val="25000"/>
                  </a:schemeClr>
                </a:solidFill>
              </a:ln>
            </c:spPr>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'G2-St.rozpočet-výdaje-2024'!$K$34:$K$51</c:f>
              <c:numCache>
                <c:formatCode>0.0</c:formatCode>
                <c:ptCount val="18"/>
                <c:pt idx="0">
                  <c:v>11.638999999999999</c:v>
                </c:pt>
                <c:pt idx="1">
                  <c:v>13.86</c:v>
                </c:pt>
                <c:pt idx="2">
                  <c:v>13.8</c:v>
                </c:pt>
                <c:pt idx="3">
                  <c:v>15.068</c:v>
                </c:pt>
                <c:pt idx="4">
                  <c:v>15.095000000000001</c:v>
                </c:pt>
                <c:pt idx="5">
                  <c:v>18.314</c:v>
                </c:pt>
                <c:pt idx="6">
                  <c:v>16.995000000000001</c:v>
                </c:pt>
                <c:pt idx="7">
                  <c:v>19.023</c:v>
                </c:pt>
                <c:pt idx="8">
                  <c:v>18.837</c:v>
                </c:pt>
                <c:pt idx="9">
                  <c:v>18.062000000000001</c:v>
                </c:pt>
                <c:pt idx="10">
                  <c:v>23.908000000000001</c:v>
                </c:pt>
                <c:pt idx="11">
                  <c:v>28.649000000000001</c:v>
                </c:pt>
                <c:pt idx="12">
                  <c:v>28.899000000000001</c:v>
                </c:pt>
                <c:pt idx="13">
                  <c:v>52.881999999999998</c:v>
                </c:pt>
                <c:pt idx="14">
                  <c:v>85.23259722775002</c:v>
                </c:pt>
                <c:pt idx="15">
                  <c:v>34.100329251030004</c:v>
                </c:pt>
                <c:pt idx="16">
                  <c:v>77.813972074269998</c:v>
                </c:pt>
                <c:pt idx="17">
                  <c:v>40.571087040350001</c:v>
                </c:pt>
              </c:numCache>
            </c:numRef>
          </c:val>
          <c:smooth val="0"/>
          <c:extLst>
            <c:ext xmlns:c16="http://schemas.microsoft.com/office/drawing/2014/chart" uri="{C3380CC4-5D6E-409C-BE32-E72D297353CC}">
              <c16:uniqueId val="{00000009-57F0-4441-BEE1-4469DF47CC5B}"/>
            </c:ext>
          </c:extLst>
        </c:ser>
        <c:ser>
          <c:idx val="10"/>
          <c:order val="10"/>
          <c:tx>
            <c:strRef>
              <c:f>'G2-St.rozpočet-výdaje-2024'!$L$31</c:f>
              <c:strCache>
                <c:ptCount val="1"/>
                <c:pt idx="0">
                  <c:v>Capital expenditures</c:v>
                </c:pt>
              </c:strCache>
            </c:strRef>
          </c:tx>
          <c:spPr>
            <a:ln w="15875">
              <a:solidFill>
                <a:schemeClr val="tx1">
                  <a:lumMod val="85000"/>
                  <a:lumOff val="15000"/>
                </a:schemeClr>
              </a:solidFill>
              <a:prstDash val="sysDash"/>
            </a:ln>
          </c:spPr>
          <c:marker>
            <c:symbol val="none"/>
          </c:marker>
          <c:cat>
            <c:numRef>
              <c:f>'G2-St.rozpočet-výdaje-2024'!$A$34:$A$51</c:f>
              <c:numCache>
                <c:formatCode>General</c:formatCod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numCache>
            </c:numRef>
          </c:cat>
          <c:val>
            <c:numRef>
              <c:f>'G2-St.rozpočet-výdaje-2024'!$L$34:$L$51</c:f>
              <c:numCache>
                <c:formatCode>0.0</c:formatCode>
                <c:ptCount val="18"/>
                <c:pt idx="0">
                  <c:v>26.771000000000001</c:v>
                </c:pt>
                <c:pt idx="1">
                  <c:v>53.505000000000003</c:v>
                </c:pt>
                <c:pt idx="2">
                  <c:v>51.149000000000001</c:v>
                </c:pt>
                <c:pt idx="3">
                  <c:v>55.872999999999998</c:v>
                </c:pt>
                <c:pt idx="4">
                  <c:v>47.277000000000001</c:v>
                </c:pt>
                <c:pt idx="5">
                  <c:v>41.93</c:v>
                </c:pt>
                <c:pt idx="6">
                  <c:v>36.779000000000003</c:v>
                </c:pt>
                <c:pt idx="7">
                  <c:v>34.893999999999998</c:v>
                </c:pt>
                <c:pt idx="8">
                  <c:v>54.02</c:v>
                </c:pt>
                <c:pt idx="9">
                  <c:v>39.090000000000003</c:v>
                </c:pt>
                <c:pt idx="10">
                  <c:v>20.309999999999999</c:v>
                </c:pt>
                <c:pt idx="11">
                  <c:v>33.25</c:v>
                </c:pt>
                <c:pt idx="12">
                  <c:v>45.820505926130004</c:v>
                </c:pt>
                <c:pt idx="13">
                  <c:v>64.976999301739994</c:v>
                </c:pt>
                <c:pt idx="14">
                  <c:v>59.7056835355</c:v>
                </c:pt>
                <c:pt idx="15">
                  <c:v>68.002101568619992</c:v>
                </c:pt>
                <c:pt idx="16">
                  <c:v>79.107734279740029</c:v>
                </c:pt>
                <c:pt idx="17">
                  <c:v>76.466423210390005</c:v>
                </c:pt>
              </c:numCache>
            </c:numRef>
          </c:val>
          <c:smooth val="0"/>
          <c:extLst>
            <c:ext xmlns:c16="http://schemas.microsoft.com/office/drawing/2014/chart" uri="{C3380CC4-5D6E-409C-BE32-E72D297353CC}">
              <c16:uniqueId val="{0000000A-57F0-4441-BEE1-4469DF47CC5B}"/>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0"/>
        <c:noMultiLvlLbl val="0"/>
      </c:catAx>
      <c:valAx>
        <c:axId val="72829184"/>
        <c:scaling>
          <c:orientation val="minMax"/>
          <c:max val="88"/>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layout/>
          <c:overlay val="0"/>
        </c:title>
        <c:numFmt formatCode="0" sourceLinked="0"/>
        <c:majorTickMark val="out"/>
        <c:minorTickMark val="none"/>
        <c:tickLblPos val="nextTo"/>
        <c:spPr>
          <a:ln w="6350">
            <a:solidFill>
              <a:schemeClr val="tx1"/>
            </a:solidFill>
          </a:ln>
        </c:spPr>
        <c:crossAx val="72827648"/>
        <c:crosses val="autoZero"/>
        <c:crossBetween val="between"/>
        <c:majorUnit val="8"/>
      </c:valAx>
      <c:valAx>
        <c:axId val="72835072"/>
        <c:scaling>
          <c:orientation val="minMax"/>
          <c:max val="1100"/>
          <c:min val="0"/>
        </c:scaling>
        <c:delete val="0"/>
        <c:axPos val="r"/>
        <c:title>
          <c:tx>
            <c:rich>
              <a:bodyPr/>
              <a:lstStyle/>
              <a:p>
                <a:pPr>
                  <a:defRPr sz="700" b="0" i="1"/>
                </a:pPr>
                <a:r>
                  <a:rPr lang="cs-CZ" sz="700" b="0" i="1"/>
                  <a:t>Total current expenditures, Pensions</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1.0836021184247202E-2"/>
          <c:y val="0.8012630320052242"/>
          <c:w val="0.98000277874442299"/>
          <c:h val="0.18798029724660695"/>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1"/>
          <c:order val="0"/>
          <c:tx>
            <c:strRef>
              <c:f>'souhrnná výkonnost 3'!$F$5</c:f>
              <c:strCache>
                <c:ptCount val="1"/>
                <c:pt idx="0">
                  <c:v>Foreign trade balance</c:v>
                </c:pt>
              </c:strCache>
            </c:strRef>
          </c:tx>
          <c:spPr>
            <a:solidFill>
              <a:srgbClr val="7DBB2D"/>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3'!$F$10:$F$31</c:f>
              <c:numCache>
                <c:formatCode>#\ ##0.0</c:formatCode>
                <c:ptCount val="22"/>
                <c:pt idx="0">
                  <c:v>-6.5470917658757233E-2</c:v>
                </c:pt>
                <c:pt idx="1">
                  <c:v>1.4494397815262756</c:v>
                </c:pt>
                <c:pt idx="2">
                  <c:v>1.519520930710476</c:v>
                </c:pt>
                <c:pt idx="3">
                  <c:v>-1.1386552968129167</c:v>
                </c:pt>
                <c:pt idx="4">
                  <c:v>-1.5054961152095412</c:v>
                </c:pt>
                <c:pt idx="5">
                  <c:v>-8.5652935026312509</c:v>
                </c:pt>
                <c:pt idx="6">
                  <c:v>-0.91701615307186923</c:v>
                </c:pt>
                <c:pt idx="7">
                  <c:v>1.6441945082634004</c:v>
                </c:pt>
                <c:pt idx="8">
                  <c:v>0.90880127021110413</c:v>
                </c:pt>
                <c:pt idx="9">
                  <c:v>6.124141351147399</c:v>
                </c:pt>
                <c:pt idx="10">
                  <c:v>-3.6522086207896334</c:v>
                </c:pt>
                <c:pt idx="11">
                  <c:v>-3.5019135769376728</c:v>
                </c:pt>
                <c:pt idx="12">
                  <c:v>-1.6832006565895616</c:v>
                </c:pt>
                <c:pt idx="13">
                  <c:v>-0.3806378126415233</c:v>
                </c:pt>
                <c:pt idx="14">
                  <c:v>3.408239118939032</c:v>
                </c:pt>
                <c:pt idx="15">
                  <c:v>1.4700226511684527</c:v>
                </c:pt>
                <c:pt idx="16">
                  <c:v>0.99148226513822246</c:v>
                </c:pt>
                <c:pt idx="17">
                  <c:v>1.5486267337540123</c:v>
                </c:pt>
                <c:pt idx="18">
                  <c:v>-0.56176321449408628</c:v>
                </c:pt>
                <c:pt idx="19">
                  <c:v>1.6209759868613784</c:v>
                </c:pt>
                <c:pt idx="20">
                  <c:v>0.69612604798797095</c:v>
                </c:pt>
                <c:pt idx="21">
                  <c:v>0.25076561158815486</c:v>
                </c:pt>
              </c:numCache>
            </c:numRef>
          </c:val>
          <c:extLst>
            <c:ext xmlns:c16="http://schemas.microsoft.com/office/drawing/2014/chart" uri="{C3380CC4-5D6E-409C-BE32-E72D297353CC}">
              <c16:uniqueId val="{00000000-ABAA-4BFE-A8F2-B708657D7305}"/>
            </c:ext>
          </c:extLst>
        </c:ser>
        <c:ser>
          <c:idx val="2"/>
          <c:order val="1"/>
          <c:tx>
            <c:strRef>
              <c:f>'souhrnná výkonnost 3'!$H$5</c:f>
              <c:strCache>
                <c:ptCount val="1"/>
                <c:pt idx="0">
                  <c:v>Change in inventories</c:v>
                </c:pt>
              </c:strCache>
            </c:strRef>
          </c:tx>
          <c:spPr>
            <a:solidFill>
              <a:srgbClr val="E8AFB2"/>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3'!$H$10:$H$31</c:f>
              <c:numCache>
                <c:formatCode>#\ ##0.0</c:formatCode>
                <c:ptCount val="22"/>
                <c:pt idx="0">
                  <c:v>-3.4866839032703018E-2</c:v>
                </c:pt>
                <c:pt idx="1">
                  <c:v>-1.2132673218827674</c:v>
                </c:pt>
                <c:pt idx="2">
                  <c:v>-0.61640554015347881</c:v>
                </c:pt>
                <c:pt idx="3">
                  <c:v>1.8990615757299067</c:v>
                </c:pt>
                <c:pt idx="4">
                  <c:v>-0.40340689033643318</c:v>
                </c:pt>
                <c:pt idx="5">
                  <c:v>0.49746610716149758</c:v>
                </c:pt>
                <c:pt idx="6">
                  <c:v>-1.209597715652736</c:v>
                </c:pt>
                <c:pt idx="7">
                  <c:v>-2.2124027001017974</c:v>
                </c:pt>
                <c:pt idx="8">
                  <c:v>0.41264966656715685</c:v>
                </c:pt>
                <c:pt idx="9">
                  <c:v>0.57206005966288753</c:v>
                </c:pt>
                <c:pt idx="10">
                  <c:v>2.5716584196045469</c:v>
                </c:pt>
                <c:pt idx="11">
                  <c:v>1.3737502139548177</c:v>
                </c:pt>
                <c:pt idx="12">
                  <c:v>0.60915917645428019</c:v>
                </c:pt>
                <c:pt idx="13">
                  <c:v>1.6317613698141717</c:v>
                </c:pt>
                <c:pt idx="14">
                  <c:v>-0.7854278742999391</c:v>
                </c:pt>
                <c:pt idx="15">
                  <c:v>1.1886488133455293</c:v>
                </c:pt>
                <c:pt idx="16">
                  <c:v>0.43754644515722202</c:v>
                </c:pt>
                <c:pt idx="17">
                  <c:v>-1.3395842037813757</c:v>
                </c:pt>
                <c:pt idx="18">
                  <c:v>-0.17438299598556015</c:v>
                </c:pt>
                <c:pt idx="19">
                  <c:v>-3.4468378946903475</c:v>
                </c:pt>
                <c:pt idx="20">
                  <c:v>-2.7750590345431059</c:v>
                </c:pt>
                <c:pt idx="21">
                  <c:v>-2.121585305126906</c:v>
                </c:pt>
              </c:numCache>
            </c:numRef>
          </c:val>
          <c:extLst>
            <c:ext xmlns:c16="http://schemas.microsoft.com/office/drawing/2014/chart" uri="{C3380CC4-5D6E-409C-BE32-E72D297353CC}">
              <c16:uniqueId val="{00000001-ABAA-4BFE-A8F2-B708657D7305}"/>
            </c:ext>
          </c:extLst>
        </c:ser>
        <c:ser>
          <c:idx val="3"/>
          <c:order val="2"/>
          <c:tx>
            <c:strRef>
              <c:f>'souhrnná výkonnost 3'!$G$5</c:f>
              <c:strCache>
                <c:ptCount val="1"/>
                <c:pt idx="0">
                  <c:v>Gross fixed capital formation</c:v>
                </c:pt>
              </c:strCache>
            </c:strRef>
          </c:tx>
          <c:spPr>
            <a:solidFill>
              <a:srgbClr val="BD1B21"/>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3'!$G$10:$G$31</c:f>
              <c:numCache>
                <c:formatCode>#\ ##0.0</c:formatCode>
                <c:ptCount val="22"/>
                <c:pt idx="0">
                  <c:v>1.8598270900589087</c:v>
                </c:pt>
                <c:pt idx="1">
                  <c:v>1.4526192483422518</c:v>
                </c:pt>
                <c:pt idx="2">
                  <c:v>1.0268088605058696</c:v>
                </c:pt>
                <c:pt idx="3">
                  <c:v>0.94075204306872073</c:v>
                </c:pt>
                <c:pt idx="4">
                  <c:v>-0.26111659305966983</c:v>
                </c:pt>
                <c:pt idx="5">
                  <c:v>0.14044234588323476</c:v>
                </c:pt>
                <c:pt idx="6">
                  <c:v>-1.1114194663634265</c:v>
                </c:pt>
                <c:pt idx="7">
                  <c:v>-1.2151629007980274</c:v>
                </c:pt>
                <c:pt idx="8">
                  <c:v>0.15781509790362797</c:v>
                </c:pt>
                <c:pt idx="9">
                  <c:v>7.3809702465127386E-2</c:v>
                </c:pt>
                <c:pt idx="10">
                  <c:v>1.9668146761327148</c:v>
                </c:pt>
                <c:pt idx="11">
                  <c:v>2.0385637566612256</c:v>
                </c:pt>
                <c:pt idx="12">
                  <c:v>2.1230773688868023</c:v>
                </c:pt>
                <c:pt idx="13">
                  <c:v>1.4912941413364145</c:v>
                </c:pt>
                <c:pt idx="14">
                  <c:v>0.94577481141240138</c:v>
                </c:pt>
                <c:pt idx="15">
                  <c:v>0.73322343987834782</c:v>
                </c:pt>
                <c:pt idx="16">
                  <c:v>0.4888139719141027</c:v>
                </c:pt>
                <c:pt idx="17">
                  <c:v>0.90164501226849947</c:v>
                </c:pt>
                <c:pt idx="18">
                  <c:v>0.75955977787894546</c:v>
                </c:pt>
                <c:pt idx="19">
                  <c:v>0.85240290842308541</c:v>
                </c:pt>
                <c:pt idx="20">
                  <c:v>0.28189570227017335</c:v>
                </c:pt>
                <c:pt idx="21">
                  <c:v>0.39041168569167112</c:v>
                </c:pt>
              </c:numCache>
            </c:numRef>
          </c:val>
          <c:extLst>
            <c:ext xmlns:c16="http://schemas.microsoft.com/office/drawing/2014/chart" uri="{C3380CC4-5D6E-409C-BE32-E72D297353CC}">
              <c16:uniqueId val="{00000002-ABAA-4BFE-A8F2-B708657D7305}"/>
            </c:ext>
          </c:extLst>
        </c:ser>
        <c:ser>
          <c:idx val="5"/>
          <c:order val="4"/>
          <c:tx>
            <c:strRef>
              <c:f>'souhrnná výkonnost 3'!$D$5</c:f>
              <c:strCache>
                <c:ptCount val="1"/>
                <c:pt idx="0">
                  <c:v>Final consumption expenditure of households (inc. non-profit inst.)</c:v>
                </c:pt>
              </c:strCache>
            </c:strRef>
          </c:tx>
          <c:spPr>
            <a:solidFill>
              <a:srgbClr val="0071BC"/>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3'!$D$10:$D$31</c:f>
              <c:numCache>
                <c:formatCode>#\ ##0.0</c:formatCode>
                <c:ptCount val="22"/>
                <c:pt idx="0">
                  <c:v>1.0610692201073997</c:v>
                </c:pt>
                <c:pt idx="1">
                  <c:v>1.3164628896440984</c:v>
                </c:pt>
                <c:pt idx="2">
                  <c:v>1.1800657067488647</c:v>
                </c:pt>
                <c:pt idx="3">
                  <c:v>1.3325646204971671</c:v>
                </c:pt>
                <c:pt idx="4">
                  <c:v>-0.2398228716655057</c:v>
                </c:pt>
                <c:pt idx="5">
                  <c:v>-3.2567035122644707</c:v>
                </c:pt>
                <c:pt idx="6">
                  <c:v>-1.7740710022653545</c:v>
                </c:pt>
                <c:pt idx="7">
                  <c:v>-4.0888509658039061</c:v>
                </c:pt>
                <c:pt idx="8">
                  <c:v>-2.6303429796363251</c:v>
                </c:pt>
                <c:pt idx="9">
                  <c:v>3.0130078291252422</c:v>
                </c:pt>
                <c:pt idx="10">
                  <c:v>1.9847068901687124</c:v>
                </c:pt>
                <c:pt idx="11">
                  <c:v>3.7365176773416025</c:v>
                </c:pt>
                <c:pt idx="12">
                  <c:v>3.291044005952056</c:v>
                </c:pt>
                <c:pt idx="13">
                  <c:v>0.17808535886856286</c:v>
                </c:pt>
                <c:pt idx="14">
                  <c:v>-1.2688125161868613</c:v>
                </c:pt>
                <c:pt idx="15">
                  <c:v>-2.1014518367129478</c:v>
                </c:pt>
                <c:pt idx="16">
                  <c:v>-2.3008050226579631</c:v>
                </c:pt>
                <c:pt idx="17">
                  <c:v>-1.4637608387691801</c:v>
                </c:pt>
                <c:pt idx="18">
                  <c:v>-1.0832185050335064</c:v>
                </c:pt>
                <c:pt idx="19">
                  <c:v>0.19677657995487871</c:v>
                </c:pt>
                <c:pt idx="20">
                  <c:v>1.5774431462536993</c:v>
                </c:pt>
                <c:pt idx="21">
                  <c:v>1.1764624308243887</c:v>
                </c:pt>
              </c:numCache>
            </c:numRef>
          </c:val>
          <c:extLst>
            <c:ext xmlns:c16="http://schemas.microsoft.com/office/drawing/2014/chart" uri="{C3380CC4-5D6E-409C-BE32-E72D297353CC}">
              <c16:uniqueId val="{00000003-ABAA-4BFE-A8F2-B708657D7305}"/>
            </c:ext>
          </c:extLst>
        </c:ser>
        <c:ser>
          <c:idx val="4"/>
          <c:order val="5"/>
          <c:tx>
            <c:strRef>
              <c:f>'souhrnná výkonnost 3'!$E$5</c:f>
              <c:strCache>
                <c:ptCount val="1"/>
                <c:pt idx="0">
                  <c:v>Final consumption expenditure of government institutions</c:v>
                </c:pt>
              </c:strCache>
            </c:strRef>
          </c:tx>
          <c:spPr>
            <a:solidFill>
              <a:srgbClr val="A6CDE8"/>
            </a:solidFill>
            <a:ln>
              <a:noFill/>
            </a:ln>
          </c:spPr>
          <c:invertIfNegative val="0"/>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3'!$E$10:$E$31</c:f>
              <c:numCache>
                <c:formatCode>#\ ##0.0</c:formatCode>
                <c:ptCount val="22"/>
                <c:pt idx="0">
                  <c:v>0.52373870610125262</c:v>
                </c:pt>
                <c:pt idx="1">
                  <c:v>0.54525241929613355</c:v>
                </c:pt>
                <c:pt idx="2">
                  <c:v>0.53390853668406757</c:v>
                </c:pt>
                <c:pt idx="3">
                  <c:v>0.2780405319991846</c:v>
                </c:pt>
                <c:pt idx="4">
                  <c:v>0.85273575497086629</c:v>
                </c:pt>
                <c:pt idx="5">
                  <c:v>0.57219907272847048</c:v>
                </c:pt>
                <c:pt idx="6">
                  <c:v>0.31382004358461796</c:v>
                </c:pt>
                <c:pt idx="7">
                  <c:v>1.4192241054465731</c:v>
                </c:pt>
                <c:pt idx="8">
                  <c:v>-0.12340214907979793</c:v>
                </c:pt>
                <c:pt idx="9">
                  <c:v>-7.2907474861005656E-2</c:v>
                </c:pt>
                <c:pt idx="10">
                  <c:v>1.000714083725422</c:v>
                </c:pt>
                <c:pt idx="11">
                  <c:v>8.8247719969204746E-2</c:v>
                </c:pt>
                <c:pt idx="12">
                  <c:v>0.37181697618378928</c:v>
                </c:pt>
                <c:pt idx="13">
                  <c:v>0.57371034145730837</c:v>
                </c:pt>
                <c:pt idx="14">
                  <c:v>-0.32873762938072321</c:v>
                </c:pt>
                <c:pt idx="15">
                  <c:v>-0.30389432882498219</c:v>
                </c:pt>
                <c:pt idx="16">
                  <c:v>0.62053959222904453</c:v>
                </c:pt>
                <c:pt idx="17">
                  <c:v>0.55825256660682321</c:v>
                </c:pt>
                <c:pt idx="18">
                  <c:v>0.71530175534262508</c:v>
                </c:pt>
                <c:pt idx="19">
                  <c:v>0.74432066621940118</c:v>
                </c:pt>
                <c:pt idx="20">
                  <c:v>0.64383243200948259</c:v>
                </c:pt>
                <c:pt idx="21">
                  <c:v>0.84131512461671965</c:v>
                </c:pt>
              </c:numCache>
            </c:numRef>
          </c:val>
          <c:extLst>
            <c:ext xmlns:c16="http://schemas.microsoft.com/office/drawing/2014/chart" uri="{C3380CC4-5D6E-409C-BE32-E72D297353CC}">
              <c16:uniqueId val="{00000004-ABAA-4BFE-A8F2-B708657D7305}"/>
            </c:ext>
          </c:extLst>
        </c:ser>
        <c:dLbls>
          <c:showLegendKey val="0"/>
          <c:showVal val="0"/>
          <c:showCatName val="0"/>
          <c:showSerName val="0"/>
          <c:showPercent val="0"/>
          <c:showBubbleSize val="0"/>
        </c:dLbls>
        <c:gapWidth val="90"/>
        <c:overlap val="100"/>
        <c:axId val="115206784"/>
        <c:axId val="115286400"/>
      </c:barChart>
      <c:lineChart>
        <c:grouping val="standard"/>
        <c:varyColors val="0"/>
        <c:ser>
          <c:idx val="0"/>
          <c:order val="3"/>
          <c:tx>
            <c:strRef>
              <c:f>'souhrnná výkonnost 3'!$C$5</c:f>
              <c:strCache>
                <c:ptCount val="1"/>
                <c:pt idx="0">
                  <c:v>GDP</c:v>
                </c:pt>
              </c:strCache>
            </c:strRef>
          </c:tx>
          <c:spPr>
            <a:ln>
              <a:solidFill>
                <a:prstClr val="black"/>
              </a:solidFill>
            </a:ln>
          </c:spPr>
          <c:marker>
            <c:symbol val="none"/>
          </c:marker>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3'!$C$10:$C$31</c:f>
              <c:numCache>
                <c:formatCode>#\ ##0.0</c:formatCode>
                <c:ptCount val="22"/>
                <c:pt idx="0">
                  <c:v>3.4189743822717418</c:v>
                </c:pt>
                <c:pt idx="1">
                  <c:v>3.6132085037347395</c:v>
                </c:pt>
                <c:pt idx="2">
                  <c:v>3.68258658026825</c:v>
                </c:pt>
                <c:pt idx="3">
                  <c:v>3.3200025771466812</c:v>
                </c:pt>
                <c:pt idx="4">
                  <c:v>-1.5502005609675251</c:v>
                </c:pt>
                <c:pt idx="5">
                  <c:v>-10.594910497246218</c:v>
                </c:pt>
                <c:pt idx="6">
                  <c:v>-4.701156102682063</c:v>
                </c:pt>
                <c:pt idx="7">
                  <c:v>-4.4366371482296927</c:v>
                </c:pt>
                <c:pt idx="8">
                  <c:v>-1.2288405930294743</c:v>
                </c:pt>
                <c:pt idx="9">
                  <c:v>9.7404194240672268</c:v>
                </c:pt>
                <c:pt idx="10">
                  <c:v>3.9736917575390152</c:v>
                </c:pt>
                <c:pt idx="11">
                  <c:v>3.9029621018868283</c:v>
                </c:pt>
                <c:pt idx="12">
                  <c:v>4.8436882638427221</c:v>
                </c:pt>
                <c:pt idx="13">
                  <c:v>3.6483483455527903</c:v>
                </c:pt>
                <c:pt idx="14">
                  <c:v>2.0520278440471884</c:v>
                </c:pt>
                <c:pt idx="15">
                  <c:v>0.95155160469528255</c:v>
                </c:pt>
                <c:pt idx="16">
                  <c:v>0.28193578758093452</c:v>
                </c:pt>
                <c:pt idx="17">
                  <c:v>0.17520415357661534</c:v>
                </c:pt>
                <c:pt idx="18">
                  <c:v>-0.36641485385997896</c:v>
                </c:pt>
                <c:pt idx="19">
                  <c:v>4.8036623275507395E-2</c:v>
                </c:pt>
                <c:pt idx="20">
                  <c:v>0.40555411620755422</c:v>
                </c:pt>
                <c:pt idx="21">
                  <c:v>0.59789277379722705</c:v>
                </c:pt>
              </c:numCache>
            </c:numRef>
          </c:val>
          <c:smooth val="0"/>
          <c:extLst>
            <c:ext xmlns:c16="http://schemas.microsoft.com/office/drawing/2014/chart" uri="{C3380CC4-5D6E-409C-BE32-E72D297353CC}">
              <c16:uniqueId val="{00000005-ABAA-4BFE-A8F2-B708657D7305}"/>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2"/>
      </c:valAx>
      <c:spPr>
        <a:ln>
          <a:solidFill>
            <a:schemeClr val="tx1"/>
          </a:solidFill>
        </a:ln>
      </c:spPr>
    </c:plotArea>
    <c:legend>
      <c:legendPos val="b"/>
      <c:layout>
        <c:manualLayout>
          <c:xMode val="edge"/>
          <c:yMode val="edge"/>
          <c:x val="5.2922564529558701E-2"/>
          <c:y val="0.79687874638673362"/>
          <c:w val="0.93952929520758033"/>
          <c:h val="0.20312125361326638"/>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7DBB2D"/>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4'!$C$10:$C$31</c:f>
              <c:numCache>
                <c:formatCode>#\ ##0.0</c:formatCode>
                <c:ptCount val="22"/>
                <c:pt idx="0">
                  <c:v>6.9952669722000996E-2</c:v>
                </c:pt>
                <c:pt idx="1">
                  <c:v>8.174334759303449E-2</c:v>
                </c:pt>
                <c:pt idx="2">
                  <c:v>0.11063000390967299</c:v>
                </c:pt>
                <c:pt idx="3">
                  <c:v>0.14033996982585203</c:v>
                </c:pt>
                <c:pt idx="4">
                  <c:v>0.15822035579434848</c:v>
                </c:pt>
                <c:pt idx="5">
                  <c:v>0.16572640891485885</c:v>
                </c:pt>
                <c:pt idx="6">
                  <c:v>0.14884192396827553</c:v>
                </c:pt>
                <c:pt idx="7">
                  <c:v>0.10349029376913045</c:v>
                </c:pt>
                <c:pt idx="8">
                  <c:v>-0.20943707470562339</c:v>
                </c:pt>
                <c:pt idx="9">
                  <c:v>-0.34449179443466599</c:v>
                </c:pt>
                <c:pt idx="10">
                  <c:v>-0.32209602561974893</c:v>
                </c:pt>
                <c:pt idx="11">
                  <c:v>-0.29333634112949242</c:v>
                </c:pt>
                <c:pt idx="12">
                  <c:v>1.4650416130809454E-3</c:v>
                </c:pt>
                <c:pt idx="13">
                  <c:v>7.8507188492409424E-2</c:v>
                </c:pt>
                <c:pt idx="14">
                  <c:v>3.9960777137645544E-2</c:v>
                </c:pt>
                <c:pt idx="15">
                  <c:v>-2.0459404335135881E-2</c:v>
                </c:pt>
                <c:pt idx="16">
                  <c:v>-3.2655587870534268E-3</c:v>
                </c:pt>
                <c:pt idx="17">
                  <c:v>-3.3619257921654828E-2</c:v>
                </c:pt>
                <c:pt idx="18">
                  <c:v>-3.1390438780173682E-2</c:v>
                </c:pt>
                <c:pt idx="19">
                  <c:v>-1.8726041672651388E-2</c:v>
                </c:pt>
                <c:pt idx="20">
                  <c:v>2.5899734689125427E-3</c:v>
                </c:pt>
                <c:pt idx="21">
                  <c:v>-3.4539946634848225E-2</c:v>
                </c:pt>
              </c:numCache>
            </c:numRef>
          </c:val>
          <c:extLst>
            <c:ext xmlns:c16="http://schemas.microsoft.com/office/drawing/2014/chart" uri="{C3380CC4-5D6E-409C-BE32-E72D297353CC}">
              <c16:uniqueId val="{00000000-86C0-46D7-A82D-F580787E0964}"/>
            </c:ext>
          </c:extLst>
        </c:ser>
        <c:ser>
          <c:idx val="1"/>
          <c:order val="1"/>
          <c:tx>
            <c:strRef>
              <c:f>'souhrnná výkonnost 4'!$F$5</c:f>
              <c:strCache>
                <c:ptCount val="1"/>
                <c:pt idx="0">
                  <c:v>Construction</c:v>
                </c:pt>
              </c:strCache>
            </c:strRef>
          </c:tx>
          <c:spPr>
            <a:solidFill>
              <a:srgbClr val="7030A0"/>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4'!$F$10:$F$31</c:f>
              <c:numCache>
                <c:formatCode>#\ ##0.0</c:formatCode>
                <c:ptCount val="22"/>
                <c:pt idx="0">
                  <c:v>-0.15836437304914164</c:v>
                </c:pt>
                <c:pt idx="1">
                  <c:v>-0.12253502255257109</c:v>
                </c:pt>
                <c:pt idx="2">
                  <c:v>-7.1242684146133939E-2</c:v>
                </c:pt>
                <c:pt idx="3">
                  <c:v>-0.10866493986218721</c:v>
                </c:pt>
                <c:pt idx="4">
                  <c:v>-0.30004627661730132</c:v>
                </c:pt>
                <c:pt idx="5">
                  <c:v>-0.48068129994946118</c:v>
                </c:pt>
                <c:pt idx="6">
                  <c:v>-0.45523791005942654</c:v>
                </c:pt>
                <c:pt idx="7">
                  <c:v>-0.43581518565318822</c:v>
                </c:pt>
                <c:pt idx="8">
                  <c:v>-0.33836863825135816</c:v>
                </c:pt>
                <c:pt idx="9">
                  <c:v>-6.7143304167931656E-2</c:v>
                </c:pt>
                <c:pt idx="10">
                  <c:v>-5.8092008458518342E-2</c:v>
                </c:pt>
                <c:pt idx="11">
                  <c:v>-0.10853391292600841</c:v>
                </c:pt>
                <c:pt idx="12">
                  <c:v>-9.0417570306820225E-2</c:v>
                </c:pt>
                <c:pt idx="13">
                  <c:v>-0.27691175914342508</c:v>
                </c:pt>
                <c:pt idx="14">
                  <c:v>-0.42875648302719638</c:v>
                </c:pt>
                <c:pt idx="15">
                  <c:v>-0.37973365169110213</c:v>
                </c:pt>
                <c:pt idx="16">
                  <c:v>-0.17978597945941827</c:v>
                </c:pt>
                <c:pt idx="17">
                  <c:v>-0.15007885157470846</c:v>
                </c:pt>
                <c:pt idx="18">
                  <c:v>-7.2453853961446754E-2</c:v>
                </c:pt>
                <c:pt idx="19">
                  <c:v>-0.13175576942044118</c:v>
                </c:pt>
                <c:pt idx="20">
                  <c:v>-0.20793222116020077</c:v>
                </c:pt>
                <c:pt idx="21">
                  <c:v>-0.12955672564689352</c:v>
                </c:pt>
              </c:numCache>
            </c:numRef>
          </c:val>
          <c:extLst>
            <c:ext xmlns:c16="http://schemas.microsoft.com/office/drawing/2014/chart" uri="{C3380CC4-5D6E-409C-BE32-E72D297353CC}">
              <c16:uniqueId val="{00000001-86C0-46D7-A82D-F580787E0964}"/>
            </c:ext>
          </c:extLst>
        </c:ser>
        <c:ser>
          <c:idx val="2"/>
          <c:order val="2"/>
          <c:tx>
            <c:strRef>
              <c:f>'souhrnná výkonnost 4'!$E$5</c:f>
              <c:strCache>
                <c:ptCount val="1"/>
                <c:pt idx="0">
                  <c:v>Other industrial branches (CZ-NACE B,D,E)</c:v>
                </c:pt>
              </c:strCache>
            </c:strRef>
          </c:tx>
          <c:spPr>
            <a:solidFill>
              <a:srgbClr val="A6CDE8"/>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4'!$E$10:$E$31</c:f>
              <c:numCache>
                <c:formatCode>General</c:formatCode>
                <c:ptCount val="22"/>
                <c:pt idx="0">
                  <c:v>4.5459612013585282E-3</c:v>
                </c:pt>
                <c:pt idx="1">
                  <c:v>-5.4299843239147494E-2</c:v>
                </c:pt>
                <c:pt idx="2">
                  <c:v>-0.26283098752928491</c:v>
                </c:pt>
                <c:pt idx="3">
                  <c:v>-9.8219621966424864E-2</c:v>
                </c:pt>
                <c:pt idx="4">
                  <c:v>-0.17620696396261137</c:v>
                </c:pt>
                <c:pt idx="5">
                  <c:v>-0.24771149792454139</c:v>
                </c:pt>
                <c:pt idx="6">
                  <c:v>-6.0935554321396967E-2</c:v>
                </c:pt>
                <c:pt idx="7">
                  <c:v>6.5525594099085982E-2</c:v>
                </c:pt>
                <c:pt idx="8">
                  <c:v>0.38896231887529847</c:v>
                </c:pt>
                <c:pt idx="9">
                  <c:v>0.46371609807310366</c:v>
                </c:pt>
                <c:pt idx="10">
                  <c:v>0.33807449475314627</c:v>
                </c:pt>
                <c:pt idx="11">
                  <c:v>-5.8765796805848813E-2</c:v>
                </c:pt>
                <c:pt idx="12">
                  <c:v>-0.43983407410669084</c:v>
                </c:pt>
                <c:pt idx="13">
                  <c:v>-0.35269776369716466</c:v>
                </c:pt>
                <c:pt idx="14">
                  <c:v>-0.58798697249592147</c:v>
                </c:pt>
                <c:pt idx="15">
                  <c:v>-0.91369938251265959</c:v>
                </c:pt>
                <c:pt idx="16">
                  <c:v>-1.0565359725214909</c:v>
                </c:pt>
                <c:pt idx="17">
                  <c:v>-1.1922043462900702</c:v>
                </c:pt>
                <c:pt idx="18">
                  <c:v>-1.1433067648135005</c:v>
                </c:pt>
                <c:pt idx="19">
                  <c:v>-0.88617705016962645</c:v>
                </c:pt>
                <c:pt idx="20">
                  <c:v>-0.36173671865889367</c:v>
                </c:pt>
                <c:pt idx="21">
                  <c:v>-5.1703354204711949E-2</c:v>
                </c:pt>
              </c:numCache>
            </c:numRef>
          </c:val>
          <c:extLst>
            <c:ext xmlns:c16="http://schemas.microsoft.com/office/drawing/2014/chart" uri="{C3380CC4-5D6E-409C-BE32-E72D297353CC}">
              <c16:uniqueId val="{00000002-86C0-46D7-A82D-F580787E0964}"/>
            </c:ext>
          </c:extLst>
        </c:ser>
        <c:ser>
          <c:idx val="3"/>
          <c:order val="3"/>
          <c:tx>
            <c:strRef>
              <c:f>'souhrnná výkonnost 4'!$D$5</c:f>
              <c:strCache>
                <c:ptCount val="1"/>
                <c:pt idx="0">
                  <c:v>Manufacturing (CZ-NACE C)</c:v>
                </c:pt>
              </c:strCache>
            </c:strRef>
          </c:tx>
          <c:spPr>
            <a:solidFill>
              <a:srgbClr val="0071BC"/>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4'!$D$10:$D$31</c:f>
              <c:numCache>
                <c:formatCode>#\ ##0.0</c:formatCode>
                <c:ptCount val="22"/>
                <c:pt idx="0">
                  <c:v>0.79286837781479091</c:v>
                </c:pt>
                <c:pt idx="1">
                  <c:v>1.3034853573072027</c:v>
                </c:pt>
                <c:pt idx="2">
                  <c:v>1.2859805485632667</c:v>
                </c:pt>
                <c:pt idx="3">
                  <c:v>0.76399660901596278</c:v>
                </c:pt>
                <c:pt idx="4">
                  <c:v>-1.006029365184558</c:v>
                </c:pt>
                <c:pt idx="5">
                  <c:v>-5.8707476654845019</c:v>
                </c:pt>
                <c:pt idx="6">
                  <c:v>-2.1566635032660484</c:v>
                </c:pt>
                <c:pt idx="7">
                  <c:v>-1.5364269842490534</c:v>
                </c:pt>
                <c:pt idx="8">
                  <c:v>-0.81082301657390887</c:v>
                </c:pt>
                <c:pt idx="9">
                  <c:v>3.9743747095561068</c:v>
                </c:pt>
                <c:pt idx="10">
                  <c:v>-0.74888372469617781</c:v>
                </c:pt>
                <c:pt idx="11">
                  <c:v>-0.87291327125667473</c:v>
                </c:pt>
                <c:pt idx="12">
                  <c:v>0.64528350075532714</c:v>
                </c:pt>
                <c:pt idx="13">
                  <c:v>1.5767749269534403</c:v>
                </c:pt>
                <c:pt idx="14">
                  <c:v>2.2578630988104651</c:v>
                </c:pt>
                <c:pt idx="15">
                  <c:v>2.6492927635274892</c:v>
                </c:pt>
                <c:pt idx="16">
                  <c:v>1.5080733306136302</c:v>
                </c:pt>
                <c:pt idx="17">
                  <c:v>0.73424780372392695</c:v>
                </c:pt>
                <c:pt idx="18">
                  <c:v>0.18208075989036024</c:v>
                </c:pt>
                <c:pt idx="19">
                  <c:v>0.32030491527239691</c:v>
                </c:pt>
                <c:pt idx="20">
                  <c:v>-0.40635422888252737</c:v>
                </c:pt>
                <c:pt idx="21">
                  <c:v>-0.65443528808704077</c:v>
                </c:pt>
              </c:numCache>
            </c:numRef>
          </c:val>
          <c:extLst>
            <c:ext xmlns:c16="http://schemas.microsoft.com/office/drawing/2014/chart" uri="{C3380CC4-5D6E-409C-BE32-E72D297353CC}">
              <c16:uniqueId val="{00000003-86C0-46D7-A82D-F580787E0964}"/>
            </c:ext>
          </c:extLst>
        </c:ser>
        <c:ser>
          <c:idx val="0"/>
          <c:order val="4"/>
          <c:tx>
            <c:strRef>
              <c:f>'souhrnná výkonnost 4'!$G$5</c:f>
              <c:strCache>
                <c:ptCount val="1"/>
                <c:pt idx="0">
                  <c:v>Services (CZ-NACE G to U)</c:v>
                </c:pt>
              </c:strCache>
            </c:strRef>
          </c:tx>
          <c:spPr>
            <a:solidFill>
              <a:srgbClr val="BD1B21"/>
            </a:solidFill>
            <a:ln>
              <a:noFill/>
            </a:ln>
          </c:spPr>
          <c:invertIfNegative val="0"/>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4'!$G$10:$G$31</c:f>
              <c:numCache>
                <c:formatCode>General</c:formatCode>
                <c:ptCount val="22"/>
                <c:pt idx="0">
                  <c:v>2.7152016193024755</c:v>
                </c:pt>
                <c:pt idx="1">
                  <c:v>2.5568894010177439</c:v>
                </c:pt>
                <c:pt idx="2">
                  <c:v>2.5806630267772652</c:v>
                </c:pt>
                <c:pt idx="3">
                  <c:v>2.6155761339131312</c:v>
                </c:pt>
                <c:pt idx="4">
                  <c:v>0.1069034272001633</c:v>
                </c:pt>
                <c:pt idx="5">
                  <c:v>-4.2921319772752993</c:v>
                </c:pt>
                <c:pt idx="6">
                  <c:v>-1.7505754010952781</c:v>
                </c:pt>
                <c:pt idx="7">
                  <c:v>-2.2464479137063273</c:v>
                </c:pt>
                <c:pt idx="8">
                  <c:v>-0.13953156252945553</c:v>
                </c:pt>
                <c:pt idx="9">
                  <c:v>5.9943506299525042</c:v>
                </c:pt>
                <c:pt idx="10">
                  <c:v>4.4243917423347074</c:v>
                </c:pt>
                <c:pt idx="11">
                  <c:v>4.7971483856259507</c:v>
                </c:pt>
                <c:pt idx="12">
                  <c:v>4.2170828841115204</c:v>
                </c:pt>
                <c:pt idx="13">
                  <c:v>2.6617211255203492</c:v>
                </c:pt>
                <c:pt idx="14">
                  <c:v>0.7676089117890853</c:v>
                </c:pt>
                <c:pt idx="15">
                  <c:v>0.29041678067472676</c:v>
                </c:pt>
                <c:pt idx="16">
                  <c:v>1.2589748995853525</c:v>
                </c:pt>
                <c:pt idx="17">
                  <c:v>1.2817734210173399</c:v>
                </c:pt>
                <c:pt idx="18">
                  <c:v>1.3261284382955532</c:v>
                </c:pt>
                <c:pt idx="19">
                  <c:v>0.56483538142502965</c:v>
                </c:pt>
                <c:pt idx="20">
                  <c:v>0.38305051399584844</c:v>
                </c:pt>
                <c:pt idx="21">
                  <c:v>0.95709818011786907</c:v>
                </c:pt>
              </c:numCache>
            </c:numRef>
          </c:val>
          <c:extLst>
            <c:ext xmlns:c16="http://schemas.microsoft.com/office/drawing/2014/chart" uri="{C3380CC4-5D6E-409C-BE32-E72D297353CC}">
              <c16:uniqueId val="{00000004-86C0-46D7-A82D-F580787E0964}"/>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'souhrnná výkonnost 4'!$H$10:$H$31</c:f>
              <c:numCache>
                <c:formatCode>#\ ##0.0</c:formatCode>
                <c:ptCount val="22"/>
                <c:pt idx="0">
                  <c:v>3.4241020823594539</c:v>
                </c:pt>
                <c:pt idx="1">
                  <c:v>3.7654261763610037</c:v>
                </c:pt>
                <c:pt idx="2">
                  <c:v>3.6432533192545407</c:v>
                </c:pt>
                <c:pt idx="3">
                  <c:v>3.3129891367830879</c:v>
                </c:pt>
                <c:pt idx="4">
                  <c:v>-1.2169604796506661</c:v>
                </c:pt>
                <c:pt idx="5">
                  <c:v>-10.72573587437293</c:v>
                </c:pt>
                <c:pt idx="6">
                  <c:v>-4.2745842128591107</c:v>
                </c:pt>
                <c:pt idx="7">
                  <c:v>-4.0497053295080292</c:v>
                </c:pt>
                <c:pt idx="8">
                  <c:v>-1.1092326662295733</c:v>
                </c:pt>
                <c:pt idx="9">
                  <c:v>10.020922752811231</c:v>
                </c:pt>
                <c:pt idx="10">
                  <c:v>3.6334340143173023</c:v>
                </c:pt>
                <c:pt idx="11">
                  <c:v>3.4636121873782457</c:v>
                </c:pt>
                <c:pt idx="12">
                  <c:v>4.3335548202223748</c:v>
                </c:pt>
                <c:pt idx="13">
                  <c:v>3.6873115442208899</c:v>
                </c:pt>
                <c:pt idx="14">
                  <c:v>2.0486348171819628</c:v>
                </c:pt>
                <c:pt idx="15">
                  <c:v>1.6260683441280008</c:v>
                </c:pt>
                <c:pt idx="16">
                  <c:v>1.5274059601490251</c:v>
                </c:pt>
                <c:pt idx="17">
                  <c:v>0.64023838798151189</c:v>
                </c:pt>
                <c:pt idx="18">
                  <c:v>0.26107587152959866</c:v>
                </c:pt>
                <c:pt idx="19">
                  <c:v>-0.15185209829762414</c:v>
                </c:pt>
                <c:pt idx="20">
                  <c:v>-0.59029982486376298</c:v>
                </c:pt>
                <c:pt idx="21">
                  <c:v>8.6784794688583133E-2</c:v>
                </c:pt>
              </c:numCache>
            </c:numRef>
          </c:val>
          <c:smooth val="0"/>
          <c:extLst>
            <c:ext xmlns:c16="http://schemas.microsoft.com/office/drawing/2014/chart" uri="{C3380CC4-5D6E-409C-BE32-E72D297353CC}">
              <c16:uniqueId val="{00000005-86C0-46D7-A82D-F580787E0964}"/>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2"/>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3869776528327045"/>
          <c:h val="0.69135712481071809"/>
        </c:manualLayout>
      </c:layout>
      <c:barChart>
        <c:barDir val="col"/>
        <c:grouping val="stacked"/>
        <c:varyColors val="0"/>
        <c:ser>
          <c:idx val="0"/>
          <c:order val="0"/>
          <c:tx>
            <c:strRef>
              <c:f>'GRAF příspěvky IPP'!$A$27</c:f>
              <c:strCache>
                <c:ptCount val="1"/>
                <c:pt idx="0">
                  <c:v>Manufacture of transport equip. (29, 30)</c:v>
                </c:pt>
              </c:strCache>
            </c:strRef>
          </c:tx>
          <c:spPr>
            <a:solidFill>
              <a:srgbClr val="E8AFB2"/>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IPP'!$R$27:$BC$27</c:f>
              <c:numCache>
                <c:formatCode>0.0</c:formatCode>
                <c:ptCount val="38"/>
                <c:pt idx="0">
                  <c:v>1.5407194734870255</c:v>
                </c:pt>
                <c:pt idx="1">
                  <c:v>2.1725345808437702</c:v>
                </c:pt>
                <c:pt idx="2">
                  <c:v>2.3822280390891484</c:v>
                </c:pt>
                <c:pt idx="3">
                  <c:v>2.8679001700331122</c:v>
                </c:pt>
                <c:pt idx="4">
                  <c:v>3.3256782968034511</c:v>
                </c:pt>
                <c:pt idx="5">
                  <c:v>2.7078368205204244</c:v>
                </c:pt>
                <c:pt idx="6">
                  <c:v>1.4770884945722993</c:v>
                </c:pt>
                <c:pt idx="7">
                  <c:v>1.0297006290395898</c:v>
                </c:pt>
                <c:pt idx="8">
                  <c:v>1.7408920839398754</c:v>
                </c:pt>
                <c:pt idx="9">
                  <c:v>2.1378802528812932</c:v>
                </c:pt>
                <c:pt idx="10">
                  <c:v>1.5935135243788106</c:v>
                </c:pt>
                <c:pt idx="11">
                  <c:v>1.6791873092801739</c:v>
                </c:pt>
                <c:pt idx="12">
                  <c:v>0.75268647024158142</c:v>
                </c:pt>
                <c:pt idx="13">
                  <c:v>0.54211789515047693</c:v>
                </c:pt>
                <c:pt idx="14">
                  <c:v>0.24127576647979335</c:v>
                </c:pt>
                <c:pt idx="15">
                  <c:v>0.97863378627142206</c:v>
                </c:pt>
                <c:pt idx="16">
                  <c:v>-0.2260516552234422</c:v>
                </c:pt>
                <c:pt idx="17">
                  <c:v>0.44759183220264459</c:v>
                </c:pt>
                <c:pt idx="18">
                  <c:v>0.76878503294695455</c:v>
                </c:pt>
                <c:pt idx="19">
                  <c:v>-1.0091759236462883</c:v>
                </c:pt>
                <c:pt idx="20">
                  <c:v>-1.5334709251303915</c:v>
                </c:pt>
                <c:pt idx="21">
                  <c:v>-9.3844961095672232</c:v>
                </c:pt>
                <c:pt idx="22">
                  <c:v>-0.1831246423410012</c:v>
                </c:pt>
                <c:pt idx="23">
                  <c:v>2.0633116605855042</c:v>
                </c:pt>
                <c:pt idx="24">
                  <c:v>1.8975892085619599</c:v>
                </c:pt>
                <c:pt idx="25">
                  <c:v>10.942229614625033</c:v>
                </c:pt>
                <c:pt idx="26">
                  <c:v>-3.7731049892010864</c:v>
                </c:pt>
                <c:pt idx="27">
                  <c:v>-3.2535308042579567</c:v>
                </c:pt>
                <c:pt idx="28">
                  <c:v>-1.9125458057863209</c:v>
                </c:pt>
                <c:pt idx="29">
                  <c:v>9.5447744662069289E-2</c:v>
                </c:pt>
                <c:pt idx="30">
                  <c:v>5.6019908887957373</c:v>
                </c:pt>
                <c:pt idx="31">
                  <c:v>4.0134216834581702</c:v>
                </c:pt>
                <c:pt idx="32">
                  <c:v>5.2536005580152212</c:v>
                </c:pt>
                <c:pt idx="33">
                  <c:v>5.1114636387030394</c:v>
                </c:pt>
                <c:pt idx="34">
                  <c:v>1.3618952455796303</c:v>
                </c:pt>
                <c:pt idx="35">
                  <c:v>3.1901430933724066</c:v>
                </c:pt>
                <c:pt idx="36">
                  <c:v>0.45999217837512463</c:v>
                </c:pt>
                <c:pt idx="37">
                  <c:v>-1.240406610955751</c:v>
                </c:pt>
              </c:numCache>
            </c:numRef>
          </c:val>
          <c:extLst>
            <c:ext xmlns:c16="http://schemas.microsoft.com/office/drawing/2014/chart" uri="{C3380CC4-5D6E-409C-BE32-E72D297353CC}">
              <c16:uniqueId val="{00000000-A461-4FBA-82B0-01FCDDD85655}"/>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IPP'!$R$28:$BC$28</c:f>
              <c:numCache>
                <c:formatCode>0.0</c:formatCode>
                <c:ptCount val="38"/>
                <c:pt idx="0">
                  <c:v>1.0322214618878158</c:v>
                </c:pt>
                <c:pt idx="1">
                  <c:v>1.2386415260436179</c:v>
                </c:pt>
                <c:pt idx="2">
                  <c:v>1.4204776682885574</c:v>
                </c:pt>
                <c:pt idx="3">
                  <c:v>0.62919278136008572</c:v>
                </c:pt>
                <c:pt idx="4">
                  <c:v>0.8176750577912526</c:v>
                </c:pt>
                <c:pt idx="5">
                  <c:v>0.14129582168796412</c:v>
                </c:pt>
                <c:pt idx="6">
                  <c:v>0.27952572878212995</c:v>
                </c:pt>
                <c:pt idx="7">
                  <c:v>0.42980054252763067</c:v>
                </c:pt>
                <c:pt idx="8">
                  <c:v>0.79334952879496901</c:v>
                </c:pt>
                <c:pt idx="9">
                  <c:v>1.468356537050969</c:v>
                </c:pt>
                <c:pt idx="10">
                  <c:v>0.87390949425966125</c:v>
                </c:pt>
                <c:pt idx="11">
                  <c:v>1.644368824210785</c:v>
                </c:pt>
                <c:pt idx="12">
                  <c:v>1.0040337375607471</c:v>
                </c:pt>
                <c:pt idx="13">
                  <c:v>0.3253925650201499</c:v>
                </c:pt>
                <c:pt idx="14">
                  <c:v>0.43133954445298106</c:v>
                </c:pt>
                <c:pt idx="15">
                  <c:v>-5.9899261699036116E-2</c:v>
                </c:pt>
                <c:pt idx="16">
                  <c:v>0.52608733581744893</c:v>
                </c:pt>
                <c:pt idx="17">
                  <c:v>0.44070570288166666</c:v>
                </c:pt>
                <c:pt idx="18">
                  <c:v>0.16703875787161085</c:v>
                </c:pt>
                <c:pt idx="19">
                  <c:v>0.41508771908448316</c:v>
                </c:pt>
                <c:pt idx="20">
                  <c:v>-0.55255281731107375</c:v>
                </c:pt>
                <c:pt idx="21">
                  <c:v>-4.0630399723550301</c:v>
                </c:pt>
                <c:pt idx="22">
                  <c:v>-0.43874587338548932</c:v>
                </c:pt>
                <c:pt idx="23">
                  <c:v>0.53060699318837878</c:v>
                </c:pt>
                <c:pt idx="24">
                  <c:v>0.71145935426482565</c:v>
                </c:pt>
                <c:pt idx="25">
                  <c:v>5.4849453443420373</c:v>
                </c:pt>
                <c:pt idx="26">
                  <c:v>0.62009544020472473</c:v>
                </c:pt>
                <c:pt idx="27">
                  <c:v>-0.42285126031126669</c:v>
                </c:pt>
                <c:pt idx="28">
                  <c:v>9.1493416828334395E-2</c:v>
                </c:pt>
                <c:pt idx="29">
                  <c:v>0.14020266448373037</c:v>
                </c:pt>
                <c:pt idx="30">
                  <c:v>0.54193889354627167</c:v>
                </c:pt>
                <c:pt idx="31">
                  <c:v>0.61065791996017937</c:v>
                </c:pt>
                <c:pt idx="32">
                  <c:v>0.25271742983599177</c:v>
                </c:pt>
                <c:pt idx="33">
                  <c:v>0.12055652014943047</c:v>
                </c:pt>
                <c:pt idx="34">
                  <c:v>-0.42571706492848177</c:v>
                </c:pt>
                <c:pt idx="35">
                  <c:v>2.1622941519747779E-2</c:v>
                </c:pt>
                <c:pt idx="36">
                  <c:v>0.17867804467099502</c:v>
                </c:pt>
                <c:pt idx="37">
                  <c:v>-0.19674104015401267</c:v>
                </c:pt>
              </c:numCache>
            </c:numRef>
          </c:val>
          <c:extLst>
            <c:ext xmlns:c16="http://schemas.microsoft.com/office/drawing/2014/chart" uri="{C3380CC4-5D6E-409C-BE32-E72D297353CC}">
              <c16:uniqueId val="{00000001-A461-4FBA-82B0-01FCDDD85655}"/>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IPP'!$R$29:$BC$29</c:f>
              <c:numCache>
                <c:formatCode>0.0</c:formatCode>
                <c:ptCount val="38"/>
                <c:pt idx="0">
                  <c:v>0.27346966717109655</c:v>
                </c:pt>
                <c:pt idx="1">
                  <c:v>0.29320995735524691</c:v>
                </c:pt>
                <c:pt idx="2">
                  <c:v>0.38410423993096532</c:v>
                </c:pt>
                <c:pt idx="3">
                  <c:v>2.0725807050325191E-2</c:v>
                </c:pt>
                <c:pt idx="4">
                  <c:v>0.37252847603208256</c:v>
                </c:pt>
                <c:pt idx="5">
                  <c:v>-9.2809853017947919E-2</c:v>
                </c:pt>
                <c:pt idx="6">
                  <c:v>0.20293953400612441</c:v>
                </c:pt>
                <c:pt idx="7">
                  <c:v>0.32005157357499631</c:v>
                </c:pt>
                <c:pt idx="8">
                  <c:v>0.3345178851347928</c:v>
                </c:pt>
                <c:pt idx="9">
                  <c:v>1.1003694908923236</c:v>
                </c:pt>
                <c:pt idx="10">
                  <c:v>0.85805445400541835</c:v>
                </c:pt>
                <c:pt idx="11">
                  <c:v>0.80055944660911171</c:v>
                </c:pt>
                <c:pt idx="12">
                  <c:v>0.48868169907415326</c:v>
                </c:pt>
                <c:pt idx="13">
                  <c:v>0.13868742792561028</c:v>
                </c:pt>
                <c:pt idx="14">
                  <c:v>0.18638853797251198</c:v>
                </c:pt>
                <c:pt idx="15">
                  <c:v>-0.20071677551985512</c:v>
                </c:pt>
                <c:pt idx="16">
                  <c:v>0.20262845642032346</c:v>
                </c:pt>
                <c:pt idx="17">
                  <c:v>-9.1482438382696971E-3</c:v>
                </c:pt>
                <c:pt idx="18">
                  <c:v>-0.3267936607108648</c:v>
                </c:pt>
                <c:pt idx="19">
                  <c:v>-0.14957125605699437</c:v>
                </c:pt>
                <c:pt idx="20">
                  <c:v>-0.7072452096320988</c:v>
                </c:pt>
                <c:pt idx="21">
                  <c:v>-2.1308377913469609</c:v>
                </c:pt>
                <c:pt idx="22">
                  <c:v>-0.8017096029334061</c:v>
                </c:pt>
                <c:pt idx="23">
                  <c:v>-0.54797142039304825</c:v>
                </c:pt>
                <c:pt idx="24">
                  <c:v>7.0850055204653054E-2</c:v>
                </c:pt>
                <c:pt idx="25">
                  <c:v>2.0598150661116326</c:v>
                </c:pt>
                <c:pt idx="26">
                  <c:v>0.54732740156649295</c:v>
                </c:pt>
                <c:pt idx="27">
                  <c:v>0.28187017007306092</c:v>
                </c:pt>
                <c:pt idx="28">
                  <c:v>0.35832508124582935</c:v>
                </c:pt>
                <c:pt idx="29">
                  <c:v>9.1653825182652457E-2</c:v>
                </c:pt>
                <c:pt idx="30">
                  <c:v>0.48964765301851315</c:v>
                </c:pt>
                <c:pt idx="31">
                  <c:v>0.65392427024919109</c:v>
                </c:pt>
                <c:pt idx="32">
                  <c:v>0.4743954191459484</c:v>
                </c:pt>
                <c:pt idx="33">
                  <c:v>0.39139167102075056</c:v>
                </c:pt>
                <c:pt idx="34">
                  <c:v>-0.58039125250365531</c:v>
                </c:pt>
                <c:pt idx="35">
                  <c:v>-0.75561598264437491</c:v>
                </c:pt>
                <c:pt idx="36">
                  <c:v>-1.0719133806978978</c:v>
                </c:pt>
                <c:pt idx="37">
                  <c:v>-1.0310110810340232</c:v>
                </c:pt>
              </c:numCache>
            </c:numRef>
          </c:val>
          <c:extLst>
            <c:ext xmlns:c16="http://schemas.microsoft.com/office/drawing/2014/chart" uri="{C3380CC4-5D6E-409C-BE32-E72D297353CC}">
              <c16:uniqueId val="{00000002-A461-4FBA-82B0-01FCDDD85655}"/>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IPP'!$R$30:$BC$30</c:f>
              <c:numCache>
                <c:formatCode>0.0</c:formatCode>
                <c:ptCount val="38"/>
                <c:pt idx="0">
                  <c:v>0.69488451852266242</c:v>
                </c:pt>
                <c:pt idx="1">
                  <c:v>0.78494764780669857</c:v>
                </c:pt>
                <c:pt idx="2">
                  <c:v>0.99085589155838827</c:v>
                </c:pt>
                <c:pt idx="3">
                  <c:v>0.60110426817331475</c:v>
                </c:pt>
                <c:pt idx="4">
                  <c:v>0.81011316513160325</c:v>
                </c:pt>
                <c:pt idx="5">
                  <c:v>0.36137817304287012</c:v>
                </c:pt>
                <c:pt idx="6">
                  <c:v>0.23174116441034223</c:v>
                </c:pt>
                <c:pt idx="7">
                  <c:v>0.25113007311661406</c:v>
                </c:pt>
                <c:pt idx="8">
                  <c:v>0.38676361423749528</c:v>
                </c:pt>
                <c:pt idx="9">
                  <c:v>0.95166355765299349</c:v>
                </c:pt>
                <c:pt idx="10">
                  <c:v>0.86091550298549102</c:v>
                </c:pt>
                <c:pt idx="11">
                  <c:v>0.96020285266505589</c:v>
                </c:pt>
                <c:pt idx="12">
                  <c:v>0.67147421279246411</c:v>
                </c:pt>
                <c:pt idx="13">
                  <c:v>0.46338675111775501</c:v>
                </c:pt>
                <c:pt idx="14">
                  <c:v>0.40465307945227347</c:v>
                </c:pt>
                <c:pt idx="15">
                  <c:v>0.13991647838864771</c:v>
                </c:pt>
                <c:pt idx="16">
                  <c:v>0.23284119938910905</c:v>
                </c:pt>
                <c:pt idx="17">
                  <c:v>-2.3018109664658163E-3</c:v>
                </c:pt>
                <c:pt idx="18">
                  <c:v>-0.27902616348258918</c:v>
                </c:pt>
                <c:pt idx="19">
                  <c:v>-0.28921256974210446</c:v>
                </c:pt>
                <c:pt idx="20">
                  <c:v>-0.59705730498174525</c:v>
                </c:pt>
                <c:pt idx="21">
                  <c:v>-2.0768472147616719</c:v>
                </c:pt>
                <c:pt idx="22">
                  <c:v>-0.62165835195312102</c:v>
                </c:pt>
                <c:pt idx="23">
                  <c:v>4.661253810289321E-2</c:v>
                </c:pt>
                <c:pt idx="24">
                  <c:v>0.4319844451866503</c:v>
                </c:pt>
                <c:pt idx="25">
                  <c:v>2.9892153039365739</c:v>
                </c:pt>
                <c:pt idx="26">
                  <c:v>0.80117841210531138</c:v>
                </c:pt>
                <c:pt idx="27">
                  <c:v>1.7463387937825797E-2</c:v>
                </c:pt>
                <c:pt idx="28">
                  <c:v>0.22598481032929491</c:v>
                </c:pt>
                <c:pt idx="29">
                  <c:v>-0.40391403937362469</c:v>
                </c:pt>
                <c:pt idx="30">
                  <c:v>-0.31530952555716046</c:v>
                </c:pt>
                <c:pt idx="31">
                  <c:v>-0.21505799769140796</c:v>
                </c:pt>
                <c:pt idx="32">
                  <c:v>-0.35405207260318489</c:v>
                </c:pt>
                <c:pt idx="33">
                  <c:v>-9.6885897827818007E-2</c:v>
                </c:pt>
                <c:pt idx="34">
                  <c:v>-0.20936242560906063</c:v>
                </c:pt>
                <c:pt idx="35">
                  <c:v>-0.27619740847507079</c:v>
                </c:pt>
                <c:pt idx="36">
                  <c:v>-0.12502017613010791</c:v>
                </c:pt>
                <c:pt idx="37">
                  <c:v>-7.7508650510356131E-2</c:v>
                </c:pt>
              </c:numCache>
            </c:numRef>
          </c:val>
          <c:extLst>
            <c:ext xmlns:c16="http://schemas.microsoft.com/office/drawing/2014/chart" uri="{C3380CC4-5D6E-409C-BE32-E72D297353CC}">
              <c16:uniqueId val="{00000003-A461-4FBA-82B0-01FCDDD85655}"/>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IPP'!$R$31:$BC$31</c:f>
              <c:numCache>
                <c:formatCode>0.0</c:formatCode>
                <c:ptCount val="38"/>
                <c:pt idx="0">
                  <c:v>0.10274789516452397</c:v>
                </c:pt>
                <c:pt idx="1">
                  <c:v>1.6624023651880003E-2</c:v>
                </c:pt>
                <c:pt idx="2">
                  <c:v>3.1029768728409929E-2</c:v>
                </c:pt>
                <c:pt idx="3">
                  <c:v>-6.717825999350098E-2</c:v>
                </c:pt>
                <c:pt idx="4">
                  <c:v>-9.0690116406332948E-3</c:v>
                </c:pt>
                <c:pt idx="5">
                  <c:v>6.8577664711048592E-2</c:v>
                </c:pt>
                <c:pt idx="6">
                  <c:v>4.7878835623817111E-2</c:v>
                </c:pt>
                <c:pt idx="7">
                  <c:v>0.16200567329703564</c:v>
                </c:pt>
                <c:pt idx="8">
                  <c:v>0.1517960019133566</c:v>
                </c:pt>
                <c:pt idx="9">
                  <c:v>0.35040742405813147</c:v>
                </c:pt>
                <c:pt idx="10">
                  <c:v>0.22701547985990286</c:v>
                </c:pt>
                <c:pt idx="11">
                  <c:v>0.23483306705633769</c:v>
                </c:pt>
                <c:pt idx="12">
                  <c:v>0.38575845909308681</c:v>
                </c:pt>
                <c:pt idx="13">
                  <c:v>0.1585479563430445</c:v>
                </c:pt>
                <c:pt idx="14">
                  <c:v>0.63604123808561219</c:v>
                </c:pt>
                <c:pt idx="15">
                  <c:v>0.3169722012936107</c:v>
                </c:pt>
                <c:pt idx="16">
                  <c:v>-0.10335857004416719</c:v>
                </c:pt>
                <c:pt idx="17">
                  <c:v>-3.5698176267711781E-2</c:v>
                </c:pt>
                <c:pt idx="18">
                  <c:v>-0.60934912550064046</c:v>
                </c:pt>
                <c:pt idx="19">
                  <c:v>-0.3641176829939205</c:v>
                </c:pt>
                <c:pt idx="20">
                  <c:v>-0.1013700779981392</c:v>
                </c:pt>
                <c:pt idx="21">
                  <c:v>-0.31920945262277456</c:v>
                </c:pt>
                <c:pt idx="22">
                  <c:v>3.1049160053994794E-2</c:v>
                </c:pt>
                <c:pt idx="23">
                  <c:v>2.2349038466741165E-2</c:v>
                </c:pt>
                <c:pt idx="24">
                  <c:v>0.12974311148891404</c:v>
                </c:pt>
                <c:pt idx="25">
                  <c:v>0.21647002151163328</c:v>
                </c:pt>
                <c:pt idx="26">
                  <c:v>0.19205806664585179</c:v>
                </c:pt>
                <c:pt idx="27">
                  <c:v>-0.23628033126313611</c:v>
                </c:pt>
                <c:pt idx="28">
                  <c:v>2.5262432705383895E-2</c:v>
                </c:pt>
                <c:pt idx="29">
                  <c:v>-1.8781509562061992E-2</c:v>
                </c:pt>
                <c:pt idx="30">
                  <c:v>5.9957016296618329E-2</c:v>
                </c:pt>
                <c:pt idx="31">
                  <c:v>0.43275534414748673</c:v>
                </c:pt>
                <c:pt idx="32">
                  <c:v>0.14797572480386773</c:v>
                </c:pt>
                <c:pt idx="33">
                  <c:v>8.3419533160410703E-2</c:v>
                </c:pt>
                <c:pt idx="34">
                  <c:v>-7.2085015188834867E-2</c:v>
                </c:pt>
                <c:pt idx="35">
                  <c:v>-6.5736974006284782E-2</c:v>
                </c:pt>
                <c:pt idx="36">
                  <c:v>-7.4160847801630056E-2</c:v>
                </c:pt>
                <c:pt idx="37">
                  <c:v>0.14140218444503422</c:v>
                </c:pt>
              </c:numCache>
            </c:numRef>
          </c:val>
          <c:extLst>
            <c:ext xmlns:c16="http://schemas.microsoft.com/office/drawing/2014/chart" uri="{C3380CC4-5D6E-409C-BE32-E72D297353CC}">
              <c16:uniqueId val="{00000004-A461-4FBA-82B0-01FCDDD85655}"/>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IPP'!$R$32:$BC$32</c:f>
              <c:numCache>
                <c:formatCode>0.0</c:formatCode>
                <c:ptCount val="38"/>
                <c:pt idx="0">
                  <c:v>7.7157547125760104E-2</c:v>
                </c:pt>
                <c:pt idx="1">
                  <c:v>0.23593755110737841</c:v>
                </c:pt>
                <c:pt idx="2">
                  <c:v>-0.16353071050900619</c:v>
                </c:pt>
                <c:pt idx="3">
                  <c:v>-0.33446774192766959</c:v>
                </c:pt>
                <c:pt idx="4">
                  <c:v>-0.41480189964943331</c:v>
                </c:pt>
                <c:pt idx="5">
                  <c:v>-0.43289982593467702</c:v>
                </c:pt>
                <c:pt idx="6">
                  <c:v>-0.1055173929140575</c:v>
                </c:pt>
                <c:pt idx="7">
                  <c:v>0.23717747625834851</c:v>
                </c:pt>
                <c:pt idx="8">
                  <c:v>0.51439307947726998</c:v>
                </c:pt>
                <c:pt idx="9">
                  <c:v>0.83289717197907565</c:v>
                </c:pt>
                <c:pt idx="10">
                  <c:v>0.65310318202327911</c:v>
                </c:pt>
                <c:pt idx="11">
                  <c:v>0.50440121167449548</c:v>
                </c:pt>
                <c:pt idx="12">
                  <c:v>0.40911320927322647</c:v>
                </c:pt>
                <c:pt idx="13">
                  <c:v>7.7633111380155301E-2</c:v>
                </c:pt>
                <c:pt idx="14">
                  <c:v>-5.3190732776962651E-2</c:v>
                </c:pt>
                <c:pt idx="15">
                  <c:v>-7.1103221110709838E-2</c:v>
                </c:pt>
                <c:pt idx="16">
                  <c:v>9.3101613350728932E-2</c:v>
                </c:pt>
                <c:pt idx="17">
                  <c:v>6.1474211824515262E-2</c:v>
                </c:pt>
                <c:pt idx="18">
                  <c:v>0.2229684142187896</c:v>
                </c:pt>
                <c:pt idx="19">
                  <c:v>3.2130190492489386E-2</c:v>
                </c:pt>
                <c:pt idx="20">
                  <c:v>-3.6216479616950112E-2</c:v>
                </c:pt>
                <c:pt idx="21">
                  <c:v>-0.57135666895590331</c:v>
                </c:pt>
                <c:pt idx="22">
                  <c:v>-0.22076865898667289</c:v>
                </c:pt>
                <c:pt idx="23">
                  <c:v>0.42176753383241716</c:v>
                </c:pt>
                <c:pt idx="24">
                  <c:v>0.28428412011687404</c:v>
                </c:pt>
                <c:pt idx="25">
                  <c:v>0.82249631111331634</c:v>
                </c:pt>
                <c:pt idx="26">
                  <c:v>0.32027597160186944</c:v>
                </c:pt>
                <c:pt idx="27">
                  <c:v>8.7321622360171852E-2</c:v>
                </c:pt>
                <c:pt idx="28">
                  <c:v>0.24814976114220236</c:v>
                </c:pt>
                <c:pt idx="29">
                  <c:v>0.15906491022417332</c:v>
                </c:pt>
                <c:pt idx="30">
                  <c:v>-9.9156705361591546E-2</c:v>
                </c:pt>
                <c:pt idx="31">
                  <c:v>-0.2903361250797567</c:v>
                </c:pt>
                <c:pt idx="32">
                  <c:v>-0.60093194811787198</c:v>
                </c:pt>
                <c:pt idx="33">
                  <c:v>-0.17634605689268518</c:v>
                </c:pt>
                <c:pt idx="34">
                  <c:v>-7.3142262120512377E-2</c:v>
                </c:pt>
                <c:pt idx="35">
                  <c:v>-0.12595269503796017</c:v>
                </c:pt>
                <c:pt idx="36">
                  <c:v>0.2900417395339277</c:v>
                </c:pt>
                <c:pt idx="37">
                  <c:v>3.2573230941614933E-2</c:v>
                </c:pt>
              </c:numCache>
            </c:numRef>
          </c:val>
          <c:extLst>
            <c:ext xmlns:c16="http://schemas.microsoft.com/office/drawing/2014/chart" uri="{C3380CC4-5D6E-409C-BE32-E72D297353CC}">
              <c16:uniqueId val="{00000005-A461-4FBA-82B0-01FCDDD85655}"/>
            </c:ext>
          </c:extLst>
        </c:ser>
        <c:ser>
          <c:idx val="6"/>
          <c:order val="6"/>
          <c:tx>
            <c:strRef>
              <c:f>'GRAF příspěvky IPP'!$A$33</c:f>
              <c:strCache>
                <c:ptCount val="1"/>
                <c:pt idx="0">
                  <c:v>Remaining manufacturing industries*</c:v>
                </c:pt>
              </c:strCache>
            </c:strRef>
          </c:tx>
          <c:spPr>
            <a:solidFill>
              <a:schemeClr val="bg1">
                <a:lumMod val="85000"/>
              </a:schemeClr>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IPP'!$R$33:$BC$33</c:f>
              <c:numCache>
                <c:formatCode>0.0</c:formatCode>
                <c:ptCount val="38"/>
                <c:pt idx="0">
                  <c:v>0.98443956746970962</c:v>
                </c:pt>
                <c:pt idx="1">
                  <c:v>0.89749369767930132</c:v>
                </c:pt>
                <c:pt idx="2">
                  <c:v>1.0110169889951346</c:v>
                </c:pt>
                <c:pt idx="3">
                  <c:v>-0.20272196687510713</c:v>
                </c:pt>
                <c:pt idx="4">
                  <c:v>-0.44835386658683185</c:v>
                </c:pt>
                <c:pt idx="5">
                  <c:v>-1.1528022020710338</c:v>
                </c:pt>
                <c:pt idx="6">
                  <c:v>-0.3721343772053517</c:v>
                </c:pt>
                <c:pt idx="7">
                  <c:v>0.44554477386112834</c:v>
                </c:pt>
                <c:pt idx="8">
                  <c:v>-0.13802711444318691</c:v>
                </c:pt>
                <c:pt idx="9">
                  <c:v>1.4520150527939983</c:v>
                </c:pt>
                <c:pt idx="10">
                  <c:v>0.65687676657011995</c:v>
                </c:pt>
                <c:pt idx="11">
                  <c:v>0.76186639439852744</c:v>
                </c:pt>
                <c:pt idx="12">
                  <c:v>1.1768838940724016</c:v>
                </c:pt>
                <c:pt idx="13">
                  <c:v>0.73260991135089881</c:v>
                </c:pt>
                <c:pt idx="14">
                  <c:v>1.1309843102453647</c:v>
                </c:pt>
                <c:pt idx="15">
                  <c:v>0.15993804771029091</c:v>
                </c:pt>
                <c:pt idx="16">
                  <c:v>-0.32185268974320136</c:v>
                </c:pt>
                <c:pt idx="17">
                  <c:v>-0.30512916964802844</c:v>
                </c:pt>
                <c:pt idx="18">
                  <c:v>-0.97407463154620033</c:v>
                </c:pt>
                <c:pt idx="19">
                  <c:v>-3.9701171551173531E-2</c:v>
                </c:pt>
                <c:pt idx="20">
                  <c:v>0.31377104389497573</c:v>
                </c:pt>
                <c:pt idx="21">
                  <c:v>-1.6010940767108721</c:v>
                </c:pt>
                <c:pt idx="22">
                  <c:v>-5.0886354263985356E-3</c:v>
                </c:pt>
                <c:pt idx="23">
                  <c:v>-0.12175513984550231</c:v>
                </c:pt>
                <c:pt idx="24">
                  <c:v>-3.4125834156235602E-3</c:v>
                </c:pt>
                <c:pt idx="25">
                  <c:v>3.2141937782937271</c:v>
                </c:pt>
                <c:pt idx="26">
                  <c:v>1.5247062667635272</c:v>
                </c:pt>
                <c:pt idx="27">
                  <c:v>1.1683376200242677</c:v>
                </c:pt>
                <c:pt idx="28">
                  <c:v>1.6901750523412213</c:v>
                </c:pt>
                <c:pt idx="29">
                  <c:v>0.27341674219238665</c:v>
                </c:pt>
                <c:pt idx="30">
                  <c:v>-1.6650039614606045</c:v>
                </c:pt>
                <c:pt idx="31">
                  <c:v>-1.5212796857672286</c:v>
                </c:pt>
                <c:pt idx="32">
                  <c:v>-3.3366692351327236</c:v>
                </c:pt>
                <c:pt idx="33">
                  <c:v>-3.5778039994492534</c:v>
                </c:pt>
                <c:pt idx="34">
                  <c:v>-1.7990084031826756</c:v>
                </c:pt>
                <c:pt idx="35">
                  <c:v>-1.6134513672711486</c:v>
                </c:pt>
                <c:pt idx="36">
                  <c:v>0.19688548646974641</c:v>
                </c:pt>
                <c:pt idx="37">
                  <c:v>0.21687653354971559</c:v>
                </c:pt>
              </c:numCache>
            </c:numRef>
          </c:val>
          <c:extLst>
            <c:ext xmlns:c16="http://schemas.microsoft.com/office/drawing/2014/chart" uri="{C3380CC4-5D6E-409C-BE32-E72D297353CC}">
              <c16:uniqueId val="{00000006-A461-4FBA-82B0-01FCDDD85655}"/>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IPP'!$R$34:$BC$34</c:f>
              <c:numCache>
                <c:formatCode>0.0</c:formatCode>
                <c:ptCount val="38"/>
                <c:pt idx="0">
                  <c:v>0.14402037647140767</c:v>
                </c:pt>
                <c:pt idx="1">
                  <c:v>-0.33675824148789951</c:v>
                </c:pt>
                <c:pt idx="2">
                  <c:v>-0.3968935754815921</c:v>
                </c:pt>
                <c:pt idx="3">
                  <c:v>-1.1136308902205647</c:v>
                </c:pt>
                <c:pt idx="4">
                  <c:v>-0.66026658968149066</c:v>
                </c:pt>
                <c:pt idx="5">
                  <c:v>6.6763502761356674E-2</c:v>
                </c:pt>
                <c:pt idx="6">
                  <c:v>-0.46574952767530198</c:v>
                </c:pt>
                <c:pt idx="7">
                  <c:v>0.47124206252466205</c:v>
                </c:pt>
                <c:pt idx="8">
                  <c:v>0.68579685044543348</c:v>
                </c:pt>
                <c:pt idx="9">
                  <c:v>-0.21786071250878586</c:v>
                </c:pt>
                <c:pt idx="10">
                  <c:v>0.74762012671732325</c:v>
                </c:pt>
                <c:pt idx="11">
                  <c:v>0.67922569430551583</c:v>
                </c:pt>
                <c:pt idx="12">
                  <c:v>-0.54241645010765449</c:v>
                </c:pt>
                <c:pt idx="13">
                  <c:v>-1.8631527880888649E-3</c:v>
                </c:pt>
                <c:pt idx="14">
                  <c:v>0.78670127678843149</c:v>
                </c:pt>
                <c:pt idx="15">
                  <c:v>0.32960713526562863</c:v>
                </c:pt>
                <c:pt idx="16">
                  <c:v>6.8904910133199077E-2</c:v>
                </c:pt>
                <c:pt idx="17">
                  <c:v>0.12170682001164354</c:v>
                </c:pt>
                <c:pt idx="18">
                  <c:v>-0.5109816723970585</c:v>
                </c:pt>
                <c:pt idx="19">
                  <c:v>-0.36784640528649537</c:v>
                </c:pt>
                <c:pt idx="20">
                  <c:v>-1.0379724863245821</c:v>
                </c:pt>
                <c:pt idx="21">
                  <c:v>-1.638329285379571</c:v>
                </c:pt>
                <c:pt idx="22">
                  <c:v>-0.82494325172790062</c:v>
                </c:pt>
                <c:pt idx="23">
                  <c:v>-0.74239007583737793</c:v>
                </c:pt>
                <c:pt idx="24">
                  <c:v>0.59158556249174743</c:v>
                </c:pt>
                <c:pt idx="25">
                  <c:v>0.52574532126604923</c:v>
                </c:pt>
                <c:pt idx="26">
                  <c:v>0.3141749245133067</c:v>
                </c:pt>
                <c:pt idx="27">
                  <c:v>0.81673244983703708</c:v>
                </c:pt>
                <c:pt idx="28">
                  <c:v>-0.20930722480594036</c:v>
                </c:pt>
                <c:pt idx="29">
                  <c:v>0.24261992579068087</c:v>
                </c:pt>
                <c:pt idx="30">
                  <c:v>0.41437274042222183</c:v>
                </c:pt>
                <c:pt idx="31">
                  <c:v>-1.2875007654766373</c:v>
                </c:pt>
                <c:pt idx="32">
                  <c:v>-1.3048253110472505</c:v>
                </c:pt>
                <c:pt idx="33">
                  <c:v>-1.5779992607638813</c:v>
                </c:pt>
                <c:pt idx="34">
                  <c:v>-1.6272504326464061</c:v>
                </c:pt>
                <c:pt idx="35">
                  <c:v>-1.1082452978573207</c:v>
                </c:pt>
                <c:pt idx="36">
                  <c:v>-0.77438151712016401</c:v>
                </c:pt>
                <c:pt idx="37">
                  <c:v>-8.6511302482215585E-2</c:v>
                </c:pt>
              </c:numCache>
            </c:numRef>
          </c:val>
          <c:extLst>
            <c:ext xmlns:c16="http://schemas.microsoft.com/office/drawing/2014/chart" uri="{C3380CC4-5D6E-409C-BE32-E72D297353CC}">
              <c16:uniqueId val="{00000007-A461-4FBA-82B0-01FCDDD85655}"/>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production in industry (NACE B to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IPP'!$R$35:$BC$35</c:f>
              <c:numCache>
                <c:formatCode>0.0</c:formatCode>
                <c:ptCount val="38"/>
                <c:pt idx="0">
                  <c:v>4.8496605073000012</c:v>
                </c:pt>
                <c:pt idx="1">
                  <c:v>5.3026307429999946</c:v>
                </c:pt>
                <c:pt idx="2">
                  <c:v>5.6592883106000045</c:v>
                </c:pt>
                <c:pt idx="3">
                  <c:v>2.4009241675999959</c:v>
                </c:pt>
                <c:pt idx="4">
                  <c:v>3.7935036281999999</c:v>
                </c:pt>
                <c:pt idx="5">
                  <c:v>1.667340101700006</c:v>
                </c:pt>
                <c:pt idx="6">
                  <c:v>1.295772459600002</c:v>
                </c:pt>
                <c:pt idx="7">
                  <c:v>3.346652804200005</c:v>
                </c:pt>
                <c:pt idx="8">
                  <c:v>4.4694819295000059</c:v>
                </c:pt>
                <c:pt idx="9">
                  <c:v>8.0757287747999982</c:v>
                </c:pt>
                <c:pt idx="10">
                  <c:v>6.471008530800006</c:v>
                </c:pt>
                <c:pt idx="11">
                  <c:v>7.2646448002000028</c:v>
                </c:pt>
                <c:pt idx="12">
                  <c:v>4.3462152320000058</c:v>
                </c:pt>
                <c:pt idx="13">
                  <c:v>2.4365124655000017</c:v>
                </c:pt>
                <c:pt idx="14">
                  <c:v>3.7641930207000058</c:v>
                </c:pt>
                <c:pt idx="15">
                  <c:v>1.5933483905999992</c:v>
                </c:pt>
                <c:pt idx="16">
                  <c:v>0.47230060009999875</c:v>
                </c:pt>
                <c:pt idx="17">
                  <c:v>0.71920116619999419</c:v>
                </c:pt>
                <c:pt idx="18">
                  <c:v>-1.5414330485999983</c:v>
                </c:pt>
                <c:pt idx="19">
                  <c:v>-1.7724070997000041</c:v>
                </c:pt>
                <c:pt idx="20">
                  <c:v>-4.2521142571000041</c:v>
                </c:pt>
                <c:pt idx="21">
                  <c:v>-21.785210571700006</c:v>
                </c:pt>
                <c:pt idx="22">
                  <c:v>-3.0649898566999951</c:v>
                </c:pt>
                <c:pt idx="23">
                  <c:v>1.6725311281000046</c:v>
                </c:pt>
                <c:pt idx="24">
                  <c:v>4.1140832738999933</c:v>
                </c:pt>
                <c:pt idx="25">
                  <c:v>26.255110761200001</c:v>
                </c:pt>
                <c:pt idx="26">
                  <c:v>0.54671149419999665</c:v>
                </c:pt>
                <c:pt idx="27">
                  <c:v>-1.5409371455999974</c:v>
                </c:pt>
                <c:pt idx="28">
                  <c:v>0.5205246690999985</c:v>
                </c:pt>
                <c:pt idx="29">
                  <c:v>0.58134214039999677</c:v>
                </c:pt>
                <c:pt idx="30">
                  <c:v>5.0279940308000022</c:v>
                </c:pt>
                <c:pt idx="31">
                  <c:v>2.3925097351999938</c:v>
                </c:pt>
                <c:pt idx="32">
                  <c:v>0.5410828346000045</c:v>
                </c:pt>
                <c:pt idx="33">
                  <c:v>0.26602008659999399</c:v>
                </c:pt>
                <c:pt idx="34">
                  <c:v>-3.4323176166000025</c:v>
                </c:pt>
                <c:pt idx="35">
                  <c:v>-0.73263570870000194</c:v>
                </c:pt>
                <c:pt idx="36">
                  <c:v>-0.919878472700006</c:v>
                </c:pt>
                <c:pt idx="37">
                  <c:v>-2.2413267361999942</c:v>
                </c:pt>
              </c:numCache>
            </c:numRef>
          </c:val>
          <c:smooth val="0"/>
          <c:extLst>
            <c:ext xmlns:c16="http://schemas.microsoft.com/office/drawing/2014/chart" uri="{C3380CC4-5D6E-409C-BE32-E72D297353CC}">
              <c16:uniqueId val="{00000008-A461-4FBA-82B0-01FCDDD85655}"/>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IPP'!$R$36:$BC$36</c:f>
              <c:numCache>
                <c:formatCode>General</c:formatCode>
                <c:ptCount val="38"/>
              </c:numCache>
            </c:numRef>
          </c:val>
          <c:smooth val="0"/>
          <c:extLst>
            <c:ext xmlns:c16="http://schemas.microsoft.com/office/drawing/2014/chart" uri="{C3380CC4-5D6E-409C-BE32-E72D297353CC}">
              <c16:uniqueId val="{00000009-A461-4FBA-82B0-01FCDDD85655}"/>
            </c:ext>
          </c:extLst>
        </c:ser>
        <c:ser>
          <c:idx val="10"/>
          <c:order val="10"/>
          <c:tx>
            <c:strRef>
              <c:f>'GRAF příspěvky IPP'!$A$37</c:f>
              <c:strCache>
                <c:ptCount val="1"/>
                <c:pt idx="0">
                  <c:v>Output, total industry CR (2021=100)</c:v>
                </c:pt>
              </c:strCache>
            </c:strRef>
          </c:tx>
          <c:spPr>
            <a:ln w="15875">
              <a:solidFill>
                <a:schemeClr val="tx1">
                  <a:lumMod val="95000"/>
                  <a:lumOff val="5000"/>
                </a:schemeClr>
              </a:solidFill>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IPP'!$R$37:$BC$37</c:f>
              <c:numCache>
                <c:formatCode>#\ ##0.#</c:formatCode>
                <c:ptCount val="38"/>
                <c:pt idx="0">
                  <c:v>88.4</c:v>
                </c:pt>
                <c:pt idx="1">
                  <c:v>89.9</c:v>
                </c:pt>
                <c:pt idx="2">
                  <c:v>90.9</c:v>
                </c:pt>
                <c:pt idx="3">
                  <c:v>90.1</c:v>
                </c:pt>
                <c:pt idx="4">
                  <c:v>91.8</c:v>
                </c:pt>
                <c:pt idx="5">
                  <c:v>91.3</c:v>
                </c:pt>
                <c:pt idx="6">
                  <c:v>92</c:v>
                </c:pt>
                <c:pt idx="7">
                  <c:v>93.1</c:v>
                </c:pt>
                <c:pt idx="8">
                  <c:v>95.6</c:v>
                </c:pt>
                <c:pt idx="9">
                  <c:v>98.6</c:v>
                </c:pt>
                <c:pt idx="10">
                  <c:v>98.2</c:v>
                </c:pt>
                <c:pt idx="11">
                  <c:v>100.1</c:v>
                </c:pt>
                <c:pt idx="12">
                  <c:v>100.1</c:v>
                </c:pt>
                <c:pt idx="13">
                  <c:v>101.1</c:v>
                </c:pt>
                <c:pt idx="14">
                  <c:v>102</c:v>
                </c:pt>
                <c:pt idx="15">
                  <c:v>101.3</c:v>
                </c:pt>
                <c:pt idx="16">
                  <c:v>100.6</c:v>
                </c:pt>
                <c:pt idx="17">
                  <c:v>102.2</c:v>
                </c:pt>
                <c:pt idx="18">
                  <c:v>100.1</c:v>
                </c:pt>
                <c:pt idx="19">
                  <c:v>99.4</c:v>
                </c:pt>
                <c:pt idx="20">
                  <c:v>96.7</c:v>
                </c:pt>
                <c:pt idx="21">
                  <c:v>80.2</c:v>
                </c:pt>
                <c:pt idx="22">
                  <c:v>97</c:v>
                </c:pt>
                <c:pt idx="23">
                  <c:v>101.1</c:v>
                </c:pt>
                <c:pt idx="24">
                  <c:v>99.7</c:v>
                </c:pt>
                <c:pt idx="25">
                  <c:v>100.7</c:v>
                </c:pt>
                <c:pt idx="26">
                  <c:v>98.4</c:v>
                </c:pt>
                <c:pt idx="27">
                  <c:v>99</c:v>
                </c:pt>
                <c:pt idx="28">
                  <c:v>100.8</c:v>
                </c:pt>
                <c:pt idx="29">
                  <c:v>101.5</c:v>
                </c:pt>
                <c:pt idx="30">
                  <c:v>102.8</c:v>
                </c:pt>
                <c:pt idx="31">
                  <c:v>101.8</c:v>
                </c:pt>
                <c:pt idx="32">
                  <c:v>101.5</c:v>
                </c:pt>
                <c:pt idx="33">
                  <c:v>101.6</c:v>
                </c:pt>
                <c:pt idx="34">
                  <c:v>99.2</c:v>
                </c:pt>
                <c:pt idx="35">
                  <c:v>101.2</c:v>
                </c:pt>
                <c:pt idx="36">
                  <c:v>100.5</c:v>
                </c:pt>
                <c:pt idx="37">
                  <c:v>99.4</c:v>
                </c:pt>
              </c:numCache>
            </c:numRef>
          </c:val>
          <c:smooth val="0"/>
          <c:extLst>
            <c:ext xmlns:c16="http://schemas.microsoft.com/office/drawing/2014/chart" uri="{C3380CC4-5D6E-409C-BE32-E72D297353CC}">
              <c16:uniqueId val="{0000000A-A461-4FBA-82B0-01FCDDD85655}"/>
            </c:ext>
          </c:extLst>
        </c:ser>
        <c:ser>
          <c:idx val="11"/>
          <c:order val="11"/>
          <c:tx>
            <c:strRef>
              <c:f>'GRAF příspěvky IPP'!$A$38</c:f>
              <c:strCache>
                <c:ptCount val="1"/>
                <c:pt idx="0">
                  <c:v>Output, total industry EU27 (2021=100)</c:v>
                </c:pt>
              </c:strCache>
            </c:strRef>
          </c:tx>
          <c:spPr>
            <a:ln w="15875">
              <a:solidFill>
                <a:schemeClr val="tx1">
                  <a:lumMod val="50000"/>
                  <a:lumOff val="50000"/>
                </a:schemeClr>
              </a:solidFill>
              <a:prstDash val="sysDash"/>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IPP'!$R$38:$BC$38</c:f>
              <c:numCache>
                <c:formatCode>#\ ##0.##########</c:formatCode>
                <c:ptCount val="38"/>
                <c:pt idx="0">
                  <c:v>92.9</c:v>
                </c:pt>
                <c:pt idx="1">
                  <c:v>93.8</c:v>
                </c:pt>
                <c:pt idx="2">
                  <c:v>94.1</c:v>
                </c:pt>
                <c:pt idx="3">
                  <c:v>94</c:v>
                </c:pt>
                <c:pt idx="4">
                  <c:v>95</c:v>
                </c:pt>
                <c:pt idx="5">
                  <c:v>94.9</c:v>
                </c:pt>
                <c:pt idx="6">
                  <c:v>95</c:v>
                </c:pt>
                <c:pt idx="7">
                  <c:v>96.1</c:v>
                </c:pt>
                <c:pt idx="8">
                  <c:v>96.3</c:v>
                </c:pt>
                <c:pt idx="9">
                  <c:v>97.5</c:v>
                </c:pt>
                <c:pt idx="10">
                  <c:v>98.8</c:v>
                </c:pt>
                <c:pt idx="11">
                  <c:v>100.6</c:v>
                </c:pt>
                <c:pt idx="12">
                  <c:v>99.2</c:v>
                </c:pt>
                <c:pt idx="13">
                  <c:v>99.8</c:v>
                </c:pt>
                <c:pt idx="14">
                  <c:v>99.5</c:v>
                </c:pt>
                <c:pt idx="15">
                  <c:v>99.2</c:v>
                </c:pt>
                <c:pt idx="16">
                  <c:v>99.7</c:v>
                </c:pt>
                <c:pt idx="17">
                  <c:v>99.4</c:v>
                </c:pt>
                <c:pt idx="18">
                  <c:v>98.7</c:v>
                </c:pt>
                <c:pt idx="19">
                  <c:v>97.9</c:v>
                </c:pt>
                <c:pt idx="20">
                  <c:v>95.2</c:v>
                </c:pt>
                <c:pt idx="21">
                  <c:v>80.5</c:v>
                </c:pt>
                <c:pt idx="22">
                  <c:v>93.5</c:v>
                </c:pt>
                <c:pt idx="23">
                  <c:v>98</c:v>
                </c:pt>
                <c:pt idx="24">
                  <c:v>99.6</c:v>
                </c:pt>
                <c:pt idx="25">
                  <c:v>99.6</c:v>
                </c:pt>
                <c:pt idx="26">
                  <c:v>99.7</c:v>
                </c:pt>
                <c:pt idx="27">
                  <c:v>101.1</c:v>
                </c:pt>
                <c:pt idx="28">
                  <c:v>102.2</c:v>
                </c:pt>
                <c:pt idx="29">
                  <c:v>102.5</c:v>
                </c:pt>
                <c:pt idx="30">
                  <c:v>104</c:v>
                </c:pt>
                <c:pt idx="31">
                  <c:v>102.7</c:v>
                </c:pt>
                <c:pt idx="32">
                  <c:v>103</c:v>
                </c:pt>
                <c:pt idx="33">
                  <c:v>101.4</c:v>
                </c:pt>
                <c:pt idx="34">
                  <c:v>99.7</c:v>
                </c:pt>
                <c:pt idx="35">
                  <c:v>99.8</c:v>
                </c:pt>
                <c:pt idx="36">
                  <c:v>98.9</c:v>
                </c:pt>
                <c:pt idx="37">
                  <c:v>98.7</c:v>
                </c:pt>
              </c:numCache>
            </c:numRef>
          </c:val>
          <c:smooth val="0"/>
          <c:extLst>
            <c:ext xmlns:c16="http://schemas.microsoft.com/office/drawing/2014/chart" uri="{C3380CC4-5D6E-409C-BE32-E72D297353CC}">
              <c16:uniqueId val="{0000000B-A461-4FBA-82B0-01FCDDD85655}"/>
            </c:ext>
          </c:extLst>
        </c:ser>
        <c:ser>
          <c:idx val="12"/>
          <c:order val="12"/>
          <c:tx>
            <c:strRef>
              <c:f>'GRAF příspěvky IPP'!$A$39</c:f>
              <c:strCache>
                <c:ptCount val="1"/>
                <c:pt idx="0">
                  <c:v>Output, total industry Germany (2021=100)</c:v>
                </c:pt>
              </c:strCache>
            </c:strRef>
          </c:tx>
          <c:spPr>
            <a:ln w="15875">
              <a:solidFill>
                <a:srgbClr val="996633"/>
              </a:solidFill>
              <a:prstDash val="dash"/>
            </a:ln>
          </c:spPr>
          <c:marker>
            <c:symbol val="none"/>
          </c:marker>
          <c:cat>
            <c:multiLvlStrRef>
              <c:f>'GRAF příspěvky IPP'!$R$25:$BC$26</c:f>
              <c:multiLvlStrCache>
                <c:ptCount val="38"/>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IPP'!$R$39:$BC$39</c:f>
              <c:numCache>
                <c:formatCode>#\ ##0.##########</c:formatCode>
                <c:ptCount val="38"/>
                <c:pt idx="0">
                  <c:v>102.7</c:v>
                </c:pt>
                <c:pt idx="1">
                  <c:v>104</c:v>
                </c:pt>
                <c:pt idx="2">
                  <c:v>103.8</c:v>
                </c:pt>
                <c:pt idx="3">
                  <c:v>103.3</c:v>
                </c:pt>
                <c:pt idx="4">
                  <c:v>104.4</c:v>
                </c:pt>
                <c:pt idx="5">
                  <c:v>104</c:v>
                </c:pt>
                <c:pt idx="6">
                  <c:v>104.4</c:v>
                </c:pt>
                <c:pt idx="7">
                  <c:v>104.5</c:v>
                </c:pt>
                <c:pt idx="8">
                  <c:v>105</c:v>
                </c:pt>
                <c:pt idx="9">
                  <c:v>107</c:v>
                </c:pt>
                <c:pt idx="10">
                  <c:v>108.8</c:v>
                </c:pt>
                <c:pt idx="11">
                  <c:v>109.6</c:v>
                </c:pt>
                <c:pt idx="12">
                  <c:v>109</c:v>
                </c:pt>
                <c:pt idx="13">
                  <c:v>109.8</c:v>
                </c:pt>
                <c:pt idx="14">
                  <c:v>108.8</c:v>
                </c:pt>
                <c:pt idx="15">
                  <c:v>107.2</c:v>
                </c:pt>
                <c:pt idx="16">
                  <c:v>107</c:v>
                </c:pt>
                <c:pt idx="17">
                  <c:v>105.8</c:v>
                </c:pt>
                <c:pt idx="18">
                  <c:v>104.6</c:v>
                </c:pt>
                <c:pt idx="19">
                  <c:v>102.9</c:v>
                </c:pt>
                <c:pt idx="20">
                  <c:v>101.3</c:v>
                </c:pt>
                <c:pt idx="21">
                  <c:v>82.9</c:v>
                </c:pt>
                <c:pt idx="22">
                  <c:v>94.8</c:v>
                </c:pt>
                <c:pt idx="23">
                  <c:v>100.9</c:v>
                </c:pt>
                <c:pt idx="24">
                  <c:v>100.8</c:v>
                </c:pt>
                <c:pt idx="25">
                  <c:v>99.9</c:v>
                </c:pt>
                <c:pt idx="26">
                  <c:v>96.9</c:v>
                </c:pt>
                <c:pt idx="27">
                  <c:v>99.9</c:v>
                </c:pt>
                <c:pt idx="28">
                  <c:v>99.4</c:v>
                </c:pt>
                <c:pt idx="29">
                  <c:v>98.8</c:v>
                </c:pt>
                <c:pt idx="30">
                  <c:v>99.2</c:v>
                </c:pt>
                <c:pt idx="31">
                  <c:v>99</c:v>
                </c:pt>
                <c:pt idx="32">
                  <c:v>100.1</c:v>
                </c:pt>
                <c:pt idx="33">
                  <c:v>98.3</c:v>
                </c:pt>
                <c:pt idx="34">
                  <c:v>95.8</c:v>
                </c:pt>
                <c:pt idx="35">
                  <c:v>94.5</c:v>
                </c:pt>
                <c:pt idx="36">
                  <c:v>94.5</c:v>
                </c:pt>
                <c:pt idx="37">
                  <c:v>93.6</c:v>
                </c:pt>
              </c:numCache>
            </c:numRef>
          </c:val>
          <c:smooth val="0"/>
          <c:extLst>
            <c:ext xmlns:c16="http://schemas.microsoft.com/office/drawing/2014/chart" uri="{C3380CC4-5D6E-409C-BE32-E72D297353CC}">
              <c16:uniqueId val="{0000000C-A461-4FBA-82B0-01FCDDD85655}"/>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Industrial production (contribution to the growth)</a:t>
                </a:r>
              </a:p>
            </c:rich>
          </c:tx>
          <c:layout>
            <c:manualLayout>
              <c:xMode val="edge"/>
              <c:yMode val="edge"/>
              <c:x val="0"/>
              <c:y val="9.5259844088246018E-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Output in industry (basis 2021=100)</a:t>
                </a:r>
              </a:p>
            </c:rich>
          </c:tx>
          <c:layout>
            <c:manualLayout>
              <c:xMode val="edge"/>
              <c:yMode val="edge"/>
              <c:x val="0.97040158454025283"/>
              <c:y val="0.1664992231222941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6"/>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6E-3"/>
          <c:y val="0.78956533796177808"/>
          <c:w val="0.98866589538224925"/>
          <c:h val="0.20327688625655532"/>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2'!$R$36:$BD$36</c:f>
              <c:numCache>
                <c:formatCode>##0.0</c:formatCode>
                <c:ptCount val="39"/>
                <c:pt idx="0">
                  <c:v>8.5341163004000009</c:v>
                </c:pt>
                <c:pt idx="1">
                  <c:v>6.3710040105000019</c:v>
                </c:pt>
                <c:pt idx="2">
                  <c:v>6.0473469386000005</c:v>
                </c:pt>
                <c:pt idx="3">
                  <c:v>5.2688430824999983</c:v>
                </c:pt>
                <c:pt idx="4">
                  <c:v>2.4833916856999991</c:v>
                </c:pt>
                <c:pt idx="5">
                  <c:v>7.1316561812000003</c:v>
                </c:pt>
                <c:pt idx="6">
                  <c:v>1.949144685899995</c:v>
                </c:pt>
                <c:pt idx="7">
                  <c:v>6.4416747929000024</c:v>
                </c:pt>
                <c:pt idx="8">
                  <c:v>7.3441955548999971</c:v>
                </c:pt>
                <c:pt idx="9">
                  <c:v>8.3762247843000068</c:v>
                </c:pt>
                <c:pt idx="10">
                  <c:v>8.1209134774999967</c:v>
                </c:pt>
                <c:pt idx="11">
                  <c:v>7.2572871451999958</c:v>
                </c:pt>
                <c:pt idx="12">
                  <c:v>3.2993551214999997</c:v>
                </c:pt>
                <c:pt idx="13">
                  <c:v>2.9773571834000023</c:v>
                </c:pt>
                <c:pt idx="14">
                  <c:v>3.5300064828000046</c:v>
                </c:pt>
                <c:pt idx="15">
                  <c:v>2.4324207204000032</c:v>
                </c:pt>
                <c:pt idx="16">
                  <c:v>3.2234606388999936</c:v>
                </c:pt>
                <c:pt idx="17">
                  <c:v>2.1291359181000047</c:v>
                </c:pt>
                <c:pt idx="18">
                  <c:v>-1.1496242270000039</c:v>
                </c:pt>
                <c:pt idx="19">
                  <c:v>-2.8233445845000062</c:v>
                </c:pt>
                <c:pt idx="20">
                  <c:v>-4.1421474552000035</c:v>
                </c:pt>
                <c:pt idx="21">
                  <c:v>-27.261303375300002</c:v>
                </c:pt>
                <c:pt idx="22">
                  <c:v>-0.61408028729999842</c:v>
                </c:pt>
                <c:pt idx="23">
                  <c:v>6.5219093458999993</c:v>
                </c:pt>
                <c:pt idx="24">
                  <c:v>10.303532428400004</c:v>
                </c:pt>
                <c:pt idx="25">
                  <c:v>46.993766481899996</c:v>
                </c:pt>
                <c:pt idx="26">
                  <c:v>7.4248834601000055</c:v>
                </c:pt>
                <c:pt idx="27">
                  <c:v>4.1335502453000004</c:v>
                </c:pt>
                <c:pt idx="28">
                  <c:v>6.8467228545000012</c:v>
                </c:pt>
                <c:pt idx="29">
                  <c:v>10.085472028500007</c:v>
                </c:pt>
                <c:pt idx="30">
                  <c:v>15.3150204417</c:v>
                </c:pt>
                <c:pt idx="31">
                  <c:v>12.440829538499997</c:v>
                </c:pt>
                <c:pt idx="32">
                  <c:v>2.9014761227000037</c:v>
                </c:pt>
                <c:pt idx="33">
                  <c:v>-2.3824454949999989</c:v>
                </c:pt>
                <c:pt idx="34">
                  <c:v>-4.866618803999998</c:v>
                </c:pt>
                <c:pt idx="35">
                  <c:v>-1.0013628952000033</c:v>
                </c:pt>
                <c:pt idx="36">
                  <c:v>3.9243611365999982</c:v>
                </c:pt>
                <c:pt idx="37">
                  <c:v>2.8336068560000029</c:v>
                </c:pt>
              </c:numCache>
            </c:numRef>
          </c:val>
          <c:extLst>
            <c:ext xmlns:c16="http://schemas.microsoft.com/office/drawing/2014/chart" uri="{C3380CC4-5D6E-409C-BE32-E72D297353CC}">
              <c16:uniqueId val="{00000000-2FE9-49A1-AEAB-61C7D6AA6C8F}"/>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2'!$R$37:$BD$37</c:f>
              <c:numCache>
                <c:formatCode>##0.0</c:formatCode>
                <c:ptCount val="39"/>
                <c:pt idx="0">
                  <c:v>4.3632508753999986</c:v>
                </c:pt>
                <c:pt idx="1">
                  <c:v>9.9207675196999929</c:v>
                </c:pt>
                <c:pt idx="2">
                  <c:v>-2.8142131774000063</c:v>
                </c:pt>
                <c:pt idx="3">
                  <c:v>-0.26578169440000465</c:v>
                </c:pt>
                <c:pt idx="4">
                  <c:v>1.7666970267000011</c:v>
                </c:pt>
                <c:pt idx="5">
                  <c:v>1.7586378578999984</c:v>
                </c:pt>
                <c:pt idx="6">
                  <c:v>0.20173230330000536</c:v>
                </c:pt>
                <c:pt idx="7">
                  <c:v>2.9064722939999967</c:v>
                </c:pt>
                <c:pt idx="8">
                  <c:v>12.341459895900002</c:v>
                </c:pt>
                <c:pt idx="9">
                  <c:v>15.691073458800005</c:v>
                </c:pt>
                <c:pt idx="10">
                  <c:v>15.834685004400001</c:v>
                </c:pt>
                <c:pt idx="11">
                  <c:v>15.445227057699995</c:v>
                </c:pt>
                <c:pt idx="12">
                  <c:v>2.1530605192999985</c:v>
                </c:pt>
                <c:pt idx="13">
                  <c:v>2.440306231799994</c:v>
                </c:pt>
                <c:pt idx="14">
                  <c:v>4.7510172912000002</c:v>
                </c:pt>
                <c:pt idx="15">
                  <c:v>3.3084884759999937</c:v>
                </c:pt>
                <c:pt idx="16">
                  <c:v>7.6964313707999992</c:v>
                </c:pt>
                <c:pt idx="17">
                  <c:v>5.9656126075999936</c:v>
                </c:pt>
                <c:pt idx="18">
                  <c:v>0.2850715043000065</c:v>
                </c:pt>
                <c:pt idx="19">
                  <c:v>-0.84674153630000148</c:v>
                </c:pt>
                <c:pt idx="20">
                  <c:v>0.84542569580000304</c:v>
                </c:pt>
                <c:pt idx="21">
                  <c:v>-25.680778364399998</c:v>
                </c:pt>
                <c:pt idx="22">
                  <c:v>-3.379983194199994</c:v>
                </c:pt>
                <c:pt idx="23">
                  <c:v>5.566224000099993</c:v>
                </c:pt>
                <c:pt idx="24">
                  <c:v>2.1966522061999996</c:v>
                </c:pt>
                <c:pt idx="25">
                  <c:v>42.282574460900008</c:v>
                </c:pt>
                <c:pt idx="26">
                  <c:v>9.2450492919000027</c:v>
                </c:pt>
                <c:pt idx="27">
                  <c:v>5.7949107924000032</c:v>
                </c:pt>
                <c:pt idx="28">
                  <c:v>8.7776291527000012</c:v>
                </c:pt>
                <c:pt idx="29">
                  <c:v>15.463966735</c:v>
                </c:pt>
                <c:pt idx="30">
                  <c:v>26.233975072000007</c:v>
                </c:pt>
                <c:pt idx="31">
                  <c:v>19.240223489900004</c:v>
                </c:pt>
                <c:pt idx="32">
                  <c:v>12.032908909300005</c:v>
                </c:pt>
                <c:pt idx="33">
                  <c:v>2.2655566149999942</c:v>
                </c:pt>
                <c:pt idx="34">
                  <c:v>-6.8258490948999935</c:v>
                </c:pt>
                <c:pt idx="35">
                  <c:v>-0.65732325199999764</c:v>
                </c:pt>
                <c:pt idx="36">
                  <c:v>3.2986421283000027</c:v>
                </c:pt>
                <c:pt idx="37">
                  <c:v>1.8921881325999976</c:v>
                </c:pt>
              </c:numCache>
            </c:numRef>
          </c:val>
          <c:smooth val="0"/>
          <c:extLst>
            <c:ext xmlns:c16="http://schemas.microsoft.com/office/drawing/2014/chart" uri="{C3380CC4-5D6E-409C-BE32-E72D297353CC}">
              <c16:uniqueId val="{00000001-2FE9-49A1-AEAB-61C7D6AA6C8F}"/>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2'!$R$38:$BD$38</c:f>
              <c:numCache>
                <c:formatCode>##0.0</c:formatCode>
                <c:ptCount val="39"/>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c:v>
                </c:pt>
                <c:pt idx="27">
                  <c:v>77.599999999999994</c:v>
                </c:pt>
                <c:pt idx="28">
                  <c:v>83.6</c:v>
                </c:pt>
                <c:pt idx="29">
                  <c:v>82.17</c:v>
                </c:pt>
                <c:pt idx="30">
                  <c:v>83.5</c:v>
                </c:pt>
                <c:pt idx="31">
                  <c:v>81.099999999999994</c:v>
                </c:pt>
                <c:pt idx="32">
                  <c:v>81.400000000000006</c:v>
                </c:pt>
                <c:pt idx="33">
                  <c:v>83.7</c:v>
                </c:pt>
                <c:pt idx="34">
                  <c:v>83.5</c:v>
                </c:pt>
                <c:pt idx="35">
                  <c:v>83.6</c:v>
                </c:pt>
                <c:pt idx="36">
                  <c:v>83.1</c:v>
                </c:pt>
                <c:pt idx="37">
                  <c:v>83</c:v>
                </c:pt>
                <c:pt idx="38">
                  <c:v>80.599999999999994</c:v>
                </c:pt>
              </c:numCache>
            </c:numRef>
          </c:val>
          <c:smooth val="0"/>
          <c:extLst>
            <c:ext xmlns:c16="http://schemas.microsoft.com/office/drawing/2014/chart" uri="{C3380CC4-5D6E-409C-BE32-E72D297353CC}">
              <c16:uniqueId val="{00000002-2FE9-49A1-AEAB-61C7D6AA6C8F}"/>
            </c:ext>
          </c:extLst>
        </c:ser>
        <c:ser>
          <c:idx val="3"/>
          <c:order val="3"/>
          <c:tx>
            <c:strRef>
              <c:f>'výkonnost odvětví 2'!$A$39</c:f>
              <c:strCache>
                <c:ptCount val="1"/>
                <c:pt idx="0">
                  <c:v>Utilisation of capacities (motor vehicl. ind.)</c:v>
                </c:pt>
              </c:strCache>
            </c:strRef>
          </c:tx>
          <c:spPr>
            <a:ln w="15875">
              <a:solidFill>
                <a:schemeClr val="accent6">
                  <a:lumMod val="75000"/>
                </a:schemeClr>
              </a:solidFill>
              <a:prstDash val="sysDash"/>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2'!$R$39:$BD$39</c:f>
              <c:numCache>
                <c:formatCode>##0.0</c:formatCode>
                <c:ptCount val="39"/>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pt idx="36">
                  <c:v>92.7</c:v>
                </c:pt>
                <c:pt idx="37">
                  <c:v>93.5</c:v>
                </c:pt>
                <c:pt idx="38">
                  <c:v>89.9</c:v>
                </c:pt>
              </c:numCache>
            </c:numRef>
          </c:val>
          <c:smooth val="0"/>
          <c:extLst>
            <c:ext xmlns:c16="http://schemas.microsoft.com/office/drawing/2014/chart" uri="{C3380CC4-5D6E-409C-BE32-E72D297353CC}">
              <c16:uniqueId val="{00000003-2FE9-49A1-AEAB-61C7D6AA6C8F}"/>
            </c:ext>
          </c:extLst>
        </c:ser>
        <c:ser>
          <c:idx val="4"/>
          <c:order val="4"/>
          <c:tx>
            <c:strRef>
              <c:f>'výkonnost odvětví 2'!$A$40</c:f>
              <c:strCache>
                <c:ptCount val="1"/>
                <c:pt idx="0">
                  <c:v>Barrier: inadequate demand</c:v>
                </c:pt>
              </c:strCache>
            </c:strRef>
          </c:tx>
          <c:spPr>
            <a:ln w="15875">
              <a:solidFill>
                <a:srgbClr val="00B050"/>
              </a:solidFill>
              <a:prstDash val="solid"/>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2'!$R$40:$BD$40</c:f>
              <c:numCache>
                <c:formatCode>#\ ##0.0</c:formatCode>
                <c:ptCount val="39"/>
                <c:pt idx="0">
                  <c:v>45.3</c:v>
                </c:pt>
                <c:pt idx="1">
                  <c:v>49.6</c:v>
                </c:pt>
                <c:pt idx="2">
                  <c:v>49.7</c:v>
                </c:pt>
                <c:pt idx="3">
                  <c:v>46.4</c:v>
                </c:pt>
                <c:pt idx="4">
                  <c:v>45.9</c:v>
                </c:pt>
                <c:pt idx="5">
                  <c:v>44.6</c:v>
                </c:pt>
                <c:pt idx="6">
                  <c:v>43.8</c:v>
                </c:pt>
                <c:pt idx="7">
                  <c:v>42.9</c:v>
                </c:pt>
                <c:pt idx="8">
                  <c:v>42.7</c:v>
                </c:pt>
                <c:pt idx="9">
                  <c:v>41</c:v>
                </c:pt>
                <c:pt idx="10">
                  <c:v>41.2</c:v>
                </c:pt>
                <c:pt idx="11">
                  <c:v>35.799999999999997</c:v>
                </c:pt>
                <c:pt idx="12">
                  <c:v>35.4</c:v>
                </c:pt>
                <c:pt idx="13">
                  <c:v>36.299999999999997</c:v>
                </c:pt>
                <c:pt idx="14">
                  <c:v>32.4</c:v>
                </c:pt>
                <c:pt idx="15">
                  <c:v>32.9</c:v>
                </c:pt>
                <c:pt idx="16">
                  <c:v>33.799999999999997</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pt idx="36">
                  <c:v>47.5</c:v>
                </c:pt>
                <c:pt idx="37">
                  <c:v>49.8</c:v>
                </c:pt>
                <c:pt idx="38">
                  <c:v>52</c:v>
                </c:pt>
              </c:numCache>
            </c:numRef>
          </c:val>
          <c:smooth val="0"/>
          <c:extLst>
            <c:ext xmlns:c16="http://schemas.microsoft.com/office/drawing/2014/chart" uri="{C3380CC4-5D6E-409C-BE32-E72D297353CC}">
              <c16:uniqueId val="{00000004-2FE9-49A1-AEAB-61C7D6AA6C8F}"/>
            </c:ext>
          </c:extLst>
        </c:ser>
        <c:ser>
          <c:idx val="5"/>
          <c:order val="5"/>
          <c:tx>
            <c:strRef>
              <c:f>'výkonnost odvětví 2'!$A$41</c:f>
              <c:strCache>
                <c:ptCount val="1"/>
                <c:pt idx="0">
                  <c:v>Barrier: lack of workers</c:v>
                </c:pt>
              </c:strCache>
            </c:strRef>
          </c:tx>
          <c:spPr>
            <a:ln w="15875">
              <a:solidFill>
                <a:srgbClr val="6FE772"/>
              </a:solidFill>
              <a:prstDash val="solid"/>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2'!$R$41:$BD$41</c:f>
              <c:numCache>
                <c:formatCode>#\ ##0.0</c:formatCode>
                <c:ptCount val="39"/>
                <c:pt idx="0">
                  <c:v>6.1</c:v>
                </c:pt>
                <c:pt idx="1">
                  <c:v>6.9</c:v>
                </c:pt>
                <c:pt idx="2">
                  <c:v>8.6999999999999993</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pt idx="36">
                  <c:v>14.6</c:v>
                </c:pt>
                <c:pt idx="37">
                  <c:v>11.8</c:v>
                </c:pt>
                <c:pt idx="38">
                  <c:v>12.8</c:v>
                </c:pt>
              </c:numCache>
            </c:numRef>
          </c:val>
          <c:smooth val="0"/>
          <c:extLst>
            <c:ext xmlns:c16="http://schemas.microsoft.com/office/drawing/2014/chart" uri="{C3380CC4-5D6E-409C-BE32-E72D297353CC}">
              <c16:uniqueId val="{00000005-2FE9-49A1-AEAB-61C7D6AA6C8F}"/>
            </c:ext>
          </c:extLst>
        </c:ser>
        <c:ser>
          <c:idx val="6"/>
          <c:order val="6"/>
          <c:tx>
            <c:strRef>
              <c:f>'výkonnost odvětví 2'!$A$42</c:f>
              <c:strCache>
                <c:ptCount val="1"/>
                <c:pt idx="0">
                  <c:v>Barrier: shortage of material/equipment</c:v>
                </c:pt>
              </c:strCache>
            </c:strRef>
          </c:tx>
          <c:spPr>
            <a:ln w="15875">
              <a:solidFill>
                <a:schemeClr val="accent3">
                  <a:lumMod val="75000"/>
                </a:schemeClr>
              </a:solidFill>
              <a:prstDash val="dash"/>
            </a:ln>
          </c:spPr>
          <c:marker>
            <c:symbol val="none"/>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2'!$R$42:$BD$42</c:f>
              <c:numCache>
                <c:formatCode>#\ ##0.0</c:formatCode>
                <c:ptCount val="39"/>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10.199999999999999</c:v>
                </c:pt>
                <c:pt idx="22">
                  <c:v>6.7</c:v>
                </c:pt>
                <c:pt idx="23">
                  <c:v>10.9</c:v>
                </c:pt>
                <c:pt idx="24">
                  <c:v>23.1</c:v>
                </c:pt>
                <c:pt idx="25">
                  <c:v>32.1</c:v>
                </c:pt>
                <c:pt idx="26">
                  <c:v>45.9</c:v>
                </c:pt>
                <c:pt idx="27">
                  <c:v>41.2</c:v>
                </c:pt>
                <c:pt idx="28">
                  <c:v>39.299999999999997</c:v>
                </c:pt>
                <c:pt idx="29">
                  <c:v>47.8</c:v>
                </c:pt>
                <c:pt idx="30">
                  <c:v>53.4</c:v>
                </c:pt>
                <c:pt idx="31">
                  <c:v>46.4</c:v>
                </c:pt>
                <c:pt idx="32">
                  <c:v>37.4</c:v>
                </c:pt>
                <c:pt idx="33">
                  <c:v>32.5</c:v>
                </c:pt>
                <c:pt idx="34">
                  <c:v>20.6</c:v>
                </c:pt>
                <c:pt idx="35">
                  <c:v>17.100000000000001</c:v>
                </c:pt>
                <c:pt idx="36">
                  <c:v>32.700000000000003</c:v>
                </c:pt>
                <c:pt idx="37">
                  <c:v>28.1</c:v>
                </c:pt>
                <c:pt idx="38">
                  <c:v>13</c:v>
                </c:pt>
              </c:numCache>
            </c:numRef>
          </c:val>
          <c:smooth val="0"/>
          <c:extLst>
            <c:ext xmlns:c16="http://schemas.microsoft.com/office/drawing/2014/chart" uri="{C3380CC4-5D6E-409C-BE32-E72D297353CC}">
              <c16:uniqueId val="{00000006-2FE9-49A1-AEAB-61C7D6AA6C8F}"/>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2'!$R$34:$BD$35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2'!$R$43:$BD$43</c:f>
              <c:numCache>
                <c:formatCode>#\ ##0.0</c:formatCode>
                <c:ptCount val="39"/>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pt idx="29">
                  <c:v>8.3000000000000007</c:v>
                </c:pt>
                <c:pt idx="30">
                  <c:v>-1.7</c:v>
                </c:pt>
                <c:pt idx="31">
                  <c:v>-8.3000000000000007</c:v>
                </c:pt>
                <c:pt idx="32">
                  <c:v>-10.1</c:v>
                </c:pt>
                <c:pt idx="33">
                  <c:v>-7</c:v>
                </c:pt>
                <c:pt idx="34">
                  <c:v>-7</c:v>
                </c:pt>
                <c:pt idx="35">
                  <c:v>-6</c:v>
                </c:pt>
                <c:pt idx="36">
                  <c:v>-14</c:v>
                </c:pt>
                <c:pt idx="37">
                  <c:v>-8.6999999999999993</c:v>
                </c:pt>
                <c:pt idx="38">
                  <c:v>-7.7</c:v>
                </c:pt>
              </c:numCache>
            </c:numRef>
          </c:val>
          <c:smooth val="0"/>
          <c:extLst>
            <c:ext xmlns:c16="http://schemas.microsoft.com/office/drawing/2014/chart" uri="{C3380CC4-5D6E-409C-BE32-E72D297353CC}">
              <c16:uniqueId val="{00000007-2FE9-49A1-AEAB-61C7D6AA6C8F}"/>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Orders</a:t>
                </a:r>
              </a:p>
            </c:rich>
          </c:tx>
          <c:layout/>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capacities, barriers, confidence</a:t>
                </a:r>
              </a:p>
            </c:rich>
          </c:tx>
          <c:layout/>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7999E-3"/>
          <c:y val="0.85586448957034"/>
          <c:w val="0.98943298357870768"/>
          <c:h val="0.14063307954958187"/>
        </c:manualLayout>
      </c:layout>
      <c:overlay val="0"/>
      <c:spPr>
        <a:ln w="6350">
          <a:solidFill>
            <a:prstClr val="black">
              <a:lumMod val="95000"/>
              <a:lumOff val="5000"/>
            </a:prstClr>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 in p.p.)</c:v>
                </c:pt>
              </c:strCache>
            </c:strRef>
          </c:tx>
          <c:spPr>
            <a:solidFill>
              <a:schemeClr val="accent5">
                <a:lumMod val="60000"/>
                <a:lumOff val="40000"/>
              </a:schemeClr>
            </a:solidFill>
            <a:ln>
              <a:noFill/>
            </a:ln>
          </c:spPr>
          <c:invertIfNegative val="0"/>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3'!$Y$31:$Y$69</c:f>
              <c:numCache>
                <c:formatCode>0.0</c:formatCode>
                <c:ptCount val="39"/>
                <c:pt idx="0">
                  <c:v>5.748716579411445</c:v>
                </c:pt>
                <c:pt idx="1">
                  <c:v>4.7489923277143378</c:v>
                </c:pt>
                <c:pt idx="2">
                  <c:v>0.72860376801438353</c:v>
                </c:pt>
                <c:pt idx="3">
                  <c:v>-1.5997494872130962</c:v>
                </c:pt>
                <c:pt idx="4">
                  <c:v>-4.5800585311347017</c:v>
                </c:pt>
                <c:pt idx="5">
                  <c:v>-4.8364432126044203</c:v>
                </c:pt>
                <c:pt idx="6">
                  <c:v>0.7673453632215238</c:v>
                </c:pt>
                <c:pt idx="7">
                  <c:v>3.5913890122868475</c:v>
                </c:pt>
                <c:pt idx="8">
                  <c:v>1.818439140996319</c:v>
                </c:pt>
                <c:pt idx="9">
                  <c:v>9.5161866462127662</c:v>
                </c:pt>
                <c:pt idx="10">
                  <c:v>3.2650480956647083</c:v>
                </c:pt>
                <c:pt idx="11">
                  <c:v>2.30805126241866</c:v>
                </c:pt>
                <c:pt idx="12">
                  <c:v>13.039459362857237</c:v>
                </c:pt>
                <c:pt idx="13">
                  <c:v>5.6850806062932753</c:v>
                </c:pt>
                <c:pt idx="14">
                  <c:v>7.036028465591686</c:v>
                </c:pt>
                <c:pt idx="15">
                  <c:v>2.3869078764089537</c:v>
                </c:pt>
                <c:pt idx="16">
                  <c:v>2.4727635166988868</c:v>
                </c:pt>
                <c:pt idx="17">
                  <c:v>2.9341574628565144</c:v>
                </c:pt>
                <c:pt idx="18">
                  <c:v>-0.67535503037810629</c:v>
                </c:pt>
                <c:pt idx="19">
                  <c:v>1.7116954805541678</c:v>
                </c:pt>
                <c:pt idx="20">
                  <c:v>-0.69584807703082285</c:v>
                </c:pt>
                <c:pt idx="21">
                  <c:v>-7.7523651483361782</c:v>
                </c:pt>
                <c:pt idx="22">
                  <c:v>-7.0746219815718145</c:v>
                </c:pt>
                <c:pt idx="23">
                  <c:v>-7.7412314636348389</c:v>
                </c:pt>
                <c:pt idx="24">
                  <c:v>-5.0734501340445917</c:v>
                </c:pt>
                <c:pt idx="25">
                  <c:v>2.4485178190493153</c:v>
                </c:pt>
                <c:pt idx="26">
                  <c:v>2.7149022219819812</c:v>
                </c:pt>
                <c:pt idx="27">
                  <c:v>5.3744991091122909</c:v>
                </c:pt>
                <c:pt idx="28">
                  <c:v>7.2394516753705522</c:v>
                </c:pt>
                <c:pt idx="29">
                  <c:v>3.5218538971527815</c:v>
                </c:pt>
                <c:pt idx="30">
                  <c:v>-0.76213076853629347</c:v>
                </c:pt>
                <c:pt idx="31">
                  <c:v>-1.425102809767425</c:v>
                </c:pt>
                <c:pt idx="32">
                  <c:v>2.064116964988453</c:v>
                </c:pt>
                <c:pt idx="33">
                  <c:v>-1.7657575609379683</c:v>
                </c:pt>
                <c:pt idx="34">
                  <c:v>-0.42804335476963512</c:v>
                </c:pt>
                <c:pt idx="35">
                  <c:v>-2.3499657471419924</c:v>
                </c:pt>
                <c:pt idx="36">
                  <c:v>-5.5090473525160855</c:v>
                </c:pt>
                <c:pt idx="37">
                  <c:v>-4.6362122672608388</c:v>
                </c:pt>
              </c:numCache>
            </c:numRef>
          </c:val>
          <c:extLst>
            <c:ext xmlns:c16="http://schemas.microsoft.com/office/drawing/2014/chart" uri="{C3380CC4-5D6E-409C-BE32-E72D297353CC}">
              <c16:uniqueId val="{00000000-985A-49B4-B974-145966A493AF}"/>
            </c:ext>
          </c:extLst>
        </c:ser>
        <c:ser>
          <c:idx val="2"/>
          <c:order val="2"/>
          <c:tx>
            <c:strRef>
              <c:f>'výkonnost odvětví 3'!$Z$10</c:f>
              <c:strCache>
                <c:ptCount val="1"/>
                <c:pt idx="0">
                  <c:v>Civil engineering works (contribution in p.p.)</c:v>
                </c:pt>
              </c:strCache>
            </c:strRef>
          </c:tx>
          <c:spPr>
            <a:solidFill>
              <a:schemeClr val="accent2">
                <a:lumMod val="60000"/>
                <a:lumOff val="40000"/>
              </a:schemeClr>
            </a:solidFill>
            <a:ln>
              <a:noFill/>
            </a:ln>
          </c:spPr>
          <c:invertIfNegative val="0"/>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3'!$Z$31:$Z$69</c:f>
              <c:numCache>
                <c:formatCode>0.0</c:formatCode>
                <c:ptCount val="39"/>
                <c:pt idx="0">
                  <c:v>3.8654453061663498</c:v>
                </c:pt>
                <c:pt idx="1">
                  <c:v>8.4074328223660437</c:v>
                </c:pt>
                <c:pt idx="2">
                  <c:v>8.536513170572011</c:v>
                </c:pt>
                <c:pt idx="3">
                  <c:v>3.3830353457973681</c:v>
                </c:pt>
                <c:pt idx="4">
                  <c:v>-1.4655710356774887</c:v>
                </c:pt>
                <c:pt idx="5">
                  <c:v>-6.4494987337786789</c:v>
                </c:pt>
                <c:pt idx="6">
                  <c:v>-8.0288007564184198</c:v>
                </c:pt>
                <c:pt idx="7">
                  <c:v>-6.8710829128275535</c:v>
                </c:pt>
                <c:pt idx="8">
                  <c:v>-4.1473356084740605</c:v>
                </c:pt>
                <c:pt idx="9">
                  <c:v>-1.1362269417632547</c:v>
                </c:pt>
                <c:pt idx="10">
                  <c:v>-1.6997694917449739</c:v>
                </c:pt>
                <c:pt idx="11">
                  <c:v>0.18912136047288933</c:v>
                </c:pt>
                <c:pt idx="12">
                  <c:v>2.313855161184069</c:v>
                </c:pt>
                <c:pt idx="13">
                  <c:v>1.4433818342413158</c:v>
                </c:pt>
                <c:pt idx="14">
                  <c:v>5.805340800033207</c:v>
                </c:pt>
                <c:pt idx="15">
                  <c:v>2.0257219814852485</c:v>
                </c:pt>
                <c:pt idx="16">
                  <c:v>2.8832113797347176</c:v>
                </c:pt>
                <c:pt idx="17">
                  <c:v>2.2916559515195796</c:v>
                </c:pt>
                <c:pt idx="18">
                  <c:v>0.1275103650053056</c:v>
                </c:pt>
                <c:pt idx="19">
                  <c:v>0.80716183036284428</c:v>
                </c:pt>
                <c:pt idx="20">
                  <c:v>2.6239699221333534</c:v>
                </c:pt>
                <c:pt idx="21">
                  <c:v>0.26317252359280197</c:v>
                </c:pt>
                <c:pt idx="22">
                  <c:v>-3.3347591135837273</c:v>
                </c:pt>
                <c:pt idx="23">
                  <c:v>-0.42839192125115316</c:v>
                </c:pt>
                <c:pt idx="24">
                  <c:v>-0.39659145437231463</c:v>
                </c:pt>
                <c:pt idx="25">
                  <c:v>1.8574458272306367</c:v>
                </c:pt>
                <c:pt idx="26">
                  <c:v>0.5220742634826121</c:v>
                </c:pt>
                <c:pt idx="27">
                  <c:v>-1.0566974767352684</c:v>
                </c:pt>
                <c:pt idx="28">
                  <c:v>5.3532151649547703</c:v>
                </c:pt>
                <c:pt idx="29">
                  <c:v>1.3478994077111488</c:v>
                </c:pt>
                <c:pt idx="30">
                  <c:v>0.66714791874478363</c:v>
                </c:pt>
                <c:pt idx="31">
                  <c:v>1.4205029040848112</c:v>
                </c:pt>
                <c:pt idx="32">
                  <c:v>-3.8429599566894597</c:v>
                </c:pt>
                <c:pt idx="33">
                  <c:v>-2.360300259501861</c:v>
                </c:pt>
                <c:pt idx="34">
                  <c:v>-0.12970862881706821</c:v>
                </c:pt>
                <c:pt idx="35">
                  <c:v>-0.56642639266386141</c:v>
                </c:pt>
                <c:pt idx="36">
                  <c:v>1.2397540081036837</c:v>
                </c:pt>
                <c:pt idx="37">
                  <c:v>-1.4048266250842052</c:v>
                </c:pt>
              </c:numCache>
            </c:numRef>
          </c:val>
          <c:extLst>
            <c:ext xmlns:c16="http://schemas.microsoft.com/office/drawing/2014/chart" uri="{C3380CC4-5D6E-409C-BE32-E72D297353CC}">
              <c16:uniqueId val="{00000001-985A-49B4-B974-145966A493AF}"/>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 (y-o-y in %)</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3'!$X$31:$X$69</c:f>
              <c:numCache>
                <c:formatCode>0.0</c:formatCode>
                <c:ptCount val="39"/>
                <c:pt idx="0">
                  <c:v>9.6141618855778006</c:v>
                </c:pt>
                <c:pt idx="1">
                  <c:v>13.156425150080381</c:v>
                </c:pt>
                <c:pt idx="2">
                  <c:v>9.2651169385864023</c:v>
                </c:pt>
                <c:pt idx="3">
                  <c:v>1.7832858585842644</c:v>
                </c:pt>
                <c:pt idx="4">
                  <c:v>-6.0456295668121669</c:v>
                </c:pt>
                <c:pt idx="5">
                  <c:v>-11.28594194638309</c:v>
                </c:pt>
                <c:pt idx="6">
                  <c:v>-7.2614553931968828</c:v>
                </c:pt>
                <c:pt idx="7">
                  <c:v>-3.2796939005406927</c:v>
                </c:pt>
                <c:pt idx="8">
                  <c:v>-2.3288964674777475</c:v>
                </c:pt>
                <c:pt idx="9">
                  <c:v>8.3799597044495187</c:v>
                </c:pt>
                <c:pt idx="10">
                  <c:v>1.5652786039197224</c:v>
                </c:pt>
                <c:pt idx="11">
                  <c:v>2.4971726228915543</c:v>
                </c:pt>
                <c:pt idx="12">
                  <c:v>15.353314524041295</c:v>
                </c:pt>
                <c:pt idx="13">
                  <c:v>7.1284624405345767</c:v>
                </c:pt>
                <c:pt idx="14">
                  <c:v>12.84136926562492</c:v>
                </c:pt>
                <c:pt idx="15">
                  <c:v>4.4126298578941885</c:v>
                </c:pt>
                <c:pt idx="16">
                  <c:v>5.355974896433608</c:v>
                </c:pt>
                <c:pt idx="17">
                  <c:v>5.2258134143760913</c:v>
                </c:pt>
                <c:pt idx="18">
                  <c:v>-0.54784466537279286</c:v>
                </c:pt>
                <c:pt idx="19">
                  <c:v>2.5188573109170278</c:v>
                </c:pt>
                <c:pt idx="20">
                  <c:v>1.9281218451025097</c:v>
                </c:pt>
                <c:pt idx="21">
                  <c:v>-7.4891926247433531</c:v>
                </c:pt>
                <c:pt idx="22">
                  <c:v>-10.409381095155553</c:v>
                </c:pt>
                <c:pt idx="23">
                  <c:v>-8.1696233848860089</c:v>
                </c:pt>
                <c:pt idx="24">
                  <c:v>-5.4700415884168763</c:v>
                </c:pt>
                <c:pt idx="25">
                  <c:v>4.3059636462799773</c:v>
                </c:pt>
                <c:pt idx="26">
                  <c:v>3.236976485464595</c:v>
                </c:pt>
                <c:pt idx="27">
                  <c:v>4.3178016323770265</c:v>
                </c:pt>
                <c:pt idx="28">
                  <c:v>12.592666840325293</c:v>
                </c:pt>
                <c:pt idx="29">
                  <c:v>4.8697533048639201</c:v>
                </c:pt>
                <c:pt idx="30">
                  <c:v>-9.4982849791520607E-2</c:v>
                </c:pt>
                <c:pt idx="31">
                  <c:v>-4.5999056825962725E-3</c:v>
                </c:pt>
                <c:pt idx="32">
                  <c:v>-1.778842991701012</c:v>
                </c:pt>
                <c:pt idx="33">
                  <c:v>-4.1260578204398399</c:v>
                </c:pt>
                <c:pt idx="34">
                  <c:v>-0.55775198358671219</c:v>
                </c:pt>
                <c:pt idx="35">
                  <c:v>-2.9163921398058505</c:v>
                </c:pt>
                <c:pt idx="36">
                  <c:v>-4.2692933444123611</c:v>
                </c:pt>
                <c:pt idx="37">
                  <c:v>-6.0410388923450427</c:v>
                </c:pt>
              </c:numCache>
            </c:numRef>
          </c:val>
          <c:smooth val="0"/>
          <c:extLst>
            <c:ext xmlns:c16="http://schemas.microsoft.com/office/drawing/2014/chart" uri="{C3380CC4-5D6E-409C-BE32-E72D297353CC}">
              <c16:uniqueId val="{00000002-985A-49B4-B974-145966A493AF}"/>
            </c:ext>
          </c:extLst>
        </c:ser>
        <c:ser>
          <c:idx val="3"/>
          <c:order val="3"/>
          <c:tx>
            <c:strRef>
              <c:f>'výkonnost odvětví 3'!$AA$10</c:f>
              <c:strCache>
                <c:ptCount val="1"/>
                <c:pt idx="0">
                  <c:v>New domestic construction orders </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3'!$AA$31:$AA$69</c:f>
              <c:numCache>
                <c:formatCode>0.0</c:formatCode>
                <c:ptCount val="39"/>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13.067478460417874</c:v>
                </c:pt>
                <c:pt idx="29">
                  <c:v>17.619163607261129</c:v>
                </c:pt>
                <c:pt idx="30">
                  <c:v>12.421954480552543</c:v>
                </c:pt>
                <c:pt idx="31">
                  <c:v>13.031852753748723</c:v>
                </c:pt>
                <c:pt idx="32">
                  <c:v>-10.144501025957553</c:v>
                </c:pt>
                <c:pt idx="33">
                  <c:v>-18.697561390531931</c:v>
                </c:pt>
                <c:pt idx="34">
                  <c:v>27.514816854662882</c:v>
                </c:pt>
                <c:pt idx="35">
                  <c:v>9.3063425617587541</c:v>
                </c:pt>
                <c:pt idx="36">
                  <c:v>30.591327492018308</c:v>
                </c:pt>
                <c:pt idx="37">
                  <c:v>24.637718081535937</c:v>
                </c:pt>
              </c:numCache>
            </c:numRef>
          </c:val>
          <c:smooth val="0"/>
          <c:extLst>
            <c:ext xmlns:c16="http://schemas.microsoft.com/office/drawing/2014/chart" uri="{C3380CC4-5D6E-409C-BE32-E72D297353CC}">
              <c16:uniqueId val="{00000003-985A-49B4-B974-145966A493AF}"/>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c:v>
                </c:pt>
              </c:strCache>
            </c:strRef>
          </c:tx>
          <c:spPr>
            <a:ln w="15875">
              <a:solidFill>
                <a:srgbClr val="00B050"/>
              </a:solidFill>
              <a:prstDash val="solid"/>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3'!$AB$31:$AB$69</c:f>
              <c:numCache>
                <c:formatCode>#\ ##0.0</c:formatCode>
                <c:ptCount val="39"/>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32.299999999999997</c:v>
                </c:pt>
                <c:pt idx="34">
                  <c:v>36.299999999999997</c:v>
                </c:pt>
                <c:pt idx="35">
                  <c:v>29.2</c:v>
                </c:pt>
                <c:pt idx="36">
                  <c:v>20.5</c:v>
                </c:pt>
                <c:pt idx="37">
                  <c:v>22.3</c:v>
                </c:pt>
                <c:pt idx="38">
                  <c:v>24</c:v>
                </c:pt>
              </c:numCache>
            </c:numRef>
          </c:val>
          <c:smooth val="0"/>
          <c:extLst>
            <c:ext xmlns:c16="http://schemas.microsoft.com/office/drawing/2014/chart" uri="{C3380CC4-5D6E-409C-BE32-E72D297353CC}">
              <c16:uniqueId val="{00000004-985A-49B4-B974-145966A493AF}"/>
            </c:ext>
          </c:extLst>
        </c:ser>
        <c:ser>
          <c:idx val="5"/>
          <c:order val="5"/>
          <c:tx>
            <c:strRef>
              <c:f>'výkonnost odvětví 3'!$AC$10</c:f>
              <c:strCache>
                <c:ptCount val="1"/>
                <c:pt idx="0">
                  <c:v>Barrier: lack of workers</c:v>
                </c:pt>
              </c:strCache>
            </c:strRef>
          </c:tx>
          <c:spPr>
            <a:ln w="15875">
              <a:solidFill>
                <a:schemeClr val="accent3">
                  <a:lumMod val="75000"/>
                </a:schemeClr>
              </a:solidFill>
              <a:prstDash val="dash"/>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3'!$AC$31:$AC$69</c:f>
              <c:numCache>
                <c:formatCode>#\ ##0.0</c:formatCode>
                <c:ptCount val="39"/>
                <c:pt idx="0">
                  <c:v>8.3000000000000007</c:v>
                </c:pt>
                <c:pt idx="1">
                  <c:v>8.1</c:v>
                </c:pt>
                <c:pt idx="2">
                  <c:v>6.1</c:v>
                </c:pt>
                <c:pt idx="3">
                  <c:v>6</c:v>
                </c:pt>
                <c:pt idx="4">
                  <c:v>6.5</c:v>
                </c:pt>
                <c:pt idx="5">
                  <c:v>7.2</c:v>
                </c:pt>
                <c:pt idx="6">
                  <c:v>7.1</c:v>
                </c:pt>
                <c:pt idx="7">
                  <c:v>10.4</c:v>
                </c:pt>
                <c:pt idx="8">
                  <c:v>13.9</c:v>
                </c:pt>
                <c:pt idx="9">
                  <c:v>14.9</c:v>
                </c:pt>
                <c:pt idx="10">
                  <c:v>21.7</c:v>
                </c:pt>
                <c:pt idx="11">
                  <c:v>21.3</c:v>
                </c:pt>
                <c:pt idx="12">
                  <c:v>27</c:v>
                </c:pt>
                <c:pt idx="13">
                  <c:v>30.1</c:v>
                </c:pt>
                <c:pt idx="14">
                  <c:v>28.5</c:v>
                </c:pt>
                <c:pt idx="15">
                  <c:v>38.4</c:v>
                </c:pt>
                <c:pt idx="16">
                  <c:v>36.4</c:v>
                </c:pt>
                <c:pt idx="17">
                  <c:v>43.4</c:v>
                </c:pt>
                <c:pt idx="18">
                  <c:v>50.4</c:v>
                </c:pt>
                <c:pt idx="19">
                  <c:v>46.4</c:v>
                </c:pt>
                <c:pt idx="20">
                  <c:v>51.8</c:v>
                </c:pt>
                <c:pt idx="21">
                  <c:v>46</c:v>
                </c:pt>
                <c:pt idx="22">
                  <c:v>35.9</c:v>
                </c:pt>
                <c:pt idx="23" formatCode="0.0">
                  <c:v>32.1</c:v>
                </c:pt>
                <c:pt idx="24">
                  <c:v>47.9</c:v>
                </c:pt>
                <c:pt idx="25">
                  <c:v>31.7</c:v>
                </c:pt>
                <c:pt idx="26">
                  <c:v>41.4</c:v>
                </c:pt>
                <c:pt idx="27">
                  <c:v>42.5</c:v>
                </c:pt>
                <c:pt idx="28">
                  <c:v>57.2</c:v>
                </c:pt>
                <c:pt idx="29">
                  <c:v>44.3</c:v>
                </c:pt>
                <c:pt idx="30">
                  <c:v>39.4</c:v>
                </c:pt>
                <c:pt idx="31">
                  <c:v>47.3</c:v>
                </c:pt>
                <c:pt idx="32">
                  <c:v>39.299999999999997</c:v>
                </c:pt>
                <c:pt idx="33">
                  <c:v>35.4</c:v>
                </c:pt>
                <c:pt idx="34">
                  <c:v>30.5</c:v>
                </c:pt>
                <c:pt idx="35">
                  <c:v>30.9</c:v>
                </c:pt>
                <c:pt idx="36">
                  <c:v>54.2</c:v>
                </c:pt>
                <c:pt idx="37">
                  <c:v>46.6</c:v>
                </c:pt>
                <c:pt idx="38">
                  <c:v>42.2</c:v>
                </c:pt>
              </c:numCache>
            </c:numRef>
          </c:val>
          <c:smooth val="0"/>
          <c:extLst>
            <c:ext xmlns:c16="http://schemas.microsoft.com/office/drawing/2014/chart" uri="{C3380CC4-5D6E-409C-BE32-E72D297353CC}">
              <c16:uniqueId val="{00000005-985A-49B4-B974-145966A493AF}"/>
            </c:ext>
          </c:extLst>
        </c:ser>
        <c:ser>
          <c:idx val="6"/>
          <c:order val="6"/>
          <c:tx>
            <c:strRef>
              <c:f>'výkonnost odvětví 3'!$AD$10</c:f>
              <c:strCache>
                <c:ptCount val="1"/>
                <c:pt idx="0">
                  <c:v>Barrier: shortage of material/equipment</c:v>
                </c:pt>
              </c:strCache>
            </c:strRef>
          </c:tx>
          <c:spPr>
            <a:ln w="15875">
              <a:solidFill>
                <a:srgbClr val="37DD3B"/>
              </a:solidFill>
              <a:prstDash val="sysDash"/>
            </a:ln>
          </c:spPr>
          <c:marker>
            <c:symbol val="none"/>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3'!$AD$31:$AD$69</c:f>
              <c:numCache>
                <c:formatCode>#\ ##0.0</c:formatCode>
                <c:ptCount val="39"/>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c:v>22.5</c:v>
                </c:pt>
                <c:pt idx="37">
                  <c:v>22.2</c:v>
                </c:pt>
                <c:pt idx="38">
                  <c:v>22.2</c:v>
                </c:pt>
              </c:numCache>
            </c:numRef>
          </c:val>
          <c:smooth val="0"/>
          <c:extLst>
            <c:ext xmlns:c16="http://schemas.microsoft.com/office/drawing/2014/chart" uri="{C3380CC4-5D6E-409C-BE32-E72D297353CC}">
              <c16:uniqueId val="{00000006-985A-49B4-B974-145966A493AF}"/>
            </c:ext>
          </c:extLst>
        </c:ser>
        <c:ser>
          <c:idx val="7"/>
          <c:order val="7"/>
          <c:tx>
            <c:strRef>
              <c:f>'výkonnost odvětví 3'!$AE$10</c:f>
              <c:strCache>
                <c:ptCount val="1"/>
                <c:pt idx="0">
                  <c:v>Confidence indicator in construction</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3'!$V$31:$W$69</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3'!$AE$31:$AE$69</c:f>
              <c:numCache>
                <c:formatCode>0.0</c:formatCode>
                <c:ptCount val="39"/>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pt idx="37">
                  <c:v>-14</c:v>
                </c:pt>
                <c:pt idx="38">
                  <c:v>-12</c:v>
                </c:pt>
              </c:numCache>
            </c:numRef>
          </c:val>
          <c:smooth val="0"/>
          <c:extLst>
            <c:ext xmlns:c16="http://schemas.microsoft.com/office/drawing/2014/chart" uri="{C3380CC4-5D6E-409C-BE32-E72D297353CC}">
              <c16:uniqueId val="{00000007-985A-49B4-B974-145966A493AF}"/>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Construction output (contribution to the growth), orders</a:t>
                </a:r>
              </a:p>
            </c:rich>
          </c:tx>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Confidence indicator, growth barriers</a:t>
                </a:r>
              </a:p>
            </c:rich>
          </c:tx>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4.9364822180789645E-3"/>
          <c:y val="0.8593671160207601"/>
          <c:w val="0.99095124459355122"/>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'Služby-příspěvkyk růstu-4'!$D$33</c:f>
              <c:strCache>
                <c:ptCount val="1"/>
                <c:pt idx="0">
                  <c:v>Transportation and storage (p.p.)</c:v>
                </c:pt>
              </c:strCache>
            </c:strRef>
          </c:tx>
          <c:spPr>
            <a:solidFill>
              <a:srgbClr val="92D05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růstu-4'!$D$46:$D$84</c:f>
              <c:numCache>
                <c:formatCode>0.0</c:formatCode>
                <c:ptCount val="39"/>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0.40899428206630034</c:v>
                </c:pt>
                <c:pt idx="25">
                  <c:v>6.4857042983519992</c:v>
                </c:pt>
                <c:pt idx="26">
                  <c:v>3.6844418834935992</c:v>
                </c:pt>
                <c:pt idx="27">
                  <c:v>3.3217790689831346</c:v>
                </c:pt>
                <c:pt idx="28">
                  <c:v>3.9514408665104899</c:v>
                </c:pt>
                <c:pt idx="29">
                  <c:v>4.0151538723392397</c:v>
                </c:pt>
                <c:pt idx="30">
                  <c:v>3.2323731249468759</c:v>
                </c:pt>
                <c:pt idx="31">
                  <c:v>0.68736316295880218</c:v>
                </c:pt>
                <c:pt idx="32">
                  <c:v>-1.2129729416320014</c:v>
                </c:pt>
                <c:pt idx="33">
                  <c:v>-3.099026668853849</c:v>
                </c:pt>
                <c:pt idx="34">
                  <c:v>-3.4692285655333293</c:v>
                </c:pt>
                <c:pt idx="35">
                  <c:v>-2.6080977613502347</c:v>
                </c:pt>
                <c:pt idx="36">
                  <c:v>0.12301447772012634</c:v>
                </c:pt>
                <c:pt idx="37">
                  <c:v>1.1719168050476052</c:v>
                </c:pt>
              </c:numCache>
            </c:numRef>
          </c:val>
          <c:extLst>
            <c:ext xmlns:c16="http://schemas.microsoft.com/office/drawing/2014/chart" uri="{C3380CC4-5D6E-409C-BE32-E72D297353CC}">
              <c16:uniqueId val="{00000000-6694-4590-9561-BD0750717353}"/>
            </c:ext>
          </c:extLst>
        </c:ser>
        <c:ser>
          <c:idx val="1"/>
          <c:order val="2"/>
          <c:tx>
            <c:strRef>
              <c:f>'Služby-příspěvkyk růstu-4'!$E$33</c:f>
              <c:strCache>
                <c:ptCount val="1"/>
                <c:pt idx="0">
                  <c:v>Accommodation, food service (p.p.)</c:v>
                </c:pt>
              </c:strCache>
            </c:strRef>
          </c:tx>
          <c:spPr>
            <a:solidFill>
              <a:srgbClr val="00B0F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růstu-4'!$E$46:$E$84</c:f>
              <c:numCache>
                <c:formatCode>0.0</c:formatCode>
                <c:ptCount val="39"/>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-3.6369333050125001</c:v>
                </c:pt>
                <c:pt idx="25">
                  <c:v>1.4031540944905208</c:v>
                </c:pt>
                <c:pt idx="26">
                  <c:v>0.65992665946500029</c:v>
                </c:pt>
                <c:pt idx="27">
                  <c:v>2.8955262444650116</c:v>
                </c:pt>
                <c:pt idx="28">
                  <c:v>2.8318183263071997</c:v>
                </c:pt>
                <c:pt idx="29">
                  <c:v>2.4351378857488077</c:v>
                </c:pt>
                <c:pt idx="30">
                  <c:v>-0.45787271333559287</c:v>
                </c:pt>
                <c:pt idx="31">
                  <c:v>0.56724882175460012</c:v>
                </c:pt>
                <c:pt idx="32">
                  <c:v>0.47232775791700016</c:v>
                </c:pt>
                <c:pt idx="33">
                  <c:v>-2.9380545797294239E-2</c:v>
                </c:pt>
                <c:pt idx="34">
                  <c:v>0.13034872931637551</c:v>
                </c:pt>
                <c:pt idx="35">
                  <c:v>7.6431753799216448E-2</c:v>
                </c:pt>
                <c:pt idx="36">
                  <c:v>0.15978861624508284</c:v>
                </c:pt>
                <c:pt idx="37">
                  <c:v>0.18872901032163661</c:v>
                </c:pt>
              </c:numCache>
            </c:numRef>
          </c:val>
          <c:extLst>
            <c:ext xmlns:c16="http://schemas.microsoft.com/office/drawing/2014/chart" uri="{C3380CC4-5D6E-409C-BE32-E72D297353CC}">
              <c16:uniqueId val="{00000001-6694-4590-9561-BD0750717353}"/>
            </c:ext>
          </c:extLst>
        </c:ser>
        <c:ser>
          <c:idx val="2"/>
          <c:order val="3"/>
          <c:tx>
            <c:strRef>
              <c:f>'Služby-příspěvkyk růstu-4'!$F$33</c:f>
              <c:strCache>
                <c:ptCount val="1"/>
                <c:pt idx="0">
                  <c:v>Information and communication (p.p.)</c:v>
                </c:pt>
              </c:strCache>
            </c:strRef>
          </c:tx>
          <c:spPr>
            <a:solidFill>
              <a:srgbClr val="E6E100"/>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růstu-4'!$F$46:$F$84</c:f>
              <c:numCache>
                <c:formatCode>0.0</c:formatCode>
                <c:ptCount val="39"/>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0.73366723394700006</c:v>
                </c:pt>
                <c:pt idx="25">
                  <c:v>1.7207045513606583</c:v>
                </c:pt>
                <c:pt idx="26">
                  <c:v>1.7361457132958011</c:v>
                </c:pt>
                <c:pt idx="27">
                  <c:v>2.1189808181123286</c:v>
                </c:pt>
                <c:pt idx="28">
                  <c:v>1.7513568138013991</c:v>
                </c:pt>
                <c:pt idx="29">
                  <c:v>0.98399950600799913</c:v>
                </c:pt>
                <c:pt idx="30">
                  <c:v>0.77268922490967784</c:v>
                </c:pt>
                <c:pt idx="31">
                  <c:v>0.37460811931764648</c:v>
                </c:pt>
                <c:pt idx="32">
                  <c:v>0.58485544392239908</c:v>
                </c:pt>
                <c:pt idx="33">
                  <c:v>-1.1415645740895557E-2</c:v>
                </c:pt>
                <c:pt idx="34">
                  <c:v>-0.79502750900049046</c:v>
                </c:pt>
                <c:pt idx="35">
                  <c:v>-0.7938046823104834</c:v>
                </c:pt>
                <c:pt idx="36">
                  <c:v>0.10083125511494737</c:v>
                </c:pt>
                <c:pt idx="37">
                  <c:v>0.36817298322197645</c:v>
                </c:pt>
              </c:numCache>
            </c:numRef>
          </c:val>
          <c:extLst>
            <c:ext xmlns:c16="http://schemas.microsoft.com/office/drawing/2014/chart" uri="{C3380CC4-5D6E-409C-BE32-E72D297353CC}">
              <c16:uniqueId val="{00000002-6694-4590-9561-BD0750717353}"/>
            </c:ext>
          </c:extLst>
        </c:ser>
        <c:ser>
          <c:idx val="4"/>
          <c:order val="4"/>
          <c:tx>
            <c:strRef>
              <c:f>'Služby-příspěvkyk růstu-4'!$G$33</c:f>
              <c:strCache>
                <c:ptCount val="1"/>
                <c:pt idx="0">
                  <c:v>Real estate activities (p.p.)</c:v>
                </c:pt>
              </c:strCache>
            </c:strRef>
          </c:tx>
          <c:spPr>
            <a:solidFill>
              <a:schemeClr val="accent5">
                <a:lumMod val="60000"/>
                <a:lumOff val="40000"/>
              </a:schemeClr>
            </a:solidFill>
            <a:ln>
              <a:noFill/>
              <a:prstDash val="sysDash"/>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růstu-4'!$G$46:$G$84</c:f>
              <c:numCache>
                <c:formatCode>0.0</c:formatCode>
                <c:ptCount val="39"/>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-0.20717928801940017</c:v>
                </c:pt>
                <c:pt idx="25">
                  <c:v>0.47457604296674993</c:v>
                </c:pt>
                <c:pt idx="26">
                  <c:v>-4.0996780129997036E-3</c:v>
                </c:pt>
                <c:pt idx="27">
                  <c:v>0.24096930540479963</c:v>
                </c:pt>
                <c:pt idx="28">
                  <c:v>0.94475021021679939</c:v>
                </c:pt>
                <c:pt idx="29">
                  <c:v>0.4723015234319996</c:v>
                </c:pt>
                <c:pt idx="30">
                  <c:v>0.21987990588947368</c:v>
                </c:pt>
                <c:pt idx="31">
                  <c:v>0.34935607946666636</c:v>
                </c:pt>
                <c:pt idx="32">
                  <c:v>0.14370495810719947</c:v>
                </c:pt>
                <c:pt idx="33">
                  <c:v>-0.15312531256454071</c:v>
                </c:pt>
                <c:pt idx="34">
                  <c:v>-0.26269128038412337</c:v>
                </c:pt>
                <c:pt idx="35">
                  <c:v>-0.20581433335534355</c:v>
                </c:pt>
                <c:pt idx="36">
                  <c:v>-7.6998825414431121E-2</c:v>
                </c:pt>
                <c:pt idx="37">
                  <c:v>0.16535812627071414</c:v>
                </c:pt>
              </c:numCache>
            </c:numRef>
          </c:val>
          <c:extLst>
            <c:ext xmlns:c16="http://schemas.microsoft.com/office/drawing/2014/chart" uri="{C3380CC4-5D6E-409C-BE32-E72D297353CC}">
              <c16:uniqueId val="{00000003-6694-4590-9561-BD0750717353}"/>
            </c:ext>
          </c:extLst>
        </c:ser>
        <c:ser>
          <c:idx val="5"/>
          <c:order val="5"/>
          <c:tx>
            <c:strRef>
              <c:f>'Služby-příspěvkyk růstu-4'!$H$33</c:f>
              <c:strCache>
                <c:ptCount val="1"/>
                <c:pt idx="0">
                  <c:v>Professional, scientific, technical act. (p.p.)</c:v>
                </c:pt>
              </c:strCache>
            </c:strRef>
          </c:tx>
          <c:spPr>
            <a:solidFill>
              <a:schemeClr val="accent6">
                <a:lumMod val="60000"/>
                <a:lumOff val="40000"/>
              </a:schemeClr>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růstu-4'!$H$46:$H$84</c:f>
              <c:numCache>
                <c:formatCode>0.0</c:formatCode>
                <c:ptCount val="39"/>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-1.8346424682827585</c:v>
                </c:pt>
                <c:pt idx="25">
                  <c:v>2.6510046263427998</c:v>
                </c:pt>
                <c:pt idx="26">
                  <c:v>1.7508962010128015</c:v>
                </c:pt>
                <c:pt idx="27">
                  <c:v>2.2400850079907202</c:v>
                </c:pt>
                <c:pt idx="28">
                  <c:v>2.2876079414759998</c:v>
                </c:pt>
                <c:pt idx="29">
                  <c:v>1.3872455323777775</c:v>
                </c:pt>
                <c:pt idx="30">
                  <c:v>0.99227591104347768</c:v>
                </c:pt>
                <c:pt idx="31">
                  <c:v>0.14393939496428487</c:v>
                </c:pt>
                <c:pt idx="32">
                  <c:v>0.81900948593429967</c:v>
                </c:pt>
                <c:pt idx="33">
                  <c:v>0.78508139570585855</c:v>
                </c:pt>
                <c:pt idx="34">
                  <c:v>0.13004879090092139</c:v>
                </c:pt>
                <c:pt idx="35">
                  <c:v>0.82734148939788288</c:v>
                </c:pt>
                <c:pt idx="36">
                  <c:v>0.36102471036532224</c:v>
                </c:pt>
                <c:pt idx="37">
                  <c:v>0.52723405192192407</c:v>
                </c:pt>
              </c:numCache>
            </c:numRef>
          </c:val>
          <c:extLst>
            <c:ext xmlns:c16="http://schemas.microsoft.com/office/drawing/2014/chart" uri="{C3380CC4-5D6E-409C-BE32-E72D297353CC}">
              <c16:uniqueId val="{00000004-6694-4590-9561-BD0750717353}"/>
            </c:ext>
          </c:extLst>
        </c:ser>
        <c:ser>
          <c:idx val="6"/>
          <c:order val="6"/>
          <c:tx>
            <c:strRef>
              <c:f>'Služby-příspěvkyk růstu-4'!$I$33</c:f>
              <c:strCache>
                <c:ptCount val="1"/>
                <c:pt idx="0">
                  <c:v>Admin., support service act.(contrib. in p.p.)</c:v>
                </c:pt>
              </c:strCache>
            </c:strRef>
          </c:tx>
          <c:spPr>
            <a:solidFill>
              <a:schemeClr val="accent1">
                <a:lumMod val="20000"/>
                <a:lumOff val="80000"/>
              </a:schemeClr>
            </a:solidFill>
            <a:ln>
              <a:noFill/>
            </a:ln>
          </c:spPr>
          <c:invertIfNegative val="0"/>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růstu-4'!$I$46:$I$84</c:f>
              <c:numCache>
                <c:formatCode>0.0</c:formatCode>
                <c:ptCount val="39"/>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-1.3823007427793008</c:v>
                </c:pt>
                <c:pt idx="25">
                  <c:v>2.2520526033025252</c:v>
                </c:pt>
                <c:pt idx="26">
                  <c:v>2.1161672980700006</c:v>
                </c:pt>
                <c:pt idx="27">
                  <c:v>1.4333424903022896</c:v>
                </c:pt>
                <c:pt idx="28">
                  <c:v>1.7137920826735484</c:v>
                </c:pt>
                <c:pt idx="29">
                  <c:v>3.1129083870827094</c:v>
                </c:pt>
                <c:pt idx="30">
                  <c:v>2.2148815412970997</c:v>
                </c:pt>
                <c:pt idx="31">
                  <c:v>0.75709334776319981</c:v>
                </c:pt>
                <c:pt idx="32">
                  <c:v>0.44529605054279975</c:v>
                </c:pt>
                <c:pt idx="33">
                  <c:v>0.17025495003951477</c:v>
                </c:pt>
                <c:pt idx="34">
                  <c:v>-0.14281883952654037</c:v>
                </c:pt>
                <c:pt idx="35">
                  <c:v>-4.456522643089033E-2</c:v>
                </c:pt>
                <c:pt idx="36">
                  <c:v>0.31595667469514804</c:v>
                </c:pt>
                <c:pt idx="37">
                  <c:v>0.12625409767933218</c:v>
                </c:pt>
              </c:numCache>
            </c:numRef>
          </c:val>
          <c:extLst>
            <c:ext xmlns:c16="http://schemas.microsoft.com/office/drawing/2014/chart" uri="{C3380CC4-5D6E-409C-BE32-E72D297353CC}">
              <c16:uniqueId val="{00000005-6694-4590-9561-BD0750717353}"/>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Total services sales (y-o-y in %)</c:v>
                </c:pt>
              </c:strCache>
            </c:strRef>
          </c:tx>
          <c:spPr>
            <a:ln>
              <a:noFill/>
            </a:ln>
          </c:spPr>
          <c:marker>
            <c:symbol val="dot"/>
            <c:size val="7"/>
            <c:spPr>
              <a:solidFill>
                <a:schemeClr val="tx1">
                  <a:lumMod val="95000"/>
                  <a:lumOff val="5000"/>
                </a:schemeClr>
              </a:solidFill>
              <a:ln>
                <a:noFill/>
              </a:ln>
            </c:spPr>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růstu-4'!$C$46:$C$84</c:f>
              <c:numCache>
                <c:formatCode>0.0</c:formatCode>
                <c:ptCount val="39"/>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c:v>-2.0638978244000015</c:v>
                </c:pt>
                <c:pt idx="17">
                  <c:v>2.0119271263999963</c:v>
                </c:pt>
                <c:pt idx="18">
                  <c:v>0.46201626920000649</c:v>
                </c:pt>
                <c:pt idx="19">
                  <c:v>3.6792793010999958</c:v>
                </c:pt>
                <c:pt idx="20">
                  <c:v>-3.7161332750000042</c:v>
                </c:pt>
                <c:pt idx="21">
                  <c:v>-20.482789201800003</c:v>
                </c:pt>
                <c:pt idx="22">
                  <c:v>-13.818107271499997</c:v>
                </c:pt>
                <c:pt idx="23">
                  <c:v>-12.693117899800001</c:v>
                </c:pt>
                <c:pt idx="24">
                  <c:v>-6.3685518294000047</c:v>
                </c:pt>
                <c:pt idx="25">
                  <c:v>14.4660676572</c:v>
                </c:pt>
                <c:pt idx="26">
                  <c:v>9.8421672174000037</c:v>
                </c:pt>
                <c:pt idx="27">
                  <c:v>12.461352598600001</c:v>
                </c:pt>
                <c:pt idx="28">
                  <c:v>13.594870620799995</c:v>
                </c:pt>
                <c:pt idx="29">
                  <c:v>12.575735670200004</c:v>
                </c:pt>
                <c:pt idx="30">
                  <c:v>6.8797127012000061</c:v>
                </c:pt>
                <c:pt idx="31">
                  <c:v>3.1500296932999987</c:v>
                </c:pt>
                <c:pt idx="32">
                  <c:v>1.5890558293999959</c:v>
                </c:pt>
                <c:pt idx="33">
                  <c:v>-1.6486020275000044</c:v>
                </c:pt>
                <c:pt idx="34">
                  <c:v>-3.8364665076999955</c:v>
                </c:pt>
                <c:pt idx="35">
                  <c:v>-2.1974840201999939</c:v>
                </c:pt>
                <c:pt idx="36">
                  <c:v>0.99656060149999348</c:v>
                </c:pt>
                <c:pt idx="37">
                  <c:v>2.5476530588999964</c:v>
                </c:pt>
              </c:numCache>
            </c:numRef>
          </c:val>
          <c:smooth val="0"/>
          <c:extLst>
            <c:ext xmlns:c16="http://schemas.microsoft.com/office/drawing/2014/chart" uri="{C3380CC4-5D6E-409C-BE32-E72D297353CC}">
              <c16:uniqueId val="{00000006-6694-4590-9561-BD0750717353}"/>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Confidence indicator in services</c:v>
                </c:pt>
              </c:strCache>
            </c:strRef>
          </c:tx>
          <c:spPr>
            <a:ln w="3175">
              <a:solidFill>
                <a:schemeClr val="bg1">
                  <a:lumMod val="50000"/>
                </a:schemeClr>
              </a:solidFill>
              <a:prstDash val="sysDot"/>
            </a:ln>
          </c:spPr>
          <c:marker>
            <c:symbol val="diamond"/>
            <c:size val="5"/>
            <c:spPr>
              <a:solidFill>
                <a:srgbClr val="FFFF00"/>
              </a:solidFill>
              <a:ln w="6350">
                <a:solidFill>
                  <a:schemeClr val="tx1">
                    <a:lumMod val="85000"/>
                    <a:lumOff val="15000"/>
                  </a:schemeClr>
                </a:solidFill>
              </a:ln>
            </c:spPr>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růstu-4'!$J$46:$J$84</c:f>
              <c:numCache>
                <c:formatCode>#\ ##0.0</c:formatCode>
                <c:ptCount val="39"/>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pt idx="37" formatCode="0.0">
                  <c:v>30.1</c:v>
                </c:pt>
                <c:pt idx="38" formatCode="0.0">
                  <c:v>21.7</c:v>
                </c:pt>
              </c:numCache>
            </c:numRef>
          </c:val>
          <c:smooth val="0"/>
          <c:extLst>
            <c:ext xmlns:c16="http://schemas.microsoft.com/office/drawing/2014/chart" uri="{C3380CC4-5D6E-409C-BE32-E72D297353CC}">
              <c16:uniqueId val="{00000007-6694-4590-9561-BD0750717353}"/>
            </c:ext>
          </c:extLst>
        </c:ser>
        <c:ser>
          <c:idx val="8"/>
          <c:order val="8"/>
          <c:tx>
            <c:strRef>
              <c:f>'Služby-příspěvkyk růstu-4'!$K$33</c:f>
              <c:strCache>
                <c:ptCount val="1"/>
                <c:pt idx="0">
                  <c:v>Growth barrier: inadequate demand
</c:v>
                </c:pt>
              </c:strCache>
            </c:strRef>
          </c:tx>
          <c:spPr>
            <a:ln w="15875">
              <a:solidFill>
                <a:srgbClr val="CA945E"/>
              </a:solidFill>
              <a:prstDash val="solid"/>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růstu-4'!$K$46:$K$84</c:f>
              <c:numCache>
                <c:formatCode>#\ ##0.0</c:formatCode>
                <c:ptCount val="39"/>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pt idx="37">
                  <c:v>19.2</c:v>
                </c:pt>
                <c:pt idx="38">
                  <c:v>17.8</c:v>
                </c:pt>
              </c:numCache>
            </c:numRef>
          </c:val>
          <c:smooth val="0"/>
          <c:extLst>
            <c:ext xmlns:c16="http://schemas.microsoft.com/office/drawing/2014/chart" uri="{C3380CC4-5D6E-409C-BE32-E72D297353CC}">
              <c16:uniqueId val="{00000008-6694-4590-9561-BD0750717353}"/>
            </c:ext>
          </c:extLst>
        </c:ser>
        <c:ser>
          <c:idx val="9"/>
          <c:order val="9"/>
          <c:tx>
            <c:strRef>
              <c:f>'Služby-příspěvkyk růstu-4'!$L$33</c:f>
              <c:strCache>
                <c:ptCount val="1"/>
                <c:pt idx="0">
                  <c:v>Growth barrier: lack of workers</c:v>
                </c:pt>
              </c:strCache>
            </c:strRef>
          </c:tx>
          <c:spPr>
            <a:ln w="15875">
              <a:solidFill>
                <a:srgbClr val="CA945E"/>
              </a:solidFill>
              <a:prstDash val="sysDash"/>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růstu-4'!$L$46:$L$84</c:f>
              <c:numCache>
                <c:formatCode>#\ ##0.0</c:formatCode>
                <c:ptCount val="39"/>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9.6999999999999993</c:v>
                </c:pt>
                <c:pt idx="34">
                  <c:v>9.1999999999999993</c:v>
                </c:pt>
                <c:pt idx="35">
                  <c:v>12.3</c:v>
                </c:pt>
                <c:pt idx="36">
                  <c:v>8.3000000000000007</c:v>
                </c:pt>
                <c:pt idx="37">
                  <c:v>8.1</c:v>
                </c:pt>
                <c:pt idx="38">
                  <c:v>8.3000000000000007</c:v>
                </c:pt>
              </c:numCache>
            </c:numRef>
          </c:val>
          <c:smooth val="0"/>
          <c:extLst>
            <c:ext xmlns:c16="http://schemas.microsoft.com/office/drawing/2014/chart" uri="{C3380CC4-5D6E-409C-BE32-E72D297353CC}">
              <c16:uniqueId val="{00000009-6694-4590-9561-BD0750717353}"/>
            </c:ext>
          </c:extLst>
        </c:ser>
        <c:ser>
          <c:idx val="10"/>
          <c:order val="10"/>
          <c:tx>
            <c:strRef>
              <c:f>'Služby-příspěvkyk růstu-4'!$M$33</c:f>
              <c:strCache>
                <c:ptCount val="1"/>
                <c:pt idx="0">
                  <c:v>Total sales (basis 2021 = 100, constant prices)</c:v>
                </c:pt>
              </c:strCache>
            </c:strRef>
          </c:tx>
          <c:spPr>
            <a:ln w="15875">
              <a:solidFill>
                <a:schemeClr val="tx1"/>
              </a:solidFill>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růstu-4'!$M$46:$M$84</c:f>
              <c:numCache>
                <c:formatCode>0.0</c:formatCode>
                <c:ptCount val="39"/>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92.966990373300007</c:v>
                </c:pt>
                <c:pt idx="25">
                  <c:v>97.901564036699995</c:v>
                </c:pt>
                <c:pt idx="26">
                  <c:v>102.3460069133</c:v>
                </c:pt>
                <c:pt idx="27">
                  <c:v>104.43915443669999</c:v>
                </c:pt>
                <c:pt idx="28">
                  <c:v>106.4873451767</c:v>
                </c:pt>
                <c:pt idx="29">
                  <c:v>108.9169076267</c:v>
                </c:pt>
                <c:pt idx="30">
                  <c:v>109.4146881133</c:v>
                </c:pt>
                <c:pt idx="31">
                  <c:v>108.82818231669999</c:v>
                </c:pt>
                <c:pt idx="32">
                  <c:v>108.1950428</c:v>
                </c:pt>
                <c:pt idx="33">
                  <c:v>106.6725035633</c:v>
                </c:pt>
                <c:pt idx="34">
                  <c:v>105.7315530633</c:v>
                </c:pt>
                <c:pt idx="35">
                  <c:v>106.41732924670001</c:v>
                </c:pt>
                <c:pt idx="36">
                  <c:v>109.0194057067</c:v>
                </c:pt>
                <c:pt idx="37">
                  <c:v>109.31520073670001</c:v>
                </c:pt>
              </c:numCache>
            </c:numRef>
          </c:val>
          <c:smooth val="0"/>
          <c:extLst>
            <c:ext xmlns:c16="http://schemas.microsoft.com/office/drawing/2014/chart" uri="{C3380CC4-5D6E-409C-BE32-E72D297353CC}">
              <c16:uniqueId val="{0000000A-6694-4590-9561-BD0750717353}"/>
            </c:ext>
          </c:extLst>
        </c:ser>
        <c:ser>
          <c:idx val="11"/>
          <c:order val="11"/>
          <c:tx>
            <c:strRef>
              <c:f>'Služby-příspěvkyk růstu-4'!$N$33</c:f>
              <c:strCache>
                <c:ptCount val="1"/>
                <c:pt idx="0">
                  <c:v>Total sales (basis 2021 = 100, current prices)</c:v>
                </c:pt>
              </c:strCache>
            </c:strRef>
          </c:tx>
          <c:spPr>
            <a:ln w="15875">
              <a:solidFill>
                <a:schemeClr val="bg2">
                  <a:lumMod val="25000"/>
                </a:schemeClr>
              </a:solidFill>
              <a:prstDash val="sysDash"/>
            </a:ln>
          </c:spPr>
          <c:marker>
            <c:symbol val="none"/>
          </c:marker>
          <c:cat>
            <c:multiLvlStrRef>
              <c:f>'Služby-příspěvkyk růstu-4'!$A$46:$B$84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růstu-4'!$N$46:$N$84</c:f>
              <c:numCache>
                <c:formatCode>0.0</c:formatCode>
                <c:ptCount val="39"/>
                <c:pt idx="0">
                  <c:v>87.052195600000005</c:v>
                </c:pt>
                <c:pt idx="1">
                  <c:v>87.976303153299995</c:v>
                </c:pt>
                <c:pt idx="2">
                  <c:v>88.373010003299996</c:v>
                </c:pt>
                <c:pt idx="3">
                  <c:v>88.620892873299994</c:v>
                </c:pt>
                <c:pt idx="4">
                  <c:v>87.738386106700005</c:v>
                </c:pt>
                <c:pt idx="5">
                  <c:v>88.030049489999996</c:v>
                </c:pt>
                <c:pt idx="6">
                  <c:v>89.823697393299994</c:v>
                </c:pt>
                <c:pt idx="7">
                  <c:v>91.207866260000003</c:v>
                </c:pt>
                <c:pt idx="8">
                  <c:v>92.834550640000003</c:v>
                </c:pt>
                <c:pt idx="9">
                  <c:v>94.103815076700002</c:v>
                </c:pt>
                <c:pt idx="10">
                  <c:v>94.369418403300003</c:v>
                </c:pt>
                <c:pt idx="11">
                  <c:v>95.836186386700007</c:v>
                </c:pt>
                <c:pt idx="12">
                  <c:v>99.311500843299996</c:v>
                </c:pt>
                <c:pt idx="13">
                  <c:v>98.708597956700004</c:v>
                </c:pt>
                <c:pt idx="14">
                  <c:v>99.642436860000004</c:v>
                </c:pt>
                <c:pt idx="15">
                  <c:v>98.769212440000004</c:v>
                </c:pt>
                <c:pt idx="16">
                  <c:v>99.79161551</c:v>
                </c:pt>
                <c:pt idx="17">
                  <c:v>103.22613569329999</c:v>
                </c:pt>
                <c:pt idx="18">
                  <c:v>102.99220393</c:v>
                </c:pt>
                <c:pt idx="19">
                  <c:v>103.49625471</c:v>
                </c:pt>
                <c:pt idx="20">
                  <c:v>98.534612966699996</c:v>
                </c:pt>
                <c:pt idx="21">
                  <c:v>84.950969126700002</c:v>
                </c:pt>
                <c:pt idx="22">
                  <c:v>92.709010469999996</c:v>
                </c:pt>
                <c:pt idx="23">
                  <c:v>91.428986266699994</c:v>
                </c:pt>
                <c:pt idx="24">
                  <c:v>92.1837480433</c:v>
                </c:pt>
                <c:pt idx="25">
                  <c:v>97.224765536700005</c:v>
                </c:pt>
                <c:pt idx="26">
                  <c:v>102.4080264033</c:v>
                </c:pt>
                <c:pt idx="27">
                  <c:v>105.9641154633</c:v>
                </c:pt>
                <c:pt idx="28">
                  <c:v>109.9453975033</c:v>
                </c:pt>
                <c:pt idx="29">
                  <c:v>115.07792782</c:v>
                </c:pt>
                <c:pt idx="30">
                  <c:v>118.0408130567</c:v>
                </c:pt>
                <c:pt idx="31">
                  <c:v>119.39692180670001</c:v>
                </c:pt>
                <c:pt idx="32">
                  <c:v>120.8458229367</c:v>
                </c:pt>
                <c:pt idx="33">
                  <c:v>121.39399443329999</c:v>
                </c:pt>
                <c:pt idx="34">
                  <c:v>121.6144827933</c:v>
                </c:pt>
                <c:pt idx="35">
                  <c:v>123.72173741</c:v>
                </c:pt>
                <c:pt idx="36">
                  <c:v>127.2254213433</c:v>
                </c:pt>
                <c:pt idx="37">
                  <c:v>128.86596778329999</c:v>
                </c:pt>
              </c:numCache>
            </c:numRef>
          </c:val>
          <c:smooth val="0"/>
          <c:extLst>
            <c:ext xmlns:c16="http://schemas.microsoft.com/office/drawing/2014/chart" uri="{C3380CC4-5D6E-409C-BE32-E72D297353CC}">
              <c16:uniqueId val="{0000000B-6694-4590-9561-BD0750717353}"/>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Sales in services (contribution to the growth)</a:t>
                </a:r>
              </a:p>
            </c:rich>
          </c:tx>
          <c:layout>
            <c:manualLayout>
              <c:xMode val="edge"/>
              <c:yMode val="edge"/>
              <c:x val="2.7304100602926142E-3"/>
              <c:y val="8.411121926539411E-2"/>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a:t>Sales (basis 2021=100), confidence,</a:t>
                </a:r>
                <a:r>
                  <a:rPr lang="cs-CZ" sz="700" b="0" i="1" baseline="0"/>
                  <a:t> </a:t>
                </a:r>
                <a:r>
                  <a:rPr lang="cs-CZ" sz="700" b="0" i="1"/>
                  <a:t>barriers</a:t>
                </a:r>
              </a:p>
            </c:rich>
          </c:tx>
          <c:layout>
            <c:manualLayout>
              <c:xMode val="edge"/>
              <c:yMode val="edge"/>
              <c:x val="0.96709855877347395"/>
              <c:y val="0.11487359697314656"/>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878628700879256"/>
          <c:h val="0.73450542783153383"/>
        </c:manualLayout>
      </c:layout>
      <c:barChart>
        <c:barDir val="col"/>
        <c:grouping val="stacked"/>
        <c:varyColors val="0"/>
        <c:ser>
          <c:idx val="0"/>
          <c:order val="1"/>
          <c:tx>
            <c:strRef>
              <c:f>'výkonnost odvětví 5a'!$E$66</c:f>
              <c:strCache>
                <c:ptCount val="1"/>
                <c:pt idx="0">
                  <c:v>Retail with food (contribution in p.p.)</c:v>
                </c:pt>
              </c:strCache>
            </c:strRef>
          </c:tx>
          <c:spPr>
            <a:solidFill>
              <a:srgbClr val="92D050"/>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5a'!$E$67:$E$105</c:f>
              <c:numCache>
                <c:formatCode>#\ ##0.0</c:formatCode>
                <c:ptCount val="39"/>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-0.60033878493335169</c:v>
                </c:pt>
                <c:pt idx="25">
                  <c:v>0.49712996078350541</c:v>
                </c:pt>
                <c:pt idx="26">
                  <c:v>-0.28841482525274181</c:v>
                </c:pt>
                <c:pt idx="27">
                  <c:v>-9.977915000883754E-5</c:v>
                </c:pt>
                <c:pt idx="28">
                  <c:v>-5.6711556096241109E-2</c:v>
                </c:pt>
                <c:pt idx="29">
                  <c:v>-1.1162419066567921</c:v>
                </c:pt>
                <c:pt idx="30">
                  <c:v>-2.2908717718466018</c:v>
                </c:pt>
                <c:pt idx="31">
                  <c:v>-3.2435027623872776</c:v>
                </c:pt>
                <c:pt idx="32">
                  <c:v>-3.1069199645328642</c:v>
                </c:pt>
                <c:pt idx="33">
                  <c:v>-2.8480975877934389</c:v>
                </c:pt>
                <c:pt idx="34">
                  <c:v>-1.6900123846165827</c:v>
                </c:pt>
                <c:pt idx="35">
                  <c:v>-0.73229022215427264</c:v>
                </c:pt>
                <c:pt idx="36">
                  <c:v>0.9024483910307598</c:v>
                </c:pt>
                <c:pt idx="37">
                  <c:v>1.1520280651660322</c:v>
                </c:pt>
              </c:numCache>
            </c:numRef>
          </c:val>
          <c:extLst>
            <c:ext xmlns:c16="http://schemas.microsoft.com/office/drawing/2014/chart" uri="{C3380CC4-5D6E-409C-BE32-E72D297353CC}">
              <c16:uniqueId val="{00000000-7A32-4D91-8CFD-1E54202EB742}"/>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5a'!$F$67:$F$105</c:f>
              <c:numCache>
                <c:formatCode>#\ ##0.0</c:formatCode>
                <c:ptCount val="39"/>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0.21061776675534943</c:v>
                </c:pt>
                <c:pt idx="25">
                  <c:v>5.5790183869169416</c:v>
                </c:pt>
                <c:pt idx="26">
                  <c:v>3.6250811084712713</c:v>
                </c:pt>
                <c:pt idx="27">
                  <c:v>5.6715980375015249</c:v>
                </c:pt>
                <c:pt idx="28">
                  <c:v>5.9931517097170435</c:v>
                </c:pt>
                <c:pt idx="29">
                  <c:v>-0.95178371016794128</c:v>
                </c:pt>
                <c:pt idx="30">
                  <c:v>-3.9413147620950633</c:v>
                </c:pt>
                <c:pt idx="31">
                  <c:v>-5.6408012480799696</c:v>
                </c:pt>
                <c:pt idx="32">
                  <c:v>-4.7805101815133124</c:v>
                </c:pt>
                <c:pt idx="33">
                  <c:v>-4.4948044033014938</c:v>
                </c:pt>
                <c:pt idx="34">
                  <c:v>-2.4601141627556746</c:v>
                </c:pt>
                <c:pt idx="35">
                  <c:v>0.4539192379309796</c:v>
                </c:pt>
                <c:pt idx="36">
                  <c:v>2.5293406235329501</c:v>
                </c:pt>
                <c:pt idx="37">
                  <c:v>2.6534593118189482</c:v>
                </c:pt>
              </c:numCache>
            </c:numRef>
          </c:val>
          <c:extLst>
            <c:ext xmlns:c16="http://schemas.microsoft.com/office/drawing/2014/chart" uri="{C3380CC4-5D6E-409C-BE32-E72D297353CC}">
              <c16:uniqueId val="{00000001-7A32-4D91-8CFD-1E54202EB742}"/>
            </c:ext>
          </c:extLst>
        </c:ser>
        <c:ser>
          <c:idx val="4"/>
          <c:order val="3"/>
          <c:tx>
            <c:strRef>
              <c:f>'výkonnost odvětví 5a'!$G$66</c:f>
              <c:strCache>
                <c:ptCount val="1"/>
                <c:pt idx="0">
                  <c:v>Retail sale of fuels (contribution in p.p.)</c:v>
                </c:pt>
              </c:strCache>
            </c:strRef>
          </c:tx>
          <c:spPr>
            <a:solidFill>
              <a:schemeClr val="accent6">
                <a:lumMod val="40000"/>
                <a:lumOff val="60000"/>
              </a:schemeClr>
            </a:solidFill>
            <a:ln w="15875">
              <a:noFill/>
            </a:ln>
          </c:spPr>
          <c:invertIfNegative val="0"/>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5a'!$G$67:$G$105</c:f>
              <c:numCache>
                <c:formatCode>#\ ##0.0</c:formatCode>
                <c:ptCount val="39"/>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-0.67665927913906165</c:v>
                </c:pt>
                <c:pt idx="25">
                  <c:v>1.0671080837237854</c:v>
                </c:pt>
                <c:pt idx="26">
                  <c:v>0.37022446710666651</c:v>
                </c:pt>
                <c:pt idx="27">
                  <c:v>0.92331122739333127</c:v>
                </c:pt>
                <c:pt idx="28">
                  <c:v>1.2434054262022374</c:v>
                </c:pt>
                <c:pt idx="29">
                  <c:v>-0.71068102285792556</c:v>
                </c:pt>
                <c:pt idx="30">
                  <c:v>-1.4490861674970055</c:v>
                </c:pt>
                <c:pt idx="31">
                  <c:v>-0.43043185301112769</c:v>
                </c:pt>
                <c:pt idx="32">
                  <c:v>9.4544918290108332E-2</c:v>
                </c:pt>
                <c:pt idx="33">
                  <c:v>1.0477315332444843</c:v>
                </c:pt>
                <c:pt idx="34">
                  <c:v>1.0254379867952947</c:v>
                </c:pt>
                <c:pt idx="35">
                  <c:v>0.21063329288941432</c:v>
                </c:pt>
                <c:pt idx="36">
                  <c:v>0.48660186345901507</c:v>
                </c:pt>
                <c:pt idx="37">
                  <c:v>0.2819882960001644</c:v>
                </c:pt>
              </c:numCache>
            </c:numRef>
          </c:val>
          <c:extLst>
            <c:ext xmlns:c16="http://schemas.microsoft.com/office/drawing/2014/chart" uri="{C3380CC4-5D6E-409C-BE32-E72D297353CC}">
              <c16:uniqueId val="{00000002-7A32-4D91-8CFD-1E54202EB74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change)</c:v>
                </c:pt>
              </c:strCache>
            </c:strRef>
          </c:tx>
          <c:spPr>
            <a:ln>
              <a:noFill/>
            </a:ln>
          </c:spPr>
          <c:marker>
            <c:symbol val="dash"/>
            <c:size val="7"/>
            <c:spPr>
              <a:solidFill>
                <a:schemeClr val="tx1">
                  <a:lumMod val="85000"/>
                  <a:lumOff val="15000"/>
                </a:schemeClr>
              </a:solidFill>
              <a:ln w="6350">
                <a:no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5a'!$D$67:$D$105</c:f>
              <c:numCache>
                <c:formatCode>#\ ##0.0</c:formatCode>
                <c:ptCount val="39"/>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-1.1384093231000065</c:v>
                </c:pt>
                <c:pt idx="25">
                  <c:v>6.9739251980000034</c:v>
                </c:pt>
                <c:pt idx="26">
                  <c:v>3.5937810851000052</c:v>
                </c:pt>
                <c:pt idx="27">
                  <c:v>6.4920651895999981</c:v>
                </c:pt>
                <c:pt idx="28">
                  <c:v>6.7799917831000016</c:v>
                </c:pt>
                <c:pt idx="29">
                  <c:v>-2.8189026159000008</c:v>
                </c:pt>
                <c:pt idx="30">
                  <c:v>-7.6592009641999965</c:v>
                </c:pt>
                <c:pt idx="31">
                  <c:v>-9.312711092699999</c:v>
                </c:pt>
                <c:pt idx="32">
                  <c:v>-7.7748293415999967</c:v>
                </c:pt>
                <c:pt idx="33">
                  <c:v>-6.2743864577000039</c:v>
                </c:pt>
                <c:pt idx="34">
                  <c:v>-3.1403313782000026</c:v>
                </c:pt>
                <c:pt idx="35">
                  <c:v>-0.13130787670000643</c:v>
                </c:pt>
                <c:pt idx="36">
                  <c:v>3.9222185420999978</c:v>
                </c:pt>
                <c:pt idx="37">
                  <c:v>4.0879311621000056</c:v>
                </c:pt>
              </c:numCache>
            </c:numRef>
          </c:val>
          <c:smooth val="0"/>
          <c:extLst>
            <c:ext xmlns:c16="http://schemas.microsoft.com/office/drawing/2014/chart" uri="{C3380CC4-5D6E-409C-BE32-E72D297353CC}">
              <c16:uniqueId val="{00000003-7A32-4D91-8CFD-1E54202EB74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segment (2021=100)</c:v>
                </c:pt>
              </c:strCache>
            </c:strRef>
          </c:tx>
          <c:spPr>
            <a:ln w="15875">
              <a:solidFill>
                <a:schemeClr val="tx1">
                  <a:lumMod val="95000"/>
                  <a:lumOff val="5000"/>
                </a:schemeClr>
              </a:solidFill>
              <a:prstDash val="solid"/>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5a'!$H$67:$H$105</c:f>
              <c:numCache>
                <c:formatCode>#\ ##0.0</c:formatCode>
                <c:ptCount val="39"/>
                <c:pt idx="0">
                  <c:v>79.387619700000002</c:v>
                </c:pt>
                <c:pt idx="1">
                  <c:v>80.3062253433</c:v>
                </c:pt>
                <c:pt idx="2">
                  <c:v>81.199263806700003</c:v>
                </c:pt>
                <c:pt idx="3">
                  <c:v>82.829916143299997</c:v>
                </c:pt>
                <c:pt idx="4">
                  <c:v>83.359185409999995</c:v>
                </c:pt>
                <c:pt idx="5">
                  <c:v>84.084432476700002</c:v>
                </c:pt>
                <c:pt idx="6">
                  <c:v>85.181352770000004</c:v>
                </c:pt>
                <c:pt idx="7">
                  <c:v>85.88258064</c:v>
                </c:pt>
                <c:pt idx="8">
                  <c:v>87.4984558867</c:v>
                </c:pt>
                <c:pt idx="9">
                  <c:v>89.139402750000002</c:v>
                </c:pt>
                <c:pt idx="10">
                  <c:v>90.153519266700002</c:v>
                </c:pt>
                <c:pt idx="11">
                  <c:v>90.503926663300007</c:v>
                </c:pt>
                <c:pt idx="12">
                  <c:v>93.105140056699994</c:v>
                </c:pt>
                <c:pt idx="13">
                  <c:v>93.1742804167</c:v>
                </c:pt>
                <c:pt idx="14">
                  <c:v>93.514300739999996</c:v>
                </c:pt>
                <c:pt idx="15">
                  <c:v>93.457195813300004</c:v>
                </c:pt>
                <c:pt idx="16">
                  <c:v>95.080488453300006</c:v>
                </c:pt>
                <c:pt idx="17">
                  <c:v>97.775211506700003</c:v>
                </c:pt>
                <c:pt idx="18">
                  <c:v>97.432309173299998</c:v>
                </c:pt>
                <c:pt idx="19">
                  <c:v>98.591741543300003</c:v>
                </c:pt>
                <c:pt idx="20">
                  <c:v>95.1745252467</c:v>
                </c:pt>
                <c:pt idx="21">
                  <c:v>94.2238113433</c:v>
                </c:pt>
                <c:pt idx="22">
                  <c:v>98.2489351567</c:v>
                </c:pt>
                <c:pt idx="23">
                  <c:v>95.276546670000002</c:v>
                </c:pt>
                <c:pt idx="24">
                  <c:v>93.076317346699994</c:v>
                </c:pt>
                <c:pt idx="25">
                  <c:v>100.66433415</c:v>
                </c:pt>
                <c:pt idx="26">
                  <c:v>102.05985717999999</c:v>
                </c:pt>
                <c:pt idx="27">
                  <c:v>101.6139221567</c:v>
                </c:pt>
                <c:pt idx="28">
                  <c:v>99.638154589999999</c:v>
                </c:pt>
                <c:pt idx="29">
                  <c:v>97.802940696700006</c:v>
                </c:pt>
                <c:pt idx="30">
                  <c:v>94.917986709999994</c:v>
                </c:pt>
                <c:pt idx="31">
                  <c:v>92.89213298</c:v>
                </c:pt>
                <c:pt idx="32">
                  <c:v>91.694583440000002</c:v>
                </c:pt>
                <c:pt idx="33">
                  <c:v>91.377215559999996</c:v>
                </c:pt>
                <c:pt idx="34">
                  <c:v>91.869396443300005</c:v>
                </c:pt>
                <c:pt idx="35">
                  <c:v>92.917869030000006</c:v>
                </c:pt>
                <c:pt idx="36">
                  <c:v>94.753828569999996</c:v>
                </c:pt>
                <c:pt idx="37">
                  <c:v>95.278478316700003</c:v>
                </c:pt>
              </c:numCache>
            </c:numRef>
          </c:val>
          <c:smooth val="0"/>
          <c:extLst>
            <c:ext xmlns:c16="http://schemas.microsoft.com/office/drawing/2014/chart" uri="{C3380CC4-5D6E-409C-BE32-E72D297353CC}">
              <c16:uniqueId val="{00000004-7A32-4D91-8CFD-1E54202EB742}"/>
            </c:ext>
          </c:extLst>
        </c:ser>
        <c:ser>
          <c:idx val="2"/>
          <c:order val="5"/>
          <c:tx>
            <c:strRef>
              <c:f>'výkonnost odvětví 5a'!$I$66</c:f>
              <c:strCache>
                <c:ptCount val="1"/>
                <c:pt idx="0">
                  <c:v>In that: Retail sale of fuels (2021=100)</c:v>
                </c:pt>
              </c:strCache>
            </c:strRef>
          </c:tx>
          <c:spPr>
            <a:ln w="15875">
              <a:solidFill>
                <a:schemeClr val="bg2">
                  <a:lumMod val="50000"/>
                </a:schemeClr>
              </a:solidFill>
              <a:prstDash val="sysDash"/>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5a'!$I$67:$I$105</c:f>
              <c:numCache>
                <c:formatCode>#\ ##0.0</c:formatCode>
                <c:ptCount val="39"/>
                <c:pt idx="0">
                  <c:v>86.524761636700006</c:v>
                </c:pt>
                <c:pt idx="1">
                  <c:v>87.411957833299994</c:v>
                </c:pt>
                <c:pt idx="2">
                  <c:v>89.056815003300002</c:v>
                </c:pt>
                <c:pt idx="3">
                  <c:v>90.635829810000004</c:v>
                </c:pt>
                <c:pt idx="4">
                  <c:v>91.354174043300006</c:v>
                </c:pt>
                <c:pt idx="5">
                  <c:v>92.452717846699997</c:v>
                </c:pt>
                <c:pt idx="6">
                  <c:v>93.451031206699994</c:v>
                </c:pt>
                <c:pt idx="7">
                  <c:v>94.790568546700001</c:v>
                </c:pt>
                <c:pt idx="8">
                  <c:v>96.066324203299999</c:v>
                </c:pt>
                <c:pt idx="9">
                  <c:v>97.673183713300006</c:v>
                </c:pt>
                <c:pt idx="10">
                  <c:v>99.237647573299995</c:v>
                </c:pt>
                <c:pt idx="11">
                  <c:v>100.2896053067</c:v>
                </c:pt>
                <c:pt idx="12">
                  <c:v>101.9259088133</c:v>
                </c:pt>
                <c:pt idx="13">
                  <c:v>102.3498273733</c:v>
                </c:pt>
                <c:pt idx="14">
                  <c:v>102.00124114330001</c:v>
                </c:pt>
                <c:pt idx="15">
                  <c:v>101.92222832669999</c:v>
                </c:pt>
                <c:pt idx="16">
                  <c:v>105.52141971330001</c:v>
                </c:pt>
                <c:pt idx="17">
                  <c:v>106.7492027433</c:v>
                </c:pt>
                <c:pt idx="18">
                  <c:v>102.2677534367</c:v>
                </c:pt>
                <c:pt idx="19">
                  <c:v>102.38734820329999</c:v>
                </c:pt>
                <c:pt idx="20">
                  <c:v>101.74032914999999</c:v>
                </c:pt>
                <c:pt idx="21">
                  <c:v>89.521872973300006</c:v>
                </c:pt>
                <c:pt idx="22">
                  <c:v>98.536132409999993</c:v>
                </c:pt>
                <c:pt idx="23">
                  <c:v>92.227044199999995</c:v>
                </c:pt>
                <c:pt idx="24">
                  <c:v>96.287305136699999</c:v>
                </c:pt>
                <c:pt idx="25">
                  <c:v>101.03971613</c:v>
                </c:pt>
                <c:pt idx="26">
                  <c:v>102.22329256</c:v>
                </c:pt>
                <c:pt idx="27">
                  <c:v>100.1426089</c:v>
                </c:pt>
                <c:pt idx="28">
                  <c:v>100.58917854000001</c:v>
                </c:pt>
                <c:pt idx="29">
                  <c:v>95.983108229999999</c:v>
                </c:pt>
                <c:pt idx="30">
                  <c:v>95.300045433299999</c:v>
                </c:pt>
                <c:pt idx="31">
                  <c:v>98.043376423300003</c:v>
                </c:pt>
                <c:pt idx="32">
                  <c:v>99.132593883300004</c:v>
                </c:pt>
                <c:pt idx="33">
                  <c:v>101.8449042567</c:v>
                </c:pt>
                <c:pt idx="34">
                  <c:v>102.91251943330001</c:v>
                </c:pt>
                <c:pt idx="35">
                  <c:v>102.55646294330001</c:v>
                </c:pt>
                <c:pt idx="36">
                  <c:v>103.51260135</c:v>
                </c:pt>
                <c:pt idx="37">
                  <c:v>103.65230502</c:v>
                </c:pt>
              </c:numCache>
            </c:numRef>
          </c:val>
          <c:smooth val="0"/>
          <c:extLst>
            <c:ext xmlns:c16="http://schemas.microsoft.com/office/drawing/2014/chart" uri="{C3380CC4-5D6E-409C-BE32-E72D297353CC}">
              <c16:uniqueId val="{00000005-7A32-4D91-8CFD-1E54202EB742}"/>
            </c:ext>
          </c:extLst>
        </c:ser>
        <c:ser>
          <c:idx val="6"/>
          <c:order val="6"/>
          <c:tx>
            <c:strRef>
              <c:f>'výkonnost odvětví 5a'!$J$66</c:f>
              <c:strCache>
                <c:ptCount val="1"/>
                <c:pt idx="0">
                  <c:v>Sale, repair of motor vehicles (2021=100)</c:v>
                </c:pt>
              </c:strCache>
            </c:strRef>
          </c:tx>
          <c:spPr>
            <a:ln w="15875">
              <a:solidFill>
                <a:srgbClr val="984807"/>
              </a:solidFill>
              <a:prstDash val="solid"/>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5a'!$J$67:$J$105</c:f>
              <c:numCache>
                <c:formatCode>#\ ##0.0</c:formatCode>
                <c:ptCount val="39"/>
                <c:pt idx="0">
                  <c:v>94.876410473299998</c:v>
                </c:pt>
                <c:pt idx="1">
                  <c:v>97.695799643300006</c:v>
                </c:pt>
                <c:pt idx="2">
                  <c:v>100.06974644669999</c:v>
                </c:pt>
                <c:pt idx="3">
                  <c:v>102.95079615</c:v>
                </c:pt>
                <c:pt idx="4">
                  <c:v>104.2505530033</c:v>
                </c:pt>
                <c:pt idx="5">
                  <c:v>105.7391903267</c:v>
                </c:pt>
                <c:pt idx="6">
                  <c:v>107.83085998670001</c:v>
                </c:pt>
                <c:pt idx="7">
                  <c:v>108.3916669833</c:v>
                </c:pt>
                <c:pt idx="8">
                  <c:v>109.6607583333</c:v>
                </c:pt>
                <c:pt idx="9">
                  <c:v>110.11505321999999</c:v>
                </c:pt>
                <c:pt idx="10">
                  <c:v>109.31164355999999</c:v>
                </c:pt>
                <c:pt idx="11">
                  <c:v>110.27179532</c:v>
                </c:pt>
                <c:pt idx="12">
                  <c:v>108.78251946669999</c:v>
                </c:pt>
                <c:pt idx="13">
                  <c:v>108.49123695</c:v>
                </c:pt>
                <c:pt idx="14">
                  <c:v>108.3772654867</c:v>
                </c:pt>
                <c:pt idx="15">
                  <c:v>106.77434101</c:v>
                </c:pt>
                <c:pt idx="16">
                  <c:v>108.7007365533</c:v>
                </c:pt>
                <c:pt idx="17">
                  <c:v>109.26996463</c:v>
                </c:pt>
                <c:pt idx="18">
                  <c:v>107.48895487670001</c:v>
                </c:pt>
                <c:pt idx="19">
                  <c:v>107.35668517000001</c:v>
                </c:pt>
                <c:pt idx="20">
                  <c:v>95.100964756699994</c:v>
                </c:pt>
                <c:pt idx="21">
                  <c:v>78.817161313300005</c:v>
                </c:pt>
                <c:pt idx="22">
                  <c:v>99.582288770000005</c:v>
                </c:pt>
                <c:pt idx="23">
                  <c:v>99.444996476699998</c:v>
                </c:pt>
                <c:pt idx="24">
                  <c:v>101.4643858133</c:v>
                </c:pt>
                <c:pt idx="25">
                  <c:v>101.1992914667</c:v>
                </c:pt>
                <c:pt idx="26">
                  <c:v>98.562776299999996</c:v>
                </c:pt>
                <c:pt idx="27">
                  <c:v>97.335886576700005</c:v>
                </c:pt>
                <c:pt idx="28">
                  <c:v>96.613135783299995</c:v>
                </c:pt>
                <c:pt idx="29">
                  <c:v>95.535722896699994</c:v>
                </c:pt>
                <c:pt idx="30">
                  <c:v>95.530120973300001</c:v>
                </c:pt>
                <c:pt idx="31">
                  <c:v>96.028710586700001</c:v>
                </c:pt>
                <c:pt idx="32">
                  <c:v>98.7796721733</c:v>
                </c:pt>
                <c:pt idx="33">
                  <c:v>99.522946930000003</c:v>
                </c:pt>
                <c:pt idx="34">
                  <c:v>100.93632826</c:v>
                </c:pt>
                <c:pt idx="35">
                  <c:v>101.7949186033</c:v>
                </c:pt>
                <c:pt idx="36">
                  <c:v>101.71429467670001</c:v>
                </c:pt>
                <c:pt idx="37">
                  <c:v>100.9337705767</c:v>
                </c:pt>
              </c:numCache>
            </c:numRef>
          </c:val>
          <c:smooth val="0"/>
          <c:extLst>
            <c:ext xmlns:c16="http://schemas.microsoft.com/office/drawing/2014/chart" uri="{C3380CC4-5D6E-409C-BE32-E72D297353CC}">
              <c16:uniqueId val="{00000006-7A32-4D91-8CFD-1E54202EB742}"/>
            </c:ext>
          </c:extLst>
        </c:ser>
        <c:ser>
          <c:idx val="7"/>
          <c:order val="7"/>
          <c:tx>
            <c:strRef>
              <c:f>'výkonnost odvětví 5a'!$K$66</c:f>
              <c:strCache>
                <c:ptCount val="1"/>
              </c:strCache>
            </c:strRef>
          </c:tx>
          <c:spPr>
            <a:ln w="3175">
              <a:noFill/>
              <a:prstDash val="sysDash"/>
            </a:ln>
          </c:spPr>
          <c:marker>
            <c:symbol val="none"/>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5a'!$K$67:$K$105</c:f>
              <c:numCache>
                <c:formatCode>General</c:formatCode>
                <c:ptCount val="39"/>
              </c:numCache>
            </c:numRef>
          </c:val>
          <c:smooth val="0"/>
          <c:extLst>
            <c:ext xmlns:c16="http://schemas.microsoft.com/office/drawing/2014/chart" uri="{C3380CC4-5D6E-409C-BE32-E72D297353CC}">
              <c16:uniqueId val="{00000007-7A32-4D91-8CFD-1E54202EB742}"/>
            </c:ext>
          </c:extLst>
        </c:ser>
        <c:ser>
          <c:idx val="8"/>
          <c:order val="8"/>
          <c:tx>
            <c:strRef>
              <c:f>'výkonnost odvětví 5a'!$L$66</c:f>
              <c:strCache>
                <c:ptCount val="1"/>
                <c:pt idx="0">
                  <c:v>Consumer confidence indicator</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5a'!$L$67:$L$105</c:f>
              <c:numCache>
                <c:formatCode>0.0</c:formatCode>
                <c:ptCount val="39"/>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pt idx="37">
                  <c:v>-9</c:v>
                </c:pt>
                <c:pt idx="38">
                  <c:v>-12.8</c:v>
                </c:pt>
              </c:numCache>
            </c:numRef>
          </c:val>
          <c:smooth val="0"/>
          <c:extLst>
            <c:ext xmlns:c16="http://schemas.microsoft.com/office/drawing/2014/chart" uri="{C3380CC4-5D6E-409C-BE32-E72D297353CC}">
              <c16:uniqueId val="{00000008-7A32-4D91-8CFD-1E54202EB742}"/>
            </c:ext>
          </c:extLst>
        </c:ser>
        <c:ser>
          <c:idx val="9"/>
          <c:order val="9"/>
          <c:tx>
            <c:strRef>
              <c:f>'výkonnost odvětví 5a'!$M$66</c:f>
              <c:strCache>
                <c:ptCount val="1"/>
                <c:pt idx="0">
                  <c:v>Confidence indicator in retail</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5a'!$B$67:$C$105</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5a'!$M$67:$M$105</c:f>
              <c:numCache>
                <c:formatCode>0.0</c:formatCode>
                <c:ptCount val="39"/>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pt idx="37">
                  <c:v>11.3</c:v>
                </c:pt>
                <c:pt idx="38">
                  <c:v>9.3000000000000007</c:v>
                </c:pt>
              </c:numCache>
            </c:numRef>
          </c:val>
          <c:smooth val="0"/>
          <c:extLst>
            <c:ext xmlns:c16="http://schemas.microsoft.com/office/drawing/2014/chart" uri="{C3380CC4-5D6E-409C-BE32-E72D297353CC}">
              <c16:uniqueId val="{00000009-7A32-4D91-8CFD-1E54202EB74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Sales in retail (contribution to the growth)</a:t>
                </a:r>
              </a:p>
            </c:rich>
          </c:tx>
          <c:layout>
            <c:manualLayout>
              <c:xMode val="edge"/>
              <c:yMode val="edge"/>
              <c:x val="2.6086065893343438E-3"/>
              <c:y val="0.13659281002379364"/>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Sales (basis 2021=100), confidence</a:t>
                </a:r>
              </a:p>
            </c:rich>
          </c:tx>
          <c:layout>
            <c:manualLayout>
              <c:xMode val="edge"/>
              <c:yMode val="edge"/>
              <c:x val="0.96888597029922896"/>
              <c:y val="0.15725200330021813"/>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7216076019483"/>
          <c:w val="0.98691543107779145"/>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'Vnější vztahy'!$E$6</c:f>
              <c:strCache>
                <c:ptCount val="1"/>
                <c:pt idx="0">
                  <c:v>Balance</c:v>
                </c:pt>
              </c:strCache>
            </c:strRef>
          </c:tx>
          <c:spPr>
            <a:solidFill>
              <a:srgbClr val="A6A6A6"/>
            </a:solidFill>
            <a:ln>
              <a:noFill/>
            </a:ln>
            <a:effectLst/>
          </c:spPr>
          <c:invertIfNegative val="0"/>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vztahy'!$E$7:$E$28</c:f>
              <c:numCache>
                <c:formatCode>0.0</c:formatCode>
                <c:ptCount val="22"/>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84.547043246999991</c:v>
                </c:pt>
                <c:pt idx="21">
                  <c:v>74.701066318000002</c:v>
                </c:pt>
              </c:numCache>
            </c:numRef>
          </c:val>
          <c:extLst>
            <c:ext xmlns:c16="http://schemas.microsoft.com/office/drawing/2014/chart" uri="{C3380CC4-5D6E-409C-BE32-E72D297353CC}">
              <c16:uniqueId val="{00000000-9B93-47A8-B8CA-B91A1CA6CA16}"/>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Export</c:v>
                </c:pt>
              </c:strCache>
            </c:strRef>
          </c:tx>
          <c:spPr>
            <a:ln w="28575" cap="rnd">
              <a:noFill/>
              <a:round/>
            </a:ln>
            <a:effectLst/>
          </c:spPr>
          <c:marker>
            <c:symbol val="dash"/>
            <c:size val="9"/>
            <c:spPr>
              <a:solidFill>
                <a:srgbClr val="0071BC"/>
              </a:solidFill>
              <a:ln w="9525">
                <a:noFill/>
              </a:ln>
              <a:effectLst/>
            </c:spPr>
          </c:marker>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vztahy'!$C$7:$C$28</c:f>
              <c:numCache>
                <c:formatCode>0.0</c:formatCode>
                <c:ptCount val="22"/>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-5.6486114000051657E-3</c:v>
                </c:pt>
                <c:pt idx="21" formatCode="General">
                  <c:v>4.615025477100005</c:v>
                </c:pt>
              </c:numCache>
            </c:numRef>
          </c:val>
          <c:smooth val="0"/>
          <c:extLst>
            <c:ext xmlns:c16="http://schemas.microsoft.com/office/drawing/2014/chart" uri="{C3380CC4-5D6E-409C-BE32-E72D297353CC}">
              <c16:uniqueId val="{00000001-9B93-47A8-B8CA-B91A1CA6CA16}"/>
            </c:ext>
          </c:extLst>
        </c:ser>
        <c:ser>
          <c:idx val="1"/>
          <c:order val="1"/>
          <c:tx>
            <c:strRef>
              <c:f>'Vnější vztahy'!$D$6</c:f>
              <c:strCache>
                <c:ptCount val="1"/>
                <c:pt idx="0">
                  <c:v>Import</c:v>
                </c:pt>
              </c:strCache>
            </c:strRef>
          </c:tx>
          <c:spPr>
            <a:ln w="28575" cap="rnd">
              <a:noFill/>
              <a:round/>
            </a:ln>
            <a:effectLst/>
          </c:spPr>
          <c:marker>
            <c:symbol val="dash"/>
            <c:size val="9"/>
            <c:spPr>
              <a:solidFill>
                <a:srgbClr val="BD1B21"/>
              </a:solidFill>
              <a:ln w="9525">
                <a:noFill/>
              </a:ln>
              <a:effectLst/>
            </c:spPr>
          </c:marker>
          <c:cat>
            <c:multiLvlStrRef>
              <c:f>'Vnější vztahy'!$A$7:$B$28</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2019</c:v>
                  </c:pt>
                  <c:pt idx="4">
                    <c:v>2020</c:v>
                  </c:pt>
                  <c:pt idx="8">
                    <c:v>2021</c:v>
                  </c:pt>
                  <c:pt idx="12">
                    <c:v>2022</c:v>
                  </c:pt>
                  <c:pt idx="16">
                    <c:v>2023</c:v>
                  </c:pt>
                  <c:pt idx="20">
                    <c:v>2024</c:v>
                  </c:pt>
                </c:lvl>
              </c:multiLvlStrCache>
            </c:multiLvlStrRef>
          </c:cat>
          <c:val>
            <c:numRef>
              <c:f>'Vnější vztahy'!$D$7:$D$28</c:f>
              <c:numCache>
                <c:formatCode>0.0</c:formatCode>
                <c:ptCount val="22"/>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-3.919840186299993</c:v>
                </c:pt>
                <c:pt idx="21" formatCode="General">
                  <c:v>1.2557776092999973</c:v>
                </c:pt>
              </c:numCache>
            </c:numRef>
          </c:val>
          <c:smooth val="0"/>
          <c:extLst>
            <c:ext xmlns:c16="http://schemas.microsoft.com/office/drawing/2014/chart" uri="{C3380CC4-5D6E-409C-BE32-E72D297353CC}">
              <c16:uniqueId val="{00000002-9B93-47A8-B8CA-B91A1CA6CA16}"/>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681AD-41B0-431A-9D34-CF6700A12FAC}">
  <ds:schemaRefs>
    <ds:schemaRef ds:uri="http://schemas.microsoft.com/office/2006/documentManagement/types"/>
    <ds:schemaRef ds:uri="http://purl.org/dc/terms/"/>
    <ds:schemaRef ds:uri="http://schemas.microsoft.com/office/infopath/2007/PartnerControls"/>
    <ds:schemaRef ds:uri="http://www.w3.org/XML/1998/namespace"/>
    <ds:schemaRef ds:uri="b8c0c86d-151e-4fca-b0d5-747e6692fa1d"/>
    <ds:schemaRef ds:uri="http://schemas.microsoft.com/office/2006/metadata/properties"/>
    <ds:schemaRef ds:uri="http://purl.org/dc/elements/1.1/"/>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210ACB-F017-4045-A6D7-E3D75394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47</Pages>
  <Words>19773</Words>
  <Characters>116666</Characters>
  <Application>Microsoft Office Word</Application>
  <DocSecurity>0</DocSecurity>
  <Lines>972</Lines>
  <Paragraphs>272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Kamenický Jiří</cp:lastModifiedBy>
  <cp:revision>70</cp:revision>
  <cp:lastPrinted>2014-07-17T14:07:00Z</cp:lastPrinted>
  <dcterms:created xsi:type="dcterms:W3CDTF">2024-09-13T09:25:00Z</dcterms:created>
  <dcterms:modified xsi:type="dcterms:W3CDTF">2024-10-16T11:20:00Z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