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2" w:rsidRDefault="00310396" w:rsidP="00FE1DE1">
      <w:pPr>
        <w:pStyle w:val="Nadpis1"/>
        <w:spacing w:before="0" w:after="0"/>
        <w:ind w:left="431" w:hanging="431"/>
      </w:pPr>
      <w:bookmarkStart w:id="0" w:name="_GoBack"/>
      <w:bookmarkEnd w:id="0"/>
      <w:r>
        <w:t>Populační vývoj v</w:t>
      </w:r>
      <w:r w:rsidR="00FE1DE1">
        <w:t> </w:t>
      </w:r>
      <w:r>
        <w:t>krajích</w:t>
      </w:r>
    </w:p>
    <w:p w:rsidR="00FE1DE1" w:rsidRPr="00FE1DE1" w:rsidRDefault="00FE1DE1" w:rsidP="00FE1DE1">
      <w:pPr>
        <w:rPr>
          <w:b/>
          <w:sz w:val="24"/>
        </w:rPr>
      </w:pPr>
    </w:p>
    <w:p w:rsidR="006E14F9" w:rsidRDefault="007D3FA8" w:rsidP="007D3FA8">
      <w:pPr>
        <w:pStyle w:val="Zkladntext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Trendy </w:t>
      </w:r>
      <w:r w:rsidR="0082780A" w:rsidRPr="009B216C">
        <w:rPr>
          <w:rFonts w:cs="Arial"/>
          <w:b/>
          <w:bCs/>
          <w:color w:val="auto"/>
        </w:rPr>
        <w:t>populační</w:t>
      </w:r>
      <w:r>
        <w:rPr>
          <w:rFonts w:cs="Arial"/>
          <w:b/>
          <w:bCs/>
          <w:color w:val="auto"/>
        </w:rPr>
        <w:t>ho vývoje v jednotlivých krajích</w:t>
      </w:r>
      <w:r w:rsidR="00F35DEB" w:rsidRPr="009B216C">
        <w:rPr>
          <w:rStyle w:val="Znakapoznpodarou"/>
          <w:b/>
          <w:bCs/>
          <w:color w:val="auto"/>
        </w:rPr>
        <w:footnoteReference w:id="1"/>
      </w:r>
      <w:r w:rsidR="007F2486">
        <w:rPr>
          <w:rFonts w:cs="Arial"/>
          <w:b/>
          <w:bCs/>
          <w:color w:val="auto"/>
        </w:rPr>
        <w:t xml:space="preserve"> </w:t>
      </w:r>
      <w:r w:rsidR="0082780A" w:rsidRPr="009B216C">
        <w:rPr>
          <w:rFonts w:cs="Arial"/>
          <w:b/>
          <w:bCs/>
          <w:color w:val="auto"/>
        </w:rPr>
        <w:t>ČR</w:t>
      </w:r>
      <w:r w:rsidR="007F2486">
        <w:rPr>
          <w:rFonts w:cs="Arial"/>
          <w:b/>
          <w:bCs/>
          <w:color w:val="auto"/>
        </w:rPr>
        <w:t xml:space="preserve"> </w:t>
      </w:r>
      <w:r w:rsidR="0082780A" w:rsidRPr="009B216C">
        <w:rPr>
          <w:rFonts w:cs="Arial"/>
          <w:b/>
          <w:bCs/>
          <w:color w:val="auto"/>
        </w:rPr>
        <w:t xml:space="preserve">nebyly v posledních deseti letech jednotné. </w:t>
      </w:r>
      <w:r w:rsidR="00F35DEB" w:rsidRPr="009B216C">
        <w:rPr>
          <w:rFonts w:cs="Arial"/>
          <w:b/>
          <w:bCs/>
          <w:color w:val="auto"/>
        </w:rPr>
        <w:t>U </w:t>
      </w:r>
      <w:r w:rsidR="0082780A" w:rsidRPr="009B216C">
        <w:rPr>
          <w:rFonts w:cs="Arial"/>
          <w:b/>
          <w:bCs/>
          <w:color w:val="auto"/>
        </w:rPr>
        <w:t>některých ukazatelů populačního vývoje probíhala homogenizace</w:t>
      </w:r>
      <w:r w:rsidR="0074114F" w:rsidRPr="009B216C">
        <w:rPr>
          <w:rFonts w:cs="Arial"/>
          <w:b/>
          <w:bCs/>
          <w:color w:val="auto"/>
        </w:rPr>
        <w:t xml:space="preserve"> napříč kraji</w:t>
      </w:r>
      <w:r w:rsidR="0082780A" w:rsidRPr="009B216C">
        <w:rPr>
          <w:rFonts w:cs="Arial"/>
          <w:b/>
          <w:bCs/>
          <w:color w:val="auto"/>
        </w:rPr>
        <w:t xml:space="preserve"> (např. ukazatele věkové struktury</w:t>
      </w:r>
      <w:r w:rsidR="00051FE0" w:rsidRPr="009B216C">
        <w:rPr>
          <w:rFonts w:cs="Arial"/>
          <w:b/>
          <w:bCs/>
          <w:color w:val="auto"/>
        </w:rPr>
        <w:t>, podíl živě narozených dětí mimo manželství</w:t>
      </w:r>
      <w:r w:rsidR="00CF4C35" w:rsidRPr="009B216C">
        <w:rPr>
          <w:rFonts w:cs="Arial"/>
          <w:b/>
          <w:bCs/>
          <w:color w:val="auto"/>
        </w:rPr>
        <w:t>, úhrnná potratovost</w:t>
      </w:r>
      <w:r w:rsidR="0082780A" w:rsidRPr="009B216C">
        <w:rPr>
          <w:rFonts w:cs="Arial"/>
          <w:b/>
          <w:bCs/>
          <w:color w:val="auto"/>
        </w:rPr>
        <w:t>)</w:t>
      </w:r>
      <w:r w:rsidR="0074114F" w:rsidRPr="009B216C">
        <w:rPr>
          <w:rFonts w:cs="Arial"/>
          <w:b/>
          <w:bCs/>
          <w:color w:val="auto"/>
        </w:rPr>
        <w:t>, jinde se projevovaly spíše divergenční tendence (např. naděje dožití při narození).</w:t>
      </w:r>
      <w:r w:rsidR="00F35DEB" w:rsidRPr="009B216C">
        <w:rPr>
          <w:rFonts w:cs="Arial"/>
          <w:b/>
          <w:bCs/>
          <w:color w:val="auto"/>
        </w:rPr>
        <w:t xml:space="preserve"> </w:t>
      </w:r>
      <w:r w:rsidR="006B5AAA">
        <w:rPr>
          <w:rFonts w:cs="Arial"/>
          <w:b/>
          <w:bCs/>
          <w:color w:val="auto"/>
        </w:rPr>
        <w:t xml:space="preserve">Obecně však </w:t>
      </w:r>
      <w:r w:rsidR="00F35DEB" w:rsidRPr="009B216C">
        <w:rPr>
          <w:rFonts w:cs="Arial"/>
          <w:b/>
          <w:bCs/>
          <w:color w:val="auto"/>
        </w:rPr>
        <w:t xml:space="preserve">nebyly rozdíly mezi kraji </w:t>
      </w:r>
      <w:r w:rsidR="006B5AAA">
        <w:rPr>
          <w:rFonts w:cs="Arial"/>
          <w:b/>
          <w:bCs/>
          <w:color w:val="auto"/>
        </w:rPr>
        <w:t>(s výjimkou Hl. m. Prahy) ve srovnání s dalšími</w:t>
      </w:r>
      <w:r w:rsidR="006B5AAA" w:rsidRPr="009B216C">
        <w:rPr>
          <w:rFonts w:cs="Arial"/>
          <w:b/>
          <w:bCs/>
          <w:color w:val="auto"/>
        </w:rPr>
        <w:t xml:space="preserve"> </w:t>
      </w:r>
      <w:r w:rsidR="006B5AAA">
        <w:rPr>
          <w:rFonts w:cs="Arial"/>
          <w:b/>
          <w:bCs/>
          <w:color w:val="auto"/>
        </w:rPr>
        <w:t xml:space="preserve">evropskými zeměmi </w:t>
      </w:r>
      <w:r w:rsidR="00F35DEB" w:rsidRPr="009B216C">
        <w:rPr>
          <w:rFonts w:cs="Arial"/>
          <w:b/>
          <w:bCs/>
          <w:color w:val="auto"/>
        </w:rPr>
        <w:t>většinou nijak výrazné</w:t>
      </w:r>
      <w:r w:rsidR="000F26D6" w:rsidRPr="009B216C">
        <w:rPr>
          <w:rFonts w:cs="Arial"/>
          <w:b/>
          <w:bCs/>
          <w:color w:val="auto"/>
        </w:rPr>
        <w:t>.</w:t>
      </w:r>
    </w:p>
    <w:p w:rsidR="00350FC7" w:rsidRDefault="00350FC7">
      <w:pPr>
        <w:pStyle w:val="Zkladntext"/>
        <w:rPr>
          <w:rFonts w:cs="Arial"/>
          <w:b/>
          <w:bCs/>
          <w:color w:val="auto"/>
        </w:rPr>
      </w:pPr>
    </w:p>
    <w:p w:rsidR="00350FC7" w:rsidRDefault="00350FC7">
      <w:pPr>
        <w:pStyle w:val="Zkladntext"/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Hl. m. Praha má specifické postavení mezi ostatními kraji ČR. Hodnoty demografických ukazatelů </w:t>
      </w:r>
      <w:r w:rsidR="00FB74B8">
        <w:rPr>
          <w:rFonts w:cs="Arial"/>
          <w:bCs/>
          <w:color w:val="auto"/>
        </w:rPr>
        <w:t xml:space="preserve">jsou </w:t>
      </w:r>
      <w:r w:rsidR="005C5DFC">
        <w:rPr>
          <w:rFonts w:cs="Arial"/>
          <w:bCs/>
          <w:color w:val="auto"/>
        </w:rPr>
        <w:t xml:space="preserve">zde </w:t>
      </w:r>
      <w:r w:rsidR="00FB74B8">
        <w:rPr>
          <w:rFonts w:cs="Arial"/>
          <w:bCs/>
          <w:color w:val="auto"/>
        </w:rPr>
        <w:t xml:space="preserve">ve srovnání s dalšími kraji </w:t>
      </w:r>
      <w:r>
        <w:rPr>
          <w:rFonts w:cs="Arial"/>
          <w:bCs/>
          <w:color w:val="auto"/>
        </w:rPr>
        <w:t>často výrazně odlišné. Je to dáno zejména odlišnou sociální a vzdělanostní skladbou obyvatelstva hlavního města. Obyvatelstvo Hl. m. Prahy bylo v roce 2013 starší</w:t>
      </w:r>
      <w:r w:rsidR="004E7FF5">
        <w:rPr>
          <w:rFonts w:cs="Arial"/>
          <w:bCs/>
          <w:color w:val="auto"/>
        </w:rPr>
        <w:t xml:space="preserve"> </w:t>
      </w:r>
      <w:r w:rsidR="00095E91">
        <w:rPr>
          <w:rFonts w:cs="Arial"/>
          <w:bCs/>
          <w:color w:val="auto"/>
        </w:rPr>
        <w:t>než populace</w:t>
      </w:r>
      <w:r w:rsidR="00FB74B8">
        <w:rPr>
          <w:rFonts w:cs="Arial"/>
          <w:bCs/>
          <w:color w:val="auto"/>
        </w:rPr>
        <w:t xml:space="preserve"> celé</w:t>
      </w:r>
      <w:r w:rsidR="00095E91">
        <w:rPr>
          <w:rFonts w:cs="Arial"/>
          <w:bCs/>
          <w:color w:val="auto"/>
        </w:rPr>
        <w:t xml:space="preserve"> ČR </w:t>
      </w:r>
      <w:r w:rsidR="004E7FF5">
        <w:rPr>
          <w:rFonts w:cs="Arial"/>
          <w:bCs/>
          <w:color w:val="auto"/>
        </w:rPr>
        <w:t>a dožilo</w:t>
      </w:r>
      <w:r w:rsidR="0081726D">
        <w:rPr>
          <w:rFonts w:cs="Arial"/>
          <w:bCs/>
          <w:color w:val="auto"/>
        </w:rPr>
        <w:t xml:space="preserve"> se zde</w:t>
      </w:r>
      <w:r w:rsidR="004E7FF5">
        <w:rPr>
          <w:rFonts w:cs="Arial"/>
          <w:bCs/>
          <w:color w:val="auto"/>
        </w:rPr>
        <w:t xml:space="preserve"> v průměru vyššího věku</w:t>
      </w:r>
      <w:r>
        <w:rPr>
          <w:rFonts w:cs="Arial"/>
          <w:bCs/>
          <w:color w:val="auto"/>
        </w:rPr>
        <w:t xml:space="preserve">, ale v kontextu ostatních krajů mělo nejnižší hodnotu indexu ekonomického zatížení. </w:t>
      </w:r>
      <w:r w:rsidR="004E7FF5">
        <w:rPr>
          <w:rFonts w:cs="Arial"/>
          <w:bCs/>
          <w:color w:val="auto"/>
        </w:rPr>
        <w:t>Tento kraj byl dále charakteristický nízkou intenzitou plodnosti a sňatečnosti a vyšší</w:t>
      </w:r>
      <w:r w:rsidR="00FB74B8">
        <w:rPr>
          <w:rFonts w:cs="Arial"/>
          <w:bCs/>
          <w:color w:val="auto"/>
        </w:rPr>
        <w:t>m</w:t>
      </w:r>
      <w:r w:rsidR="004E7FF5">
        <w:rPr>
          <w:rFonts w:cs="Arial"/>
          <w:bCs/>
          <w:color w:val="auto"/>
        </w:rPr>
        <w:t xml:space="preserve"> průměrným věkem při narození dítěte a při prvním sňatku. </w:t>
      </w:r>
      <w:r w:rsidR="005447AA">
        <w:rPr>
          <w:rFonts w:cs="Arial"/>
          <w:bCs/>
          <w:color w:val="auto"/>
        </w:rPr>
        <w:t>Podíl dětí narozených mimo manželství zde byl nižší</w:t>
      </w:r>
      <w:r w:rsidR="00095E91">
        <w:rPr>
          <w:rFonts w:cs="Arial"/>
          <w:bCs/>
          <w:color w:val="auto"/>
        </w:rPr>
        <w:t xml:space="preserve"> než v celé populaci</w:t>
      </w:r>
      <w:r w:rsidR="005447AA">
        <w:rPr>
          <w:rFonts w:cs="Arial"/>
          <w:bCs/>
          <w:color w:val="auto"/>
        </w:rPr>
        <w:t xml:space="preserve">, </w:t>
      </w:r>
      <w:r w:rsidR="00095E91">
        <w:rPr>
          <w:rFonts w:cs="Arial"/>
          <w:bCs/>
          <w:color w:val="auto"/>
        </w:rPr>
        <w:t>stejně jako úroveň rozvodovosti nebo potratovosti.</w:t>
      </w:r>
      <w:r w:rsidR="0081726D">
        <w:rPr>
          <w:rFonts w:cs="Arial"/>
          <w:bCs/>
          <w:color w:val="auto"/>
        </w:rPr>
        <w:t xml:space="preserve"> Další dva české kraje</w:t>
      </w:r>
      <w:r w:rsidR="005C5DFC">
        <w:rPr>
          <w:rFonts w:cs="Arial"/>
          <w:bCs/>
          <w:color w:val="auto"/>
        </w:rPr>
        <w:t xml:space="preserve"> - </w:t>
      </w:r>
      <w:r w:rsidR="0081726D">
        <w:rPr>
          <w:rFonts w:cs="Arial"/>
          <w:bCs/>
          <w:color w:val="auto"/>
        </w:rPr>
        <w:t xml:space="preserve"> </w:t>
      </w:r>
      <w:r w:rsidR="003141D5">
        <w:rPr>
          <w:rFonts w:cs="Arial"/>
          <w:bCs/>
          <w:color w:val="auto"/>
        </w:rPr>
        <w:t xml:space="preserve">Karlovarský, Ústecký </w:t>
      </w:r>
      <w:r w:rsidR="005C5DFC">
        <w:rPr>
          <w:rFonts w:cs="Arial"/>
          <w:bCs/>
          <w:color w:val="auto"/>
        </w:rPr>
        <w:t>– společně s</w:t>
      </w:r>
      <w:r w:rsidR="003141D5">
        <w:rPr>
          <w:rFonts w:cs="Arial"/>
          <w:bCs/>
          <w:color w:val="auto"/>
        </w:rPr>
        <w:t xml:space="preserve"> Moravskoslezský</w:t>
      </w:r>
      <w:r w:rsidR="005C5DFC">
        <w:rPr>
          <w:rFonts w:cs="Arial"/>
          <w:bCs/>
          <w:color w:val="auto"/>
        </w:rPr>
        <w:t>m</w:t>
      </w:r>
      <w:r w:rsidR="003141D5">
        <w:rPr>
          <w:rFonts w:cs="Arial"/>
          <w:bCs/>
          <w:color w:val="auto"/>
        </w:rPr>
        <w:t xml:space="preserve"> kraj</w:t>
      </w:r>
      <w:r w:rsidR="005C5DFC">
        <w:rPr>
          <w:rFonts w:cs="Arial"/>
          <w:bCs/>
          <w:color w:val="auto"/>
        </w:rPr>
        <w:t>em</w:t>
      </w:r>
      <w:r w:rsidR="003141D5">
        <w:rPr>
          <w:rFonts w:cs="Arial"/>
          <w:bCs/>
          <w:color w:val="auto"/>
        </w:rPr>
        <w:t xml:space="preserve"> byly typické nízký</w:t>
      </w:r>
      <w:r w:rsidR="00E32D18">
        <w:rPr>
          <w:rFonts w:cs="Arial"/>
          <w:bCs/>
          <w:color w:val="auto"/>
        </w:rPr>
        <w:t>m</w:t>
      </w:r>
      <w:r w:rsidR="003141D5">
        <w:rPr>
          <w:rFonts w:cs="Arial"/>
          <w:bCs/>
          <w:color w:val="auto"/>
        </w:rPr>
        <w:t xml:space="preserve"> </w:t>
      </w:r>
      <w:r w:rsidR="00095E91">
        <w:rPr>
          <w:rFonts w:cs="Arial"/>
          <w:bCs/>
          <w:color w:val="auto"/>
        </w:rPr>
        <w:t xml:space="preserve">průměrným </w:t>
      </w:r>
      <w:r w:rsidR="003141D5">
        <w:rPr>
          <w:rFonts w:cs="Arial"/>
          <w:bCs/>
          <w:color w:val="auto"/>
        </w:rPr>
        <w:t xml:space="preserve">věkem při narození dítěte, vysokým podílem dětí narozených </w:t>
      </w:r>
      <w:r w:rsidR="008B2CD1">
        <w:rPr>
          <w:rFonts w:cs="Arial"/>
          <w:bCs/>
          <w:color w:val="auto"/>
        </w:rPr>
        <w:t>mimo manželství</w:t>
      </w:r>
      <w:r w:rsidR="003141D5">
        <w:rPr>
          <w:rFonts w:cs="Arial"/>
          <w:bCs/>
          <w:color w:val="auto"/>
        </w:rPr>
        <w:t xml:space="preserve"> </w:t>
      </w:r>
      <w:r w:rsidR="004B6CE1">
        <w:rPr>
          <w:rFonts w:cs="Arial"/>
          <w:bCs/>
          <w:color w:val="auto"/>
        </w:rPr>
        <w:t>a nízkou nadějí dožití při narození. Pouze</w:t>
      </w:r>
      <w:r w:rsidR="00095E91">
        <w:rPr>
          <w:rFonts w:cs="Arial"/>
          <w:bCs/>
          <w:color w:val="auto"/>
        </w:rPr>
        <w:t xml:space="preserve"> Karlovarský a Ústecký kraj měly</w:t>
      </w:r>
      <w:r w:rsidR="004B6CE1">
        <w:rPr>
          <w:rFonts w:cs="Arial"/>
          <w:bCs/>
          <w:color w:val="auto"/>
        </w:rPr>
        <w:t xml:space="preserve"> ještě mladší věkovou strukturu</w:t>
      </w:r>
      <w:r w:rsidR="00C126D3">
        <w:rPr>
          <w:rFonts w:cs="Arial"/>
          <w:bCs/>
          <w:color w:val="auto"/>
        </w:rPr>
        <w:t xml:space="preserve"> než celá ČR</w:t>
      </w:r>
      <w:r w:rsidR="004B6CE1">
        <w:rPr>
          <w:rFonts w:cs="Arial"/>
          <w:bCs/>
          <w:color w:val="auto"/>
        </w:rPr>
        <w:t>, nízkou úroveň statečnosti a vysoký</w:t>
      </w:r>
      <w:r w:rsidR="008B2CD1">
        <w:rPr>
          <w:rFonts w:cs="Arial"/>
          <w:bCs/>
          <w:color w:val="auto"/>
        </w:rPr>
        <w:t xml:space="preserve"> průměrný věk při prvním sňatku spolu s krátkou průměrnou délkou manželství.</w:t>
      </w:r>
      <w:r w:rsidR="004B6CE1">
        <w:rPr>
          <w:rFonts w:cs="Arial"/>
          <w:bCs/>
          <w:color w:val="auto"/>
        </w:rPr>
        <w:t xml:space="preserve"> </w:t>
      </w:r>
      <w:r w:rsidR="008B2CD1">
        <w:rPr>
          <w:rFonts w:cs="Arial"/>
          <w:bCs/>
          <w:color w:val="auto"/>
        </w:rPr>
        <w:t xml:space="preserve">Dále byla v těchto </w:t>
      </w:r>
      <w:r w:rsidR="00D91CC2">
        <w:rPr>
          <w:rFonts w:cs="Arial"/>
          <w:bCs/>
          <w:color w:val="auto"/>
        </w:rPr>
        <w:t xml:space="preserve">dvou </w:t>
      </w:r>
      <w:r w:rsidR="008B2CD1">
        <w:rPr>
          <w:rFonts w:cs="Arial"/>
          <w:bCs/>
          <w:color w:val="auto"/>
        </w:rPr>
        <w:t>krajích zaznamenána vysoká intenzita potratovosti (i indukovan</w:t>
      </w:r>
      <w:r w:rsidR="00FB74B8">
        <w:rPr>
          <w:rFonts w:cs="Arial"/>
          <w:bCs/>
          <w:color w:val="auto"/>
        </w:rPr>
        <w:t>é</w:t>
      </w:r>
      <w:r w:rsidR="008B2CD1">
        <w:rPr>
          <w:rFonts w:cs="Arial"/>
          <w:bCs/>
          <w:color w:val="auto"/>
        </w:rPr>
        <w:t>) a nízký průměrný věk při potratu (i indukovaném)</w:t>
      </w:r>
      <w:r w:rsidR="004B6CE1">
        <w:rPr>
          <w:rFonts w:cs="Arial"/>
          <w:bCs/>
          <w:color w:val="auto"/>
        </w:rPr>
        <w:t xml:space="preserve">. </w:t>
      </w:r>
      <w:r w:rsidR="005C5DFC">
        <w:rPr>
          <w:rFonts w:cs="Arial"/>
          <w:bCs/>
          <w:color w:val="auto"/>
        </w:rPr>
        <w:t xml:space="preserve">Kraj </w:t>
      </w:r>
      <w:r w:rsidR="006B5AAA">
        <w:rPr>
          <w:rFonts w:cs="Arial"/>
          <w:bCs/>
          <w:color w:val="auto"/>
        </w:rPr>
        <w:t>Vysočina</w:t>
      </w:r>
      <w:r w:rsidR="004B6CE1">
        <w:rPr>
          <w:rFonts w:cs="Arial"/>
          <w:bCs/>
          <w:color w:val="auto"/>
        </w:rPr>
        <w:t>, Zlínský a Olomoucký</w:t>
      </w:r>
      <w:r w:rsidR="00C126D3">
        <w:rPr>
          <w:rFonts w:cs="Arial"/>
          <w:bCs/>
          <w:color w:val="auto"/>
        </w:rPr>
        <w:t xml:space="preserve"> kraj</w:t>
      </w:r>
      <w:r w:rsidR="004B6CE1">
        <w:rPr>
          <w:rFonts w:cs="Arial"/>
          <w:bCs/>
          <w:color w:val="auto"/>
        </w:rPr>
        <w:t xml:space="preserve"> dosa</w:t>
      </w:r>
      <w:r w:rsidR="00E32D18">
        <w:rPr>
          <w:rFonts w:cs="Arial"/>
          <w:bCs/>
          <w:color w:val="auto"/>
        </w:rPr>
        <w:t>hovaly vyšší úrovně sňatečnosti a</w:t>
      </w:r>
      <w:r w:rsidR="004B6CE1">
        <w:rPr>
          <w:rFonts w:cs="Arial"/>
          <w:bCs/>
          <w:color w:val="auto"/>
        </w:rPr>
        <w:t xml:space="preserve"> delší průměrné délky manželství</w:t>
      </w:r>
      <w:r w:rsidR="00E32D18">
        <w:rPr>
          <w:rFonts w:cs="Arial"/>
          <w:bCs/>
          <w:color w:val="auto"/>
        </w:rPr>
        <w:t>. Intenzita potratovosti i indukované potratovosti u nich byla v roce 2013 nízká a průměrný věk při potrat</w:t>
      </w:r>
      <w:r w:rsidR="00862568">
        <w:rPr>
          <w:rFonts w:cs="Arial"/>
          <w:bCs/>
          <w:color w:val="auto"/>
        </w:rPr>
        <w:t xml:space="preserve">u (i indukovaném) naopak vysoký. </w:t>
      </w:r>
      <w:r w:rsidR="004B6CE1">
        <w:rPr>
          <w:rFonts w:cs="Arial"/>
          <w:bCs/>
          <w:color w:val="auto"/>
        </w:rPr>
        <w:t>Z</w:t>
      </w:r>
      <w:r w:rsidR="005B6CB5">
        <w:rPr>
          <w:rFonts w:cs="Arial"/>
          <w:bCs/>
          <w:color w:val="auto"/>
        </w:rPr>
        <w:t>línský kraj a Kraj Vysočina byly</w:t>
      </w:r>
      <w:r w:rsidR="004B6CE1">
        <w:rPr>
          <w:rFonts w:cs="Arial"/>
          <w:bCs/>
          <w:color w:val="auto"/>
        </w:rPr>
        <w:t xml:space="preserve"> ještě typické</w:t>
      </w:r>
      <w:r w:rsidR="00E32D18">
        <w:rPr>
          <w:rFonts w:cs="Arial"/>
          <w:bCs/>
          <w:color w:val="auto"/>
        </w:rPr>
        <w:t xml:space="preserve"> nízkým průměrným věkem při vstupu do prvního sňatku </w:t>
      </w:r>
      <w:r w:rsidR="001D0CDE">
        <w:rPr>
          <w:rFonts w:cs="Arial"/>
          <w:bCs/>
          <w:color w:val="auto"/>
        </w:rPr>
        <w:t xml:space="preserve">a </w:t>
      </w:r>
      <w:r w:rsidR="00A37896">
        <w:rPr>
          <w:rFonts w:cs="Arial"/>
          <w:bCs/>
          <w:color w:val="auto"/>
        </w:rPr>
        <w:t>nízkou</w:t>
      </w:r>
      <w:r w:rsidR="001D0CDE">
        <w:rPr>
          <w:rFonts w:cs="Arial"/>
          <w:bCs/>
          <w:color w:val="auto"/>
        </w:rPr>
        <w:t xml:space="preserve"> úrovni rozvodo</w:t>
      </w:r>
      <w:r w:rsidR="00A37896">
        <w:rPr>
          <w:rFonts w:cs="Arial"/>
          <w:bCs/>
          <w:color w:val="auto"/>
        </w:rPr>
        <w:t>v</w:t>
      </w:r>
      <w:r w:rsidR="004B6CE1">
        <w:rPr>
          <w:rFonts w:cs="Arial"/>
          <w:bCs/>
          <w:color w:val="auto"/>
        </w:rPr>
        <w:t>osti</w:t>
      </w:r>
      <w:r w:rsidR="00862568">
        <w:rPr>
          <w:rFonts w:cs="Arial"/>
          <w:bCs/>
          <w:color w:val="auto"/>
        </w:rPr>
        <w:t xml:space="preserve"> oproti hodnotám za populaci</w:t>
      </w:r>
      <w:r w:rsidR="005C5DFC">
        <w:rPr>
          <w:rFonts w:cs="Arial"/>
          <w:bCs/>
          <w:color w:val="auto"/>
        </w:rPr>
        <w:t xml:space="preserve"> celé ČR</w:t>
      </w:r>
      <w:r w:rsidR="00862568">
        <w:rPr>
          <w:rFonts w:cs="Arial"/>
          <w:bCs/>
          <w:color w:val="auto"/>
        </w:rPr>
        <w:t>.</w:t>
      </w:r>
      <w:r w:rsidR="004B6CE1">
        <w:rPr>
          <w:rFonts w:cs="Arial"/>
          <w:bCs/>
          <w:color w:val="auto"/>
        </w:rPr>
        <w:t xml:space="preserve"> </w:t>
      </w:r>
    </w:p>
    <w:p w:rsidR="00A37896" w:rsidRPr="00350FC7" w:rsidRDefault="00A37896">
      <w:pPr>
        <w:pStyle w:val="Zkladntext"/>
        <w:rPr>
          <w:rFonts w:cs="Arial"/>
          <w:bCs/>
          <w:color w:val="auto"/>
        </w:rPr>
      </w:pPr>
    </w:p>
    <w:p w:rsidR="007F4192" w:rsidRDefault="00310396" w:rsidP="006C4676">
      <w:pPr>
        <w:pStyle w:val="Nadpis2"/>
        <w:ind w:left="578" w:hanging="578"/>
      </w:pPr>
      <w:r>
        <w:t>Počet obyvatel a věkové složení</w:t>
      </w:r>
    </w:p>
    <w:p w:rsidR="00646452" w:rsidRDefault="00A4163A">
      <w:r>
        <w:t>V ČR došlo v roce 2013 k úbytku obyvatel (o 3 706), přičemž se jednalo o první sní</w:t>
      </w:r>
      <w:r w:rsidR="00252F7F">
        <w:t>žení počtu obyvatel od roku 2002</w:t>
      </w:r>
      <w:r>
        <w:t xml:space="preserve">. </w:t>
      </w:r>
      <w:r w:rsidR="00640DBC">
        <w:t xml:space="preserve">Na tomto poklesu se podílel jak přirozený úbytek (rozdíl počtu narozených a zemřelých) tak i úbytek stěhováním (rozdíl počtu přistěhovalých a vystěhovalých). </w:t>
      </w:r>
      <w:r w:rsidR="00C10D93">
        <w:t>V jednotlivých krajích byly tendence růstu/poklesu počtu obyvatel různorodé. Pět krajů dosáhlo celkového přírůstku (</w:t>
      </w:r>
      <w:r w:rsidR="00F73BC4">
        <w:t>Středočeský</w:t>
      </w:r>
      <w:r w:rsidR="00C10D93">
        <w:t xml:space="preserve">, </w:t>
      </w:r>
      <w:r w:rsidR="00CF30DD">
        <w:t xml:space="preserve">Plzeňský, </w:t>
      </w:r>
      <w:r w:rsidR="00C10D93">
        <w:t>Jihomoravský, Jihočeský a Liberecký), přičemž pouze v</w:t>
      </w:r>
      <w:r w:rsidR="00F73BC4">
        <w:t>e</w:t>
      </w:r>
      <w:r w:rsidR="00C10D93">
        <w:t xml:space="preserve"> </w:t>
      </w:r>
      <w:r w:rsidR="00F73BC4">
        <w:t xml:space="preserve">Středočeském </w:t>
      </w:r>
      <w:r w:rsidR="00C10D93">
        <w:t xml:space="preserve">a Jihomoravském kraji došlo k přírůstku přirozenému i stěhováním. </w:t>
      </w:r>
      <w:r w:rsidR="00646452">
        <w:t>V dalších</w:t>
      </w:r>
      <w:r w:rsidR="0085396D">
        <w:t xml:space="preserve"> dev</w:t>
      </w:r>
      <w:r w:rsidR="00646452">
        <w:t>íti</w:t>
      </w:r>
      <w:r w:rsidR="0085396D">
        <w:t xml:space="preserve"> kraj</w:t>
      </w:r>
      <w:r w:rsidR="00646452">
        <w:t>ích</w:t>
      </w:r>
      <w:r w:rsidR="0085396D">
        <w:t xml:space="preserve"> </w:t>
      </w:r>
      <w:r w:rsidR="00646452">
        <w:t>ČR se v průběhu roku 2013 počet obyvatel snížil.</w:t>
      </w:r>
      <w:r w:rsidR="0085396D">
        <w:t xml:space="preserve"> </w:t>
      </w:r>
      <w:r w:rsidR="00C10D93">
        <w:t xml:space="preserve">Nejvýraznější </w:t>
      </w:r>
      <w:r w:rsidR="006A0CDD">
        <w:t xml:space="preserve">absolutní </w:t>
      </w:r>
      <w:r w:rsidR="00C10D93">
        <w:t>pokles počtu obyvatel zaznamenal kraj Moravskoslezský (přirozený i stěhováním)  a Hl. m. Praha (pouze stěhováním, které mělo větší vliv než přirozený přírůstek).</w:t>
      </w:r>
      <w:r w:rsidR="006A0CDD">
        <w:t xml:space="preserve"> V případě vztažení úbytku k počtu obyvatel kraje měl nejmarkantnější </w:t>
      </w:r>
      <w:r w:rsidR="00326F85">
        <w:t>snížení populace</w:t>
      </w:r>
      <w:r w:rsidR="006A0CDD">
        <w:t xml:space="preserve"> Karlovarský kraj (4,7 na 1 000 obyvatel). </w:t>
      </w:r>
      <w:r w:rsidR="004B33A2">
        <w:t xml:space="preserve">Moravskoslezský i Karlovarský </w:t>
      </w:r>
      <w:r w:rsidR="004F3FE8">
        <w:t xml:space="preserve">kraj </w:t>
      </w:r>
      <w:r w:rsidR="004B33A2">
        <w:t xml:space="preserve">zaznamenávají každoroční </w:t>
      </w:r>
      <w:r w:rsidR="004F3FE8">
        <w:t>celkový</w:t>
      </w:r>
      <w:r w:rsidR="004B33A2">
        <w:t xml:space="preserve"> úbytek již od roku 2009, v případě Hl. m. Prahy šlo o první celkový úbytek od roku 2002. </w:t>
      </w:r>
    </w:p>
    <w:p w:rsidR="00646452" w:rsidRDefault="00646452"/>
    <w:p w:rsidR="004B33A2" w:rsidRDefault="007805BC">
      <w:r>
        <w:t xml:space="preserve">Přirozenou měnou se v roce 2013 zvýšil počet obyvatel pouze ve čtyřech z čtrnácti krajů. Vyšší počet živě narozených než zemřelých osob byl evidován v Hl. m. Praha,  Středočeském, Jihomoravském a Libereckém kraji. Taktéž přírůstek stěhováním byl kladný </w:t>
      </w:r>
      <w:r w:rsidR="00EB64A2">
        <w:t>ve čtyřech krajích, a to v Středočeském, Plzeňském, Jihomoravském a Jihočeském. N</w:t>
      </w:r>
      <w:r w:rsidR="00F73BC4">
        <w:t xml:space="preserve">ejvětší </w:t>
      </w:r>
      <w:r w:rsidR="00EB64A2">
        <w:t xml:space="preserve">relativní </w:t>
      </w:r>
      <w:r w:rsidR="00F73BC4">
        <w:t xml:space="preserve">úbytek </w:t>
      </w:r>
      <w:r w:rsidR="00EB64A2">
        <w:t xml:space="preserve">jak přirozenou měnou, tak stěhováním se odehrál </w:t>
      </w:r>
      <w:r w:rsidR="00F73BC4">
        <w:t>v Moravskoslezském kraji</w:t>
      </w:r>
      <w:r w:rsidR="006A0CDD">
        <w:t xml:space="preserve">. </w:t>
      </w:r>
    </w:p>
    <w:p w:rsidR="00817E59" w:rsidRDefault="00817E59"/>
    <w:p w:rsidR="00817E59" w:rsidRDefault="008004B9">
      <w:r>
        <w:t xml:space="preserve">Pozici kraje s nejvyšším počtem obyvatel </w:t>
      </w:r>
      <w:r w:rsidR="00482CB7">
        <w:t>si i v roce 2013 udržel</w:t>
      </w:r>
      <w:r>
        <w:t xml:space="preserve"> Středočeský kraj (nejlidnatější kraj od roku 2010), který vzhledem k nejvyššímu přírůstku obyvatel ze všech krajů (10</w:t>
      </w:r>
      <w:r w:rsidR="00482CB7">
        <w:t> </w:t>
      </w:r>
      <w:r>
        <w:t>520</w:t>
      </w:r>
      <w:r w:rsidR="00482CB7">
        <w:t xml:space="preserve"> obyvatel</w:t>
      </w:r>
      <w:r>
        <w:t>) a populačním</w:t>
      </w:r>
      <w:r w:rsidR="005C5DFC">
        <w:t>u</w:t>
      </w:r>
      <w:r>
        <w:t xml:space="preserve"> úbytku druhého nejlidnatějšího kraje (Hl. m. Praha -3 579 obyvatel)</w:t>
      </w:r>
      <w:r w:rsidR="002C022B">
        <w:t xml:space="preserve"> svůj náskok ještě </w:t>
      </w:r>
      <w:r w:rsidR="00482CB7">
        <w:t>zvýšil</w:t>
      </w:r>
      <w:r w:rsidR="002C022B">
        <w:t>. Ještě další dva kraje překonaly hranici jednoho miliónu obyvatel – Moravskoslezský a Jihomoravský. Naopak nejméně obydlený kraj, Karlovarský, dále populačně ztrácí, a pokud se bude opakovat populační vývoj z</w:t>
      </w:r>
      <w:r w:rsidR="004F3FE8">
        <w:t> </w:t>
      </w:r>
      <w:r w:rsidR="002C022B">
        <w:t>předchozích</w:t>
      </w:r>
      <w:r w:rsidR="004F3FE8">
        <w:t xml:space="preserve"> let</w:t>
      </w:r>
      <w:r w:rsidR="002C022B">
        <w:t>, tak příští rok poklesne pod hranici 300 tisíc obyvatel. Liberecký kraj byl druhým nejméně lidnatým krajem ČR s</w:t>
      </w:r>
      <w:r w:rsidR="0005457A">
        <w:t>e</w:t>
      </w:r>
      <w:r w:rsidR="002C022B">
        <w:t xml:space="preserve"> zhruba 439 tisíci obyvateli. </w:t>
      </w:r>
      <w:r w:rsidR="00FD4CE6">
        <w:t>Dalších pět krajů mělo mezi</w:t>
      </w:r>
      <w:r w:rsidR="002C022B">
        <w:t xml:space="preserve"> 0,5</w:t>
      </w:r>
      <w:r w:rsidR="00FD4CE6">
        <w:t xml:space="preserve"> a 0,6 milion</w:t>
      </w:r>
      <w:r w:rsidR="005C5DFC">
        <w:t>u</w:t>
      </w:r>
      <w:r w:rsidR="002C022B">
        <w:t xml:space="preserve"> obyvatel.</w:t>
      </w:r>
      <w:r w:rsidR="00FD4CE6">
        <w:t xml:space="preserve"> Olomoucký </w:t>
      </w:r>
      <w:r w:rsidR="00FD4CE6">
        <w:lastRenderedPageBreak/>
        <w:t>a Jihočeský kraj populačně přesahovaly hranici 0,6 milionu obyvatel a Ústecký kraj hodnotu 0,8 milionu obyvatel.</w:t>
      </w:r>
      <w:r w:rsidR="002C022B">
        <w:t xml:space="preserve">   </w:t>
      </w:r>
    </w:p>
    <w:p w:rsidR="00817E59" w:rsidRDefault="00817E59"/>
    <w:p w:rsidR="00817E59" w:rsidRDefault="00817E59" w:rsidP="00817E59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fldSimple w:instr=" SEQ Tab. \* ARABIC \s 1 ">
        <w:r w:rsidR="00D973C6">
          <w:rPr>
            <w:noProof/>
          </w:rPr>
          <w:t>1</w:t>
        </w:r>
      </w:fldSimple>
      <w:r>
        <w:t xml:space="preserve"> Pohyb obyvatelstva v krajích, 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1601"/>
        <w:gridCol w:w="979"/>
        <w:gridCol w:w="1359"/>
        <w:gridCol w:w="1394"/>
        <w:gridCol w:w="951"/>
        <w:gridCol w:w="1289"/>
        <w:gridCol w:w="1057"/>
        <w:gridCol w:w="1009"/>
      </w:tblGrid>
      <w:tr w:rsidR="00817E59" w:rsidTr="00685BAA">
        <w:trPr>
          <w:trHeight w:val="255"/>
        </w:trPr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Absolutně 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Na 1 000 obyvatel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Počet obyvatel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  <w:t>k 31. 12.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17E59" w:rsidRDefault="00817E59" w:rsidP="00685B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přirozený </w:t>
            </w:r>
          </w:p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přírůstek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přírůstek stěhováním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celkový</w:t>
            </w:r>
          </w:p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přírůstek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17E59" w:rsidRDefault="00817E59" w:rsidP="00685BAA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přirozený </w:t>
            </w:r>
          </w:p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přírůstek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přírůstek stěhováním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7E59" w:rsidRDefault="00817E59" w:rsidP="00685BA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celkový přírůstek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</w:tr>
      <w:tr w:rsidR="00817E59" w:rsidTr="00685BAA">
        <w:trPr>
          <w:trHeight w:val="255"/>
        </w:trPr>
        <w:tc>
          <w:tcPr>
            <w:tcW w:w="15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17E59" w:rsidRDefault="00817E59" w:rsidP="00685BA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-2 409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-3 706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10 512 419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-5 297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-3 579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1 243 201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9 226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10 520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8,1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1 302 336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636 707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573 469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-1 417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-4,7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300 309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-1 644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825 120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438 609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-1 037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551 909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515 985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-998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510 209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1 428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1,2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1 170 078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-1 253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636 356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-1 394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586 299</w:t>
            </w:r>
          </w:p>
        </w:tc>
      </w:tr>
      <w:tr w:rsidR="00817E59" w:rsidTr="00685BAA">
        <w:trPr>
          <w:trHeight w:val="255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E59" w:rsidRDefault="00817E59" w:rsidP="00685B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28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-1 681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-3 089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-4 770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340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454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-3,9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17E59" w:rsidRDefault="00817E59" w:rsidP="00685BAA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1 221 832</w:t>
            </w:r>
          </w:p>
        </w:tc>
      </w:tr>
    </w:tbl>
    <w:p w:rsidR="00817E59" w:rsidRDefault="00817E59" w:rsidP="00817E59">
      <w:pPr>
        <w:spacing w:after="60"/>
      </w:pPr>
    </w:p>
    <w:p w:rsidR="00A4163A" w:rsidRDefault="00D20D29">
      <w:r>
        <w:t xml:space="preserve">Podíl obyvatel věku 0 až 14 let </w:t>
      </w:r>
      <w:r w:rsidR="00175B89">
        <w:t xml:space="preserve">(dětská složka) </w:t>
      </w:r>
      <w:r>
        <w:t>se na celorepublikové úrovni mezi roky 2003 a 2008 snížil z 15,2</w:t>
      </w:r>
      <w:r w:rsidR="00175B89">
        <w:t xml:space="preserve"> % na 14,1 </w:t>
      </w:r>
      <w:r>
        <w:t xml:space="preserve">%. V dalších letech pak následoval postupný růst zastoupení této skupiny osob a v roce 2013 dosáhl 15,0 %. </w:t>
      </w:r>
      <w:r w:rsidR="00A46B40">
        <w:t xml:space="preserve">Největší zastoupení dětské složky v populaci bylo ve Středočeském (16,5 %), Ústeckém (15,6 %) a Libereckém kraji (15,5 %). </w:t>
      </w:r>
      <w:r w:rsidR="00235A47">
        <w:t>Naopak nejméně byla tato sub-populace zastoupena v Hl.</w:t>
      </w:r>
      <w:r w:rsidR="00E70827">
        <w:t> </w:t>
      </w:r>
      <w:r w:rsidR="00235A47">
        <w:t>m. Praze (14,1 %), Zlínském (14,4 %) a Moravskoslezském kraji (14,6 %).</w:t>
      </w:r>
      <w:r w:rsidR="00175B89">
        <w:t xml:space="preserve"> </w:t>
      </w:r>
      <w:r w:rsidR="00241DAA">
        <w:t>Meziročně se ve všech krajích zvýšil podíl osob ve věku 0 až 14 let, nejvíce v Hl. m. Praze</w:t>
      </w:r>
      <w:r w:rsidR="00D27076">
        <w:t xml:space="preserve"> (o 0,4 procentních bodů</w:t>
      </w:r>
      <w:r w:rsidR="00241DAA">
        <w:t>) a ve Středočeském kraji</w:t>
      </w:r>
      <w:r w:rsidR="00D27076">
        <w:t xml:space="preserve"> (o 0,3 p</w:t>
      </w:r>
      <w:r w:rsidR="00854A58">
        <w:t>. b.</w:t>
      </w:r>
      <w:r w:rsidR="00241DAA">
        <w:t xml:space="preserve">). </w:t>
      </w:r>
      <w:r w:rsidR="00175B89">
        <w:t xml:space="preserve">V období let 2003–2013 se snížila mezikrajská diferenciace tohoto ukazatele a zároveň se proměnilo pořadí krajů. Například Středočeský kraj měl v roce </w:t>
      </w:r>
      <w:r w:rsidR="00E70827">
        <w:t>2003 až jedenácté největší</w:t>
      </w:r>
      <w:r w:rsidR="00175B89">
        <w:t xml:space="preserve"> zastoupení dětské složky mezi kraji ČR. Naopak značné snížení podílu obyvatel ve věku 0–14 se z</w:t>
      </w:r>
      <w:r w:rsidR="005F3EB5">
        <w:t>a poslední deset let odehrálo v Kraji Vysočina</w:t>
      </w:r>
      <w:r w:rsidR="00B63D86">
        <w:t xml:space="preserve"> (z druhého na osmé místo)</w:t>
      </w:r>
      <w:r w:rsidR="00175B89">
        <w:t xml:space="preserve"> a v Moravskoslezském kraji</w:t>
      </w:r>
      <w:r w:rsidR="00B63D86">
        <w:t xml:space="preserve"> (z</w:t>
      </w:r>
      <w:r w:rsidR="00BD5E87">
        <w:t> </w:t>
      </w:r>
      <w:r w:rsidR="00B63D86">
        <w:t>šestého na dvanácté)</w:t>
      </w:r>
      <w:r w:rsidR="00175B89">
        <w:t xml:space="preserve">. </w:t>
      </w:r>
      <w:r w:rsidR="001F1886">
        <w:t>Hl. m. Praha má dlouhodobě nejmenší zastoupení dětské složky v</w:t>
      </w:r>
      <w:r w:rsidR="00B63D86">
        <w:t> </w:t>
      </w:r>
      <w:r w:rsidR="001F1886">
        <w:t>populaci</w:t>
      </w:r>
      <w:r w:rsidR="00B63D86">
        <w:t>, nicméně v čase se rozdíl mezi pražskou a celorepublikovou hodnotou tohoto ukazatele snižuje.</w:t>
      </w:r>
    </w:p>
    <w:p w:rsidR="00805AB9" w:rsidRDefault="00805AB9" w:rsidP="00805AB9"/>
    <w:p w:rsidR="007F4192" w:rsidRDefault="00310396" w:rsidP="00805AB9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7042FA">
        <w:fldChar w:fldCharType="begin"/>
      </w:r>
      <w:r>
        <w:instrText xml:space="preserve"> SEQ Tab. \* ARABIC \s 1 </w:instrText>
      </w:r>
      <w:r w:rsidR="007042FA">
        <w:fldChar w:fldCharType="separate"/>
      </w:r>
      <w:r w:rsidR="00D973C6">
        <w:rPr>
          <w:noProof/>
        </w:rPr>
        <w:t>2</w:t>
      </w:r>
      <w:r w:rsidR="007042FA">
        <w:fldChar w:fldCharType="end"/>
      </w:r>
      <w:r>
        <w:t xml:space="preserve"> Podíl obyvatel ve v</w:t>
      </w:r>
      <w:r w:rsidR="000645C4">
        <w:t>ěku 0–14</w:t>
      </w:r>
      <w:r w:rsidR="005C5DFC">
        <w:t xml:space="preserve"> a 65+</w:t>
      </w:r>
      <w:r w:rsidR="000645C4">
        <w:t xml:space="preserve"> let v krajích (%), 2003–2013</w:t>
      </w:r>
      <w:r>
        <w:t xml:space="preserve"> (k 31. 12.)</w:t>
      </w:r>
    </w:p>
    <w:tbl>
      <w:tblPr>
        <w:tblW w:w="9639" w:type="dxa"/>
        <w:tblLayout w:type="fixed"/>
        <w:tblCellMar>
          <w:left w:w="0" w:type="dxa"/>
          <w:right w:w="142" w:type="dxa"/>
        </w:tblCellMar>
        <w:tblLook w:val="0000"/>
      </w:tblPr>
      <w:tblGrid>
        <w:gridCol w:w="1427"/>
        <w:gridCol w:w="586"/>
        <w:gridCol w:w="587"/>
        <w:gridCol w:w="586"/>
        <w:gridCol w:w="587"/>
        <w:gridCol w:w="586"/>
        <w:gridCol w:w="587"/>
        <w:gridCol w:w="587"/>
        <w:gridCol w:w="586"/>
        <w:gridCol w:w="587"/>
        <w:gridCol w:w="586"/>
        <w:gridCol w:w="587"/>
        <w:gridCol w:w="586"/>
        <w:gridCol w:w="587"/>
        <w:gridCol w:w="587"/>
      </w:tblGrid>
      <w:tr w:rsidR="005C5DFC" w:rsidTr="005C5DFC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C5DFC" w:rsidRDefault="005C5DFC" w:rsidP="005C5DFC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5C5DFC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0-14 let</w:t>
            </w:r>
          </w:p>
        </w:tc>
        <w:tc>
          <w:tcPr>
            <w:tcW w:w="4106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5C5DFC" w:rsidRDefault="005C5DFC" w:rsidP="005C5DFC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65+ let</w:t>
            </w:r>
          </w:p>
        </w:tc>
      </w:tr>
      <w:tr w:rsidR="005C5DFC" w:rsidTr="005C5DFC">
        <w:trPr>
          <w:trHeight w:val="255"/>
        </w:trPr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685BAA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17,4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18,1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16,3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17,5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17,9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16,8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16,4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17,0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18,4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17,5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17,7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17,8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17,7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17,8</w:t>
            </w:r>
          </w:p>
        </w:tc>
      </w:tr>
      <w:tr w:rsidR="005C5DFC" w:rsidTr="0000641A">
        <w:trPr>
          <w:trHeight w:hRule="exact" w:val="238"/>
        </w:trPr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DFC" w:rsidRDefault="005C5DF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5C5DFC" w:rsidRDefault="005C5DFC" w:rsidP="00CE2AE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12,7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14,5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15,8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DFC" w:rsidRDefault="005C5DFC" w:rsidP="00BD5E8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17,0</w:t>
            </w:r>
          </w:p>
        </w:tc>
      </w:tr>
    </w:tbl>
    <w:p w:rsidR="007F4192" w:rsidRDefault="007F4192" w:rsidP="00805AB9">
      <w:pPr>
        <w:spacing w:after="60"/>
      </w:pPr>
    </w:p>
    <w:p w:rsidR="00177DCD" w:rsidRDefault="00CD7C10">
      <w:r>
        <w:t xml:space="preserve">Zastoupení osob ve věku 65 let </w:t>
      </w:r>
      <w:r w:rsidR="00177DCD">
        <w:t xml:space="preserve">a více </w:t>
      </w:r>
      <w:r>
        <w:t xml:space="preserve">(postproduktivní složka) v populaci rostlo po celé předchozí desetiletí. V roce 2003 ještě činilo 13,9 %, zatímco v roce 2013 již bylo 17,4 %. Variabilita na krajské úrovni se u tohoto ukazatele snižovala – klesal jak rozptyl, tak rozpětí mezi maximální a minimální hodnotou. Nejvýraznější posun v pořadí krajů podle hodnoty podílu postproduktivní složky zaznamenal Středočeský kraj. V roce 2003 </w:t>
      </w:r>
      <w:r>
        <w:lastRenderedPageBreak/>
        <w:t>byl ještě krajem s šestým nejvyšším podílem a o deset let později měl již nejnižší zastoupení osob ve věku 65 a</w:t>
      </w:r>
      <w:r w:rsidR="00C126D3">
        <w:t xml:space="preserve"> více</w:t>
      </w:r>
      <w:r>
        <w:t xml:space="preserve"> let v populaci. </w:t>
      </w:r>
      <w:r w:rsidR="00D27076">
        <w:t>Mezi roky 2012 a 2013 narostl tento podíl u všech krajů minimálně o 0,5 procentního bodu</w:t>
      </w:r>
      <w:r w:rsidR="004864E9">
        <w:t>, přičemž nejvýraznější nárůst zaznamenaly Karlovarský (o 0,</w:t>
      </w:r>
      <w:r w:rsidR="005D4F41">
        <w:t>8 p</w:t>
      </w:r>
      <w:r w:rsidR="00854A58">
        <w:t>. b.</w:t>
      </w:r>
      <w:r w:rsidR="005D4F41">
        <w:t>), Ústecký a L</w:t>
      </w:r>
      <w:r w:rsidR="004864E9">
        <w:t>iberecký kraj (oba o</w:t>
      </w:r>
      <w:r w:rsidR="00BD5E87">
        <w:t> </w:t>
      </w:r>
      <w:r w:rsidR="004864E9">
        <w:t xml:space="preserve">0,7 </w:t>
      </w:r>
      <w:r w:rsidR="00854A58">
        <w:t>p. b.</w:t>
      </w:r>
      <w:r w:rsidR="004864E9">
        <w:t>).</w:t>
      </w:r>
      <w:r w:rsidR="005D4F41">
        <w:t xml:space="preserve"> V roce 2013 dosahoval podíl postproduktivní složky populace nejvyšších hodnot v Královéhradeckém kraji (18,4 %), Hl. m. Praze (18,1 %) a Plzeňském kraji (17,9 %)</w:t>
      </w:r>
      <w:r w:rsidR="00941281">
        <w:t>, naopak nejnižších ve Středočeském (16,3 %), Ústeckém (16,4 %) a Karlovarském kraji (16,8 %).</w:t>
      </w:r>
    </w:p>
    <w:p w:rsidR="00215852" w:rsidRDefault="00215852"/>
    <w:p w:rsidR="00215852" w:rsidRDefault="00215852" w:rsidP="00215852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.3 Index stáří v krajích, 2003–2013 (k 31. 12.)</w:t>
      </w:r>
    </w:p>
    <w:tbl>
      <w:tblPr>
        <w:tblW w:w="9639" w:type="dxa"/>
        <w:tblCellMar>
          <w:left w:w="0" w:type="dxa"/>
          <w:right w:w="142" w:type="dxa"/>
        </w:tblCellMar>
        <w:tblLook w:val="0000"/>
      </w:tblPr>
      <w:tblGrid>
        <w:gridCol w:w="1679"/>
        <w:gridCol w:w="1138"/>
        <w:gridCol w:w="1137"/>
        <w:gridCol w:w="1137"/>
        <w:gridCol w:w="1137"/>
        <w:gridCol w:w="1137"/>
        <w:gridCol w:w="1137"/>
        <w:gridCol w:w="1137"/>
      </w:tblGrid>
      <w:tr w:rsidR="00215852" w:rsidTr="00B03C2F">
        <w:trPr>
          <w:trHeight w:val="255"/>
        </w:trPr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115,7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130,0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128,3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98,8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116,0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121,8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77,5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113,4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105,1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109,1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123,6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116,1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87,5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119,6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120,2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119,5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123,6</w:t>
            </w:r>
          </w:p>
        </w:tc>
      </w:tr>
      <w:tr w:rsidR="00215852" w:rsidTr="00B03C2F">
        <w:trPr>
          <w:trHeight w:hRule="exact" w:val="238"/>
        </w:trPr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852" w:rsidRDefault="00215852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15852" w:rsidRDefault="00215852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116,0</w:t>
            </w:r>
          </w:p>
        </w:tc>
      </w:tr>
    </w:tbl>
    <w:p w:rsidR="00215852" w:rsidRDefault="00215852" w:rsidP="00215852">
      <w:pPr>
        <w:spacing w:after="60"/>
      </w:pPr>
    </w:p>
    <w:p w:rsidR="0017001E" w:rsidRDefault="000048D4">
      <w:r>
        <w:t>Hodnota indexu stáří, který vztahuje počet osob ve věku 65 let a více na 100 dětí do 14. roku života</w:t>
      </w:r>
      <w:r w:rsidR="00BD5E87">
        <w:t xml:space="preserve"> vč.</w:t>
      </w:r>
      <w:r>
        <w:t xml:space="preserve">, za posledních deset let výrazně vzrostla z 91,6 v roce 2003 na 115,7 v roce </w:t>
      </w:r>
      <w:r w:rsidR="00917EF5">
        <w:t>2013.</w:t>
      </w:r>
      <w:r w:rsidR="005D5280">
        <w:t xml:space="preserve"> Více osob v postproduktivním než v dětském věku je v ČR od roku 2006. V jednotlivých krajích ale byl nárůst poměrně diferencovaný</w:t>
      </w:r>
      <w:r w:rsidR="007950E7">
        <w:t xml:space="preserve"> a ne všude plynulý</w:t>
      </w:r>
      <w:r w:rsidR="005D5280">
        <w:t xml:space="preserve">. Zatímco v Hl. m. Praze </w:t>
      </w:r>
      <w:r w:rsidR="00BD5E87">
        <w:t xml:space="preserve">(kde byla nejvyšší) </w:t>
      </w:r>
      <w:r w:rsidR="005D5280">
        <w:t xml:space="preserve">a Středočeském kraji se hodnota indexu zvýšila o 3,3, respektive 5,9 procentních bodů, tak u všech dalších krajů byl zaznamenán nárůst minimálně o dvacet procentních bodů. Došlo </w:t>
      </w:r>
      <w:r w:rsidR="00D91CC2">
        <w:t xml:space="preserve">přitom </w:t>
      </w:r>
      <w:r w:rsidR="005D5280">
        <w:t>k</w:t>
      </w:r>
      <w:r w:rsidR="00BE4DE0">
        <w:t xml:space="preserve"> větší </w:t>
      </w:r>
      <w:r w:rsidR="005D5280">
        <w:t xml:space="preserve">homogenizaci hodnot tohoto ukazatele napříč kraji. </w:t>
      </w:r>
      <w:r w:rsidR="00EB7808">
        <w:t>Nejvyšší</w:t>
      </w:r>
      <w:r w:rsidR="00953043">
        <w:t>ch hodnot indexu</w:t>
      </w:r>
      <w:r w:rsidR="00EB7808">
        <w:t xml:space="preserve"> dosahovaly v roce 2013 Hl. m. Praha (128,3), Královéhradecký (123,6) a Zlínský kraj (123,6).</w:t>
      </w:r>
      <w:r w:rsidR="00953043">
        <w:t xml:space="preserve"> Jediným krajem, kde bylo stále více osob v dětské složce populace, byl kraj Středočeský (hodnota indexu 98,8) a mezi další kraje s nízkou hodnotou indexu patřily Ústecký (105,1) a Liberecký (109,1).</w:t>
      </w:r>
      <w:r w:rsidR="00A81B7C">
        <w:t xml:space="preserve"> Mezi posledními dvěma sledovanými roky byl zaznamenán pokles indexu pouze v Hl. m. Praze (o 0,9 procentního bodu) a nejvyšší nárůst v Karlovarském a Ústeckém kraji (přes 4 </w:t>
      </w:r>
      <w:r w:rsidR="00854A58">
        <w:t>p. b.</w:t>
      </w:r>
      <w:r w:rsidR="00A81B7C">
        <w:t xml:space="preserve">).  </w:t>
      </w:r>
    </w:p>
    <w:p w:rsidR="0017001E" w:rsidRDefault="0017001E"/>
    <w:p w:rsidR="0017001E" w:rsidRDefault="0017001E" w:rsidP="0017001E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.4 Index ekonomické závislosti* v krajích, 2003–2013 (k 31. 12.)</w:t>
      </w:r>
    </w:p>
    <w:tbl>
      <w:tblPr>
        <w:tblW w:w="9639" w:type="dxa"/>
        <w:tblCellMar>
          <w:left w:w="0" w:type="dxa"/>
          <w:right w:w="142" w:type="dxa"/>
        </w:tblCellMar>
        <w:tblLook w:val="0000"/>
      </w:tblPr>
      <w:tblGrid>
        <w:gridCol w:w="1687"/>
        <w:gridCol w:w="1146"/>
        <w:gridCol w:w="1145"/>
        <w:gridCol w:w="1145"/>
        <w:gridCol w:w="1145"/>
        <w:gridCol w:w="1145"/>
        <w:gridCol w:w="1145"/>
        <w:gridCol w:w="1145"/>
      </w:tblGrid>
      <w:tr w:rsidR="0017001E" w:rsidTr="00C32251">
        <w:trPr>
          <w:trHeight w:val="255"/>
        </w:trPr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36,9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33,3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32,9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33,5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37,3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37,2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36,9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36,4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34,8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36,9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37,3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38,1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37,5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37,5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37,0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37,1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37,0</w:t>
            </w:r>
          </w:p>
        </w:tc>
      </w:tr>
      <w:tr w:rsidR="0017001E" w:rsidTr="00C32251">
        <w:trPr>
          <w:trHeight w:hRule="exact" w:val="238"/>
        </w:trPr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36,5</w:t>
            </w:r>
          </w:p>
        </w:tc>
      </w:tr>
    </w:tbl>
    <w:p w:rsidR="00C32251" w:rsidRDefault="00C32251" w:rsidP="00C32251">
      <w:pPr>
        <w:pStyle w:val="Titulek"/>
        <w:spacing w:before="60" w:after="0"/>
      </w:pPr>
      <w:r w:rsidRPr="00541030">
        <w:rPr>
          <w:rFonts w:cs="Arial"/>
          <w:b w:val="0"/>
          <w:bCs w:val="0"/>
          <w:i/>
          <w:sz w:val="16"/>
          <w:szCs w:val="16"/>
        </w:rPr>
        <w:t>*</w:t>
      </w:r>
      <w:r>
        <w:rPr>
          <w:rFonts w:cs="Arial"/>
          <w:b w:val="0"/>
          <w:bCs w:val="0"/>
          <w:i/>
          <w:sz w:val="16"/>
          <w:szCs w:val="16"/>
        </w:rPr>
        <w:t xml:space="preserve"> P</w:t>
      </w:r>
      <w:r w:rsidRPr="00541030">
        <w:rPr>
          <w:rFonts w:cs="Arial"/>
          <w:b w:val="0"/>
          <w:bCs w:val="0"/>
          <w:i/>
          <w:sz w:val="16"/>
          <w:szCs w:val="16"/>
        </w:rPr>
        <w:t>očet osob ve věku 0</w:t>
      </w:r>
      <w:r w:rsidR="00EB049F">
        <w:rPr>
          <w:rFonts w:cs="Arial"/>
          <w:b w:val="0"/>
          <w:bCs w:val="0"/>
          <w:i/>
          <w:sz w:val="16"/>
          <w:szCs w:val="16"/>
        </w:rPr>
        <w:t>-</w:t>
      </w:r>
      <w:r w:rsidRPr="00541030">
        <w:rPr>
          <w:rFonts w:cs="Arial"/>
          <w:b w:val="0"/>
          <w:bCs w:val="0"/>
          <w:i/>
          <w:sz w:val="16"/>
          <w:szCs w:val="16"/>
        </w:rPr>
        <w:t>19 let a 65 a více let na 100 osob ve věku 20-64 let</w:t>
      </w:r>
      <w:r>
        <w:rPr>
          <w:rFonts w:cs="Arial"/>
          <w:b w:val="0"/>
          <w:bCs w:val="0"/>
          <w:i/>
          <w:sz w:val="16"/>
          <w:szCs w:val="16"/>
        </w:rPr>
        <w:t>.</w:t>
      </w:r>
    </w:p>
    <w:p w:rsidR="007F4192" w:rsidRDefault="00953043" w:rsidP="0017001E">
      <w:pPr>
        <w:spacing w:after="60"/>
      </w:pPr>
      <w:r>
        <w:t xml:space="preserve"> </w:t>
      </w:r>
      <w:r w:rsidR="00917EF5">
        <w:t xml:space="preserve"> </w:t>
      </w:r>
      <w:r w:rsidR="000048D4">
        <w:t xml:space="preserve">   </w:t>
      </w:r>
      <w:r w:rsidR="005D4F41">
        <w:t xml:space="preserve">  </w:t>
      </w:r>
      <w:r w:rsidR="004864E9">
        <w:t xml:space="preserve"> </w:t>
      </w:r>
      <w:r w:rsidR="00CD7C10">
        <w:t xml:space="preserve"> </w:t>
      </w:r>
    </w:p>
    <w:p w:rsidR="00E24A96" w:rsidRDefault="00E24A96" w:rsidP="00E24A96">
      <w:r>
        <w:t xml:space="preserve">Index ekonomické </w:t>
      </w:r>
      <w:r w:rsidR="00BD5E87">
        <w:t>závislosti</w:t>
      </w:r>
      <w:r>
        <w:t xml:space="preserve"> vztahuje osoby v obvykle neproduktivním věku (0–19 a 65 let a více) k populaci v produktivním věku (20–64 let). Nižší hodnoty ukazatele tedy svědčí o menším ekonomické</w:t>
      </w:r>
      <w:r w:rsidR="00BE4DE0">
        <w:t>m</w:t>
      </w:r>
      <w:r>
        <w:t xml:space="preserve"> zatížení </w:t>
      </w:r>
      <w:r w:rsidR="007950E7">
        <w:t xml:space="preserve">daného </w:t>
      </w:r>
      <w:r>
        <w:t>kraj</w:t>
      </w:r>
      <w:r w:rsidR="007950E7">
        <w:t>e</w:t>
      </w:r>
      <w:r>
        <w:t xml:space="preserve"> v kontextu věkové struktury. Mezi kraje s nejnižší hodnotou tohoto indexu patřil</w:t>
      </w:r>
      <w:r w:rsidR="00A20607">
        <w:t>y</w:t>
      </w:r>
      <w:r>
        <w:t xml:space="preserve"> v roce 2013 Hl. m. Praha (35,8), Karlovarský (36,4) a Moravskoslezský kraj (36,5). </w:t>
      </w:r>
      <w:r w:rsidR="00EB10F5">
        <w:t>Naopak největší ekonomické zatížení bylo zaznamenáno v </w:t>
      </w:r>
      <w:r w:rsidR="00EB10F5" w:rsidRPr="00EB10F5">
        <w:t>Králo</w:t>
      </w:r>
      <w:r w:rsidR="00EB10F5">
        <w:t xml:space="preserve">véhradeckém (38,1), Pardubickém kraji a </w:t>
      </w:r>
      <w:r w:rsidR="005F3EB5">
        <w:t>Kraji Vysočina</w:t>
      </w:r>
      <w:r w:rsidR="00EB10F5">
        <w:t xml:space="preserve"> (oba 37,5). </w:t>
      </w:r>
      <w:r w:rsidR="00A3024B">
        <w:t xml:space="preserve">V období 2003 až 2008 hodnoty indexu na celorepublikové úrovni klesly z 35,5 na 35,1, aby vzápětí během dalších pěti let narostly na 36,9 v roce 2013. </w:t>
      </w:r>
      <w:r w:rsidR="00264D3D">
        <w:t xml:space="preserve">Oproti roku 2012 šlo o nárůst o 0,4. Nejvýraznější meziroční nárůst byl v Hl. m. Praze (o 0,7) a nejmenší </w:t>
      </w:r>
      <w:r w:rsidR="005F3EB5">
        <w:t>v Kraji Vysočina</w:t>
      </w:r>
      <w:r w:rsidR="00264D3D">
        <w:t xml:space="preserve"> (o 0,2). Variabilita indexu v první pětiletém období vzrostla a v dalším pětiletém období (2008–2013) </w:t>
      </w:r>
      <w:r w:rsidR="00C126D3">
        <w:t xml:space="preserve">variabilita </w:t>
      </w:r>
      <w:r w:rsidR="00264D3D">
        <w:t xml:space="preserve">klesala pod úroveň hodnot z počátku období. </w:t>
      </w:r>
    </w:p>
    <w:p w:rsidR="0017001E" w:rsidRDefault="0017001E" w:rsidP="00E24A96"/>
    <w:p w:rsidR="0017001E" w:rsidRDefault="0017001E" w:rsidP="0017001E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.5 Průměrný věk obyvatel v krajích, 2003–2013 (k 31. 12.)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139"/>
        <w:gridCol w:w="1140"/>
        <w:gridCol w:w="1140"/>
        <w:gridCol w:w="1140"/>
        <w:gridCol w:w="1140"/>
        <w:gridCol w:w="1140"/>
        <w:gridCol w:w="1140"/>
      </w:tblGrid>
      <w:tr w:rsidR="0017001E" w:rsidTr="00B03C2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42,0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40,6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41,6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41,9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41,1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42,0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41,6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41,7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41,7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42,0</w:t>
            </w:r>
          </w:p>
        </w:tc>
      </w:tr>
      <w:tr w:rsidR="0017001E" w:rsidTr="00B03C2F">
        <w:trPr>
          <w:trHeight w:hRule="exact" w:val="238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1E" w:rsidRDefault="0017001E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7001E" w:rsidRDefault="0017001E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41,5</w:t>
            </w:r>
          </w:p>
        </w:tc>
      </w:tr>
    </w:tbl>
    <w:p w:rsidR="0017001E" w:rsidRDefault="0017001E" w:rsidP="0017001E">
      <w:pPr>
        <w:spacing w:after="60"/>
      </w:pPr>
    </w:p>
    <w:p w:rsidR="0017001E" w:rsidRDefault="0017001E" w:rsidP="0017001E">
      <w:pPr>
        <w:pStyle w:val="Titulek"/>
        <w:spacing w:before="0" w:after="60"/>
      </w:pPr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>
        <w:rPr>
          <w:noProof/>
        </w:rPr>
        <w:t>8</w:t>
      </w:r>
      <w:r w:rsidR="007042FA">
        <w:fldChar w:fldCharType="end"/>
      </w:r>
      <w:r>
        <w:t>.</w:t>
      </w:r>
      <w:fldSimple w:instr=" SEQ Obr. \* ARABIC \s 1 ">
        <w:r>
          <w:rPr>
            <w:noProof/>
          </w:rPr>
          <w:t>1</w:t>
        </w:r>
      </w:fldSimple>
      <w:r>
        <w:t xml:space="preserve"> Relativní věková struktura kraje s nejvyšší a nejnižší hodnotou indexu stáří, 31. 12. 2013</w:t>
      </w:r>
    </w:p>
    <w:p w:rsidR="0017001E" w:rsidRDefault="00FA1966" w:rsidP="001700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373.5pt">
            <v:imagedata r:id="rId8" o:title=""/>
          </v:shape>
        </w:pict>
      </w:r>
    </w:p>
    <w:p w:rsidR="0017001E" w:rsidRDefault="0017001E" w:rsidP="0017001E">
      <w:pPr>
        <w:spacing w:after="60"/>
      </w:pPr>
    </w:p>
    <w:p w:rsidR="004A2F5A" w:rsidRDefault="00BB469B" w:rsidP="00E24A96">
      <w:r>
        <w:t>Průměrný věk obyvatelstva ČR narostl mezi roky</w:t>
      </w:r>
      <w:r w:rsidR="00992C49">
        <w:t xml:space="preserve"> 2003 a 2013 z 39,5 let na 41,5 roku. V posledním roce vzrostl o 0,2 roku, přičemž růst průměrného věku nastal ve všech krajích (v rozmezí 0,1 až 0,3 roku). Variabilita průměrného věku mezi kraji za posledních deset let klesla. Nejméně v období 2003 až 2013 zestárlo obyvatelstvo v Hl. m. Praze (o 0,4 roku) a ve Středočeském kraji (o 0,9 roku), naopak nejvíce v Karlovarském kraji (o 3,0 roku).</w:t>
      </w:r>
      <w:r w:rsidR="002E32D0">
        <w:t xml:space="preserve"> Nejstarším</w:t>
      </w:r>
      <w:r w:rsidR="007950E7">
        <w:t>i</w:t>
      </w:r>
      <w:r w:rsidR="002E32D0">
        <w:t xml:space="preserve"> kraj</w:t>
      </w:r>
      <w:r w:rsidR="007950E7">
        <w:t>i</w:t>
      </w:r>
      <w:r w:rsidR="002E32D0">
        <w:t xml:space="preserve"> </w:t>
      </w:r>
      <w:r w:rsidR="007950E7">
        <w:t xml:space="preserve">byly na konci roku </w:t>
      </w:r>
      <w:r w:rsidR="002E32D0">
        <w:t>2013 Královéhradecký kraj, Hl. m. Prah</w:t>
      </w:r>
      <w:r w:rsidR="007950E7">
        <w:t>a</w:t>
      </w:r>
      <w:r w:rsidR="002E32D0">
        <w:t xml:space="preserve"> </w:t>
      </w:r>
      <w:r w:rsidR="007950E7">
        <w:t xml:space="preserve">a </w:t>
      </w:r>
      <w:r w:rsidR="002E32D0">
        <w:t>Zlínský kraj</w:t>
      </w:r>
      <w:r w:rsidR="007950E7">
        <w:t xml:space="preserve">, kde průměrný věk obyvatel dosáhl </w:t>
      </w:r>
      <w:r w:rsidR="002E32D0">
        <w:t>42,0 roku. Nejmladší p</w:t>
      </w:r>
      <w:r>
        <w:t>otom byly Středočeský (40,6 let</w:t>
      </w:r>
      <w:r w:rsidR="002E32D0">
        <w:t>), Ústecký (40,9 let) a Liberecký kraj (41,1 let).</w:t>
      </w:r>
    </w:p>
    <w:p w:rsidR="00264D3D" w:rsidRDefault="002E32D0" w:rsidP="00E24A96">
      <w:r>
        <w:t xml:space="preserve"> </w:t>
      </w:r>
    </w:p>
    <w:p w:rsidR="00CC1172" w:rsidRDefault="006B6C97" w:rsidP="0017001E">
      <w:pPr>
        <w:pStyle w:val="Titulek"/>
        <w:spacing w:before="0" w:after="0"/>
        <w:rPr>
          <w:b w:val="0"/>
        </w:rPr>
      </w:pPr>
      <w:r>
        <w:rPr>
          <w:b w:val="0"/>
        </w:rPr>
        <w:t>Hl. m. Praha je krajem (k</w:t>
      </w:r>
      <w:r w:rsidR="00ED7B96">
        <w:rPr>
          <w:b w:val="0"/>
        </w:rPr>
        <w:t>e konci</w:t>
      </w:r>
      <w:r>
        <w:rPr>
          <w:b w:val="0"/>
        </w:rPr>
        <w:t xml:space="preserve"> roku 2013) s nejnižším podílem dětské složky, nejvyšší hodnotou indexu stáří, druhým nejvyšším podíl</w:t>
      </w:r>
      <w:r w:rsidR="00ED7B96">
        <w:rPr>
          <w:b w:val="0"/>
        </w:rPr>
        <w:t>em</w:t>
      </w:r>
      <w:r>
        <w:rPr>
          <w:b w:val="0"/>
        </w:rPr>
        <w:t xml:space="preserve"> osob ve věku 65 let a více a druhým nejvyšším průměrným věkem. Zejména díky častějšímu zastoupení </w:t>
      </w:r>
      <w:r w:rsidR="00BD5E87">
        <w:rPr>
          <w:b w:val="0"/>
        </w:rPr>
        <w:t>osob</w:t>
      </w:r>
      <w:r>
        <w:rPr>
          <w:b w:val="0"/>
        </w:rPr>
        <w:t xml:space="preserve"> v produktivním věku má nejnižší hodnotu indexu ekonomické </w:t>
      </w:r>
      <w:r w:rsidR="00BD5E87">
        <w:rPr>
          <w:b w:val="0"/>
        </w:rPr>
        <w:t>závislosti</w:t>
      </w:r>
      <w:r>
        <w:rPr>
          <w:b w:val="0"/>
        </w:rPr>
        <w:t>.</w:t>
      </w:r>
      <w:r w:rsidR="00DD6F21">
        <w:rPr>
          <w:b w:val="0"/>
        </w:rPr>
        <w:t xml:space="preserve"> Spolu s Královéhradeckým krajem ji lze považovat za věkově nejstarší kraj ČR. Královéhradecký kraj má sice vyšší podíl osob v postproduktivním věku a vyšší průměrný věk, nicméně podíl dětské složky se </w:t>
      </w:r>
      <w:r w:rsidR="00ED7B96">
        <w:rPr>
          <w:b w:val="0"/>
        </w:rPr>
        <w:t xml:space="preserve">zde </w:t>
      </w:r>
      <w:r w:rsidR="00DD6F21">
        <w:rPr>
          <w:b w:val="0"/>
        </w:rPr>
        <w:t>pohybuje okolo hodnot za ČR.</w:t>
      </w:r>
      <w:r w:rsidR="00F84FB2">
        <w:rPr>
          <w:b w:val="0"/>
        </w:rPr>
        <w:t xml:space="preserve"> Středočeský kraj je oproti tomu bezpochyby nejmladším krajem ČR s nejvyšším podílem dětské složky, nejnižší hodnotou indexu stáří, nejnižším zastoupením osob v postproduktním věku a </w:t>
      </w:r>
      <w:r w:rsidR="00ED7B96">
        <w:rPr>
          <w:b w:val="0"/>
        </w:rPr>
        <w:t xml:space="preserve">nejnižším </w:t>
      </w:r>
      <w:r w:rsidR="00F84FB2">
        <w:rPr>
          <w:b w:val="0"/>
        </w:rPr>
        <w:t>průměrným věkem</w:t>
      </w:r>
      <w:r w:rsidR="00292987">
        <w:rPr>
          <w:b w:val="0"/>
        </w:rPr>
        <w:t>. Druhým nejmladším krajem podle všech těchto ukazatelů byl Ústecký.</w:t>
      </w:r>
      <w:r w:rsidR="00F84FB2">
        <w:rPr>
          <w:b w:val="0"/>
        </w:rPr>
        <w:t xml:space="preserve"> </w:t>
      </w:r>
    </w:p>
    <w:p w:rsidR="00CC1172" w:rsidRDefault="00CC1172" w:rsidP="00CC1172">
      <w:pPr>
        <w:pStyle w:val="Titulek"/>
        <w:spacing w:before="0" w:after="0"/>
        <w:rPr>
          <w:b w:val="0"/>
        </w:rPr>
      </w:pPr>
    </w:p>
    <w:p w:rsidR="00CC1172" w:rsidRPr="00CC1172" w:rsidRDefault="00CC1172" w:rsidP="00CC1172">
      <w:r>
        <w:t>Rozdíly ve věkové struktuře mezi Hl. m. Prahou a Středočeským krajem byly v roce 2013 dány diferencemi v</w:t>
      </w:r>
      <w:r w:rsidR="008169CD">
        <w:t> </w:t>
      </w:r>
      <w:r>
        <w:t>mladším</w:t>
      </w:r>
      <w:r w:rsidR="008169CD">
        <w:t xml:space="preserve"> věku</w:t>
      </w:r>
      <w:r>
        <w:t xml:space="preserve"> a zhruba v první polovině produktivního věku.</w:t>
      </w:r>
      <w:r w:rsidR="008169CD">
        <w:t xml:space="preserve"> Relativní zastoupení osob</w:t>
      </w:r>
      <w:r w:rsidR="00D91CC2">
        <w:t xml:space="preserve"> (kdy výsledky nejsou ovlivněny </w:t>
      </w:r>
      <w:r w:rsidR="00A8688C">
        <w:t>odlišný</w:t>
      </w:r>
      <w:r w:rsidR="00D91CC2">
        <w:t>m</w:t>
      </w:r>
      <w:r w:rsidR="00A8688C">
        <w:t xml:space="preserve"> celkový</w:t>
      </w:r>
      <w:r w:rsidR="00D91CC2">
        <w:t>m počtem</w:t>
      </w:r>
      <w:r w:rsidR="00A8688C">
        <w:t xml:space="preserve"> obyvatel</w:t>
      </w:r>
      <w:r w:rsidR="00D91CC2">
        <w:t>)</w:t>
      </w:r>
      <w:r w:rsidR="00A8688C">
        <w:t xml:space="preserve">  </w:t>
      </w:r>
      <w:r w:rsidR="008169CD">
        <w:t xml:space="preserve">ve věku cca 2 až 22 let bylo vyšší ve Středočeském kraji, zatímco </w:t>
      </w:r>
      <w:r w:rsidR="00A8688C">
        <w:t>ve skupině osob zhruba mezi 25</w:t>
      </w:r>
      <w:r w:rsidR="00ED7B96">
        <w:t>.</w:t>
      </w:r>
      <w:r w:rsidR="00A8688C">
        <w:t xml:space="preserve"> a 38</w:t>
      </w:r>
      <w:r w:rsidR="00ED7B96">
        <w:t>.</w:t>
      </w:r>
      <w:r w:rsidR="00A8688C">
        <w:t xml:space="preserve"> rokem života měl</w:t>
      </w:r>
      <w:r w:rsidR="001910A1">
        <w:t>i</w:t>
      </w:r>
      <w:r w:rsidR="00A8688C">
        <w:t xml:space="preserve"> vyšší relativní zastoupení obyvatelé Hl. m. Prahy.</w:t>
      </w:r>
      <w:r w:rsidR="001F10D5">
        <w:t xml:space="preserve"> Ve vyšších věkových kategoriích byly rozdíly již nižší. </w:t>
      </w:r>
      <w:r w:rsidR="008A3519">
        <w:t xml:space="preserve">Patrné diference se objevily ještě u mužů ve věkové skupině 55 až 67 let, kde měli převahu muži ze </w:t>
      </w:r>
      <w:r w:rsidR="001910A1">
        <w:t>S</w:t>
      </w:r>
      <w:r w:rsidR="008A3519">
        <w:t>tředočeského kraje. V případě obou pohlaví bychom rozpoznatelné rozdíly zaznamenaly ještě ve věcích 67 až 71 let a 80 až 89 let, v obou případech byli častěji zastoupeni obyvatelé Hl. m. Prahy.</w:t>
      </w:r>
      <w:r w:rsidR="001F10D5">
        <w:t xml:space="preserve"> </w:t>
      </w:r>
      <w:r w:rsidR="00A8688C">
        <w:t xml:space="preserve">  </w:t>
      </w:r>
      <w:r w:rsidR="008169CD">
        <w:t xml:space="preserve">  </w:t>
      </w:r>
      <w:r>
        <w:t xml:space="preserve"> </w:t>
      </w:r>
    </w:p>
    <w:p w:rsidR="006C4676" w:rsidRDefault="006C4676" w:rsidP="000B3971">
      <w:pPr>
        <w:pStyle w:val="Titulek"/>
        <w:spacing w:before="0" w:after="0"/>
      </w:pPr>
    </w:p>
    <w:p w:rsidR="007F4192" w:rsidRDefault="00310396" w:rsidP="006C4676">
      <w:pPr>
        <w:pStyle w:val="Nadpis2"/>
        <w:ind w:left="578" w:hanging="578"/>
      </w:pPr>
      <w:r>
        <w:t>Sňatečnost</w:t>
      </w:r>
    </w:p>
    <w:p w:rsidR="00037505" w:rsidRDefault="00D50AE1">
      <w:pPr>
        <w:pStyle w:val="Zpat"/>
        <w:tabs>
          <w:tab w:val="clear" w:pos="4536"/>
          <w:tab w:val="clear" w:pos="9072"/>
        </w:tabs>
        <w:rPr>
          <w:szCs w:val="20"/>
        </w:rPr>
      </w:pPr>
      <w:r>
        <w:rPr>
          <w:szCs w:val="20"/>
        </w:rPr>
        <w:t xml:space="preserve">Počet sňatků v ČR mezi roky 2003 a 2007 vzrostl z 48 943 na 57 157. Poté následoval pokles (s výjimkou </w:t>
      </w:r>
      <w:r w:rsidR="001910A1">
        <w:rPr>
          <w:szCs w:val="20"/>
        </w:rPr>
        <w:t>stagnace</w:t>
      </w:r>
      <w:r>
        <w:rPr>
          <w:szCs w:val="20"/>
        </w:rPr>
        <w:t xml:space="preserve"> v roce 2012) až na 43 499 sňatků v roce 2013. </w:t>
      </w:r>
      <w:r w:rsidR="00560DE2">
        <w:rPr>
          <w:szCs w:val="20"/>
        </w:rPr>
        <w:t xml:space="preserve">Na poklesu počtu sňatků mezi roky 2003 až 2013 se nejvíce podílelo snížení počtu sňatků v Hl. m. Praze (o 936), Ústeckém (o 835) a Moravskoslezském (o 670) kraji. Naopak nejméně se snížil počet svateb ve Zlínském kraji (o 113). </w:t>
      </w:r>
      <w:r>
        <w:rPr>
          <w:szCs w:val="20"/>
        </w:rPr>
        <w:t>Mezi posledními dvěma sledovanými roky došlo ke snížení počtu sňatků o 1 707.</w:t>
      </w:r>
      <w:r w:rsidR="00A265D6">
        <w:rPr>
          <w:szCs w:val="20"/>
        </w:rPr>
        <w:t xml:space="preserve"> Pouze ve dvou krajích došlo k mírnému meziročnímu růstu počtu sňatků, v Jihomoravském a Karlovarském kraji, v ostatních případech se počty sňatků snižovaly. Nejvíce sňatků v roce 2013 </w:t>
      </w:r>
      <w:r w:rsidR="001866CD">
        <w:rPr>
          <w:szCs w:val="20"/>
        </w:rPr>
        <w:t xml:space="preserve">uzavřeli obyvatelé </w:t>
      </w:r>
      <w:r w:rsidR="00A265D6">
        <w:rPr>
          <w:szCs w:val="20"/>
        </w:rPr>
        <w:t>Hl. m. Pra</w:t>
      </w:r>
      <w:r w:rsidR="001866CD">
        <w:rPr>
          <w:szCs w:val="20"/>
        </w:rPr>
        <w:t>hy</w:t>
      </w:r>
      <w:r w:rsidR="00A265D6">
        <w:rPr>
          <w:szCs w:val="20"/>
        </w:rPr>
        <w:t xml:space="preserve"> (5 531), Středočeské</w:t>
      </w:r>
      <w:r w:rsidR="001866CD">
        <w:rPr>
          <w:szCs w:val="20"/>
        </w:rPr>
        <w:t>ho</w:t>
      </w:r>
      <w:r w:rsidR="00A265D6">
        <w:rPr>
          <w:szCs w:val="20"/>
        </w:rPr>
        <w:t xml:space="preserve"> (5 252) a </w:t>
      </w:r>
      <w:r w:rsidR="00E62517">
        <w:rPr>
          <w:szCs w:val="20"/>
        </w:rPr>
        <w:t>Jihomoravs</w:t>
      </w:r>
      <w:r w:rsidR="00A265D6">
        <w:rPr>
          <w:szCs w:val="20"/>
        </w:rPr>
        <w:t>ké</w:t>
      </w:r>
      <w:r w:rsidR="001866CD">
        <w:rPr>
          <w:szCs w:val="20"/>
        </w:rPr>
        <w:t>ho</w:t>
      </w:r>
      <w:r w:rsidR="00A265D6">
        <w:rPr>
          <w:szCs w:val="20"/>
        </w:rPr>
        <w:t xml:space="preserve"> (5 043) kraj</w:t>
      </w:r>
      <w:r w:rsidR="001866CD">
        <w:rPr>
          <w:szCs w:val="20"/>
        </w:rPr>
        <w:t>e</w:t>
      </w:r>
      <w:r w:rsidR="00A265D6">
        <w:rPr>
          <w:szCs w:val="20"/>
        </w:rPr>
        <w:t>. Naopak nejméně sňatků bylo</w:t>
      </w:r>
      <w:r w:rsidR="001866CD">
        <w:rPr>
          <w:szCs w:val="20"/>
        </w:rPr>
        <w:t xml:space="preserve"> u obyvatel</w:t>
      </w:r>
      <w:r w:rsidR="00A265D6">
        <w:rPr>
          <w:szCs w:val="20"/>
        </w:rPr>
        <w:t xml:space="preserve"> Karlovarské</w:t>
      </w:r>
      <w:r w:rsidR="001866CD">
        <w:rPr>
          <w:szCs w:val="20"/>
        </w:rPr>
        <w:t>ho</w:t>
      </w:r>
      <w:r w:rsidR="00A265D6">
        <w:rPr>
          <w:szCs w:val="20"/>
        </w:rPr>
        <w:t xml:space="preserve"> (1 300) a Liberecké</w:t>
      </w:r>
      <w:r w:rsidR="001866CD">
        <w:rPr>
          <w:szCs w:val="20"/>
        </w:rPr>
        <w:t>ho</w:t>
      </w:r>
      <w:r w:rsidR="00A265D6">
        <w:rPr>
          <w:szCs w:val="20"/>
        </w:rPr>
        <w:t xml:space="preserve"> (1 877) kraj</w:t>
      </w:r>
      <w:r w:rsidR="001866CD">
        <w:rPr>
          <w:szCs w:val="20"/>
        </w:rPr>
        <w:t>e</w:t>
      </w:r>
      <w:r w:rsidR="00A265D6">
        <w:rPr>
          <w:szCs w:val="20"/>
        </w:rPr>
        <w:t xml:space="preserve">. Počet sňatků v jednotlivých krajích byl pochopitelně výrazněn ovlivněn rozdílným počtem obyvatel. </w:t>
      </w:r>
      <w:r>
        <w:rPr>
          <w:szCs w:val="20"/>
        </w:rPr>
        <w:t xml:space="preserve"> </w:t>
      </w:r>
    </w:p>
    <w:p w:rsidR="00292987" w:rsidRDefault="00292987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292987" w:rsidRDefault="00292987" w:rsidP="00292987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.6 Sňatky v krajích</w:t>
      </w:r>
      <w:r>
        <w:rPr>
          <w:rFonts w:cs="Arial"/>
          <w:b w:val="0"/>
          <w:bCs w:val="0"/>
          <w:sz w:val="16"/>
          <w:szCs w:val="16"/>
          <w:vertAlign w:val="superscript"/>
        </w:rPr>
        <w:t>1)</w:t>
      </w:r>
      <w:r>
        <w:t>, 2003–2013</w:t>
      </w:r>
    </w:p>
    <w:tbl>
      <w:tblPr>
        <w:tblW w:w="9639" w:type="dxa"/>
        <w:tblInd w:w="10" w:type="dxa"/>
        <w:tblCellMar>
          <w:left w:w="0" w:type="dxa"/>
          <w:right w:w="0" w:type="dxa"/>
        </w:tblCellMar>
        <w:tblLook w:val="0000"/>
      </w:tblPr>
      <w:tblGrid>
        <w:gridCol w:w="1553"/>
        <w:gridCol w:w="810"/>
        <w:gridCol w:w="810"/>
        <w:gridCol w:w="810"/>
        <w:gridCol w:w="810"/>
        <w:gridCol w:w="810"/>
        <w:gridCol w:w="810"/>
        <w:gridCol w:w="813"/>
        <w:gridCol w:w="821"/>
        <w:gridCol w:w="821"/>
        <w:gridCol w:w="821"/>
      </w:tblGrid>
      <w:tr w:rsidR="00292987" w:rsidTr="00B03C2F">
        <w:trPr>
          <w:trHeight w:val="268"/>
        </w:trPr>
        <w:tc>
          <w:tcPr>
            <w:tcW w:w="15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2987" w:rsidRDefault="00292987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92987" w:rsidRDefault="00292987" w:rsidP="00B03C2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Sňatky celkem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92987" w:rsidRDefault="00292987" w:rsidP="00B03C2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Protogamní sňatky</w:t>
            </w:r>
            <w:r w:rsidRPr="00C65467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(%)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2987" w:rsidRDefault="00292987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2013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48 943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51 829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52 457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46 746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45 137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45 206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43 499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66,4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6 467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6 777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6 580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5 531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67,2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6 320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63,9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66,8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63,2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57,6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4 320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4 477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56,8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1 877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63,8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66,2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2 057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68,0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73,5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4 894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4 973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70,4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3 098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2 632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69,0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2 383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74,2</w:t>
            </w:r>
          </w:p>
        </w:tc>
      </w:tr>
      <w:tr w:rsidR="00292987" w:rsidTr="00B03C2F">
        <w:trPr>
          <w:trHeight w:val="2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6 198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5 199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4 985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65,9</w:t>
            </w:r>
          </w:p>
        </w:tc>
      </w:tr>
    </w:tbl>
    <w:p w:rsidR="00292987" w:rsidRDefault="00292987" w:rsidP="00292987">
      <w:pPr>
        <w:spacing w:before="60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  <w:vertAlign w:val="superscript"/>
        </w:rPr>
        <w:t>1)</w:t>
      </w:r>
      <w:r>
        <w:rPr>
          <w:i/>
          <w:iCs/>
          <w:sz w:val="16"/>
          <w:szCs w:val="20"/>
        </w:rPr>
        <w:t xml:space="preserve"> Podle kraje trvalého pobytu ženicha.</w:t>
      </w:r>
    </w:p>
    <w:p w:rsidR="00292987" w:rsidRDefault="00292987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FE65D4" w:rsidRDefault="00037505">
      <w:pPr>
        <w:pStyle w:val="Zpat"/>
        <w:tabs>
          <w:tab w:val="clear" w:pos="4536"/>
          <w:tab w:val="clear" w:pos="9072"/>
        </w:tabs>
        <w:rPr>
          <w:szCs w:val="20"/>
        </w:rPr>
      </w:pPr>
      <w:r>
        <w:rPr>
          <w:szCs w:val="20"/>
        </w:rPr>
        <w:t xml:space="preserve">Podíl protagamních sňatků (oba snoubenci </w:t>
      </w:r>
      <w:r w:rsidR="00FE65D4">
        <w:rPr>
          <w:szCs w:val="20"/>
        </w:rPr>
        <w:t>byl</w:t>
      </w:r>
      <w:r w:rsidR="001866CD">
        <w:rPr>
          <w:szCs w:val="20"/>
        </w:rPr>
        <w:t>i</w:t>
      </w:r>
      <w:r>
        <w:rPr>
          <w:szCs w:val="20"/>
        </w:rPr>
        <w:t xml:space="preserve"> svobodní) se na celorepublikové úrovni pohyboval okolo dvou třetin. Vývoj podílu tohoto typu sňatků za posledních des</w:t>
      </w:r>
      <w:r w:rsidR="000E20D8">
        <w:rPr>
          <w:szCs w:val="20"/>
        </w:rPr>
        <w:t>et let neměl jednoznačný trend, nicméně od roku 2011 došlo k nárůstu jejich zastoupení.</w:t>
      </w:r>
      <w:r w:rsidR="00042D22">
        <w:rPr>
          <w:szCs w:val="20"/>
        </w:rPr>
        <w:t xml:space="preserve"> Mezi regiony s nejvyšším podílem protogamních sňatků patří Zlínský kraj (74,2 %), </w:t>
      </w:r>
      <w:r w:rsidR="005F3EB5">
        <w:rPr>
          <w:szCs w:val="20"/>
        </w:rPr>
        <w:t xml:space="preserve">Kraj </w:t>
      </w:r>
      <w:r w:rsidR="00042D22">
        <w:rPr>
          <w:szCs w:val="20"/>
        </w:rPr>
        <w:t>Vysočina (73,5 %) a Jihomoravský kraj (70,4 %).</w:t>
      </w:r>
      <w:r w:rsidR="00E52706">
        <w:rPr>
          <w:szCs w:val="20"/>
        </w:rPr>
        <w:t xml:space="preserve"> Naopak nejmenší část sňatků na oba svobodné snoubence </w:t>
      </w:r>
      <w:r w:rsidR="00E62517">
        <w:rPr>
          <w:szCs w:val="20"/>
        </w:rPr>
        <w:t>spada</w:t>
      </w:r>
      <w:r w:rsidR="004D76AC">
        <w:rPr>
          <w:szCs w:val="20"/>
        </w:rPr>
        <w:t>la</w:t>
      </w:r>
      <w:r w:rsidR="00E52706">
        <w:rPr>
          <w:szCs w:val="20"/>
        </w:rPr>
        <w:t xml:space="preserve"> v Ústeckém (56,8 %) a Karlovarském kraji (57,6 %).</w:t>
      </w:r>
      <w:r w:rsidR="00FE65D4">
        <w:rPr>
          <w:szCs w:val="20"/>
        </w:rPr>
        <w:t xml:space="preserve"> </w:t>
      </w:r>
    </w:p>
    <w:p w:rsidR="00292987" w:rsidRDefault="00292987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292987" w:rsidRPr="005801F7" w:rsidRDefault="00292987" w:rsidP="00292987">
      <w:pPr>
        <w:pStyle w:val="Titulek"/>
        <w:spacing w:before="0" w:after="60"/>
      </w:pPr>
      <w:r w:rsidRPr="005801F7">
        <w:t xml:space="preserve">Tab. </w:t>
      </w:r>
      <w:fldSimple w:instr=" STYLEREF 1 \s ">
        <w:r>
          <w:rPr>
            <w:noProof/>
          </w:rPr>
          <w:t>8</w:t>
        </w:r>
      </w:fldSimple>
      <w:r w:rsidRPr="005801F7">
        <w:t>.</w:t>
      </w:r>
      <w:r>
        <w:t>7</w:t>
      </w:r>
      <w:r w:rsidRPr="005801F7">
        <w:t xml:space="preserve"> Index sňatečnosti svobodných</w:t>
      </w:r>
      <w:r>
        <w:t>*</w:t>
      </w:r>
      <w:r w:rsidRPr="005801F7">
        <w:t xml:space="preserve"> v</w:t>
      </w:r>
      <w:r>
        <w:t> </w:t>
      </w:r>
      <w:r w:rsidRPr="005801F7">
        <w:t>krajích</w:t>
      </w:r>
      <w:r>
        <w:t xml:space="preserve"> (ČR=100), 2003–2013</w:t>
      </w:r>
    </w:p>
    <w:tbl>
      <w:tblPr>
        <w:tblW w:w="9639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1512"/>
        <w:gridCol w:w="573"/>
        <w:gridCol w:w="573"/>
        <w:gridCol w:w="573"/>
        <w:gridCol w:w="573"/>
        <w:gridCol w:w="572"/>
        <w:gridCol w:w="572"/>
        <w:gridCol w:w="573"/>
        <w:gridCol w:w="588"/>
        <w:gridCol w:w="588"/>
        <w:gridCol w:w="588"/>
        <w:gridCol w:w="588"/>
        <w:gridCol w:w="588"/>
        <w:gridCol w:w="588"/>
        <w:gridCol w:w="590"/>
      </w:tblGrid>
      <w:tr w:rsidR="00292987" w:rsidTr="00B03C2F">
        <w:trPr>
          <w:trHeight w:val="255"/>
        </w:trPr>
        <w:tc>
          <w:tcPr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987" w:rsidRDefault="00292987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92987" w:rsidRDefault="00292987" w:rsidP="00B03C2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92987" w:rsidRDefault="00292987" w:rsidP="00B03C2F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Ženy 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2987" w:rsidRDefault="00292987" w:rsidP="00B03C2F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92,3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97,4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102,3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100,3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95,2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85,5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104,0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103,0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101,1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107,1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105,0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103,1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112,2</w:t>
            </w:r>
          </w:p>
        </w:tc>
      </w:tr>
      <w:tr w:rsidR="00292987" w:rsidTr="00B03C2F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987" w:rsidRDefault="00292987" w:rsidP="00B03C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92987" w:rsidRDefault="00292987" w:rsidP="00B03C2F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100,2</w:t>
            </w:r>
          </w:p>
        </w:tc>
      </w:tr>
    </w:tbl>
    <w:p w:rsidR="00292987" w:rsidRDefault="00292987" w:rsidP="00FE1DE1">
      <w:pPr>
        <w:pStyle w:val="Textkomente"/>
        <w:spacing w:before="60"/>
        <w:jc w:val="left"/>
        <w:rPr>
          <w:i/>
          <w:iCs/>
          <w:sz w:val="16"/>
        </w:rPr>
      </w:pPr>
      <w:r>
        <w:rPr>
          <w:i/>
          <w:iCs/>
          <w:sz w:val="16"/>
        </w:rPr>
        <w:t>* Z důvodu neexistence bilancí podle rodinného stavu na úrovni krajů byly pro hodnocení úrovně sňatečnosti svobodných v krajích prezentovány pouze indexy, udávající vztah výše úhrnné redukované sňatečnosti svobodných (vztažená k obyvatelstvu bez ohledu na rodinný stav a která je výrazně nižší než úhrnná sňatečnost z tabulek sňatečnosti uvedená v kapitole 2 Sňatečnost této publikace) v kraji vzhledem k republikové hodnotě.</w:t>
      </w:r>
    </w:p>
    <w:p w:rsidR="00292987" w:rsidRDefault="00292987" w:rsidP="00292987">
      <w:pPr>
        <w:pStyle w:val="Zpat"/>
        <w:tabs>
          <w:tab w:val="clear" w:pos="4536"/>
          <w:tab w:val="clear" w:pos="9072"/>
        </w:tabs>
        <w:spacing w:after="60"/>
        <w:rPr>
          <w:szCs w:val="20"/>
        </w:rPr>
      </w:pPr>
    </w:p>
    <w:p w:rsidR="008C562B" w:rsidRDefault="005D4EE3">
      <w:pPr>
        <w:pStyle w:val="Zpat"/>
        <w:tabs>
          <w:tab w:val="clear" w:pos="4536"/>
          <w:tab w:val="clear" w:pos="9072"/>
        </w:tabs>
        <w:rPr>
          <w:szCs w:val="20"/>
        </w:rPr>
      </w:pPr>
      <w:r>
        <w:rPr>
          <w:szCs w:val="20"/>
        </w:rPr>
        <w:t>Index sňatečnosti svobodných, který vychází z úhrnné redukované sňatečnosti svobodných, umožňuje zhodnotit mezikrajsk</w:t>
      </w:r>
      <w:r w:rsidR="00225B70">
        <w:rPr>
          <w:szCs w:val="20"/>
        </w:rPr>
        <w:t>é</w:t>
      </w:r>
      <w:r>
        <w:rPr>
          <w:szCs w:val="20"/>
        </w:rPr>
        <w:t xml:space="preserve"> diference sňatečnosti svobodných. V roce 2013 byl </w:t>
      </w:r>
      <w:r w:rsidR="009341FB">
        <w:rPr>
          <w:szCs w:val="20"/>
        </w:rPr>
        <w:t xml:space="preserve">index </w:t>
      </w:r>
      <w:r>
        <w:rPr>
          <w:szCs w:val="20"/>
        </w:rPr>
        <w:t xml:space="preserve">nejvyšší </w:t>
      </w:r>
      <w:r w:rsidR="001910A1">
        <w:rPr>
          <w:szCs w:val="20"/>
        </w:rPr>
        <w:t xml:space="preserve">(ČR = 100) </w:t>
      </w:r>
      <w:r>
        <w:rPr>
          <w:szCs w:val="20"/>
        </w:rPr>
        <w:t>pro obě pohlaví ve Zlínském kraji (110,5 pro muže a 112,2 pro ženy)</w:t>
      </w:r>
      <w:r w:rsidR="002E1465">
        <w:rPr>
          <w:szCs w:val="20"/>
        </w:rPr>
        <w:t xml:space="preserve"> a druhý nejvyšší také v případě obou pohlaví </w:t>
      </w:r>
      <w:r w:rsidR="005F3EB5">
        <w:rPr>
          <w:szCs w:val="20"/>
        </w:rPr>
        <w:t>v Kraji Vysočina</w:t>
      </w:r>
      <w:r w:rsidR="002E1465">
        <w:rPr>
          <w:szCs w:val="20"/>
        </w:rPr>
        <w:t xml:space="preserve"> (107,4 u mužů a 107,1 u žen).</w:t>
      </w:r>
      <w:r w:rsidR="00A270DB">
        <w:rPr>
          <w:szCs w:val="20"/>
        </w:rPr>
        <w:t xml:space="preserve"> </w:t>
      </w:r>
      <w:r w:rsidR="00C15599">
        <w:rPr>
          <w:szCs w:val="20"/>
        </w:rPr>
        <w:t xml:space="preserve">Výrazněji nadprůměrných hodnot dosahoval i </w:t>
      </w:r>
      <w:r w:rsidR="005F3EB5">
        <w:rPr>
          <w:szCs w:val="20"/>
        </w:rPr>
        <w:t xml:space="preserve">kraj </w:t>
      </w:r>
      <w:r w:rsidR="00C15599">
        <w:rPr>
          <w:szCs w:val="20"/>
        </w:rPr>
        <w:t>Jihomoravský a</w:t>
      </w:r>
      <w:r w:rsidR="00F02C0B">
        <w:rPr>
          <w:szCs w:val="20"/>
        </w:rPr>
        <w:t> Olomoucký</w:t>
      </w:r>
      <w:r w:rsidR="00C15599">
        <w:rPr>
          <w:szCs w:val="20"/>
        </w:rPr>
        <w:t xml:space="preserve">. </w:t>
      </w:r>
      <w:r w:rsidR="00A270DB">
        <w:rPr>
          <w:szCs w:val="20"/>
        </w:rPr>
        <w:t>Nejnižší hodnota indexu byla zaznamenána v Ústeckém kraji a to jak u mužů (84,4) tak i u žen (85,5).</w:t>
      </w:r>
      <w:r w:rsidR="00571037">
        <w:rPr>
          <w:szCs w:val="20"/>
        </w:rPr>
        <w:t xml:space="preserve"> Velmi nízkých hodnot index dosahoval i v Karlovarském kraji (94,6 v případě mužů a 95,2 v případě žen) a v Hl. m. Praze (95,5 u mužů a 92,3 u žen).</w:t>
      </w:r>
    </w:p>
    <w:p w:rsidR="00292987" w:rsidRDefault="00292987">
      <w:pPr>
        <w:pStyle w:val="Zpat"/>
        <w:tabs>
          <w:tab w:val="clear" w:pos="4536"/>
          <w:tab w:val="clear" w:pos="9072"/>
        </w:tabs>
        <w:rPr>
          <w:szCs w:val="20"/>
        </w:rPr>
      </w:pPr>
    </w:p>
    <w:p w:rsidR="00292987" w:rsidRDefault="00292987" w:rsidP="00292987">
      <w:pPr>
        <w:pStyle w:val="Titulek"/>
        <w:spacing w:before="0" w:after="60"/>
      </w:pPr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>
        <w:rPr>
          <w:noProof/>
        </w:rPr>
        <w:t>8</w:t>
      </w:r>
      <w:r w:rsidR="007042FA">
        <w:fldChar w:fldCharType="end"/>
      </w:r>
      <w:r>
        <w:t>.</w:t>
      </w:r>
      <w:fldSimple w:instr=" SEQ Obr. \* ARABIC \s 1 ">
        <w:r>
          <w:rPr>
            <w:noProof/>
          </w:rPr>
          <w:t>2</w:t>
        </w:r>
      </w:fldSimple>
      <w:r>
        <w:t xml:space="preserve"> Index sňatečnosti svobodných podle pohlaví v krajích, 2013</w:t>
      </w:r>
    </w:p>
    <w:p w:rsidR="00292987" w:rsidRDefault="00FA1966" w:rsidP="00292987">
      <w:pPr>
        <w:pStyle w:val="Titulek"/>
        <w:spacing w:before="0" w:after="0"/>
      </w:pPr>
      <w:r>
        <w:pict>
          <v:shape id="_x0000_i1026" type="#_x0000_t75" style="width:426pt;height:249pt">
            <v:imagedata r:id="rId9" o:title=""/>
          </v:shape>
        </w:pict>
      </w:r>
    </w:p>
    <w:p w:rsidR="00292987" w:rsidRDefault="00292987" w:rsidP="00292987">
      <w:pPr>
        <w:pStyle w:val="Zpat"/>
        <w:tabs>
          <w:tab w:val="clear" w:pos="4536"/>
          <w:tab w:val="clear" w:pos="9072"/>
        </w:tabs>
        <w:spacing w:after="60"/>
        <w:rPr>
          <w:szCs w:val="20"/>
        </w:rPr>
      </w:pPr>
    </w:p>
    <w:p w:rsidR="00C15599" w:rsidRDefault="00C15599" w:rsidP="00C15599">
      <w:pPr>
        <w:pStyle w:val="Zpat"/>
        <w:tabs>
          <w:tab w:val="clear" w:pos="4536"/>
          <w:tab w:val="clear" w:pos="9072"/>
        </w:tabs>
        <w:rPr>
          <w:szCs w:val="20"/>
        </w:rPr>
      </w:pPr>
      <w:bookmarkStart w:id="1" w:name="_Ref328397707"/>
      <w:r>
        <w:rPr>
          <w:szCs w:val="20"/>
        </w:rPr>
        <w:t>Za posledních deset let se významně proměnilo pořadí krajů podle hodnoty indexu sňatečnosti svobodných. Zatímco v roce 2003 patřilo Hl. m. Praha a Středočeský kraj spíše mezi kraje s vyššími hodnotami indexu, tak o deset let později zde byly tyto hodnoty naopak jedny z nejnižších a to u obou pohlaví. Naopak z podprůměrných hodnot indexu v roce 2003 k nadprůměrným v roce 2013 se posunul Zlínský, Olomoucký a Liberecký kraj. Dlouhodobě nejnižších hodnot indexu dosahovaly v případě obou pohlaví kraje Ústecký a Karlovarský. V posledních deseti let</w:t>
      </w:r>
      <w:r w:rsidR="00280A8A">
        <w:rPr>
          <w:szCs w:val="20"/>
        </w:rPr>
        <w:t>ech</w:t>
      </w:r>
      <w:r>
        <w:rPr>
          <w:szCs w:val="20"/>
        </w:rPr>
        <w:t xml:space="preserve"> ale v Karlovarském kraji došlo k nárůstu hodnoty indexu sňatečnosti svobodných u obou pohlaví, zatímco Ústecký kraj zaznamenal další pokles. </w:t>
      </w:r>
    </w:p>
    <w:p w:rsidR="00C15599" w:rsidRDefault="00C15599" w:rsidP="00C15599">
      <w:pPr>
        <w:pStyle w:val="Zpat"/>
        <w:tabs>
          <w:tab w:val="clear" w:pos="4536"/>
          <w:tab w:val="clear" w:pos="9072"/>
        </w:tabs>
        <w:rPr>
          <w:szCs w:val="20"/>
        </w:rPr>
      </w:pPr>
    </w:p>
    <w:bookmarkEnd w:id="1"/>
    <w:p w:rsidR="00A421F1" w:rsidRDefault="007567B8" w:rsidP="00A421F1">
      <w:pPr>
        <w:pStyle w:val="Zpat"/>
        <w:tabs>
          <w:tab w:val="clear" w:pos="4536"/>
          <w:tab w:val="clear" w:pos="9072"/>
        </w:tabs>
      </w:pPr>
      <w:r>
        <w:t>Postupné zvyšování</w:t>
      </w:r>
      <w:r w:rsidR="00A421F1">
        <w:t xml:space="preserve"> průměrného věku</w:t>
      </w:r>
      <w:r>
        <w:t xml:space="preserve"> při prvním sňatku, který je vypočítán z redukovaných měr sňatečnosti, proběhlo mezi roky 2003 a 2013 u mužů i u žen. Zatímco tento průměrný věk se u mužů zvýšil z 28,5 </w:t>
      </w:r>
      <w:r w:rsidR="00380808">
        <w:t xml:space="preserve">let </w:t>
      </w:r>
      <w:r>
        <w:t>v roce 2003 na 30,9</w:t>
      </w:r>
      <w:r w:rsidR="00280A8A">
        <w:t xml:space="preserve"> let</w:t>
      </w:r>
      <w:r>
        <w:t xml:space="preserve"> v roce 2013, tak v případě žen bylo prodloužení ještě o něco delší – z 25,7 na 28,4</w:t>
      </w:r>
      <w:r w:rsidR="00280A8A">
        <w:t xml:space="preserve"> roku</w:t>
      </w:r>
      <w:r>
        <w:t>. Rozdíl průměrného věku při prvním sňatku mezi pohlavími se tak snížil na 2,5 roku v posledním sledovaném roce</w:t>
      </w:r>
      <w:r w:rsidR="00014DF9">
        <w:t xml:space="preserve"> z 2,8 let v roce 2003</w:t>
      </w:r>
      <w:r>
        <w:t>.</w:t>
      </w:r>
      <w:r w:rsidR="00B97C0B">
        <w:t xml:space="preserve"> Diference mezi jednotlivými kraji byly ve sledovaném desetiletém období poměrně stabilní. </w:t>
      </w:r>
      <w:r w:rsidR="00797CEA">
        <w:t xml:space="preserve">Rozdíl mezi nejvyšší a nejnižší hodnotou ukazatele se obvykle pohyboval okolo dvou let. </w:t>
      </w:r>
      <w:r w:rsidR="00B97C0B">
        <w:t>Oproti roku 2012 se v roce 2013 zvýšil průměrný věk při prvním sňatku u mužů o 0,1 roku a u že</w:t>
      </w:r>
      <w:r w:rsidR="00014DF9">
        <w:t>n</w:t>
      </w:r>
      <w:r w:rsidR="005F3EB5">
        <w:t xml:space="preserve"> o </w:t>
      </w:r>
      <w:r w:rsidR="00B97C0B">
        <w:t xml:space="preserve">0,2 roku. Snížení průměrného věku nastalo </w:t>
      </w:r>
      <w:r w:rsidR="00014DF9">
        <w:t xml:space="preserve">pouze </w:t>
      </w:r>
      <w:r w:rsidR="00B97C0B">
        <w:t>v Hl. m. Praze a v Karlovarském kraji, v obou případech pouze u mužů o 0,1 roku. Právě tyto dva kraje měly spolu s Ústeckým krajem v roce 2013 nejvyšší průměrný věk při prvním sňatku a to u obou pohlaví.</w:t>
      </w:r>
      <w:r w:rsidR="003E71FA">
        <w:t xml:space="preserve"> V případě Hl. m. Prahy to bylo 31,9 let pro </w:t>
      </w:r>
      <w:r w:rsidR="009341FB">
        <w:t xml:space="preserve">muže </w:t>
      </w:r>
      <w:r w:rsidR="003E71FA">
        <w:t xml:space="preserve">a 29,6 let pro </w:t>
      </w:r>
      <w:r w:rsidR="009341FB">
        <w:t>ženy</w:t>
      </w:r>
      <w:r w:rsidR="003E71FA">
        <w:t>, u Karlovarského kraje 31,5 let v případě mužů a 28,9 let u žen a konečně v Ústeckém</w:t>
      </w:r>
      <w:r w:rsidR="005F3EB5">
        <w:t xml:space="preserve"> kraji 31,2 let u </w:t>
      </w:r>
      <w:r w:rsidR="003E71FA">
        <w:t xml:space="preserve">mužů a 28,5 let u žen. Naopak nejnižší věkový průměr u mužů lze nalézt </w:t>
      </w:r>
      <w:r w:rsidR="005F3EB5">
        <w:t>v Kraji Vysočina</w:t>
      </w:r>
      <w:r w:rsidR="00014DF9">
        <w:t xml:space="preserve"> (30,4 roku)</w:t>
      </w:r>
      <w:r w:rsidR="003E71FA">
        <w:t>, v Moravskoslezském a Královéhradeckém kraji</w:t>
      </w:r>
      <w:r w:rsidR="00014DF9">
        <w:t xml:space="preserve"> (oba kraje 30,6 roku)</w:t>
      </w:r>
      <w:r w:rsidR="003E71FA">
        <w:t xml:space="preserve"> a u žen opět </w:t>
      </w:r>
      <w:r w:rsidR="005F3EB5">
        <w:t>v Kraji Vysočina (27,7 </w:t>
      </w:r>
      <w:r w:rsidR="003E71FA">
        <w:t>roku), v Pardubickém (28,0 roku) a Královéhradeckém (28,2 roku) kraji.</w:t>
      </w:r>
    </w:p>
    <w:p w:rsidR="00CD306D" w:rsidRDefault="00CD306D" w:rsidP="00462E77">
      <w:pPr>
        <w:pStyle w:val="Titulek"/>
        <w:spacing w:before="0" w:after="0"/>
      </w:pPr>
    </w:p>
    <w:p w:rsidR="007F4192" w:rsidRDefault="00310396" w:rsidP="00462E77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380808">
        <w:t xml:space="preserve">8 </w:t>
      </w:r>
      <w:r>
        <w:t>Průměrný vě</w:t>
      </w:r>
      <w:r w:rsidR="0026565D">
        <w:t>k při 1. sňatku* v krajích, 2003–2013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153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7F4192" w:rsidTr="001476B7">
        <w:trPr>
          <w:trHeight w:val="255"/>
        </w:trPr>
        <w:tc>
          <w:tcPr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4192" w:rsidRDefault="00310396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7F4192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7F4192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right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Ženy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6B7" w:rsidRDefault="001476B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2013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25,7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28,4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32,0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29,6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28,9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28,5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28,4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31,0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28,3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</w:tr>
      <w:tr w:rsidR="001476B7" w:rsidTr="001476B7">
        <w:trPr>
          <w:trHeight w:val="255"/>
        </w:trPr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76B7" w:rsidRDefault="001476B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29,4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30,6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25,8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26,8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27,7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476B7" w:rsidRDefault="001476B7">
            <w:pPr>
              <w:jc w:val="right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28,2</w:t>
            </w:r>
          </w:p>
        </w:tc>
      </w:tr>
    </w:tbl>
    <w:p w:rsidR="007F4192" w:rsidRDefault="00310396">
      <w:pPr>
        <w:pStyle w:val="Textkomente"/>
        <w:spacing w:before="60"/>
        <w:rPr>
          <w:i/>
          <w:sz w:val="16"/>
        </w:rPr>
      </w:pPr>
      <w:r>
        <w:rPr>
          <w:i/>
          <w:sz w:val="16"/>
        </w:rPr>
        <w:t>* Z redukovaných měr sňatečnosti.</w:t>
      </w:r>
    </w:p>
    <w:p w:rsidR="00AD5AA3" w:rsidRDefault="00AD5AA3" w:rsidP="00AD5AA3">
      <w:pPr>
        <w:pStyle w:val="Textkomente"/>
        <w:spacing w:after="60"/>
        <w:rPr>
          <w:i/>
          <w:iCs/>
          <w:sz w:val="16"/>
        </w:rPr>
      </w:pPr>
    </w:p>
    <w:p w:rsidR="007F4192" w:rsidRDefault="00310396" w:rsidP="00462E77">
      <w:pPr>
        <w:pStyle w:val="Nadpis2"/>
        <w:ind w:left="578" w:hanging="578"/>
      </w:pPr>
      <w:r>
        <w:t>Rozvodovost</w:t>
      </w:r>
    </w:p>
    <w:p w:rsidR="00E54A43" w:rsidRDefault="00F81AB1" w:rsidP="005A0E07">
      <w:r>
        <w:t>Počet rozvodů v ČR během posledního desetiletí značně kolísal. Vrcholu dosáhl v roce 2004 (33 060 rozvodů</w:t>
      </w:r>
      <w:r w:rsidR="00BC3819">
        <w:t>, nejvíce od roku 1996</w:t>
      </w:r>
      <w:r>
        <w:t xml:space="preserve">) a </w:t>
      </w:r>
      <w:r w:rsidR="00E44DA1">
        <w:t>minima v roce 2012 (26 402 ro</w:t>
      </w:r>
      <w:r w:rsidR="00C75CFD">
        <w:t>z</w:t>
      </w:r>
      <w:r w:rsidR="00E44DA1">
        <w:t>vodů).</w:t>
      </w:r>
      <w:r w:rsidR="00C75CFD">
        <w:t xml:space="preserve"> V posledním roce se pak počet rozvodů opět zvýšil na 27 895. </w:t>
      </w:r>
      <w:r w:rsidR="000A13BA">
        <w:t>Při</w:t>
      </w:r>
      <w:r w:rsidR="00641F3D">
        <w:t xml:space="preserve"> srovnání začátku a konc</w:t>
      </w:r>
      <w:r w:rsidR="00280A8A">
        <w:t>e</w:t>
      </w:r>
      <w:r w:rsidR="00641F3D">
        <w:t xml:space="preserve"> sledované</w:t>
      </w:r>
      <w:r w:rsidR="00280A8A">
        <w:t>ho</w:t>
      </w:r>
      <w:r w:rsidR="00641F3D">
        <w:t xml:space="preserve"> období</w:t>
      </w:r>
      <w:r w:rsidR="00F87019">
        <w:t>, tj.</w:t>
      </w:r>
      <w:r w:rsidR="00641F3D">
        <w:t xml:space="preserve"> let 2003 a 2013</w:t>
      </w:r>
      <w:r w:rsidR="00F87019">
        <w:t>,</w:t>
      </w:r>
      <w:r w:rsidR="00641F3D">
        <w:t xml:space="preserve"> se počty rozvodů </w:t>
      </w:r>
      <w:r w:rsidR="003E32EE">
        <w:t xml:space="preserve">ve všech krajích </w:t>
      </w:r>
      <w:r w:rsidR="00641F3D">
        <w:t xml:space="preserve">snížily. </w:t>
      </w:r>
      <w:r w:rsidR="000A13BA">
        <w:t xml:space="preserve">Výrazně se </w:t>
      </w:r>
      <w:r w:rsidR="00641F3D">
        <w:t>však</w:t>
      </w:r>
      <w:r w:rsidR="000A13BA">
        <w:t xml:space="preserve"> nesnížila</w:t>
      </w:r>
      <w:r w:rsidR="00641F3D">
        <w:t xml:space="preserve"> intenzita </w:t>
      </w:r>
      <w:r w:rsidR="00280A8A">
        <w:t xml:space="preserve">rozvodovosti </w:t>
      </w:r>
      <w:r w:rsidR="00641F3D">
        <w:t xml:space="preserve">(viz </w:t>
      </w:r>
      <w:r w:rsidR="00380808">
        <w:t>tab. 8.10</w:t>
      </w:r>
      <w:r w:rsidR="00641F3D">
        <w:t>)</w:t>
      </w:r>
      <w:r w:rsidR="00F87019">
        <w:t>,</w:t>
      </w:r>
      <w:r w:rsidR="00641F3D">
        <w:t xml:space="preserve"> ale pouze absolutní počty</w:t>
      </w:r>
      <w:r w:rsidR="00280A8A">
        <w:t xml:space="preserve"> rozvodů</w:t>
      </w:r>
      <w:r w:rsidR="00641F3D">
        <w:t>, které jsou ovlivněny mimo jiné i snižujícím se počtem sňatků v předchozích letech</w:t>
      </w:r>
      <w:r w:rsidR="006F5C84">
        <w:t>.</w:t>
      </w:r>
      <w:r w:rsidR="000A13BA">
        <w:t xml:space="preserve"> Nejvyšší počet </w:t>
      </w:r>
      <w:r w:rsidR="00800EC6">
        <w:t>rozvodů</w:t>
      </w:r>
      <w:r w:rsidR="000A13BA">
        <w:t xml:space="preserve"> se v</w:t>
      </w:r>
      <w:r w:rsidR="00380808">
        <w:t> </w:t>
      </w:r>
      <w:r w:rsidR="000A13BA">
        <w:t>roce</w:t>
      </w:r>
      <w:r w:rsidR="00380808">
        <w:t xml:space="preserve"> </w:t>
      </w:r>
      <w:r w:rsidR="00280A8A">
        <w:t xml:space="preserve">2013 </w:t>
      </w:r>
      <w:r w:rsidR="000A13BA">
        <w:t>odehrál v krajích s nejvyšší počtem obyvatel – Středočeském (3</w:t>
      </w:r>
      <w:r w:rsidR="00DD1C84">
        <w:t> </w:t>
      </w:r>
      <w:r w:rsidR="000A13BA">
        <w:t>793</w:t>
      </w:r>
      <w:r w:rsidR="00DD1C84">
        <w:t>, kraj s nejvyšším počtem rozvodů od roku 2009</w:t>
      </w:r>
      <w:r w:rsidR="000A13BA">
        <w:t>), Moravskoslezském (3</w:t>
      </w:r>
      <w:r w:rsidR="00800EC6">
        <w:t xml:space="preserve"> </w:t>
      </w:r>
      <w:r w:rsidR="000A13BA">
        <w:t xml:space="preserve">279), Hl. m. Praze (3 002) a v Jihomoravském </w:t>
      </w:r>
      <w:r w:rsidR="00800EC6">
        <w:t>kraji (3</w:t>
      </w:r>
      <w:r w:rsidR="000A13BA">
        <w:t> 000).</w:t>
      </w:r>
      <w:r w:rsidR="00800EC6">
        <w:t xml:space="preserve"> Naopak nejméně rozvodů proběhlo v Karlovarském kraji (897), </w:t>
      </w:r>
      <w:r w:rsidR="005F3EB5">
        <w:t>v Kraji Vysočina</w:t>
      </w:r>
      <w:r w:rsidR="00800EC6">
        <w:t xml:space="preserve"> (1 125) a Pardubickém (1 257)</w:t>
      </w:r>
      <w:r w:rsidR="00DD1C84">
        <w:t>.</w:t>
      </w:r>
      <w:r w:rsidR="00403B08">
        <w:t xml:space="preserve"> Pořadí krajů podle počtu rozvodů bylo mezi roky 2003 a 2013 poměrně stabilní. Žádný kraj se neposunul výše nebo níže o více než dvě pozice.</w:t>
      </w:r>
    </w:p>
    <w:p w:rsidR="00E54A43" w:rsidRDefault="00E54A43" w:rsidP="005A0E07"/>
    <w:p w:rsidR="007F4192" w:rsidRDefault="00E54A43" w:rsidP="005A0E07">
      <w:r>
        <w:t>Podíl rozvodů s nezletilým dítětem</w:t>
      </w:r>
      <w:r w:rsidR="00280A8A">
        <w:t xml:space="preserve"> (dětmi)</w:t>
      </w:r>
      <w:r>
        <w:t xml:space="preserve"> v posledním desetiletí klesl z 63,1 % v roce 2003 na 57,7 % o</w:t>
      </w:r>
      <w:r w:rsidR="00380808">
        <w:t> </w:t>
      </w:r>
      <w:r>
        <w:t>deset let později.</w:t>
      </w:r>
      <w:r w:rsidR="00403B08">
        <w:t xml:space="preserve"> </w:t>
      </w:r>
      <w:r w:rsidR="00CC61F7">
        <w:t xml:space="preserve">Tento trend ovšem nutně není důkazem toho, že by byla manželství s dětmi stabilnější. Vzhledem k nižší porodnosti je totiž méně </w:t>
      </w:r>
      <w:r w:rsidR="00E62517">
        <w:t>sezda</w:t>
      </w:r>
      <w:r w:rsidR="008A5740">
        <w:t xml:space="preserve">ných párů s dětmi a tudíž nižší výchozí počet pro možný budoucí rozvod s nezletilým dítětem. </w:t>
      </w:r>
      <w:r w:rsidR="006C744B">
        <w:t xml:space="preserve">Navíc díky rostoucí průměrné délce manželství při rozvodu může růst počet manželství, kdy již společné děti dosáhly zletilosti. </w:t>
      </w:r>
      <w:r w:rsidR="008A5740">
        <w:t xml:space="preserve">Zastoupení rozvodů s nezletilými dětmi bylo poměrně výrazně krajsky diferencováno. V roce 2013 byl nejvyšší podíl v Pardubickém (62,0 %), Plzeňském (61,7 %) a Libereckém (60,8 %) kraji, zatímco nejnižší zastoupení tohoto typu rozvodů bylo v Hl. m Praze (47,1 %) a Karlovarském (52,2 %) kraji. </w:t>
      </w:r>
    </w:p>
    <w:p w:rsidR="005A0E07" w:rsidRDefault="005A0E07">
      <w:pPr>
        <w:pStyle w:val="Textbubliny"/>
        <w:rPr>
          <w:rFonts w:ascii="Arial" w:hAnsi="Arial" w:cs="Times New Roman"/>
          <w:szCs w:val="24"/>
        </w:rPr>
      </w:pPr>
    </w:p>
    <w:p w:rsidR="007F4192" w:rsidRDefault="00310396" w:rsidP="006A2384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AD5AA3">
        <w:t>9</w:t>
      </w:r>
      <w:r w:rsidR="002E6DB2">
        <w:t xml:space="preserve"> Rozvody v</w:t>
      </w:r>
      <w:r w:rsidR="00380808">
        <w:t> </w:t>
      </w:r>
      <w:r w:rsidR="002E6DB2">
        <w:t>krajích</w:t>
      </w:r>
      <w:r w:rsidR="00380808">
        <w:t>*</w:t>
      </w:r>
      <w:r w:rsidR="002E6DB2">
        <w:t>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8"/>
        <w:gridCol w:w="720"/>
        <w:gridCol w:w="868"/>
        <w:gridCol w:w="916"/>
        <w:gridCol w:w="868"/>
        <w:gridCol w:w="868"/>
        <w:gridCol w:w="868"/>
        <w:gridCol w:w="861"/>
        <w:gridCol w:w="784"/>
        <w:gridCol w:w="789"/>
        <w:gridCol w:w="789"/>
      </w:tblGrid>
      <w:tr w:rsidR="007F4192">
        <w:trPr>
          <w:cantSplit/>
          <w:trHeight w:val="431"/>
        </w:trPr>
        <w:tc>
          <w:tcPr>
            <w:tcW w:w="13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4192" w:rsidRDefault="00310396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59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F4192" w:rsidRDefault="00310396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 w:hint="eastAsia"/>
              </w:rPr>
              <w:t>Rozvody celkem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Rozvody s nezletilými dětmi (%)</w:t>
            </w:r>
          </w:p>
        </w:tc>
      </w:tr>
      <w:tr w:rsidR="002E6DB2">
        <w:trPr>
          <w:cantSplit/>
          <w:trHeight w:val="255"/>
        </w:trPr>
        <w:tc>
          <w:tcPr>
            <w:tcW w:w="13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DB2" w:rsidRDefault="002E6DB2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32 824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31 288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31 300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30 783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28 113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26 402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27 895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57,1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3 884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3 666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3 524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3 220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2 788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3 837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3 695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4 130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3 793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2 001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1 966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1 863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1 807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1 747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1 874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1 604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1 630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61,7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1 238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1 155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1 028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52,2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3 126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2 889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2 573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2 294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2 252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57,5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1 504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1 351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1 296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1 142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60,8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1 661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1 640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1 459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1 543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59,2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1 292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1 281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1 275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62,0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1 343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1 328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1 105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3 193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3 334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3 548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2 945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3 001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1 823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58,2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1 584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1 472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56,7</w:t>
            </w:r>
          </w:p>
        </w:tc>
      </w:tr>
      <w:tr w:rsidR="002E6DB2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DB2" w:rsidRDefault="002E6DB2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3 987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3 596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3 159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3 279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E6DB2" w:rsidRDefault="002E6DB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</w:tr>
    </w:tbl>
    <w:p w:rsidR="00505926" w:rsidRDefault="00505926" w:rsidP="00505926">
      <w:pPr>
        <w:spacing w:before="60"/>
        <w:rPr>
          <w:i/>
          <w:iCs/>
          <w:sz w:val="16"/>
          <w:szCs w:val="20"/>
        </w:rPr>
      </w:pPr>
      <w:r w:rsidRPr="00505926">
        <w:rPr>
          <w:i/>
          <w:iCs/>
          <w:sz w:val="16"/>
          <w:szCs w:val="20"/>
        </w:rPr>
        <w:t xml:space="preserve">* </w:t>
      </w:r>
      <w:r>
        <w:rPr>
          <w:i/>
          <w:iCs/>
          <w:sz w:val="16"/>
          <w:szCs w:val="20"/>
        </w:rPr>
        <w:t xml:space="preserve">Podle kraje </w:t>
      </w:r>
      <w:r w:rsidRPr="00505926">
        <w:rPr>
          <w:i/>
          <w:iCs/>
          <w:sz w:val="16"/>
          <w:szCs w:val="20"/>
        </w:rPr>
        <w:t>posledního společného trvalého bydliště</w:t>
      </w:r>
      <w:r>
        <w:rPr>
          <w:i/>
          <w:iCs/>
          <w:sz w:val="16"/>
          <w:szCs w:val="20"/>
        </w:rPr>
        <w:t>.</w:t>
      </w:r>
    </w:p>
    <w:p w:rsidR="007F4192" w:rsidRPr="00805AB9" w:rsidRDefault="007F4192" w:rsidP="006A2384">
      <w:pPr>
        <w:spacing w:after="60"/>
      </w:pPr>
    </w:p>
    <w:p w:rsidR="00AD5AA3" w:rsidRDefault="008D095C" w:rsidP="008A5740">
      <w:r>
        <w:t>Intenzitu rozvodovosti nejlépe z dostupných ukazatelů vystihuje úhrnná rozvodovost, která udává jaký podíl manželství by skončil rozvodem při zachování měr rozvodovosti podle délky trvání manželství daného roku. V regionálním pohledu už je méně přesná, protože vztahuje rozvody</w:t>
      </w:r>
      <w:r w:rsidR="00505926">
        <w:t xml:space="preserve"> podle kraje </w:t>
      </w:r>
      <w:r w:rsidR="00505926" w:rsidRPr="00505926">
        <w:rPr>
          <w:iCs/>
        </w:rPr>
        <w:t>posledního společného trvalého bydliště</w:t>
      </w:r>
      <w:r w:rsidRPr="00505926">
        <w:t xml:space="preserve"> </w:t>
      </w:r>
      <w:r>
        <w:t>ke sňatkům</w:t>
      </w:r>
      <w:r w:rsidR="00505926">
        <w:t xml:space="preserve"> tříděný</w:t>
      </w:r>
      <w:r w:rsidR="00D14262">
        <w:t>m</w:t>
      </w:r>
      <w:r w:rsidR="00505926">
        <w:t xml:space="preserve"> podle kraje trvalého pobytu ženicha</w:t>
      </w:r>
      <w:r>
        <w:t xml:space="preserve"> před určitým počtem let. </w:t>
      </w:r>
      <w:r w:rsidR="006357DC">
        <w:t>S</w:t>
      </w:r>
      <w:r>
        <w:t>ňatek, který rozvodu předcházel</w:t>
      </w:r>
      <w:r w:rsidR="006357DC">
        <w:t>,</w:t>
      </w:r>
      <w:r>
        <w:t xml:space="preserve"> </w:t>
      </w:r>
      <w:r w:rsidR="00380808">
        <w:t xml:space="preserve">však </w:t>
      </w:r>
      <w:r w:rsidR="00505926">
        <w:t>mohl být zaevidovaný v jiném kraji než následný rozvod</w:t>
      </w:r>
      <w:r>
        <w:t xml:space="preserve">. </w:t>
      </w:r>
      <w:r w:rsidR="006357DC">
        <w:t>V případě krajů s vyšší intenzitou migrace jsou tedy výsledky méně vypovídající.</w:t>
      </w:r>
      <w:r w:rsidR="005A6038">
        <w:t xml:space="preserve"> </w:t>
      </w:r>
    </w:p>
    <w:p w:rsidR="00AD5AA3" w:rsidRDefault="00AD5AA3" w:rsidP="008A5740"/>
    <w:p w:rsidR="00AD5AA3" w:rsidRPr="00380808" w:rsidRDefault="00AD5AA3" w:rsidP="00AD5AA3">
      <w:pPr>
        <w:pStyle w:val="Titulek"/>
        <w:spacing w:before="0" w:after="60"/>
      </w:pPr>
      <w:r w:rsidRPr="00380808">
        <w:t xml:space="preserve">Tab. </w:t>
      </w:r>
      <w:fldSimple w:instr=" STYLEREF 1 \s ">
        <w:r w:rsidRPr="00380808">
          <w:rPr>
            <w:noProof/>
          </w:rPr>
          <w:t>8</w:t>
        </w:r>
      </w:fldSimple>
      <w:r w:rsidRPr="00380808">
        <w:t>.1</w:t>
      </w:r>
      <w:r>
        <w:t>0</w:t>
      </w:r>
      <w:r w:rsidRPr="00380808">
        <w:t xml:space="preserve"> Rozvodovost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1"/>
        <w:gridCol w:w="572"/>
        <w:gridCol w:w="572"/>
        <w:gridCol w:w="572"/>
        <w:gridCol w:w="572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AD5AA3" w:rsidTr="00B03C2F">
        <w:trPr>
          <w:cantSplit/>
          <w:trHeight w:val="255"/>
        </w:trPr>
        <w:tc>
          <w:tcPr>
            <w:tcW w:w="16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D5AA3" w:rsidRDefault="00AD5AA3" w:rsidP="00B03C2F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4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Úhrnná rozvodovost (%) 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D5AA3" w:rsidRDefault="00AD5AA3" w:rsidP="00B03C2F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Průměrná délka trvání manželství při rozvodu</w:t>
            </w:r>
          </w:p>
        </w:tc>
      </w:tr>
      <w:tr w:rsidR="00AD5AA3" w:rsidTr="00B03C2F">
        <w:trPr>
          <w:cantSplit/>
          <w:trHeight w:val="255"/>
        </w:trPr>
        <w:tc>
          <w:tcPr>
            <w:tcW w:w="1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5AA3" w:rsidRDefault="00AD5AA3" w:rsidP="00B03C2F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11,9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13,4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13,4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13,6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</w:tr>
      <w:tr w:rsidR="00AD5AA3" w:rsidTr="00B03C2F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AA3" w:rsidRDefault="00AD5AA3" w:rsidP="00B03C2F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AD5AA3" w:rsidRDefault="00AD5AA3" w:rsidP="00B03C2F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</w:tr>
    </w:tbl>
    <w:p w:rsidR="00AD5AA3" w:rsidRDefault="00AD5AA3" w:rsidP="00AD5AA3">
      <w:pPr>
        <w:spacing w:after="60"/>
      </w:pPr>
    </w:p>
    <w:p w:rsidR="008A5740" w:rsidRDefault="005A6038" w:rsidP="008A5740">
      <w:r>
        <w:t xml:space="preserve">Úhrnná rozvodovost na celorepublikové </w:t>
      </w:r>
      <w:r w:rsidR="00215C38">
        <w:t xml:space="preserve">i na krajské </w:t>
      </w:r>
      <w:r>
        <w:t>úrovni mezi roky 2003 a 2013 značně kolísala. Svého maxima dosáhla v roce 2010 (50,0 % – nejvyšší naměřená hodnota v historii ČR), poté klesla na 44,5 % v roce 2012 (</w:t>
      </w:r>
      <w:r w:rsidR="00252F7F">
        <w:t>nejnižší hodnota od roku 2000</w:t>
      </w:r>
      <w:r>
        <w:t>), aby poté op</w:t>
      </w:r>
      <w:r w:rsidR="002439EA">
        <w:t>ět meziročně narostla na 47,8 %, což bylo o 0,2 procentního bodu méně než v roce 2003.</w:t>
      </w:r>
      <w:r w:rsidR="00252F7F">
        <w:t xml:space="preserve"> Nejvyšší úroveň úhrnné rozvodovosti byla v roce 2013 zaznamenána ve Středočeském (58,4 %), Libereckém (52,2 %) a Plzeňském (52,0 %) kraji</w:t>
      </w:r>
      <w:r w:rsidR="00CC0CFA">
        <w:t xml:space="preserve">. </w:t>
      </w:r>
      <w:r w:rsidR="0020060C">
        <w:t xml:space="preserve">Oproti tomu nejnižší míra rozvodovosti byla </w:t>
      </w:r>
      <w:r w:rsidR="005F3EB5">
        <w:t xml:space="preserve">v Kraji Vysočina (40,3 %), Hl. m. Praze (42,0 %) a </w:t>
      </w:r>
      <w:r w:rsidR="0020060C">
        <w:t>Zlínském (42,7 %) kraji.</w:t>
      </w:r>
      <w:r>
        <w:t xml:space="preserve"> </w:t>
      </w:r>
      <w:r w:rsidR="002B5B20">
        <w:t xml:space="preserve">Ve srovnání s předchozím rokem se úhrnná rozvodovost nejvíce zvýšila v Libereckém </w:t>
      </w:r>
      <w:r w:rsidR="002439EA">
        <w:t>(o </w:t>
      </w:r>
      <w:r w:rsidR="002B5B20">
        <w:t>8,1 procentních bodů), Královéhradeckém (o 6,4 p. b.) a Plzeňském (o 6,2 p. b.) kraji. Ke snížení nedošlo v žádném kraji, nicméně minimální přírůstky do jednoho procentního bodu</w:t>
      </w:r>
      <w:r w:rsidR="002439EA">
        <w:t xml:space="preserve"> byly zaznamenány v Pardubickém, Ústeckém a Jihomoravském kraji.</w:t>
      </w:r>
      <w:r w:rsidR="007B46F0">
        <w:t xml:space="preserve"> Za posledních deset let se úhrnná rozvodovost nejvíce zvýšila v</w:t>
      </w:r>
      <w:r w:rsidR="00D14262">
        <w:t>e</w:t>
      </w:r>
      <w:r w:rsidR="007B46F0">
        <w:t> Středočeském (o 5,7 procentních bodů), Královéhradeckém, Jihomoravském a Olomouckém kraji (ve všech třech případech o 4,2 p. b.)</w:t>
      </w:r>
      <w:r w:rsidR="005A34D2">
        <w:t xml:space="preserve"> a naopak nejvíce snížila v Hl. m. Praze (o 6,7 p. b.), Ústeckém (o </w:t>
      </w:r>
      <w:r w:rsidR="004D76AC">
        <w:t>6,4 p. b.) a Karlovarském (o 6,2</w:t>
      </w:r>
      <w:r w:rsidR="005A34D2">
        <w:t xml:space="preserve"> p. b.) kraji. </w:t>
      </w:r>
      <w:r w:rsidR="000F2C36">
        <w:t xml:space="preserve">Poslední dva jmenované kraje, které dominovaly pořadí krajů podle úrovně úhrnné rozvodovosti mezi roky 2003 a 2008, se tak </w:t>
      </w:r>
      <w:r w:rsidR="00A92247">
        <w:t xml:space="preserve">přesunuly mezi kraje s </w:t>
      </w:r>
      <w:r w:rsidR="000F2C36">
        <w:t>průměrný</w:t>
      </w:r>
      <w:r w:rsidR="00A92247">
        <w:t>mi</w:t>
      </w:r>
      <w:r w:rsidR="000F2C36">
        <w:t xml:space="preserve"> hodnot</w:t>
      </w:r>
      <w:r w:rsidR="00A92247">
        <w:t>ami</w:t>
      </w:r>
      <w:r w:rsidR="000F2C36">
        <w:t>.</w:t>
      </w:r>
      <w:r w:rsidR="002439EA">
        <w:t xml:space="preserve">  </w:t>
      </w:r>
    </w:p>
    <w:p w:rsidR="00805AB9" w:rsidRPr="00380808" w:rsidRDefault="00805AB9" w:rsidP="008A5740"/>
    <w:p w:rsidR="006B6033" w:rsidRDefault="006E3697">
      <w:pPr>
        <w:pStyle w:val="Textbubliny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Průměrná délka trvání manželství při rozvodu </w:t>
      </w:r>
      <w:r w:rsidR="009800F5">
        <w:rPr>
          <w:rFonts w:ascii="Arial" w:hAnsi="Arial" w:cs="Times New Roman"/>
          <w:sz w:val="20"/>
          <w:szCs w:val="24"/>
        </w:rPr>
        <w:t xml:space="preserve">postupně </w:t>
      </w:r>
      <w:r>
        <w:rPr>
          <w:rFonts w:ascii="Arial" w:hAnsi="Arial" w:cs="Times New Roman"/>
          <w:sz w:val="20"/>
          <w:szCs w:val="24"/>
        </w:rPr>
        <w:t>narostla mezi roky 2003 a 2013 z 11,8 let na 13,0</w:t>
      </w:r>
      <w:r w:rsidR="009800F5">
        <w:rPr>
          <w:rFonts w:ascii="Arial" w:hAnsi="Arial" w:cs="Times New Roman"/>
          <w:sz w:val="20"/>
          <w:szCs w:val="24"/>
        </w:rPr>
        <w:t> </w:t>
      </w:r>
      <w:r>
        <w:rPr>
          <w:rFonts w:ascii="Arial" w:hAnsi="Arial" w:cs="Times New Roman"/>
          <w:sz w:val="20"/>
          <w:szCs w:val="24"/>
        </w:rPr>
        <w:t xml:space="preserve">roku. </w:t>
      </w:r>
      <w:r w:rsidR="003A00D5">
        <w:rPr>
          <w:rFonts w:ascii="Arial" w:hAnsi="Arial" w:cs="Times New Roman"/>
          <w:sz w:val="20"/>
          <w:szCs w:val="24"/>
        </w:rPr>
        <w:t>Průměr byl ale v tomto případě výrazně ovlivněn případy s extrémně vysokými hodnotami délky trvání manželství. Mediánová délka trvání manželství při roz</w:t>
      </w:r>
      <w:r w:rsidR="006F651D">
        <w:rPr>
          <w:rFonts w:ascii="Arial" w:hAnsi="Arial" w:cs="Times New Roman"/>
          <w:sz w:val="20"/>
          <w:szCs w:val="24"/>
        </w:rPr>
        <w:t>padu</w:t>
      </w:r>
      <w:r w:rsidR="003A00D5">
        <w:rPr>
          <w:rFonts w:ascii="Arial" w:hAnsi="Arial" w:cs="Times New Roman"/>
          <w:sz w:val="20"/>
          <w:szCs w:val="24"/>
        </w:rPr>
        <w:t>, která není tak citlivá na výskyt odlehlých hodnot, činila 10,1 let za rok 2013</w:t>
      </w:r>
      <w:r w:rsidR="00C96F7E">
        <w:rPr>
          <w:rFonts w:ascii="Arial" w:hAnsi="Arial" w:cs="Times New Roman"/>
          <w:sz w:val="20"/>
          <w:szCs w:val="24"/>
        </w:rPr>
        <w:t xml:space="preserve"> a narostla z 9,1</w:t>
      </w:r>
      <w:r w:rsidR="00B03C2F">
        <w:rPr>
          <w:rFonts w:ascii="Arial" w:hAnsi="Arial" w:cs="Times New Roman"/>
          <w:sz w:val="20"/>
          <w:szCs w:val="24"/>
        </w:rPr>
        <w:t xml:space="preserve"> v roce 2003.</w:t>
      </w:r>
      <w:r w:rsidR="00857838">
        <w:rPr>
          <w:rFonts w:ascii="Arial" w:hAnsi="Arial" w:cs="Times New Roman"/>
          <w:sz w:val="20"/>
          <w:szCs w:val="24"/>
        </w:rPr>
        <w:t xml:space="preserve"> Průměrná délka trvání manželství při rozvodu byla v roce 201</w:t>
      </w:r>
      <w:r w:rsidR="00215C38">
        <w:rPr>
          <w:rFonts w:ascii="Arial" w:hAnsi="Arial" w:cs="Times New Roman"/>
          <w:sz w:val="20"/>
          <w:szCs w:val="24"/>
        </w:rPr>
        <w:t>3 nejvyšší v moravských krajích</w:t>
      </w:r>
      <w:r w:rsidR="00380808">
        <w:rPr>
          <w:rFonts w:ascii="Arial" w:hAnsi="Arial" w:cs="Times New Roman"/>
          <w:sz w:val="20"/>
          <w:szCs w:val="24"/>
        </w:rPr>
        <w:t xml:space="preserve"> -</w:t>
      </w:r>
      <w:r w:rsidR="00215C38">
        <w:rPr>
          <w:rFonts w:ascii="Arial" w:hAnsi="Arial" w:cs="Times New Roman"/>
          <w:sz w:val="20"/>
          <w:szCs w:val="24"/>
        </w:rPr>
        <w:t xml:space="preserve"> </w:t>
      </w:r>
      <w:r w:rsidR="00857838">
        <w:rPr>
          <w:rFonts w:ascii="Arial" w:hAnsi="Arial" w:cs="Times New Roman"/>
          <w:sz w:val="20"/>
          <w:szCs w:val="24"/>
        </w:rPr>
        <w:t>Zlínském, Olomouckém, Jihomoravském</w:t>
      </w:r>
      <w:r w:rsidR="00380808">
        <w:rPr>
          <w:rFonts w:ascii="Arial" w:hAnsi="Arial" w:cs="Times New Roman"/>
          <w:sz w:val="20"/>
          <w:szCs w:val="24"/>
        </w:rPr>
        <w:t xml:space="preserve"> </w:t>
      </w:r>
      <w:r w:rsidR="00857838">
        <w:rPr>
          <w:rFonts w:ascii="Arial" w:hAnsi="Arial" w:cs="Times New Roman"/>
          <w:sz w:val="20"/>
          <w:szCs w:val="24"/>
        </w:rPr>
        <w:t xml:space="preserve"> a</w:t>
      </w:r>
      <w:r w:rsidR="00215C38">
        <w:rPr>
          <w:rFonts w:ascii="Arial" w:hAnsi="Arial" w:cs="Times New Roman"/>
          <w:sz w:val="20"/>
          <w:szCs w:val="24"/>
        </w:rPr>
        <w:t xml:space="preserve"> na</w:t>
      </w:r>
      <w:r w:rsidR="00857838">
        <w:rPr>
          <w:rFonts w:ascii="Arial" w:hAnsi="Arial" w:cs="Times New Roman"/>
          <w:sz w:val="20"/>
          <w:szCs w:val="24"/>
        </w:rPr>
        <w:t xml:space="preserve"> </w:t>
      </w:r>
      <w:r w:rsidR="005F3EB5">
        <w:rPr>
          <w:rFonts w:ascii="Arial" w:hAnsi="Arial" w:cs="Times New Roman"/>
          <w:sz w:val="20"/>
          <w:szCs w:val="24"/>
        </w:rPr>
        <w:t>Vysočin</w:t>
      </w:r>
      <w:r w:rsidR="00215C38">
        <w:rPr>
          <w:rFonts w:ascii="Arial" w:hAnsi="Arial" w:cs="Times New Roman"/>
          <w:sz w:val="20"/>
          <w:szCs w:val="24"/>
        </w:rPr>
        <w:t>ě</w:t>
      </w:r>
      <w:r w:rsidR="00857838">
        <w:rPr>
          <w:rFonts w:ascii="Arial" w:hAnsi="Arial" w:cs="Times New Roman"/>
          <w:sz w:val="20"/>
          <w:szCs w:val="24"/>
        </w:rPr>
        <w:t>. Naopak nejkratší doba manželství byla zaznamenána v západních Čechách – v Karlovarském, Ústeckém a Plzeňském kraji.</w:t>
      </w:r>
      <w:r w:rsidR="006B6033">
        <w:rPr>
          <w:rFonts w:ascii="Arial" w:hAnsi="Arial" w:cs="Times New Roman"/>
          <w:sz w:val="20"/>
          <w:szCs w:val="24"/>
        </w:rPr>
        <w:t xml:space="preserve"> Za posledních deset let se postavení krajů v kontextu tohoto ukazatele významněji neproměnilo.</w:t>
      </w:r>
    </w:p>
    <w:p w:rsidR="006B6033" w:rsidRDefault="006B6033">
      <w:pPr>
        <w:pStyle w:val="Textbubliny"/>
        <w:rPr>
          <w:rFonts w:ascii="Arial" w:hAnsi="Arial" w:cs="Times New Roman"/>
          <w:sz w:val="20"/>
          <w:szCs w:val="24"/>
        </w:rPr>
      </w:pPr>
    </w:p>
    <w:p w:rsidR="007F4192" w:rsidRDefault="00466D9A" w:rsidP="006B6033">
      <w:r>
        <w:t>Podíl opakovaných rozvodů byl v roce 2013 na celorepublikové úrovni mírně vyšší u mužů (20,0 %) než u</w:t>
      </w:r>
      <w:r w:rsidR="00380808">
        <w:t> </w:t>
      </w:r>
      <w:r>
        <w:t>žen (19,1 %).</w:t>
      </w:r>
      <w:r w:rsidR="00E80923">
        <w:t xml:space="preserve"> Mezi kraje s nejvyšším podílem opakovaných rozvodů patřily kraje ze severozápadních Čech – Karlovarský, Liberecký a Ústecký a to u obou pohlaví. Naopak nejnižších hodnot tohoto ukazatele dosahovaly opět v případě obou pohlaví kraje Zlínský, Vysočina a Jihomoravský. </w:t>
      </w:r>
      <w:r w:rsidR="006B6033">
        <w:t xml:space="preserve"> </w:t>
      </w:r>
      <w:r w:rsidR="00857838">
        <w:t xml:space="preserve">  </w:t>
      </w:r>
    </w:p>
    <w:p w:rsidR="006B6033" w:rsidRDefault="006B6033">
      <w:pPr>
        <w:pStyle w:val="Textbubliny"/>
        <w:rPr>
          <w:rFonts w:ascii="Arial" w:hAnsi="Arial" w:cs="Times New Roman"/>
          <w:sz w:val="20"/>
          <w:szCs w:val="24"/>
        </w:rPr>
      </w:pPr>
    </w:p>
    <w:p w:rsidR="007F4192" w:rsidRDefault="00310396" w:rsidP="006A2384">
      <w:pPr>
        <w:pStyle w:val="Titulek"/>
        <w:spacing w:before="0" w:after="60"/>
      </w:pPr>
      <w:bookmarkStart w:id="2" w:name="_Toc310232287"/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7042FA">
        <w:fldChar w:fldCharType="begin"/>
      </w:r>
      <w:r>
        <w:instrText xml:space="preserve"> SEQ Obr. \* ARABIC \s 1 </w:instrText>
      </w:r>
      <w:r w:rsidR="007042FA">
        <w:fldChar w:fldCharType="separate"/>
      </w:r>
      <w:r w:rsidR="00D973C6">
        <w:rPr>
          <w:noProof/>
        </w:rPr>
        <w:t>3</w:t>
      </w:r>
      <w:r w:rsidR="007042FA">
        <w:fldChar w:fldCharType="end"/>
      </w:r>
      <w:r>
        <w:t xml:space="preserve"> </w:t>
      </w:r>
      <w:r w:rsidR="009C46D2" w:rsidRPr="009C46D2">
        <w:t>Podíl opakova</w:t>
      </w:r>
      <w:r w:rsidR="009C46D2">
        <w:t>n</w:t>
      </w:r>
      <w:r w:rsidR="009C46D2" w:rsidRPr="009C46D2">
        <w:t>ých rozvodů podle pohlaví v</w:t>
      </w:r>
      <w:r w:rsidR="009C46D2">
        <w:t> </w:t>
      </w:r>
      <w:r w:rsidR="009C46D2" w:rsidRPr="009C46D2">
        <w:t>krajích</w:t>
      </w:r>
      <w:r w:rsidR="009C46D2">
        <w:t xml:space="preserve"> (%)</w:t>
      </w:r>
      <w:r w:rsidR="009C46D2" w:rsidRPr="009C46D2">
        <w:t>, 2013</w:t>
      </w:r>
      <w:bookmarkEnd w:id="2"/>
    </w:p>
    <w:p w:rsidR="007F4192" w:rsidRDefault="00FA1966">
      <w:pPr>
        <w:pStyle w:val="Textbubliny"/>
      </w:pPr>
      <w:r>
        <w:pict>
          <v:shape id="_x0000_i1027" type="#_x0000_t75" style="width:425.25pt;height:251.25pt">
            <v:imagedata r:id="rId10" o:title=""/>
          </v:shape>
        </w:pict>
      </w:r>
    </w:p>
    <w:p w:rsidR="007F4192" w:rsidRDefault="007F4192" w:rsidP="00590D24">
      <w:pPr>
        <w:pStyle w:val="Textbubliny"/>
        <w:spacing w:after="60"/>
        <w:rPr>
          <w:rFonts w:ascii="Arial" w:hAnsi="Arial" w:cs="Times New Roman"/>
          <w:sz w:val="20"/>
          <w:szCs w:val="24"/>
        </w:rPr>
      </w:pPr>
    </w:p>
    <w:p w:rsidR="007F4192" w:rsidRDefault="00310396" w:rsidP="006A2384">
      <w:pPr>
        <w:pStyle w:val="Nadpis2"/>
        <w:ind w:left="578" w:hanging="578"/>
      </w:pPr>
      <w:r>
        <w:t>Porodnost a plodnost</w:t>
      </w:r>
    </w:p>
    <w:p w:rsidR="007F4192" w:rsidRDefault="004E0243">
      <w:r>
        <w:t>Počet živě narozených dětí mezi roky 2003 a 2008 na celorepublikové úrovni vzrostl z 93 685 na 119</w:t>
      </w:r>
      <w:r w:rsidR="00E47F03">
        <w:t> </w:t>
      </w:r>
      <w:r>
        <w:t>570</w:t>
      </w:r>
      <w:r w:rsidR="00E47F03">
        <w:t xml:space="preserve"> (nejvyšší počet živě narozených dětí od roku 1993)</w:t>
      </w:r>
      <w:r>
        <w:t xml:space="preserve">, aby vzápětí v dalším pětiletém období poklesl až na 106 571 během roku 2013. </w:t>
      </w:r>
      <w:r w:rsidR="00E47F03">
        <w:t>Pořadí krajů podle počtu živě narozených dětí bylo v období 2003 až 2013 poměrně stabilní. Pouze Moravskoslezský kraj se propadl z prvního místa v roce 2003 na čtvrté o deset let později.</w:t>
      </w:r>
      <w:r w:rsidR="00246629">
        <w:t xml:space="preserve"> Mezi posledními dvěma roky byl zaznamenán v ČR pokles počtu živě narozených dětí o 1 825</w:t>
      </w:r>
      <w:r w:rsidR="00380808">
        <w:t>.</w:t>
      </w:r>
      <w:r w:rsidR="00246629">
        <w:t xml:space="preserve"> </w:t>
      </w:r>
      <w:r w:rsidR="00380808">
        <w:t>P</w:t>
      </w:r>
      <w:r w:rsidR="00246629">
        <w:t xml:space="preserve">ouze ve </w:t>
      </w:r>
      <w:r w:rsidR="00380808">
        <w:t xml:space="preserve">Zlínském a Jihomoravském kraji </w:t>
      </w:r>
      <w:r w:rsidR="00246629">
        <w:t>došlo k mírnému nárůstu</w:t>
      </w:r>
      <w:r w:rsidR="00380808">
        <w:t xml:space="preserve"> a v</w:t>
      </w:r>
      <w:r w:rsidR="00246629">
        <w:t xml:space="preserve"> </w:t>
      </w:r>
      <w:r w:rsidR="00D84E5B">
        <w:t xml:space="preserve"> Olomouckém</w:t>
      </w:r>
      <w:r w:rsidR="00380808">
        <w:t>,</w:t>
      </w:r>
      <w:r w:rsidR="00D84E5B">
        <w:t xml:space="preserve"> Karlovarském</w:t>
      </w:r>
      <w:r w:rsidR="00380808">
        <w:t xml:space="preserve"> a Královéhradeckém kraji počet živě narozených dětí stagnoval</w:t>
      </w:r>
      <w:r w:rsidR="00D84E5B">
        <w:t xml:space="preserve">. </w:t>
      </w:r>
    </w:p>
    <w:p w:rsidR="00381945" w:rsidRDefault="00381945"/>
    <w:p w:rsidR="00381945" w:rsidRDefault="00381945" w:rsidP="00381945">
      <w:r>
        <w:t>Podíl živě narozených dětí mimo manželství se meziročně opět zvýšil, tentokrát o 1,6 procentního bodu na 45,0 % v roce 2013. Přitom v roce 2003 byl ještě 28,5 % a v roce 1993 dokonce 12,7 %. Hodnota tohoto ukazatele byla významně krajsky diferencovaná. V posledním sledovaném roce se pře</w:t>
      </w:r>
      <w:r w:rsidR="00AB1344">
        <w:t>s</w:t>
      </w:r>
      <w:r>
        <w:t xml:space="preserve"> padesátiprocentní hranici dostaly dva kraje – Karlovarský (60,7 %) a Ústecký (59,3 %). Naopak nízkých hodnot pod 40 % dosáhly  H. m. Praha (38,7 %), Kraj Vysočina (38,9 %) a Jihomoravský (39,6 %). V čase se ale variabilita krajů podle tohoto ukazatele snížila. Zatímco v roce 2003 bylo rozpětí mezi nejvyšší a nejnižší hodnotou 28,9, tak o deset let později to bylo již pouze 23,3. Stejně tak ve sledovaném období klesal i rozptyl. </w:t>
      </w:r>
    </w:p>
    <w:p w:rsidR="00381945" w:rsidRDefault="00381945" w:rsidP="00381945">
      <w:pPr>
        <w:pStyle w:val="Textbubliny"/>
        <w:spacing w:after="60"/>
        <w:rPr>
          <w:rFonts w:ascii="Arial" w:hAnsi="Arial" w:cs="Times New Roman"/>
          <w:sz w:val="20"/>
          <w:szCs w:val="24"/>
        </w:rPr>
      </w:pPr>
    </w:p>
    <w:p w:rsidR="00157E1C" w:rsidRDefault="00157E1C" w:rsidP="00157E1C">
      <w:pPr>
        <w:pStyle w:val="Titulek"/>
        <w:spacing w:before="0" w:after="60"/>
      </w:pPr>
      <w:r>
        <w:t xml:space="preserve">Tab. </w:t>
      </w:r>
      <w:fldSimple w:instr=" STYLEREF 1 \s ">
        <w:r w:rsidR="00D973C6">
          <w:rPr>
            <w:noProof/>
          </w:rPr>
          <w:t>8</w:t>
        </w:r>
      </w:fldSimple>
      <w:r>
        <w:t>.1</w:t>
      </w:r>
      <w:r w:rsidR="00D376A4">
        <w:t>1</w:t>
      </w:r>
      <w:r>
        <w:t xml:space="preserve"> Živě narození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8"/>
        <w:gridCol w:w="858"/>
        <w:gridCol w:w="923"/>
        <w:gridCol w:w="923"/>
        <w:gridCol w:w="923"/>
        <w:gridCol w:w="923"/>
        <w:gridCol w:w="923"/>
        <w:gridCol w:w="923"/>
        <w:gridCol w:w="555"/>
        <w:gridCol w:w="555"/>
        <w:gridCol w:w="555"/>
      </w:tblGrid>
      <w:tr w:rsidR="00157E1C" w:rsidTr="00F465A9">
        <w:trPr>
          <w:trHeight w:val="255"/>
        </w:trPr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7E1C" w:rsidRDefault="00157E1C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62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7E1C" w:rsidRDefault="00157E1C" w:rsidP="00F465A9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20"/>
              </w:rPr>
              <w:t>Živě narození celkem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20"/>
              </w:rPr>
              <w:t>Živě narození mimo manželství (%)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E1C" w:rsidRDefault="00157E1C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93 685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102 211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119 570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117 153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108 673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108 576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106 751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10 057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11 943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14 339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14 792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13 968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14 176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13 867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38,7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10 633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12 113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15 246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15 212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14 531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14 428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14 218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5 736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7 155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6 933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6 379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6 655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6 374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4 934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6 242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5 566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5 768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46,4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2 887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3 014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3 562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3 014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2 820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2 826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60,7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8 344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8 725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10 031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9 275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8 645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8 215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4 271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5 220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4 654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4 592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4 535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49,8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5 093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5 405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6 254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5 437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5 467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5 451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47,1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4 645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4 909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5 752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5 721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5 385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5 077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44,3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4 775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5 649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5 357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5 075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5 148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38,9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10 007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11 149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13 196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13 040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12 404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12 339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12 403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39,6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7 118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6 922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6 311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6 303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6 322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5 147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5 670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6 261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6 106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5 493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5 585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37,4</w:t>
            </w:r>
          </w:p>
        </w:tc>
      </w:tr>
      <w:tr w:rsidR="00157E1C" w:rsidTr="00F465A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11 552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12 177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13 402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13 099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11 807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11 787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11 603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49,8</w:t>
            </w:r>
          </w:p>
        </w:tc>
      </w:tr>
    </w:tbl>
    <w:p w:rsidR="00157E1C" w:rsidRDefault="00157E1C" w:rsidP="00381945">
      <w:pPr>
        <w:spacing w:after="60"/>
      </w:pPr>
    </w:p>
    <w:p w:rsidR="00157E1C" w:rsidRDefault="006E4D67" w:rsidP="00197537">
      <w:r>
        <w:t>Úhrnná plodnost v ČR vzrostla z 1,18 v roce 2003 až na 1,50</w:t>
      </w:r>
      <w:r w:rsidR="006F651D">
        <w:t xml:space="preserve"> dítěte na jednu ženu</w:t>
      </w:r>
      <w:r>
        <w:t xml:space="preserve"> v roce 2008, což byla nejvyšší úroveň plodnosti od roku 1993. </w:t>
      </w:r>
      <w:r w:rsidR="00A63C7E">
        <w:t>Poté následoval mírný pokles a stagnace, přičemž v roce 2013 byla hodnota tohoto ukazatele 1,46 (mírný nárůst o 0,01 oproti předchozímu roku).</w:t>
      </w:r>
      <w:r w:rsidR="0024541F">
        <w:t xml:space="preserve"> V posledních deseti letech došlo ke značné proměně územního obrazu plodnosti.</w:t>
      </w:r>
      <w:r w:rsidR="009E67DE">
        <w:t xml:space="preserve"> Ústecký kraj se propadl z první pozice na šestou, Karlovarský ze třetí na desátou a Moravskoslezský z šesté na jedenáctou. Zároveň šlo o kraje, kde byl přírůstek úrovně úhrnné plodnosti za posledních deset let nejnižší – 14 % v Ústeckém, 17 % v Karlovarském a 18 % v Moravskoslezském kraji. Díky výraznějšímu nárůstu úhrnné plodnosti (oproti ostatním krajům) mezi roky 2003 a 2013 v Jihomoravském (o 30 %), Středočeském (o 28 %) a Jihočeském (o 26 %) kraji se tyto kraje posunuly</w:t>
      </w:r>
      <w:r w:rsidR="00994C40">
        <w:t xml:space="preserve"> mezi kraje s nadprůměrnou hodnotou tohoto ukazatele, v případě Středočeského kraje šlo dokonce o posun na první místo. </w:t>
      </w:r>
    </w:p>
    <w:p w:rsidR="00157E1C" w:rsidRDefault="00157E1C" w:rsidP="00197537"/>
    <w:p w:rsidR="00157E1C" w:rsidRDefault="00157E1C" w:rsidP="00157E1C">
      <w:pPr>
        <w:pStyle w:val="Titulek"/>
        <w:spacing w:before="0" w:after="60"/>
      </w:pPr>
      <w:r>
        <w:t xml:space="preserve">Tab. </w:t>
      </w:r>
      <w:fldSimple w:instr=" STYLEREF 1 \s ">
        <w:r w:rsidR="00D973C6">
          <w:rPr>
            <w:noProof/>
          </w:rPr>
          <w:t>8</w:t>
        </w:r>
      </w:fldSimple>
      <w:r>
        <w:t>.1</w:t>
      </w:r>
      <w:r w:rsidR="00D376A4">
        <w:t>2</w:t>
      </w:r>
      <w:r>
        <w:t xml:space="preserve"> Plodnost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1"/>
        <w:gridCol w:w="578"/>
        <w:gridCol w:w="589"/>
        <w:gridCol w:w="589"/>
        <w:gridCol w:w="589"/>
        <w:gridCol w:w="590"/>
        <w:gridCol w:w="591"/>
        <w:gridCol w:w="590"/>
        <w:gridCol w:w="6"/>
        <w:gridCol w:w="584"/>
        <w:gridCol w:w="590"/>
        <w:gridCol w:w="591"/>
        <w:gridCol w:w="590"/>
        <w:gridCol w:w="590"/>
        <w:gridCol w:w="590"/>
        <w:gridCol w:w="591"/>
      </w:tblGrid>
      <w:tr w:rsidR="00157E1C" w:rsidTr="00F465A9">
        <w:trPr>
          <w:trHeight w:val="255"/>
        </w:trPr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7E1C" w:rsidRDefault="00157E1C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7E1C" w:rsidRDefault="00157E1C" w:rsidP="00F465A9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Úhrnná plodnost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57E1C" w:rsidRDefault="00157E1C" w:rsidP="00F465A9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Průměrný věk žen při narození dítěte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7E1C" w:rsidRDefault="00157E1C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31,5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1,47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28,6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</w:tr>
      <w:tr w:rsidR="00157E1C" w:rsidTr="00F465A9">
        <w:trPr>
          <w:trHeight w:val="255"/>
        </w:trPr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29,2</w:t>
            </w:r>
          </w:p>
        </w:tc>
      </w:tr>
    </w:tbl>
    <w:p w:rsidR="00157E1C" w:rsidRDefault="00157E1C" w:rsidP="00157E1C">
      <w:pPr>
        <w:pStyle w:val="Zpat"/>
        <w:tabs>
          <w:tab w:val="clear" w:pos="4536"/>
          <w:tab w:val="clear" w:pos="9072"/>
        </w:tabs>
      </w:pPr>
    </w:p>
    <w:p w:rsidR="00C646E5" w:rsidRDefault="00B74C70" w:rsidP="00197537">
      <w:r>
        <w:t>V roce 2013 byla nejvyšší hodnota úhrnné plodnosti ve Středočeském (1,54 dítěte na jednu ženu), Libereckém (1,51)</w:t>
      </w:r>
      <w:r w:rsidR="0014080B">
        <w:t xml:space="preserve"> </w:t>
      </w:r>
      <w:r>
        <w:t xml:space="preserve">a </w:t>
      </w:r>
      <w:r w:rsidR="0014080B">
        <w:t>Královéhradeckém kraji</w:t>
      </w:r>
      <w:r>
        <w:t xml:space="preserve"> (</w:t>
      </w:r>
      <w:r w:rsidR="0014080B">
        <w:t>1,49</w:t>
      </w:r>
      <w:r>
        <w:t xml:space="preserve">). Naopak nejnižší intenzity plodnosti dosahovalo Hl. m. Praha (1,36), Zlínský (1,40), Plzeňský a Moravskoslezský kraj (oba 1,41). </w:t>
      </w:r>
      <w:r w:rsidR="00994C40">
        <w:t>V posledním roce se nejvíce zvýšila intenzita plodnosti ve Zlínském</w:t>
      </w:r>
      <w:r w:rsidR="007F2378">
        <w:t xml:space="preserve"> (o </w:t>
      </w:r>
      <w:r w:rsidR="00994C40">
        <w:t>4</w:t>
      </w:r>
      <w:r w:rsidR="007F2378">
        <w:t>,0</w:t>
      </w:r>
      <w:r w:rsidR="00994C40">
        <w:t> %) a Karlovarském kraji</w:t>
      </w:r>
      <w:r w:rsidR="00447539">
        <w:t xml:space="preserve"> (o 3,5 %)</w:t>
      </w:r>
      <w:r w:rsidR="00082EA8">
        <w:t>, naopak nejvíce poklesla v Pardubickém (o 3,8 %) a Plzeňském  kraji</w:t>
      </w:r>
      <w:r w:rsidR="00447539">
        <w:t xml:space="preserve"> (o 2,8 %)</w:t>
      </w:r>
      <w:r w:rsidR="00082EA8">
        <w:t>.</w:t>
      </w:r>
      <w:r w:rsidR="00994C40">
        <w:t xml:space="preserve"> </w:t>
      </w:r>
    </w:p>
    <w:p w:rsidR="00535A11" w:rsidRDefault="00535A11" w:rsidP="00197537"/>
    <w:p w:rsidR="00535A11" w:rsidRDefault="00535A11" w:rsidP="00535A11">
      <w:pPr>
        <w:pStyle w:val="Titulek"/>
        <w:spacing w:before="0" w:after="60"/>
      </w:pPr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>
        <w:rPr>
          <w:noProof/>
        </w:rPr>
        <w:t>8</w:t>
      </w:r>
      <w:r w:rsidR="007042FA">
        <w:fldChar w:fldCharType="end"/>
      </w:r>
      <w:r>
        <w:t>.</w:t>
      </w:r>
      <w:fldSimple w:instr=" SEQ Obr. \* ARABIC \s 1 ">
        <w:r>
          <w:rPr>
            <w:noProof/>
          </w:rPr>
          <w:t>4</w:t>
        </w:r>
      </w:fldSimple>
      <w:r>
        <w:t xml:space="preserve"> </w:t>
      </w:r>
      <w:r w:rsidRPr="007629D5">
        <w:t>Úhrnná plodnost podle pořadí dítěte v krajích, 2013</w:t>
      </w:r>
    </w:p>
    <w:p w:rsidR="00535A11" w:rsidRDefault="00FA1966" w:rsidP="00535A11">
      <w:pPr>
        <w:spacing w:after="60"/>
      </w:pPr>
      <w:r>
        <w:pict>
          <v:shape id="_x0000_i1028" type="#_x0000_t75" style="width:425.25pt;height:249.75pt">
            <v:imagedata r:id="rId11" o:title=""/>
          </v:shape>
        </w:pict>
      </w:r>
    </w:p>
    <w:p w:rsidR="00535A11" w:rsidRDefault="00535A11" w:rsidP="00EA39B6">
      <w:pPr>
        <w:spacing w:after="60"/>
      </w:pPr>
    </w:p>
    <w:p w:rsidR="00C72967" w:rsidRDefault="00971B1A" w:rsidP="00197537">
      <w:r>
        <w:t>Průměrný věk žen</w:t>
      </w:r>
      <w:r w:rsidR="008D4019">
        <w:t xml:space="preserve"> při </w:t>
      </w:r>
      <w:r w:rsidR="007E52C1">
        <w:t>narození dítěte</w:t>
      </w:r>
      <w:r w:rsidR="008D4019">
        <w:t xml:space="preserve"> se výrazněji prodlužoval v období 2003 až 2008 (</w:t>
      </w:r>
      <w:r>
        <w:t xml:space="preserve">o </w:t>
      </w:r>
      <w:r w:rsidR="008D4019">
        <w:t>1,2 roku) než mezi roky 2008 až 2013 (</w:t>
      </w:r>
      <w:r>
        <w:t xml:space="preserve">o </w:t>
      </w:r>
      <w:r w:rsidR="008D4019">
        <w:t>0,6 roku).</w:t>
      </w:r>
      <w:r>
        <w:t xml:space="preserve"> </w:t>
      </w:r>
      <w:r w:rsidR="008A60C4">
        <w:t xml:space="preserve">Na úrovni jednotlivých krajů se tento průměrný věk za posledních deset let nejvíce </w:t>
      </w:r>
      <w:r w:rsidR="00BD223B">
        <w:t xml:space="preserve">zvýšil </w:t>
      </w:r>
      <w:r w:rsidR="008A60C4">
        <w:t xml:space="preserve">ve Středočeském kraji a </w:t>
      </w:r>
      <w:r w:rsidR="00E3721A">
        <w:t>v Kraji Vysočina (v obou případech o 2,0 roku), zatímco nejmenší nárůst byl zaznamenán v Karlovarském (o 1,4 roku) a Ústeckém (o 1,5 roku) kraji.</w:t>
      </w:r>
      <w:r w:rsidR="00994C40">
        <w:t xml:space="preserve"> </w:t>
      </w:r>
      <w:r w:rsidR="00E3721A">
        <w:t xml:space="preserve">Vývoj průměrného věku ženy při </w:t>
      </w:r>
      <w:r w:rsidR="007E52C1">
        <w:t>narození dítěte</w:t>
      </w:r>
      <w:r w:rsidR="00E3721A">
        <w:t xml:space="preserve"> byl na krajské úrovni stabilnější než v případě úhrnné plodnosti. Kraj Hl. m. Praha měl nejvyšší průměrný věk v posledních deseti letech, stejně tak Ústecký a Karlovarský kraj ho měly nejnižší a druhý nejnižší.</w:t>
      </w:r>
      <w:r w:rsidR="00F928E1">
        <w:t xml:space="preserve"> V roce 2013 se </w:t>
      </w:r>
      <w:r w:rsidR="00F455AA">
        <w:t xml:space="preserve">oproti předchozímu roku </w:t>
      </w:r>
      <w:r w:rsidR="00F928E1">
        <w:t xml:space="preserve">nejvíce prodloužil průměrný věk ženy při </w:t>
      </w:r>
      <w:r w:rsidR="007E52C1">
        <w:t>narození dítěte</w:t>
      </w:r>
      <w:r w:rsidR="00F928E1">
        <w:t xml:space="preserve"> v Jihočeském kraji (o 0,19 roku) a nejvíce se snížil v Karlovarském kraji (o 0,15 roku).</w:t>
      </w:r>
      <w:r w:rsidR="00FD6A92">
        <w:t xml:space="preserve"> Právě Karlovarský kraj (28,7 let) spolu s Ústeckým (28,6 let) měly v roce 2013 výrazně nejnižší hodnotu průměrného věku matky při </w:t>
      </w:r>
      <w:r w:rsidR="007E52C1">
        <w:t>narození dítěte</w:t>
      </w:r>
      <w:r w:rsidR="00FD6A92">
        <w:t>.</w:t>
      </w:r>
      <w:r w:rsidR="00877AAD">
        <w:t xml:space="preserve"> Zdaleka nejvyšší hodnotu mělo naopak Hl. m. Praha (31,5 let), následované Zlínským (30,2 let) a Jihomoravským krajem (30,1 let)</w:t>
      </w:r>
      <w:r w:rsidR="00FA0AAD">
        <w:t>.</w:t>
      </w:r>
      <w:r w:rsidR="00FD6A92">
        <w:t xml:space="preserve"> </w:t>
      </w:r>
      <w:r w:rsidR="00E3721A">
        <w:t xml:space="preserve">  </w:t>
      </w:r>
      <w:r w:rsidR="009E67DE">
        <w:t xml:space="preserve">    </w:t>
      </w:r>
      <w:r w:rsidR="0024541F">
        <w:t xml:space="preserve"> </w:t>
      </w:r>
      <w:r w:rsidR="00A63C7E">
        <w:t xml:space="preserve"> </w:t>
      </w:r>
    </w:p>
    <w:p w:rsidR="00157E1C" w:rsidRDefault="00157E1C" w:rsidP="00157E1C"/>
    <w:p w:rsidR="007F765B" w:rsidRDefault="007F765B" w:rsidP="00EA39B6">
      <w:r>
        <w:t>Ačkoliv bylo Hl. m. Praha krajem s nejnižší úrovní úhrnné plodnosti v roce 2013, tak úhrnnou plodnost 1. pořadí mělo nejvyšší ze všech krajů ČR a to jak absolutně (0,767</w:t>
      </w:r>
      <w:r w:rsidR="003002C6">
        <w:t>;</w:t>
      </w:r>
      <w:r w:rsidR="00111E3A">
        <w:t xml:space="preserve"> těsně druhý byl Středočeský kraj s 0,764</w:t>
      </w:r>
      <w:r>
        <w:t>) tak i relativně (56,2 % z celkové úhrnné plodnosti tvořilo 1. pořadí).</w:t>
      </w:r>
      <w:r w:rsidR="00111E3A">
        <w:t xml:space="preserve"> Úhrnná plodnost druhého pořadí byla nejvyšší ve Středočeském (0,574)</w:t>
      </w:r>
      <w:r>
        <w:t xml:space="preserve"> </w:t>
      </w:r>
      <w:r w:rsidR="00111E3A">
        <w:t>a Královéhradeckém kraji (0,572)</w:t>
      </w:r>
      <w:r w:rsidR="003002C6">
        <w:t xml:space="preserve">. Absolutní i relativní </w:t>
      </w:r>
      <w:r w:rsidR="00157E1C">
        <w:t xml:space="preserve">vyšší zastoupení </w:t>
      </w:r>
      <w:r w:rsidR="003002C6">
        <w:t xml:space="preserve">úhrnné plodnosti třetího a vyššího pořadí </w:t>
      </w:r>
      <w:r w:rsidR="00157E1C">
        <w:t>bylo v roce 2013 zaznamenáno</w:t>
      </w:r>
      <w:r w:rsidR="003002C6">
        <w:t xml:space="preserve"> v Ústeckém (0,258; 17,5 % z celkové úhrnné plodno</w:t>
      </w:r>
      <w:r w:rsidR="00157E1C">
        <w:t xml:space="preserve">sti tvořilo 3. a vyšší pořadí) </w:t>
      </w:r>
      <w:r w:rsidR="003002C6">
        <w:t>a Karlovarském (0,233; 16,5 %) kraji.</w:t>
      </w:r>
    </w:p>
    <w:p w:rsidR="00D376A4" w:rsidRDefault="00D376A4" w:rsidP="00EA39B6"/>
    <w:p w:rsidR="007F4192" w:rsidRDefault="00310396" w:rsidP="009E7052">
      <w:pPr>
        <w:pStyle w:val="Nadpis2"/>
        <w:ind w:left="578" w:hanging="578"/>
      </w:pPr>
      <w:r>
        <w:t>Potratovost</w:t>
      </w:r>
    </w:p>
    <w:p w:rsidR="00493A20" w:rsidRDefault="009418AD">
      <w:r>
        <w:t>Počet potratů v ČR klesal mezi roky 2003 a 2006 z 42 304 na 39 959, poté následoval mírný vzestup na 41 446 v roce 2008, po němž došlo k opětovnému poklesu až na 37 687</w:t>
      </w:r>
      <w:r w:rsidR="00D376A4">
        <w:t xml:space="preserve"> v roce 2013</w:t>
      </w:r>
      <w:r>
        <w:t xml:space="preserve"> (o 46 méně než o rok dříve).</w:t>
      </w:r>
      <w:r w:rsidR="00CE003B">
        <w:t xml:space="preserve"> </w:t>
      </w:r>
      <w:r w:rsidR="00D376A4">
        <w:t>Při srovnání let</w:t>
      </w:r>
      <w:r w:rsidR="00CE003B">
        <w:t xml:space="preserve"> 2003 a 2013 se zvýšil počet potratů pouze ve Středočeském kraji (</w:t>
      </w:r>
      <w:r w:rsidR="006B1099">
        <w:t>o 10,7</w:t>
      </w:r>
      <w:r w:rsidR="00CE003B">
        <w:t xml:space="preserve"> %), </w:t>
      </w:r>
      <w:r w:rsidR="00982055">
        <w:t>kter</w:t>
      </w:r>
      <w:r w:rsidR="00D376A4">
        <w:t>ý</w:t>
      </w:r>
      <w:r w:rsidR="00982055">
        <w:t xml:space="preserve"> ale lze připsat </w:t>
      </w:r>
      <w:r w:rsidR="001E0F33">
        <w:t>ná</w:t>
      </w:r>
      <w:r w:rsidR="00982055">
        <w:t>růstu počtu obyvatel v kraji. V</w:t>
      </w:r>
      <w:r w:rsidR="00CE003B">
        <w:t xml:space="preserve">e všech dalších krajích došlo </w:t>
      </w:r>
      <w:r w:rsidR="00982055">
        <w:t>k </w:t>
      </w:r>
      <w:r w:rsidR="00CE003B">
        <w:t>poklesu</w:t>
      </w:r>
      <w:r w:rsidR="00982055">
        <w:t xml:space="preserve"> počtu potratů</w:t>
      </w:r>
      <w:r w:rsidR="00CE003B">
        <w:t xml:space="preserve">. Nejvýraznější </w:t>
      </w:r>
      <w:r w:rsidR="00C30654">
        <w:t xml:space="preserve">relativní </w:t>
      </w:r>
      <w:r w:rsidR="00CE003B">
        <w:t>snížení počtu potratů bylo ve stejném období zaznamenáno v Karlovarském (o 33</w:t>
      </w:r>
      <w:r w:rsidR="006B1099">
        <w:t>,1</w:t>
      </w:r>
      <w:r w:rsidR="00CE003B">
        <w:t xml:space="preserve"> %), Ústeckém</w:t>
      </w:r>
      <w:r w:rsidR="006B1099">
        <w:t xml:space="preserve"> (o 19,9</w:t>
      </w:r>
      <w:r w:rsidR="003E32EE">
        <w:t> </w:t>
      </w:r>
      <w:r w:rsidR="00CE003B">
        <w:t>%) a Královéhradeckém kraji (o 17</w:t>
      </w:r>
      <w:r w:rsidR="006B1099">
        <w:t>,3</w:t>
      </w:r>
      <w:r w:rsidR="00CE003B">
        <w:t xml:space="preserve"> %).</w:t>
      </w:r>
      <w:r w:rsidR="00C30654">
        <w:t xml:space="preserve"> V posledním sledovaném roce se </w:t>
      </w:r>
      <w:r w:rsidR="00493A20">
        <w:t xml:space="preserve">meziročně </w:t>
      </w:r>
      <w:r w:rsidR="00C30654">
        <w:t>nejvíce zvýšil</w:t>
      </w:r>
      <w:r w:rsidR="006B1099">
        <w:t xml:space="preserve"> počet potratů také ve Středočeském kraji (o 3,6 %) a nejvíce snížil v Karlovarském kraji (o 8,2 %).</w:t>
      </w:r>
    </w:p>
    <w:p w:rsidR="00472C3A" w:rsidRDefault="00472C3A"/>
    <w:p w:rsidR="00472C3A" w:rsidRDefault="00472C3A" w:rsidP="00472C3A">
      <w:r>
        <w:t>Podíl uměle přerušených těhotenství (UPT, indukované potraty) mezi roky 2003 a 2013 na celorepublikové úrovni klesl z 69,3 % na 60,3 %.</w:t>
      </w:r>
      <w:r w:rsidRPr="00D376A4">
        <w:t xml:space="preserve"> </w:t>
      </w:r>
      <w:r>
        <w:t>Na úrovni krajů byl pokles nejvýraznější v Královéhradeckém (14,5 procentního bodu), Plzeňském kraji (12,7 p. b.) a Hl. m. Praze (12,4 p. b.), narostl pouze v případě Karlovarského kraje (o 0,3 p. b.).</w:t>
      </w:r>
      <w:r w:rsidR="001E0F33">
        <w:t xml:space="preserve"> </w:t>
      </w:r>
      <w:r>
        <w:t xml:space="preserve">Nejvyšší podíl UPT byl v roce 2013 zaznamenán v Karlovarském kraji (73,9 %) a v Hl. m. Praze (66,6 %). Naopak nejnižší zastoupení indukovaných potratů bylo zjištěno v Kraji Vysočina (51,6 %), Zlínském (52,6 %) a Pardubickém (53,0 %). </w:t>
      </w:r>
    </w:p>
    <w:p w:rsidR="00472C3A" w:rsidRDefault="00472C3A" w:rsidP="00472C3A"/>
    <w:p w:rsidR="00157E1C" w:rsidRDefault="00157E1C" w:rsidP="00157E1C">
      <w:pPr>
        <w:pStyle w:val="Titulek"/>
        <w:spacing w:before="0" w:after="60"/>
      </w:pPr>
      <w:r>
        <w:t xml:space="preserve">Tab. </w:t>
      </w:r>
      <w:fldSimple w:instr=" STYLEREF 1 \s ">
        <w:r w:rsidR="00D973C6">
          <w:rPr>
            <w:noProof/>
          </w:rPr>
          <w:t>8</w:t>
        </w:r>
      </w:fldSimple>
      <w:r>
        <w:t>.1</w:t>
      </w:r>
      <w:r w:rsidR="00A03DE5">
        <w:t>3</w:t>
      </w:r>
      <w:r>
        <w:t xml:space="preserve"> Potraty v krajích, 2003–2013</w:t>
      </w: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1753"/>
        <w:gridCol w:w="798"/>
        <w:gridCol w:w="799"/>
        <w:gridCol w:w="798"/>
        <w:gridCol w:w="797"/>
        <w:gridCol w:w="797"/>
        <w:gridCol w:w="797"/>
        <w:gridCol w:w="797"/>
        <w:gridCol w:w="797"/>
        <w:gridCol w:w="797"/>
        <w:gridCol w:w="797"/>
      </w:tblGrid>
      <w:tr w:rsidR="00686058" w:rsidTr="00686058">
        <w:trPr>
          <w:trHeight w:val="255"/>
        </w:trPr>
        <w:tc>
          <w:tcPr>
            <w:tcW w:w="17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86058" w:rsidRDefault="00686058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6058" w:rsidRDefault="00686058" w:rsidP="0068605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Potraty celkem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058" w:rsidRDefault="00686058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86058" w:rsidRDefault="00686058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UPT (%)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686058" w:rsidRDefault="00686058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7E1C" w:rsidRDefault="00157E1C" w:rsidP="00F465A9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42 304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40 023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41 446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39 273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38 864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37 733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37 687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60,3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4 171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4 239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66,6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4 992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4 878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5 038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2 294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2 323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59,0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2 582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2 553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2 617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2 387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2 279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54,5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1 517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1 150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73,9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4 753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4 466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4 631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4 329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4 058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3 809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64,3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2 092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1 843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61,1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1 961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61,9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1 545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53,0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1 557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1 619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51,6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4 153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3 893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3 796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3 730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3 599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3 673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3 775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58,8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2 208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2 135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2 010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60,2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1 869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1 833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1 798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1 803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52,6</w:t>
            </w:r>
          </w:p>
        </w:tc>
      </w:tr>
      <w:tr w:rsidR="00157E1C" w:rsidTr="00686058">
        <w:trPr>
          <w:trHeight w:val="255"/>
        </w:trPr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E1C" w:rsidRDefault="00157E1C" w:rsidP="00F465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4 531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4 455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4 293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157E1C" w:rsidRDefault="00157E1C" w:rsidP="00F465A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</w:tr>
    </w:tbl>
    <w:p w:rsidR="00157E1C" w:rsidRDefault="00157E1C" w:rsidP="00157E1C">
      <w:pPr>
        <w:spacing w:after="60"/>
      </w:pPr>
    </w:p>
    <w:p w:rsidR="00B531AF" w:rsidRDefault="00272194" w:rsidP="001867A1">
      <w:r>
        <w:t xml:space="preserve">Vývoj úhrnné potratovosti na celorepublikové úrovni mezi roky 2003 a 2013 nebyl úplně kontinuální, nicméně charakteristickou tendencí byl pokles intenzity potratovosti. V roce 2013 byla úhrnná potratovost na úrovni 0,52 potratu na ženu, zatímco o deset let dříve to bylo 0,56 potratu. </w:t>
      </w:r>
      <w:r w:rsidR="00F637CE">
        <w:t xml:space="preserve">Nejvyšší hodnoty úhrnné potratovosti měly v roce 2013 kraje Ústecký (0,69), Liberecký (0,61) a Plzeňský (0,58), přičemž Ústecký kraj dosahoval nejvyšších intenzit potratovosti v celém posledním desetiletí. </w:t>
      </w:r>
      <w:r w:rsidR="00DB0FCA">
        <w:t>Pardubický (0,44 potratu na ženu), Zlínský kraj (0,45) a Hl. m. Praha (0,46) měly naopak nejnižší úroveň úhrnné potratovosti.</w:t>
      </w:r>
      <w:r w:rsidR="007B455A">
        <w:t xml:space="preserve"> Pouze ve Středočeském kraji hodnoty úhrnné potratovosti v období 2003 až 2013 fakticky stagnovaly, v ostatních krajích došlo k poklesu, přičemž nejvýraznější pokles byl zaznamenán v Ústeckém (o 11,7 %), Královéhradeckém (o 11,2 %) a Plzeňském kraji (o 10,6 %). Tento ukazatel měl tedy v posledním desetiletí tendenc</w:t>
      </w:r>
      <w:r w:rsidR="00A03DE5">
        <w:t>i</w:t>
      </w:r>
      <w:r w:rsidR="007B455A">
        <w:t xml:space="preserve"> k homogenizaci napříč kraji.</w:t>
      </w:r>
    </w:p>
    <w:p w:rsidR="00600E64" w:rsidRDefault="00600E64" w:rsidP="001867A1"/>
    <w:p w:rsidR="00600E64" w:rsidRDefault="00600E64" w:rsidP="00600E64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.14 Potratovost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570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583"/>
        <w:gridCol w:w="571"/>
        <w:gridCol w:w="571"/>
        <w:gridCol w:w="571"/>
      </w:tblGrid>
      <w:tr w:rsidR="00600E64" w:rsidTr="0005457A">
        <w:trPr>
          <w:cantSplit/>
          <w:trHeight w:val="255"/>
        </w:trPr>
        <w:tc>
          <w:tcPr>
            <w:tcW w:w="16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00E64" w:rsidRDefault="00600E64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00E64" w:rsidRDefault="00600E64" w:rsidP="0005457A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Úhrnná potratovost</w:t>
            </w:r>
          </w:p>
        </w:tc>
        <w:tc>
          <w:tcPr>
            <w:tcW w:w="40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Průměrný věk žen při potratu</w:t>
            </w:r>
          </w:p>
        </w:tc>
      </w:tr>
      <w:tr w:rsidR="00600E64" w:rsidTr="0005457A">
        <w:trPr>
          <w:cantSplit/>
          <w:trHeight w:val="255"/>
        </w:trPr>
        <w:tc>
          <w:tcPr>
            <w:tcW w:w="16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0E64" w:rsidRDefault="00600E64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30,0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30,7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31,1</w:t>
            </w:r>
          </w:p>
        </w:tc>
      </w:tr>
      <w:tr w:rsidR="00600E64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0E64" w:rsidRDefault="00600E64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600E64" w:rsidRDefault="00600E6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</w:tbl>
    <w:p w:rsidR="00600E64" w:rsidRDefault="00600E64" w:rsidP="005F586D">
      <w:pPr>
        <w:spacing w:after="60"/>
      </w:pPr>
    </w:p>
    <w:p w:rsidR="00AE0279" w:rsidRDefault="00B531AF" w:rsidP="00AE0279">
      <w:r>
        <w:t xml:space="preserve">Průměrný věk při potratu rostl </w:t>
      </w:r>
      <w:r w:rsidR="00350243">
        <w:t xml:space="preserve">mezi roky 2003 a 2013 </w:t>
      </w:r>
      <w:r>
        <w:t xml:space="preserve">méně intenzivně a, na rozdíl od průměrného věku při narození dítěte, </w:t>
      </w:r>
      <w:r w:rsidR="00350243">
        <w:t xml:space="preserve">ne </w:t>
      </w:r>
      <w:r w:rsidR="00BD223B">
        <w:t>zcela plynule</w:t>
      </w:r>
      <w:r w:rsidR="00350243">
        <w:t xml:space="preserve">. </w:t>
      </w:r>
      <w:r w:rsidR="00952307">
        <w:t>V období 2003–2010 mírně narostl z 29,</w:t>
      </w:r>
      <w:r w:rsidR="004D76AC">
        <w:t>7</w:t>
      </w:r>
      <w:r w:rsidR="00952307">
        <w:t xml:space="preserve"> na 30,2</w:t>
      </w:r>
      <w:r w:rsidR="00BD223B">
        <w:t xml:space="preserve"> roku</w:t>
      </w:r>
      <w:r w:rsidR="00952307">
        <w:t xml:space="preserve">, následně spíše stagnoval a v roce 2013 činil 30,1 let (o 0,03 roku méně než v roce 2012). </w:t>
      </w:r>
      <w:r w:rsidR="00E67517">
        <w:t>Nejvyšší průměrný věk při potratu byl v kraji Zlínském (31,</w:t>
      </w:r>
      <w:r w:rsidR="004D76AC">
        <w:t xml:space="preserve">1 </w:t>
      </w:r>
      <w:r w:rsidR="00E67517">
        <w:t>, Vysočin</w:t>
      </w:r>
      <w:r w:rsidR="001722D3">
        <w:t>a</w:t>
      </w:r>
      <w:r w:rsidR="00E67517">
        <w:t xml:space="preserve"> (30,7) a Pardubickém (30,5), zatímco nejnižšího průměrného věku při potratu dosahovaly </w:t>
      </w:r>
      <w:r w:rsidR="00BD223B">
        <w:t xml:space="preserve">ženy z </w:t>
      </w:r>
      <w:r w:rsidR="00E67517">
        <w:t>kraj</w:t>
      </w:r>
      <w:r w:rsidR="00BD223B">
        <w:t>ů</w:t>
      </w:r>
      <w:r w:rsidR="00E67517">
        <w:t xml:space="preserve"> s</w:t>
      </w:r>
      <w:r w:rsidR="001722D3">
        <w:t>e</w:t>
      </w:r>
      <w:r w:rsidR="00FF0444">
        <w:t xml:space="preserve"> zároveň </w:t>
      </w:r>
      <w:r w:rsidR="00E67517">
        <w:t xml:space="preserve">nejnižším </w:t>
      </w:r>
      <w:r w:rsidR="00FF0444">
        <w:t xml:space="preserve">průměrným </w:t>
      </w:r>
      <w:r w:rsidR="00E67517">
        <w:t>věkem při narození dítěte – Ústecký, Karlovarský (oba 29,4) a Moravskoslezský (29,8).</w:t>
      </w:r>
      <w:r w:rsidR="00AC6286">
        <w:t xml:space="preserve"> V případě některých krajů došlo mezi roky 2003 a 2013 k</w:t>
      </w:r>
      <w:r w:rsidR="00FF0444">
        <w:t>e</w:t>
      </w:r>
      <w:r w:rsidR="00AC6286">
        <w:t> změně jejich postavení vůči ostatním krajům v kontextu ukazatele průměrného věku při potratu.</w:t>
      </w:r>
      <w:r w:rsidR="00F72F5D">
        <w:t xml:space="preserve"> Například Plzeňský kraj měl nejvyšší hodnotu průměrného věku v roce 2003, ale díky tomu, že šlo o jediný kraj, který zaznamenal v posledních deseti letech pokles průměrného věku při potratu, tak se přesunul mezi kraje s podprůměrnými hodnotami tohoto ukazatele. Naopak Zlínský kraj a Kraj Vysočina </w:t>
      </w:r>
      <w:r w:rsidR="005A5CBA">
        <w:t>se spíše průměrnými hodnotami v roce 2003 se staly dvěma kraji s nejvyšším průměrným věkem při potratu o deset let později.</w:t>
      </w:r>
      <w:r w:rsidR="00E63699">
        <w:t xml:space="preserve"> Právě u </w:t>
      </w:r>
      <w:r w:rsidR="0052447E">
        <w:t>Kraje Vysočina</w:t>
      </w:r>
      <w:r w:rsidR="00E63699">
        <w:t xml:space="preserve"> došlo k půlročnímu </w:t>
      </w:r>
      <w:r w:rsidR="00FF0444">
        <w:t xml:space="preserve">snížení </w:t>
      </w:r>
      <w:r w:rsidR="00E63699">
        <w:t xml:space="preserve">tohoto ukazatele v roce 2013 oproti předchozímu roku, což byl nejvyšší pokles ze všech krajů. Naopak nejvyšší nárůst byl zaznamenán v Karlovarském kraji (o 0,4 roku). </w:t>
      </w:r>
      <w:r w:rsidR="005A5CBA">
        <w:t xml:space="preserve"> </w:t>
      </w:r>
    </w:p>
    <w:p w:rsidR="00AE0279" w:rsidRDefault="00AE0279" w:rsidP="00AE0279"/>
    <w:p w:rsidR="00AE0279" w:rsidRDefault="00AE0279" w:rsidP="00AE0279">
      <w:r>
        <w:t xml:space="preserve">Úhrnná indukovaná potratovost poklesla na celorepublikové úrovni mezi roky 2003 a 2013 z 0,39 na 0,32, přičemž v posledním sledovaném roce stoupla oproti roku 2012 statisticky naprosto zanedbatelně. Vzhledem k tomu, že podíl UPT na celkovém počtu potratů se v roce 2013 pohyboval v jednotlivých krajích mezi 51,6 a 73,9, tak právě vývoj u této skupiny potratů byl většinou určující i pro celkovou úroveň  potratovosti. </w:t>
      </w:r>
    </w:p>
    <w:p w:rsidR="00CF4C35" w:rsidRDefault="00CF4C35" w:rsidP="001867A1"/>
    <w:p w:rsidR="00600E64" w:rsidRDefault="00600E64" w:rsidP="00FE638F">
      <w:pPr>
        <w:spacing w:after="60"/>
        <w:rPr>
          <w:b/>
        </w:rPr>
      </w:pPr>
      <w:r w:rsidRPr="00600E64">
        <w:rPr>
          <w:b/>
        </w:rPr>
        <w:t xml:space="preserve">Tab. 8.15 Úhrnná indukovaná potratovost v krajích, 2003-2013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7"/>
        <w:gridCol w:w="570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583"/>
        <w:gridCol w:w="571"/>
        <w:gridCol w:w="571"/>
        <w:gridCol w:w="571"/>
      </w:tblGrid>
      <w:tr w:rsidR="00FE638F" w:rsidTr="0005457A">
        <w:trPr>
          <w:cantSplit/>
          <w:trHeight w:val="255"/>
        </w:trPr>
        <w:tc>
          <w:tcPr>
            <w:tcW w:w="16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E638F" w:rsidRDefault="00FE638F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39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E638F" w:rsidRDefault="00FE638F" w:rsidP="0005457A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Úhrnná indukované potratovost</w:t>
            </w:r>
          </w:p>
        </w:tc>
        <w:tc>
          <w:tcPr>
            <w:tcW w:w="40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E638F" w:rsidRDefault="00FE638F" w:rsidP="00702D32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Průměrný věk žen při </w:t>
            </w:r>
            <w:r w:rsidR="00702D32">
              <w:rPr>
                <w:rFonts w:eastAsia="Times New Roman"/>
              </w:rPr>
              <w:t>UPT</w:t>
            </w:r>
          </w:p>
        </w:tc>
      </w:tr>
      <w:tr w:rsidR="00FE638F" w:rsidTr="0005457A">
        <w:trPr>
          <w:cantSplit/>
          <w:trHeight w:val="255"/>
        </w:trPr>
        <w:tc>
          <w:tcPr>
            <w:tcW w:w="16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638F" w:rsidRDefault="00FE638F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FE638F" w:rsidRDefault="00FE638F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28,9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29,3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29,5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30,1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29,7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29,8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</w:tr>
      <w:tr w:rsidR="00702D32" w:rsidTr="0005457A">
        <w:trPr>
          <w:trHeight w:val="255"/>
        </w:trPr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2D32" w:rsidRDefault="00702D32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702D32" w:rsidRDefault="00702D32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29,4</w:t>
            </w:r>
          </w:p>
        </w:tc>
      </w:tr>
    </w:tbl>
    <w:p w:rsidR="00600E64" w:rsidRDefault="00600E64" w:rsidP="00AE0279">
      <w:pPr>
        <w:spacing w:after="60"/>
        <w:rPr>
          <w:b/>
        </w:rPr>
      </w:pPr>
    </w:p>
    <w:p w:rsidR="007F4192" w:rsidRDefault="00310396" w:rsidP="009E7052">
      <w:pPr>
        <w:pStyle w:val="Titulek"/>
        <w:spacing w:before="0" w:after="60"/>
      </w:pPr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8E3516">
        <w:t>5</w:t>
      </w:r>
      <w:r>
        <w:t xml:space="preserve"> Úhrnná indukovaná potratovost a průměrný</w:t>
      </w:r>
      <w:r w:rsidR="008E3516">
        <w:t xml:space="preserve"> věk žen při UPT v krajích, 2013</w:t>
      </w:r>
    </w:p>
    <w:p w:rsidR="00540C8F" w:rsidRDefault="00FA1966">
      <w:r>
        <w:pict>
          <v:shape id="_x0000_i1029" type="#_x0000_t75" style="width:426.75pt;height:249.75pt">
            <v:imagedata r:id="rId12" o:title=""/>
          </v:shape>
        </w:pict>
      </w:r>
    </w:p>
    <w:p w:rsidR="00AE0279" w:rsidRDefault="00AE0279" w:rsidP="00AE0279">
      <w:pPr>
        <w:spacing w:after="60"/>
      </w:pPr>
    </w:p>
    <w:p w:rsidR="00AE0279" w:rsidRDefault="00AE0279" w:rsidP="00AE0279">
      <w:r>
        <w:t xml:space="preserve">I v případě indukované potratovosti byl krajem s nejvyšší hodnotou tohoto ukazatele skoro po celé sledované období 2003–2013 Ústecký kraj (s výjimkou roku 2005, kdy jím byl Karlovarský kraj). Nejvyšší hodnoty úhrnné indukované potratovosti dosahovaly v roce 2013 kraje ze severních a severozápadních Čech – Ústecký (0,44), Karlovarský (0,42) a Liberecký (0,40), zatímco nejnižších hodnot Pardubický kraj (0,23), Kraj Vysočina a Zlínský kraj (oba 0,24). Výše zmíněné kraje s vysokými hodnotami úhrnné umělé potratovosti měly zároveň nejnižší věk při UPT a naopak u krajů s nejnižší intenzitou umělé potratovosti probíhal indukovaný potrat v průměru ve vyšším věku.    </w:t>
      </w:r>
    </w:p>
    <w:p w:rsidR="00F373FA" w:rsidRDefault="00F373FA" w:rsidP="009E7052">
      <w:pPr>
        <w:spacing w:after="60"/>
      </w:pPr>
    </w:p>
    <w:p w:rsidR="00AE0359" w:rsidRPr="00AE0359" w:rsidRDefault="00BD430F" w:rsidP="00AE0359">
      <w:r>
        <w:t>Kraje s vyšším podílem UPT, kterým předcházel jiný indukovaný potrat, byly nejen v severní</w:t>
      </w:r>
      <w:r w:rsidR="00C9163F">
        <w:t>ch</w:t>
      </w:r>
      <w:r>
        <w:t xml:space="preserve"> a severozápadních Čechách (Ústecký, Liberecký a Karlovarský kraj), ale i na Moravě, konkrétně v Moravskoslezském kraji.</w:t>
      </w:r>
      <w:r w:rsidR="00EA429A">
        <w:t xml:space="preserve"> Celorepublikovou hodnotu 35,2 % v roce 2013 významně překonal zejména Ústecký kraj, který jako jediný přesáhl čtyřicetiprocentní hladinu s hodnotou 42,9 %. </w:t>
      </w:r>
      <w:r w:rsidR="0046551F">
        <w:t>Mezi kraje s nejnižším podílem opakovaných UPT u ženy patřil</w:t>
      </w:r>
      <w:r w:rsidR="00C9163F">
        <w:t xml:space="preserve"> Kraj Vysočina a </w:t>
      </w:r>
      <w:r w:rsidR="0046551F">
        <w:t xml:space="preserve">moravské kraje Zlínský a Jihomoravský. </w:t>
      </w:r>
    </w:p>
    <w:p w:rsidR="00AE0359" w:rsidRPr="00AE0359" w:rsidRDefault="00AE0359" w:rsidP="00AE0359"/>
    <w:p w:rsidR="00F373FA" w:rsidRDefault="00F373FA" w:rsidP="009E7052">
      <w:pPr>
        <w:pStyle w:val="Titulek"/>
        <w:spacing w:before="0" w:after="60"/>
      </w:pPr>
      <w:r w:rsidRPr="00F373FA">
        <w:t>Obr. 8.6 Podíl UPT s předchozím prodělaným UPT v krajích (%), 2013</w:t>
      </w:r>
    </w:p>
    <w:p w:rsidR="00F373FA" w:rsidRDefault="00FA1966">
      <w:r>
        <w:pict>
          <v:shape id="_x0000_i1030" type="#_x0000_t75" style="width:426.75pt;height:263.25pt">
            <v:imagedata r:id="rId13" o:title=""/>
          </v:shape>
        </w:pict>
      </w:r>
    </w:p>
    <w:p w:rsidR="00F373FA" w:rsidRDefault="00F373FA" w:rsidP="009E7052">
      <w:pPr>
        <w:spacing w:after="60"/>
      </w:pPr>
    </w:p>
    <w:p w:rsidR="007F4192" w:rsidRDefault="00310396" w:rsidP="009E7052">
      <w:pPr>
        <w:pStyle w:val="Nadpis2"/>
        <w:ind w:left="578" w:hanging="578"/>
      </w:pPr>
      <w:r>
        <w:t>Úmrtnost</w:t>
      </w:r>
    </w:p>
    <w:p w:rsidR="00910F5C" w:rsidRDefault="00910F5C" w:rsidP="008A7227">
      <w:r>
        <w:t xml:space="preserve">Počet zemřelých </w:t>
      </w:r>
      <w:r w:rsidR="00F35F86">
        <w:t>v ČR v</w:t>
      </w:r>
      <w:r>
        <w:t xml:space="preserve"> </w:t>
      </w:r>
      <w:r w:rsidR="00F35F86">
        <w:t xml:space="preserve">období 2003 až 2006 poklesl z 111 288 na </w:t>
      </w:r>
      <w:r>
        <w:t xml:space="preserve">104 441 obyvatel, což znamenalo nejnižší počet úmrtí od roku 1964. Poté následoval mírný nárůst počtu zemřelých na 109 160 v roce 2013 (o 971 více než o rok dříve). Nejvyšší počet zemřelých byl od roku 2004 </w:t>
      </w:r>
      <w:r w:rsidR="00C9163F">
        <w:t xml:space="preserve">mezi obyvateli </w:t>
      </w:r>
      <w:r>
        <w:t>Moravskoslezské</w:t>
      </w:r>
      <w:r w:rsidR="00C9163F">
        <w:t>ho</w:t>
      </w:r>
      <w:r>
        <w:t xml:space="preserve"> kraj</w:t>
      </w:r>
      <w:r w:rsidR="00C9163F">
        <w:t>e</w:t>
      </w:r>
      <w:r>
        <w:t xml:space="preserve">, ačkoliv se jedná o kraj s až třetím nejvyšším celkovým počtem obyvatel. </w:t>
      </w:r>
    </w:p>
    <w:p w:rsidR="008A7227" w:rsidRDefault="008A7227"/>
    <w:p w:rsidR="004B6823" w:rsidRDefault="00910F5C" w:rsidP="00910F5C">
      <w:r>
        <w:t xml:space="preserve">Nejvyšší relativní </w:t>
      </w:r>
      <w:r w:rsidR="00C9163F">
        <w:t xml:space="preserve">pokles </w:t>
      </w:r>
      <w:r>
        <w:t xml:space="preserve">počtu zemřelých byl mezi roky 2003 a 2013 v Hl. m. Praze (o 9,9 %) a v Kraji Vysočina (5,2 %), zatímco nejintenzivnější </w:t>
      </w:r>
      <w:r w:rsidR="00C9163F">
        <w:t xml:space="preserve">nárůst </w:t>
      </w:r>
      <w:r>
        <w:t>byl ve stejném ob</w:t>
      </w:r>
      <w:r w:rsidR="004B6823">
        <w:t>dobí zaznamenán v Olomouckém (o </w:t>
      </w:r>
      <w:r>
        <w:t>3,3 %) a Karlovarském kraji (o 2,9 %).</w:t>
      </w:r>
      <w:r w:rsidR="00BC6878">
        <w:t xml:space="preserve"> V roce 2013 </w:t>
      </w:r>
      <w:r w:rsidR="004B6823">
        <w:t xml:space="preserve">byl </w:t>
      </w:r>
      <w:r w:rsidR="00BC6878">
        <w:t xml:space="preserve">oproti předchozímu roku </w:t>
      </w:r>
      <w:r w:rsidR="00BB081E">
        <w:t xml:space="preserve">nejvyšší relativní </w:t>
      </w:r>
      <w:r w:rsidR="00C9163F">
        <w:t xml:space="preserve">pokles </w:t>
      </w:r>
      <w:r w:rsidR="00BB081E">
        <w:t>počtu zemřelých sledován také v Hl. m. Praze (o 2,1 %) a v Kraji Vysočina (o 1,8 %)</w:t>
      </w:r>
      <w:r w:rsidR="004B6823">
        <w:t xml:space="preserve">, zatímco </w:t>
      </w:r>
      <w:r w:rsidR="00C9163F">
        <w:t xml:space="preserve">růst </w:t>
      </w:r>
      <w:r w:rsidR="004B6823">
        <w:t>ve Zlínském (o 4,3 %), Karlovarském (o 3,7 %) a Ústeckém kraji (o 3,5 %).</w:t>
      </w:r>
    </w:p>
    <w:p w:rsidR="004B6823" w:rsidRDefault="004B6823" w:rsidP="00910F5C"/>
    <w:p w:rsidR="00910F5C" w:rsidRDefault="00DB40B8" w:rsidP="00910F5C">
      <w:r>
        <w:t xml:space="preserve">Nárůst podílu </w:t>
      </w:r>
      <w:r w:rsidR="00C9163F">
        <w:t xml:space="preserve">osob </w:t>
      </w:r>
      <w:r>
        <w:t xml:space="preserve">ve věku 80 let a více na celkovém počtu </w:t>
      </w:r>
      <w:r w:rsidR="00B90D2E">
        <w:t xml:space="preserve">zemřelých </w:t>
      </w:r>
      <w:r>
        <w:t>proběhl v období 2003 až 2013 ve všech krajích. Nejvyšší nárůst zastoupení této skupiny osob byl zaznamenán v Královéhradeckém (o 10,8 procentních bodů) a Pardubickém kraji (</w:t>
      </w:r>
      <w:r w:rsidR="00C9163F">
        <w:t>o </w:t>
      </w:r>
      <w:r>
        <w:t xml:space="preserve">10,6 p. b.), naopak nejmenší nárůst byl v Jihomoravském </w:t>
      </w:r>
      <w:r w:rsidR="00525034">
        <w:t>(o </w:t>
      </w:r>
      <w:r>
        <w:t>6,4 p. b.) a Ústeckém kraji (o 6,5 p. b).</w:t>
      </w:r>
      <w:r w:rsidR="00A96567">
        <w:t xml:space="preserve"> </w:t>
      </w:r>
      <w:r w:rsidR="00D83A45">
        <w:t>Celorepublikov</w:t>
      </w:r>
      <w:r w:rsidR="00EC0B50">
        <w:t>ý</w:t>
      </w:r>
      <w:r w:rsidR="00D83A45">
        <w:t xml:space="preserve"> nárůst tohoto ukazatele v letech 2003 až 2013 byl 8,2 procentních bodů. </w:t>
      </w:r>
      <w:r w:rsidR="00A96567">
        <w:t>Krajem s dlouhodobě nejvyšší</w:t>
      </w:r>
      <w:r w:rsidR="00B90D2E">
        <w:t>m</w:t>
      </w:r>
      <w:r w:rsidR="00A96567">
        <w:t xml:space="preserve"> zastoupením zemřelé sub-populace ve věku 80 let a více bylo Hl. m. Praha (51,0 % v roce 2013), které bylo v roce 2013 následováno Královéhradeckým krajem (49,3 %).</w:t>
      </w:r>
      <w:r w:rsidR="003C3D69">
        <w:t xml:space="preserve"> Nejnižší zastoupení zemřelých v této skupině populace vykazovaly dlouhodobě kraje Ústecký (37,1 % v roce 2013), Karlovarský (37,8 %) a Moravskoslezský (40,3 %)</w:t>
      </w:r>
      <w:r w:rsidR="00D83A45">
        <w:t xml:space="preserve">, přičemž hodnoty 44,7 % dosahovala celá ČR. </w:t>
      </w:r>
    </w:p>
    <w:p w:rsidR="00910F5C" w:rsidRDefault="00910F5C" w:rsidP="00910F5C"/>
    <w:p w:rsidR="00CA4187" w:rsidRDefault="00CA4187"/>
    <w:p w:rsidR="00FF242F" w:rsidRDefault="00FF242F" w:rsidP="00CA4187">
      <w:pPr>
        <w:pStyle w:val="Titulek"/>
        <w:spacing w:before="0" w:after="60"/>
      </w:pPr>
    </w:p>
    <w:p w:rsidR="00CA4187" w:rsidRDefault="00CA4187" w:rsidP="00CA4187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</w:t>
      </w:r>
      <w:r w:rsidR="000002BB">
        <w:t>16</w:t>
      </w:r>
      <w:r>
        <w:t xml:space="preserve"> Zemřelí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771"/>
        <w:gridCol w:w="885"/>
        <w:gridCol w:w="885"/>
        <w:gridCol w:w="885"/>
        <w:gridCol w:w="885"/>
        <w:gridCol w:w="885"/>
        <w:gridCol w:w="885"/>
        <w:gridCol w:w="614"/>
        <w:gridCol w:w="700"/>
        <w:gridCol w:w="720"/>
      </w:tblGrid>
      <w:tr w:rsidR="00CA4187" w:rsidTr="0005457A">
        <w:trPr>
          <w:cantSplit/>
          <w:trHeight w:val="255"/>
        </w:trPr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4187" w:rsidRDefault="00CA4187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608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CA4187" w:rsidRDefault="00CA4187" w:rsidP="0005457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Zemřelí celkem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A4187" w:rsidRDefault="00CA4187" w:rsidP="0005457A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Zemřelí 80+ let (%)</w:t>
            </w:r>
          </w:p>
        </w:tc>
      </w:tr>
      <w:tr w:rsidR="00CA4187" w:rsidTr="0005457A">
        <w:trPr>
          <w:cantSplit/>
          <w:trHeight w:val="255"/>
        </w:trPr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4187" w:rsidRDefault="00CA4187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111 288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107 938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104 948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106 844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106 848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108 189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109 160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13 488</w:t>
            </w:r>
          </w:p>
        </w:tc>
        <w:tc>
          <w:tcPr>
            <w:tcW w:w="885" w:type="dxa"/>
            <w:tcBorders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12 673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12 269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12 266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12 092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12 411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12 149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13 050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12 850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12 255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12 440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12 621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12 752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12 924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6 521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6 416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6 504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6 604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44,5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6 208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5 846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5 816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5 888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6 003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45,7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3 095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2 983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3 080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3 072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37,8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9 260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8 951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8 809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8 912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8 841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8 959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9 277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37,1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4 460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4 228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4 386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4 423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44,0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6 014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5 553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5 825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5 918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49,3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5 354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5 168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5 087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5 365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5 403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5 392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5 409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5 339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5 031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5 223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12 081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12 059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11 262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11 566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11 466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11 709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11 629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46,0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6 614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6 479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6 433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6 748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6 559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6 701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6 830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44,6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6 345</w:t>
            </w:r>
          </w:p>
        </w:tc>
        <w:tc>
          <w:tcPr>
            <w:tcW w:w="885" w:type="dxa"/>
            <w:tcBorders>
              <w:top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6 265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6 061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6 171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6 093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6 354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46,3</w:t>
            </w:r>
          </w:p>
        </w:tc>
      </w:tr>
      <w:tr w:rsidR="00CA4187" w:rsidTr="0005457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13 389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12 991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12 974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13 293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13 384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13 148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13 284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40,3</w:t>
            </w:r>
          </w:p>
        </w:tc>
      </w:tr>
    </w:tbl>
    <w:p w:rsidR="00CA4187" w:rsidRDefault="00CA4187" w:rsidP="00CA4187">
      <w:pPr>
        <w:spacing w:after="60"/>
      </w:pPr>
    </w:p>
    <w:p w:rsidR="00760FDF" w:rsidRDefault="00793B2F">
      <w:r>
        <w:t>Počty zemřelých či relativní zastoupení určité věkové skupiny je ovlivněno věkovou strukturou, jejíž vliv lze vyloučit použitím ukazatelů jako naděje dožití při narození nebo standardizované míry úmrtnosti.</w:t>
      </w:r>
      <w:r w:rsidR="00921D33">
        <w:t xml:space="preserve"> Úroveň úmrtnosti měřená těmito ukazateli je v jednotlivých krajích odlišná z různých důvodů. Mezi nejčastější patří odlišná sociální a vzdělanostní skladba obyvatelstva, případně struktura podle rodinné</w:t>
      </w:r>
      <w:r w:rsidR="00B90D2E">
        <w:t>ho</w:t>
      </w:r>
      <w:r w:rsidR="00921D33">
        <w:t xml:space="preserve"> stavu. Osoby s vyšším příjmem, vyšším dokončeným vzdělán</w:t>
      </w:r>
      <w:r w:rsidR="00F92FAC">
        <w:t>ím či vdané/ženaté mívají obvykle zdravější a méně rizikový životní styl.</w:t>
      </w:r>
      <w:r w:rsidR="00971EF0">
        <w:t xml:space="preserve"> Významným regionálním faktorem může být také struktura zaměstnanosti (vyšší podíl rizikovějších zaměstnání může vést k vyšší intenzitě úmrtnosti) nebo kvalita životního prostředí. Výhodou velkých měst je lepší dostupnost zdravotnických zařízeních a kratší dojezdová vzdálenost pro záchrannou službu.</w:t>
      </w:r>
    </w:p>
    <w:p w:rsidR="003967E2" w:rsidRDefault="003967E2"/>
    <w:p w:rsidR="001216E5" w:rsidRPr="00C005BF" w:rsidRDefault="003967E2" w:rsidP="001216E5">
      <w:pPr>
        <w:rPr>
          <w:rFonts w:cs="Arial"/>
        </w:rPr>
      </w:pPr>
      <w:r>
        <w:t xml:space="preserve">Naděje dožití při narození narostla na celorepublikové úrovni mezi roky 2003 a </w:t>
      </w:r>
      <w:r>
        <w:rPr>
          <w:rFonts w:cs="Arial"/>
        </w:rPr>
        <w:t>2013 u mužů z</w:t>
      </w:r>
      <w:r w:rsidR="00E67A42">
        <w:rPr>
          <w:rFonts w:cs="Arial"/>
        </w:rPr>
        <w:t>e</w:t>
      </w:r>
      <w:r>
        <w:rPr>
          <w:rFonts w:cs="Arial"/>
        </w:rPr>
        <w:t> 72,0 na 75,2 let a u žen z</w:t>
      </w:r>
      <w:r w:rsidR="00E67A42">
        <w:rPr>
          <w:rFonts w:cs="Arial"/>
        </w:rPr>
        <w:t>e</w:t>
      </w:r>
      <w:r>
        <w:rPr>
          <w:rFonts w:cs="Arial"/>
        </w:rPr>
        <w:t xml:space="preserve"> 78,5 na 81,1 let. </w:t>
      </w:r>
      <w:r w:rsidR="001216E5">
        <w:rPr>
          <w:rFonts w:cs="Arial"/>
        </w:rPr>
        <w:t>Krajem s nejvyšší nadějí dožití při narození u mužů byl</w:t>
      </w:r>
      <w:r w:rsidR="00E67A42">
        <w:rPr>
          <w:rFonts w:cs="Arial"/>
        </w:rPr>
        <w:t>o</w:t>
      </w:r>
      <w:r w:rsidR="001216E5">
        <w:rPr>
          <w:rFonts w:cs="Arial"/>
        </w:rPr>
        <w:t xml:space="preserve"> v posledním desetiletí vždy Hl. m. Praha – v období 2012–2013</w:t>
      </w:r>
      <w:r w:rsidR="00FB60A6">
        <w:rPr>
          <w:rStyle w:val="Znakapoznpodarou"/>
        </w:rPr>
        <w:footnoteReference w:id="2"/>
      </w:r>
      <w:r w:rsidR="001216E5">
        <w:rPr>
          <w:rFonts w:cs="Arial"/>
        </w:rPr>
        <w:t xml:space="preserve"> zde dosahoval tento ukazatel hodnoty 77,3 let. Další kraje s výrazněji nadprůměrnými hodnotami byly Královéhradecký a Vysočina (oba 75,9 roku). Naopak kraji s dlouhodobě nejnižšími hodnotami naděje dožití u mužů byly Ústecký (73,0 let), Moravskoslezský (73,8 let) a Karlovarský (74,1 let). V případě žen je postavení Hl. m. Prahy v dlouhodobém kontextu méně dominantní. Krajem s nejvyšší hodnotou naděje dožití bylo souvisle až od </w:t>
      </w:r>
      <w:r w:rsidR="00FB60A6">
        <w:rPr>
          <w:rFonts w:cs="Arial"/>
        </w:rPr>
        <w:t xml:space="preserve">období </w:t>
      </w:r>
      <w:r w:rsidR="001216E5">
        <w:rPr>
          <w:rFonts w:cs="Arial"/>
        </w:rPr>
        <w:t>2009–2010, přičemž před tím jím byl Kraj Vysočina. V posledním sledovaném roce následoval</w:t>
      </w:r>
      <w:r w:rsidR="00FB60A6">
        <w:rPr>
          <w:rFonts w:cs="Arial"/>
        </w:rPr>
        <w:t>y</w:t>
      </w:r>
      <w:r w:rsidR="001216E5">
        <w:rPr>
          <w:rFonts w:cs="Arial"/>
        </w:rPr>
        <w:t xml:space="preserve"> po hlavním městě Jihomoravský kraj (81,9 let) a Kraj Vysočina (81,7 let). Kraje s nejnižší úrovní naděje dožití při narození u</w:t>
      </w:r>
      <w:r w:rsidR="00FB60A6">
        <w:rPr>
          <w:rFonts w:cs="Arial"/>
        </w:rPr>
        <w:t> </w:t>
      </w:r>
      <w:r w:rsidR="001216E5">
        <w:rPr>
          <w:rFonts w:cs="Arial"/>
        </w:rPr>
        <w:t>žen byly stejné jako u mužů – Ústecký (79,0 let), Moravskoslezský a Karlovarský (oba 80,0 let)</w:t>
      </w:r>
      <w:r w:rsidR="00E67A42">
        <w:rPr>
          <w:rFonts w:cs="Arial"/>
        </w:rPr>
        <w:t>.</w:t>
      </w:r>
      <w:r w:rsidR="001216E5">
        <w:rPr>
          <w:rFonts w:cs="Arial"/>
        </w:rPr>
        <w:t xml:space="preserve"> Variabilita naděje dožití na krajské úrovni měřena rozpětím mezi nejvyšší a nejnižší hodnotou a rozptylem se v čase zvyšovala jak u mužů tak i v případě žen, přičemž u žen byla nižší než u mužů.         </w:t>
      </w:r>
      <w:r w:rsidR="001216E5">
        <w:t xml:space="preserve">     </w:t>
      </w:r>
    </w:p>
    <w:p w:rsidR="001216E5" w:rsidRDefault="001216E5" w:rsidP="003967E2">
      <w:pPr>
        <w:rPr>
          <w:rFonts w:cs="Arial"/>
        </w:rPr>
      </w:pPr>
    </w:p>
    <w:p w:rsidR="004D07E2" w:rsidRDefault="004D07E2" w:rsidP="004D07E2">
      <w:pPr>
        <w:pStyle w:val="Zpat"/>
        <w:tabs>
          <w:tab w:val="clear" w:pos="4536"/>
          <w:tab w:val="clear" w:pos="9072"/>
        </w:tabs>
      </w:pPr>
      <w:r>
        <w:t>Mezi roky 2002–2003 a 2012–2013 se zvýšila naděje dožití při narození ve všech krajích a to u obou pohlaví. Nejvýraznější relativní nárůst byl u mužů zaznamenán v Hl. m. Praze (o 4,9 %) a v Ústeckém kraji (o 4,7 %), v případě žen to bylo také v Hl. m. Praze (o 3,7 %) a v Libereckém kraji (o 3,6 %). Naopak nejnižší relativní nárůst byl u mužů sledován v Olomouckém (o 3,2 %) a Karlovarském kraji (o 3,6 %), zatímco u žen to bylo v Moravskoslezském (o 2,6 %) a Jihočeském kraji (o 2,7 %). Meziroční přírůstky naděje dožití v posledním sledovaném období se pohybovaly do 0,5 let (Moravskoslezský kraj, muži), přičemž pokles naděje dožití byl zaznamenán pouze v Libereckém kraji u mužů (o 0,2 roku) a v Jihočeském kraji v případě žen (o 0,1 roku).</w:t>
      </w:r>
    </w:p>
    <w:p w:rsidR="00FC19C1" w:rsidRDefault="00FC19C1" w:rsidP="004D07E2">
      <w:pPr>
        <w:pStyle w:val="Zpat"/>
        <w:tabs>
          <w:tab w:val="clear" w:pos="4536"/>
          <w:tab w:val="clear" w:pos="9072"/>
        </w:tabs>
      </w:pPr>
    </w:p>
    <w:p w:rsidR="00FC19C1" w:rsidRDefault="00FC19C1" w:rsidP="00FC19C1">
      <w:pPr>
        <w:rPr>
          <w:rFonts w:cs="Arial"/>
        </w:rPr>
      </w:pPr>
      <w:r>
        <w:rPr>
          <w:rFonts w:cs="Arial"/>
        </w:rPr>
        <w:t>Rozdíl mezi naději dožití žen a mužů se v období 2003 až 2013 snížil z 6,5 na 5,9 let. Největší rozdíly mezi ženami a muži byly v letech 2012–2013 ve Zlínském (6,8 let), Olomouckém (6,7 let) a Jihomoravském kraji (6,5 let) a naopak nejnižší v Hl. m Praze (4,8 let), Plzeňském (5,4 let) a Jihočeském kraji (5,5 let). Za posledních deset let se tento rozdíl nezměnil v Olomouckém kraji, zatímco k největšímu snížení rozdílu došlo v Ústeckém (o 1,2 roku) a Moravskoslezském kraji (o 1,1 roku).</w:t>
      </w:r>
    </w:p>
    <w:p w:rsidR="00FC19C1" w:rsidRDefault="00FC19C1" w:rsidP="00FC19C1"/>
    <w:p w:rsidR="00CA4187" w:rsidRDefault="00CA4187" w:rsidP="00CA4187">
      <w:pPr>
        <w:pStyle w:val="Titulek"/>
        <w:spacing w:before="0" w:after="60"/>
      </w:pPr>
    </w:p>
    <w:p w:rsidR="00CA4187" w:rsidRDefault="00CA4187" w:rsidP="00CA4187">
      <w:pPr>
        <w:pStyle w:val="Titulek"/>
        <w:spacing w:before="0" w:after="60"/>
      </w:pPr>
      <w:r>
        <w:t xml:space="preserve">Tab. </w:t>
      </w:r>
      <w:fldSimple w:instr=" STYLEREF 1 \s ">
        <w:r>
          <w:rPr>
            <w:noProof/>
          </w:rPr>
          <w:t>8</w:t>
        </w:r>
      </w:fldSimple>
      <w:r>
        <w:t>.</w:t>
      </w:r>
      <w:r w:rsidR="000002BB">
        <w:t>17</w:t>
      </w:r>
      <w:r>
        <w:t xml:space="preserve"> Naděje dožití při narození v krajích, 2003–2013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466"/>
        <w:gridCol w:w="582"/>
        <w:gridCol w:w="582"/>
        <w:gridCol w:w="584"/>
        <w:gridCol w:w="584"/>
        <w:gridCol w:w="584"/>
        <w:gridCol w:w="584"/>
        <w:gridCol w:w="586"/>
        <w:gridCol w:w="584"/>
        <w:gridCol w:w="584"/>
        <w:gridCol w:w="584"/>
        <w:gridCol w:w="584"/>
        <w:gridCol w:w="584"/>
        <w:gridCol w:w="584"/>
        <w:gridCol w:w="582"/>
      </w:tblGrid>
      <w:tr w:rsidR="00CA4187" w:rsidTr="0005457A">
        <w:trPr>
          <w:cantSplit/>
          <w:trHeight w:val="255"/>
        </w:trPr>
        <w:tc>
          <w:tcPr>
            <w:tcW w:w="76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4187" w:rsidRDefault="00CA4187" w:rsidP="0005457A">
            <w:pPr>
              <w:pStyle w:val="xl101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Kraj</w:t>
            </w:r>
          </w:p>
        </w:tc>
        <w:tc>
          <w:tcPr>
            <w:tcW w:w="212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A4187" w:rsidRDefault="00CA4187" w:rsidP="0005457A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Muži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A4187" w:rsidRDefault="00CA4187" w:rsidP="0005457A">
            <w:pPr>
              <w:jc w:val="center"/>
              <w:rPr>
                <w:rFonts w:eastAsia="Arial Unicode MS" w:cs="Arial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Ženy</w:t>
            </w:r>
          </w:p>
        </w:tc>
      </w:tr>
      <w:tr w:rsidR="00CA4187" w:rsidTr="0005457A">
        <w:trPr>
          <w:cantSplit/>
          <w:trHeight w:val="255"/>
        </w:trPr>
        <w:tc>
          <w:tcPr>
            <w:tcW w:w="76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4187" w:rsidRDefault="00CA4187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</w:tr>
      <w:tr w:rsidR="00CA4187" w:rsidTr="0005457A">
        <w:trPr>
          <w:cantSplit/>
          <w:trHeight w:val="113"/>
        </w:trPr>
        <w:tc>
          <w:tcPr>
            <w:tcW w:w="76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4187" w:rsidRDefault="00CA4187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:rsidR="00CA4187" w:rsidRDefault="00CA4187" w:rsidP="0005457A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–</w:t>
            </w:r>
          </w:p>
        </w:tc>
      </w:tr>
      <w:tr w:rsidR="00CA4187" w:rsidTr="0005457A">
        <w:trPr>
          <w:cantSplit/>
          <w:trHeight w:val="255"/>
        </w:trPr>
        <w:tc>
          <w:tcPr>
            <w:tcW w:w="76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187" w:rsidRDefault="00CA4187" w:rsidP="0005457A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město Praha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82,1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75,9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81,6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75,9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81,9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81,1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73,5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81,6</w:t>
            </w:r>
          </w:p>
        </w:tc>
      </w:tr>
      <w:tr w:rsidR="00CA4187" w:rsidTr="0005457A">
        <w:trPr>
          <w:trHeight w:val="255"/>
        </w:trPr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187" w:rsidRDefault="00CA4187" w:rsidP="0005457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CA4187" w:rsidRDefault="00CA4187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</w:tr>
    </w:tbl>
    <w:p w:rsidR="00CA4187" w:rsidRPr="00CA4187" w:rsidRDefault="00CA4187" w:rsidP="00CA4187">
      <w:pPr>
        <w:spacing w:after="60"/>
      </w:pPr>
    </w:p>
    <w:p w:rsidR="00CA4187" w:rsidRDefault="00CA4187" w:rsidP="00CA4187">
      <w:pPr>
        <w:pStyle w:val="Titulek"/>
        <w:spacing w:before="0" w:after="60"/>
      </w:pPr>
      <w:r>
        <w:t xml:space="preserve">Obr.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>
        <w:rPr>
          <w:noProof/>
        </w:rPr>
        <w:t>8</w:t>
      </w:r>
      <w:r w:rsidR="007042FA">
        <w:fldChar w:fldCharType="end"/>
      </w:r>
      <w:r>
        <w:t>.7 Naděje dožití při narození podle pohlaví v krajích, 2012–2013</w:t>
      </w:r>
    </w:p>
    <w:p w:rsidR="00CA4187" w:rsidRDefault="00FA1966" w:rsidP="00CA4187">
      <w:pPr>
        <w:pStyle w:val="Zpat"/>
        <w:tabs>
          <w:tab w:val="clear" w:pos="4536"/>
          <w:tab w:val="clear" w:pos="9072"/>
        </w:tabs>
      </w:pPr>
      <w:r>
        <w:pict>
          <v:shape id="_x0000_i1031" type="#_x0000_t75" style="width:425.9pt;height:249.95pt">
            <v:imagedata r:id="rId14" o:title=""/>
          </v:shape>
        </w:pict>
      </w:r>
    </w:p>
    <w:p w:rsidR="00CA4187" w:rsidRDefault="00CA4187" w:rsidP="00CA4187">
      <w:pPr>
        <w:pStyle w:val="Zpat"/>
        <w:tabs>
          <w:tab w:val="clear" w:pos="4536"/>
          <w:tab w:val="clear" w:pos="9072"/>
        </w:tabs>
        <w:spacing w:after="60"/>
      </w:pPr>
    </w:p>
    <w:p w:rsidR="00FC19C1" w:rsidRDefault="00FC19C1" w:rsidP="00FC19C1">
      <w:pPr>
        <w:pStyle w:val="Zpat"/>
        <w:tabs>
          <w:tab w:val="clear" w:pos="4536"/>
          <w:tab w:val="clear" w:pos="9072"/>
        </w:tabs>
      </w:pPr>
      <w:r>
        <w:t xml:space="preserve">Úmrtnost na třídy příčin smrti se může výrazně lišit podle jednotlivých krajů. Například Hl. m. Praha s nejvyšší naději dožití při narození na tom bylo v roce 2013 hůře v případě úmrtnosti na novotvary u žen (6. nejvyšší úmrtnost). Jihočeský kraj, který dosahoval spíše nižších hodnot celkové úmrtnosti, měl zase velmi nepříznivou intenzitou úmrtnosti na nemoci dýchací soustavy (druhou nejvyšší u mužů a první u žen v rámci krajů ČR). Pardubický kraj s intenzitou celkové úmrtnosti okolo průměrných hodnot zase negativně vynikal vysokou úmrtnosti na vnější příčiny (druhou nejvyšší u mužů a první u žen). Nejvýraznější variabilita na krajské úrovni podle úmrtnosti na jednu ze čtyř nejčastějších tříd příčin smrti byla v roce 2013 u vnějších příčin (zejména sebevraždy a dopravní nehody) u mužů i u žen, naopak nejnižší u </w:t>
      </w:r>
      <w:r w:rsidR="004A7BDA">
        <w:t>novotvarů</w:t>
      </w:r>
      <w:r>
        <w:t xml:space="preserve"> opět u obou pohlaví.</w:t>
      </w:r>
    </w:p>
    <w:p w:rsidR="00FC19C1" w:rsidRDefault="00FC19C1" w:rsidP="00FC19C1">
      <w:pPr>
        <w:pStyle w:val="Zpat"/>
        <w:tabs>
          <w:tab w:val="clear" w:pos="4536"/>
          <w:tab w:val="clear" w:pos="9072"/>
        </w:tabs>
      </w:pPr>
    </w:p>
    <w:p w:rsidR="00FC19C1" w:rsidRDefault="00FC19C1" w:rsidP="00FC19C1">
      <w:pPr>
        <w:pStyle w:val="Zpat"/>
        <w:tabs>
          <w:tab w:val="clear" w:pos="4536"/>
          <w:tab w:val="clear" w:pos="9072"/>
        </w:tabs>
      </w:pPr>
      <w:r>
        <w:t>V případě rozlišení podle konkrétních tříd příčin smrti byly nejvyšší rozdíly mezi pohlavími obecně u vnějších příčin (o 165,4 % vyšší úmrtnost u mužů)</w:t>
      </w:r>
      <w:r w:rsidR="00FB60A6">
        <w:t>,</w:t>
      </w:r>
      <w:r>
        <w:t xml:space="preserve"> </w:t>
      </w:r>
      <w:r w:rsidR="00FB60A6">
        <w:t>a zejména</w:t>
      </w:r>
      <w:r>
        <w:t xml:space="preserve"> v případě Zlínského kraje (o 314,4 %). Zlínský kraj byl v kontextu intenzity úmrtnosti na vnější příčiny v roce 2013 značně specifický. Intenzita úmrtnosti na tuto třídu příčin byla u mužů nejvyšší mezi kraji ČR, zatímco u žen naopak nejnižší. Nejnižší rozdíly podle pohlaví byly obecně</w:t>
      </w:r>
      <w:r w:rsidR="00FB60A6">
        <w:t xml:space="preserve"> u</w:t>
      </w:r>
      <w:r>
        <w:t xml:space="preserve"> nemocí oběhové soustavy (o 38,2 % vyšší úmrtnost u</w:t>
      </w:r>
      <w:r w:rsidR="00FB60A6">
        <w:t> </w:t>
      </w:r>
      <w:r>
        <w:t>mužů) a v</w:t>
      </w:r>
      <w:r w:rsidR="00FF242F">
        <w:t> krajském srovnání potom v</w:t>
      </w:r>
      <w:r>
        <w:t xml:space="preserve"> Jihočeském kraji (o 30,9 %).                  </w:t>
      </w:r>
    </w:p>
    <w:p w:rsidR="00FC19C1" w:rsidRDefault="00FC19C1" w:rsidP="00FC19C1"/>
    <w:p w:rsidR="007F4192" w:rsidRDefault="00310396" w:rsidP="00432367">
      <w:pPr>
        <w:pStyle w:val="Titulek"/>
        <w:spacing w:before="0" w:after="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0002BB">
        <w:t>18</w:t>
      </w:r>
      <w:r>
        <w:t xml:space="preserve"> Standardizované</w:t>
      </w:r>
      <w:r w:rsidR="00EC3415" w:rsidRPr="00EC3415">
        <w:rPr>
          <w:i/>
          <w:iCs/>
          <w:vertAlign w:val="superscript"/>
        </w:rPr>
        <w:t>1)</w:t>
      </w:r>
      <w:r>
        <w:t xml:space="preserve"> míry úmrtnosti na nejčetnější</w:t>
      </w:r>
      <w:r w:rsidR="00EC3415" w:rsidRPr="00EC3415">
        <w:rPr>
          <w:i/>
          <w:iCs/>
          <w:vertAlign w:val="superscript"/>
        </w:rPr>
        <w:t>2)</w:t>
      </w:r>
      <w:r w:rsidR="00EC3415" w:rsidRPr="00EC3415">
        <w:rPr>
          <w:i/>
          <w:iCs/>
        </w:rPr>
        <w:t xml:space="preserve"> </w:t>
      </w:r>
      <w:r>
        <w:t xml:space="preserve"> třídy příčin smrti v krajích </w:t>
      </w:r>
    </w:p>
    <w:p w:rsidR="00894A4A" w:rsidRDefault="00310396" w:rsidP="00432367">
      <w:pPr>
        <w:pStyle w:val="Titulek"/>
        <w:spacing w:before="0" w:after="60"/>
        <w:ind w:firstLine="709"/>
      </w:pPr>
      <w:r>
        <w:t xml:space="preserve">    (na 100 000 obyvatel),</w:t>
      </w:r>
      <w:r w:rsidR="006E19F7">
        <w:t xml:space="preserve"> 2013</w:t>
      </w:r>
    </w:p>
    <w:tbl>
      <w:tblPr>
        <w:tblW w:w="9639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1483"/>
        <w:gridCol w:w="926"/>
        <w:gridCol w:w="851"/>
        <w:gridCol w:w="851"/>
        <w:gridCol w:w="725"/>
        <w:gridCol w:w="725"/>
        <w:gridCol w:w="926"/>
        <w:gridCol w:w="851"/>
        <w:gridCol w:w="851"/>
        <w:gridCol w:w="725"/>
        <w:gridCol w:w="725"/>
      </w:tblGrid>
      <w:tr w:rsidR="00894A4A" w:rsidTr="00E42CD0">
        <w:trPr>
          <w:trHeight w:val="255"/>
        </w:trPr>
        <w:tc>
          <w:tcPr>
            <w:tcW w:w="13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4A4A" w:rsidRDefault="00894A4A" w:rsidP="002C022B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Ženy</w:t>
            </w:r>
          </w:p>
        </w:tc>
      </w:tr>
      <w:tr w:rsidR="00894A4A" w:rsidTr="00E42CD0">
        <w:trPr>
          <w:trHeight w:val="645"/>
        </w:trPr>
        <w:tc>
          <w:tcPr>
            <w:tcW w:w="13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4A4A" w:rsidRDefault="00894A4A" w:rsidP="002C022B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t>novotvary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hint="eastAsia"/>
              </w:rPr>
              <w:t>nemoci oběhové soustavy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nemoci dýchací soustavy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vnější příčiny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</w:rPr>
              <w:t>novotvary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hint="eastAsia"/>
              </w:rPr>
              <w:t>nemoci oběhové soustavy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nemoci dýchací soustavy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vnější příčiny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894A4A" w:rsidRDefault="00894A4A" w:rsidP="002C022B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celkem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1 647,3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1 074,9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1 423,6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967,3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432,0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1 710,2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1 113,2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1 573,2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1 093,6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1 644,8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1 122,1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1 760,2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1 185,0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1 886,2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1 272,2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1 650,6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1 068,4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1 594,7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1 069,2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1 619,6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1 084,4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1 626,3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1 018,7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1 528,5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970,0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1 724,6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1 052,6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1 730,7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1 052,8</w:t>
            </w:r>
          </w:p>
        </w:tc>
      </w:tr>
      <w:tr w:rsidR="00894A4A" w:rsidTr="00E42CD0">
        <w:trPr>
          <w:trHeight w:val="255"/>
        </w:trPr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A4A" w:rsidRDefault="00894A4A" w:rsidP="002C022B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145,3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1 777,1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894A4A" w:rsidRDefault="00894A4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1 132,9</w:t>
            </w:r>
          </w:p>
        </w:tc>
      </w:tr>
    </w:tbl>
    <w:p w:rsidR="00FB60A6" w:rsidRDefault="00EC3415" w:rsidP="00FE1DE1">
      <w:pPr>
        <w:spacing w:before="60"/>
        <w:jc w:val="left"/>
        <w:rPr>
          <w:i/>
          <w:iCs/>
          <w:sz w:val="16"/>
        </w:rPr>
      </w:pPr>
      <w:r>
        <w:rPr>
          <w:i/>
          <w:iCs/>
          <w:sz w:val="16"/>
          <w:szCs w:val="20"/>
          <w:vertAlign w:val="superscript"/>
        </w:rPr>
        <w:t>1)</w:t>
      </w:r>
      <w:r>
        <w:rPr>
          <w:i/>
          <w:iCs/>
          <w:sz w:val="16"/>
          <w:szCs w:val="20"/>
        </w:rPr>
        <w:t xml:space="preserve"> </w:t>
      </w:r>
      <w:r w:rsidR="00FB60A6">
        <w:rPr>
          <w:i/>
          <w:iCs/>
          <w:sz w:val="16"/>
        </w:rPr>
        <w:t xml:space="preserve">Pro standardizaci byl použit nový standard evropské populace, vydaný Eurostatem v roce 2013 (zdroj: </w:t>
      </w:r>
      <w:hyperlink r:id="rId15" w:history="1">
        <w:r w:rsidR="00FB60A6" w:rsidRPr="00BA6E6C">
          <w:rPr>
            <w:rStyle w:val="Hypertextovodkaz"/>
            <w:i/>
            <w:iCs/>
            <w:sz w:val="16"/>
          </w:rPr>
          <w:t>http://epp.eurostat.ec.europa.eu/portal/page/portal/product_details/publication?p_product_code=KS-RA-13-028</w:t>
        </w:r>
      </w:hyperlink>
      <w:r w:rsidR="00FB60A6">
        <w:rPr>
          <w:i/>
          <w:iCs/>
          <w:sz w:val="16"/>
        </w:rPr>
        <w:t>).</w:t>
      </w:r>
    </w:p>
    <w:p w:rsidR="00EC3415" w:rsidRDefault="00EC3415" w:rsidP="00FB60A6">
      <w:pPr>
        <w:spacing w:before="60"/>
        <w:rPr>
          <w:i/>
          <w:iCs/>
          <w:sz w:val="16"/>
          <w:szCs w:val="20"/>
        </w:rPr>
      </w:pPr>
      <w:r>
        <w:rPr>
          <w:i/>
          <w:iCs/>
          <w:sz w:val="16"/>
          <w:szCs w:val="20"/>
          <w:vertAlign w:val="superscript"/>
        </w:rPr>
        <w:t>2)</w:t>
      </w:r>
      <w:r>
        <w:rPr>
          <w:i/>
          <w:iCs/>
          <w:sz w:val="16"/>
          <w:szCs w:val="20"/>
        </w:rPr>
        <w:t xml:space="preserve"> Nejčetnější třídy </w:t>
      </w:r>
      <w:r w:rsidR="007A7B35">
        <w:rPr>
          <w:i/>
          <w:iCs/>
          <w:sz w:val="16"/>
          <w:szCs w:val="20"/>
        </w:rPr>
        <w:t>pro populaci bez rozlišení pohlaví</w:t>
      </w:r>
      <w:r>
        <w:rPr>
          <w:i/>
          <w:iCs/>
          <w:sz w:val="16"/>
          <w:szCs w:val="20"/>
        </w:rPr>
        <w:t xml:space="preserve">. </w:t>
      </w:r>
    </w:p>
    <w:p w:rsidR="00593442" w:rsidRDefault="00593442" w:rsidP="00854BCD">
      <w:pPr>
        <w:spacing w:after="60"/>
      </w:pPr>
    </w:p>
    <w:p w:rsidR="007F4192" w:rsidRDefault="00310396" w:rsidP="00432367">
      <w:pPr>
        <w:pStyle w:val="Nadpis2"/>
        <w:ind w:left="578" w:hanging="578"/>
      </w:pPr>
      <w:r>
        <w:t>Migrace</w:t>
      </w:r>
    </w:p>
    <w:p w:rsidR="0097516A" w:rsidRDefault="00C35C0E">
      <w:pPr>
        <w:rPr>
          <w:rFonts w:cs="Arial"/>
        </w:rPr>
      </w:pPr>
      <w:r>
        <w:rPr>
          <w:rFonts w:cs="Arial"/>
        </w:rPr>
        <w:t>Migrace je proces, který je značně závislý na ekonomických podmínkách v regionu (případně zemi) vystěhování a přist</w:t>
      </w:r>
      <w:r w:rsidR="00FB60A6">
        <w:rPr>
          <w:rFonts w:cs="Arial"/>
        </w:rPr>
        <w:t>ě</w:t>
      </w:r>
      <w:r>
        <w:rPr>
          <w:rFonts w:cs="Arial"/>
        </w:rPr>
        <w:t>hování</w:t>
      </w:r>
      <w:r w:rsidR="001A692C">
        <w:rPr>
          <w:rFonts w:cs="Arial"/>
        </w:rPr>
        <w:t>, tudíž je poměrně nestabilní a proměnliv</w:t>
      </w:r>
      <w:r w:rsidR="00971CFC">
        <w:rPr>
          <w:rFonts w:cs="Arial"/>
        </w:rPr>
        <w:t>ý</w:t>
      </w:r>
      <w:r w:rsidR="001A692C">
        <w:rPr>
          <w:rFonts w:cs="Arial"/>
        </w:rPr>
        <w:t>.</w:t>
      </w:r>
      <w:r w:rsidR="00E734DC">
        <w:rPr>
          <w:rFonts w:cs="Arial"/>
        </w:rPr>
        <w:t xml:space="preserve"> Obzvláště to platí pro zahraniční migraci, u níž se saldo na celorepublikové úrovni snížilo z 83 945 v roce 2007 na -1 297 obyvatel v roce 2013.</w:t>
      </w:r>
      <w:r w:rsidR="001A692C">
        <w:rPr>
          <w:rFonts w:cs="Arial"/>
        </w:rPr>
        <w:t xml:space="preserve"> </w:t>
      </w:r>
      <w:r w:rsidR="0097516A">
        <w:rPr>
          <w:rFonts w:cs="Arial"/>
        </w:rPr>
        <w:t>Mezi jednotlivými kraji jsou podle vnitřní i zahraniční migrace značné rozdíly</w:t>
      </w:r>
      <w:r w:rsidR="000002BB">
        <w:rPr>
          <w:rFonts w:cs="Arial"/>
        </w:rPr>
        <w:t>.</w:t>
      </w:r>
    </w:p>
    <w:p w:rsidR="000002BB" w:rsidRDefault="000002BB">
      <w:pPr>
        <w:rPr>
          <w:rFonts w:cs="Arial"/>
        </w:rPr>
      </w:pPr>
    </w:p>
    <w:p w:rsidR="0097516A" w:rsidRDefault="0097516A" w:rsidP="0097516A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0002BB">
        <w:t>19</w:t>
      </w:r>
      <w:r>
        <w:t xml:space="preserve"> Relativní přírůstky stěhováním, </w:t>
      </w:r>
      <w:r w:rsidR="00D4081C">
        <w:t>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9"/>
        <w:gridCol w:w="604"/>
        <w:gridCol w:w="959"/>
        <w:gridCol w:w="958"/>
        <w:gridCol w:w="958"/>
        <w:gridCol w:w="956"/>
        <w:gridCol w:w="956"/>
        <w:gridCol w:w="956"/>
        <w:gridCol w:w="956"/>
        <w:gridCol w:w="957"/>
      </w:tblGrid>
      <w:tr w:rsidR="00424F55" w:rsidTr="000002BB">
        <w:trPr>
          <w:trHeight w:val="255"/>
        </w:trPr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F55" w:rsidRDefault="00424F55" w:rsidP="002B3D2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424F55" w:rsidRDefault="00424F55" w:rsidP="00424F55">
            <w:pPr>
              <w:pStyle w:val="xl123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Saldo migrace na 1 000 obyvatel</w:t>
            </w:r>
          </w:p>
        </w:tc>
      </w:tr>
      <w:tr w:rsidR="00424F55" w:rsidTr="000002BB">
        <w:trPr>
          <w:trHeight w:val="255"/>
        </w:trPr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F55" w:rsidRDefault="00424F55" w:rsidP="002B3D2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right w:w="0" w:type="dxa"/>
            </w:tcMar>
            <w:vAlign w:val="center"/>
          </w:tcPr>
          <w:p w:rsidR="00424F55" w:rsidRDefault="00424F55" w:rsidP="00424F5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saldo vnitřní migrace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right w:w="0" w:type="dxa"/>
            </w:tcMar>
            <w:vAlign w:val="center"/>
          </w:tcPr>
          <w:p w:rsidR="00424F55" w:rsidRDefault="00424F55" w:rsidP="00424F5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saldo zahraniční migrace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right w:w="0" w:type="dxa"/>
            </w:tcMar>
            <w:vAlign w:val="center"/>
          </w:tcPr>
          <w:p w:rsidR="00424F55" w:rsidRDefault="00424F55" w:rsidP="00424F5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saldo celkové migrace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6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Hl. m. Praha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-4,3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Středočeský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Jihočeský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Plzeňský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Karlovarský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-3,5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Ústecký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Liberecký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Královéhradecký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Pardubický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Vysočina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Jihomoravský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Olomoucký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Zlínský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424F55" w:rsidTr="00CA1CEB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F55" w:rsidRDefault="00424F55" w:rsidP="002B3D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Moravskoslezský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424F55" w:rsidRDefault="00424F5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</w:tr>
    </w:tbl>
    <w:p w:rsidR="0097516A" w:rsidRDefault="0097516A" w:rsidP="0097516A">
      <w:pPr>
        <w:spacing w:after="60"/>
      </w:pPr>
    </w:p>
    <w:p w:rsidR="00C93F4B" w:rsidRDefault="0076242D" w:rsidP="00C93F4B">
      <w:pPr>
        <w:rPr>
          <w:rFonts w:cs="Arial"/>
        </w:rPr>
      </w:pPr>
      <w:r>
        <w:rPr>
          <w:rFonts w:cs="Arial"/>
        </w:rPr>
        <w:t>Celkový přírůstek stěhováním byl v roce 2013 poprvé od roku 200</w:t>
      </w:r>
      <w:r w:rsidR="00CA1CEB">
        <w:rPr>
          <w:rFonts w:cs="Arial"/>
        </w:rPr>
        <w:t>2</w:t>
      </w:r>
      <w:r>
        <w:rPr>
          <w:rFonts w:cs="Arial"/>
        </w:rPr>
        <w:t xml:space="preserve"> záporný a činil -1 297 obyvatel. </w:t>
      </w:r>
      <w:r w:rsidR="00BB0EE7">
        <w:rPr>
          <w:rFonts w:cs="Arial"/>
        </w:rPr>
        <w:t xml:space="preserve">Tento úbytek obyvatel </w:t>
      </w:r>
      <w:r w:rsidR="00AF561B">
        <w:rPr>
          <w:rFonts w:cs="Arial"/>
        </w:rPr>
        <w:t>na úrovni ČR je</w:t>
      </w:r>
      <w:r w:rsidR="00C93F4B">
        <w:rPr>
          <w:rFonts w:cs="Arial"/>
        </w:rPr>
        <w:t xml:space="preserve"> </w:t>
      </w:r>
      <w:r w:rsidR="00BB0EE7">
        <w:rPr>
          <w:rFonts w:cs="Arial"/>
        </w:rPr>
        <w:t xml:space="preserve">způsobený </w:t>
      </w:r>
      <w:r w:rsidR="00C93F4B">
        <w:rPr>
          <w:rFonts w:cs="Arial"/>
        </w:rPr>
        <w:t>zahraniční migrací</w:t>
      </w:r>
      <w:r w:rsidR="00AF561B">
        <w:rPr>
          <w:rFonts w:cs="Arial"/>
        </w:rPr>
        <w:t>, přičemž na krajské úrovni je saldo celkové migrace ovlivněno i vnitřní migrací.</w:t>
      </w:r>
      <w:r w:rsidR="00BB0EE7">
        <w:rPr>
          <w:rFonts w:cs="Arial"/>
        </w:rPr>
        <w:t xml:space="preserve"> </w:t>
      </w:r>
      <w:r w:rsidR="00C93F4B">
        <w:rPr>
          <w:rFonts w:cs="Arial"/>
        </w:rPr>
        <w:t xml:space="preserve">Kladné saldo celkové migrace bylo mezi roky 2003 a 2013 vždy nejvyšší ve Středočeském kraji. V roce 2013 dosahovalo 9 226 obyvatel (7,1 na tisíc obyvatel kraje), </w:t>
      </w:r>
      <w:r w:rsidR="00CA1CEB">
        <w:rPr>
          <w:rFonts w:cs="Arial"/>
        </w:rPr>
        <w:t>přičemž</w:t>
      </w:r>
      <w:r w:rsidR="00CA1CEB" w:rsidRPr="00CA1CEB">
        <w:rPr>
          <w:rFonts w:cs="Arial"/>
        </w:rPr>
        <w:t xml:space="preserve"> </w:t>
      </w:r>
      <w:r w:rsidR="00CA1CEB">
        <w:rPr>
          <w:rFonts w:cs="Arial"/>
        </w:rPr>
        <w:t>za vysoké kladné saldo celkové migrace ve Středočeském kraji mohla z 98,5 % vnitřní migrace. D</w:t>
      </w:r>
      <w:r w:rsidR="00C93F4B">
        <w:rPr>
          <w:rFonts w:cs="Arial"/>
        </w:rPr>
        <w:t xml:space="preserve">ruhý kraj v pořadí s nejvyšším kladným saldem byl Plzeňský s přírůstkem 1 333 obyvatel (2,3 na tisíc obyvatel kraje). </w:t>
      </w:r>
      <w:r w:rsidR="001A6225">
        <w:rPr>
          <w:rFonts w:cs="Arial"/>
        </w:rPr>
        <w:t>Ještě d</w:t>
      </w:r>
      <w:r w:rsidR="00C93F4B">
        <w:rPr>
          <w:rFonts w:cs="Arial"/>
        </w:rPr>
        <w:t>alší dva kraje měly v roce 2013 kladné saldo celkové migrace – Jihomoravský (654, 0,6 promile) a Jihočeský (326; 0,5 ‰). Krajem s nejvyšším záporným saldem celkové migrace bylo v roce 2013 Hl. m. Praha (-5 297, respektive -4,3 na tisíc obyvatel), ačkoliv mělo hlavní město v letech 2003 až 2012 vždy druhý nejvyšší celkový migrační přírůstek. Migrační úbytek v roce 2013 tvořila z</w:t>
      </w:r>
      <w:r w:rsidR="009431F9">
        <w:rPr>
          <w:rFonts w:cs="Arial"/>
        </w:rPr>
        <w:t>e</w:t>
      </w:r>
      <w:r w:rsidR="00C93F4B">
        <w:rPr>
          <w:rFonts w:cs="Arial"/>
        </w:rPr>
        <w:t xml:space="preserve"> 67,7 % zahraniční migrace. Mezi další kraje s významným migračním úbytkem v roce 2013 patřily Moravskoslezský (-3 089;</w:t>
      </w:r>
      <w:r w:rsidR="00CA1CEB">
        <w:rPr>
          <w:rFonts w:cs="Arial"/>
        </w:rPr>
        <w:t xml:space="preserve"> </w:t>
      </w:r>
      <w:r w:rsidR="00C93F4B">
        <w:rPr>
          <w:rFonts w:cs="Arial"/>
        </w:rPr>
        <w:t xml:space="preserve">-2,5 na tisíc obyvatel) a Karlovarský (-1 057, tj. -3,5 na tisíc obyvatel). </w:t>
      </w:r>
      <w:r w:rsidR="000002BB">
        <w:rPr>
          <w:rFonts w:cs="Arial"/>
        </w:rPr>
        <w:t xml:space="preserve">Karlovarský kraj se dostal do záporného salda pouze díky vnitřní migraci, protože saldo zahraniční migrace bylo kladné. </w:t>
      </w:r>
      <w:r w:rsidR="00C93F4B">
        <w:rPr>
          <w:rFonts w:cs="Arial"/>
        </w:rPr>
        <w:t>Na migračním úbytku v Moravskoslezském kraji se z 99,2 % podílela vnitřní migrace</w:t>
      </w:r>
      <w:r w:rsidR="000002BB">
        <w:rPr>
          <w:rFonts w:cs="Arial"/>
        </w:rPr>
        <w:t>.</w:t>
      </w:r>
      <w:r w:rsidR="00C93F4B">
        <w:rPr>
          <w:rFonts w:cs="Arial"/>
        </w:rPr>
        <w:t xml:space="preserve"> </w:t>
      </w:r>
    </w:p>
    <w:p w:rsidR="00C93F4B" w:rsidRDefault="00C93F4B">
      <w:pPr>
        <w:rPr>
          <w:rFonts w:cs="Arial"/>
        </w:rPr>
      </w:pPr>
    </w:p>
    <w:p w:rsidR="00C93F4B" w:rsidRDefault="00C93F4B" w:rsidP="00C93F4B">
      <w:pPr>
        <w:spacing w:after="60"/>
      </w:pPr>
      <w:r>
        <w:rPr>
          <w:b/>
          <w:bCs/>
        </w:rPr>
        <w:t xml:space="preserve">Tab. </w:t>
      </w:r>
      <w:r w:rsidR="007042FA"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 w:rsidR="007042FA">
        <w:rPr>
          <w:b/>
          <w:bCs/>
        </w:rPr>
        <w:fldChar w:fldCharType="separate"/>
      </w:r>
      <w:r w:rsidR="00D973C6">
        <w:rPr>
          <w:b/>
          <w:bCs/>
          <w:noProof/>
        </w:rPr>
        <w:t>8</w:t>
      </w:r>
      <w:r w:rsidR="007042FA">
        <w:rPr>
          <w:b/>
          <w:bCs/>
        </w:rPr>
        <w:fldChar w:fldCharType="end"/>
      </w:r>
      <w:r>
        <w:rPr>
          <w:b/>
          <w:bCs/>
        </w:rPr>
        <w:t xml:space="preserve">.20 </w:t>
      </w:r>
      <w:r w:rsidR="004B31B5">
        <w:rPr>
          <w:b/>
          <w:bCs/>
        </w:rPr>
        <w:t>Saldo celkové migrace</w:t>
      </w:r>
      <w:r>
        <w:rPr>
          <w:b/>
          <w:bCs/>
        </w:rPr>
        <w:t xml:space="preserve"> v krajích, 2003–2013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1115"/>
        <w:gridCol w:w="1148"/>
        <w:gridCol w:w="1148"/>
        <w:gridCol w:w="1148"/>
        <w:gridCol w:w="1148"/>
        <w:gridCol w:w="1148"/>
        <w:gridCol w:w="1148"/>
      </w:tblGrid>
      <w:tr w:rsidR="00C93F4B" w:rsidTr="00BD5E87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25 789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36 229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71 790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15 648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16 889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10 293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-1 297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7 074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11 769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19 044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5 606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5 751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3 351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-5 297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9 538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14 774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25 873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14 673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12 449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10 795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9 226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1 229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326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7 953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1 333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-1 187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-1 057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2 072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1 266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3 489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-226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-427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1 424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-97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-570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3 120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-140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966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-789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1 028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4 678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1 472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1 707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654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-534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-631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-745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-726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-625</w:t>
            </w:r>
          </w:p>
        </w:tc>
      </w:tr>
      <w:tr w:rsidR="00C93F4B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F4B" w:rsidRDefault="00C93F4B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-1 674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-3 959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-2 515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-2 650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C93F4B" w:rsidRDefault="00C93F4B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-3 089</w:t>
            </w:r>
          </w:p>
        </w:tc>
      </w:tr>
    </w:tbl>
    <w:p w:rsidR="00C93F4B" w:rsidRDefault="00C93F4B" w:rsidP="00C93F4B">
      <w:pPr>
        <w:spacing w:after="60"/>
        <w:rPr>
          <w:bCs/>
        </w:rPr>
      </w:pPr>
    </w:p>
    <w:p w:rsidR="00AF561B" w:rsidRDefault="00AF561B" w:rsidP="00AF561B">
      <w:pPr>
        <w:rPr>
          <w:rFonts w:cs="Arial"/>
        </w:rPr>
      </w:pPr>
      <w:r>
        <w:rPr>
          <w:rFonts w:cs="Arial"/>
        </w:rPr>
        <w:t xml:space="preserve">Pouze čtyři kraje měly </w:t>
      </w:r>
      <w:r w:rsidR="00CA1CEB">
        <w:rPr>
          <w:rFonts w:cs="Arial"/>
        </w:rPr>
        <w:t xml:space="preserve">v roce 2013 </w:t>
      </w:r>
      <w:r>
        <w:rPr>
          <w:rFonts w:cs="Arial"/>
        </w:rPr>
        <w:t xml:space="preserve">záporné saldo zahraniční migrace – Hl. m. Praha, Královéhradecký, Moravskoslezský a Vysočina. </w:t>
      </w:r>
      <w:r w:rsidR="005C16A7">
        <w:rPr>
          <w:rFonts w:cs="Arial"/>
        </w:rPr>
        <w:t>Saldo v H</w:t>
      </w:r>
      <w:r>
        <w:rPr>
          <w:rFonts w:cs="Arial"/>
        </w:rPr>
        <w:t>l. m. Pra</w:t>
      </w:r>
      <w:r w:rsidR="005C16A7">
        <w:rPr>
          <w:rFonts w:cs="Arial"/>
        </w:rPr>
        <w:t>ze</w:t>
      </w:r>
      <w:r>
        <w:rPr>
          <w:rFonts w:cs="Arial"/>
        </w:rPr>
        <w:t xml:space="preserve"> tvořilo 96,2 % záporného salda tvořeného těmito čtyřmi kraji, přitom byl tento kraj dlouhodobě tím s nejvyšším kladným saldem zahraniční migrace v předchozích letech. Výrazně kladné saldo zahraniční migrace měly v roce 2013 Plzeňský (620; 1,1 na tisíc obyvatel), Ústecký (762 obyvatel; 0,9 na tisíc obyvatel), a Jihomoravský kraj (444; 0,4 na tisíc obyvatel). Oproti roku 2012 se saldo zahraniční migrace snížilo ve 13 ze 14 krajů, pouze v Jihočeském kraji </w:t>
      </w:r>
      <w:r w:rsidR="00CA1CEB">
        <w:rPr>
          <w:rFonts w:cs="Arial"/>
        </w:rPr>
        <w:t xml:space="preserve"> se neměnilo</w:t>
      </w:r>
      <w:r>
        <w:rPr>
          <w:rFonts w:cs="Arial"/>
        </w:rPr>
        <w:t>.</w:t>
      </w:r>
    </w:p>
    <w:p w:rsidR="00AF561B" w:rsidRDefault="00AF561B" w:rsidP="00AF561B">
      <w:pPr>
        <w:rPr>
          <w:b/>
          <w:bCs/>
        </w:rPr>
      </w:pPr>
    </w:p>
    <w:p w:rsidR="002478E4" w:rsidRDefault="002478E4" w:rsidP="002478E4">
      <w:pPr>
        <w:spacing w:after="60"/>
      </w:pPr>
      <w:r>
        <w:rPr>
          <w:b/>
          <w:bCs/>
        </w:rPr>
        <w:t xml:space="preserve">Tab. </w:t>
      </w:r>
      <w:r w:rsidR="007042FA">
        <w:rPr>
          <w:b/>
          <w:bCs/>
        </w:rPr>
        <w:fldChar w:fldCharType="begin"/>
      </w:r>
      <w:r>
        <w:rPr>
          <w:b/>
          <w:bCs/>
        </w:rPr>
        <w:instrText xml:space="preserve"> STYLEREF 1 \s </w:instrText>
      </w:r>
      <w:r w:rsidR="007042FA">
        <w:rPr>
          <w:b/>
          <w:bCs/>
        </w:rPr>
        <w:fldChar w:fldCharType="separate"/>
      </w:r>
      <w:r w:rsidR="00D973C6">
        <w:rPr>
          <w:b/>
          <w:bCs/>
          <w:noProof/>
        </w:rPr>
        <w:t>8</w:t>
      </w:r>
      <w:r w:rsidR="007042FA">
        <w:rPr>
          <w:b/>
          <w:bCs/>
        </w:rPr>
        <w:fldChar w:fldCharType="end"/>
      </w:r>
      <w:r>
        <w:rPr>
          <w:b/>
          <w:bCs/>
        </w:rPr>
        <w:t>.21 Saldo zahraniční migrace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1115"/>
        <w:gridCol w:w="1148"/>
        <w:gridCol w:w="1148"/>
        <w:gridCol w:w="1148"/>
        <w:gridCol w:w="1148"/>
        <w:gridCol w:w="1148"/>
        <w:gridCol w:w="1148"/>
      </w:tblGrid>
      <w:tr w:rsidR="002478E4" w:rsidTr="00BD5E87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25 789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36 229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71 790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15 648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16 889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10 293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-1 297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6 590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14 206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25 855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9 575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8 584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-3 584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4 611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10 861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2 272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2 135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138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2 354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2 079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115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1 594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1 797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5 570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620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1 499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1 198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2 480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2 042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2 292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5 139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1 258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1 185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762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2 814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138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-107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2 921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118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1 292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2 054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3 423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1 901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4 922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1 532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1 580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1 341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444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1 053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941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</w:tr>
      <w:tr w:rsidR="002478E4" w:rsidTr="00BD5E8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8E4" w:rsidRDefault="002478E4" w:rsidP="00BD5E8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1 636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1 089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2 741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-1 009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2478E4" w:rsidRDefault="002478E4" w:rsidP="00BD5E8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-26</w:t>
            </w:r>
          </w:p>
        </w:tc>
      </w:tr>
    </w:tbl>
    <w:p w:rsidR="002478E4" w:rsidRDefault="002478E4" w:rsidP="002478E4">
      <w:pPr>
        <w:spacing w:after="60"/>
      </w:pPr>
    </w:p>
    <w:p w:rsidR="00AF561B" w:rsidRDefault="00AF561B" w:rsidP="00AF561B">
      <w:pPr>
        <w:rPr>
          <w:rFonts w:cs="Arial"/>
        </w:rPr>
      </w:pPr>
      <w:r>
        <w:rPr>
          <w:rFonts w:cs="Arial"/>
        </w:rPr>
        <w:t xml:space="preserve">Středočeský kraj měl ve sledovaném období let 2003 až 2013 vždy kladné a nejvyšší saldo vnitřní migrace. Maxima bylo dosaženo v roce 2008 (o 15 012 více přistěhovalých než vystěhovalých při stěhování v rámci ČR), poté následoval pokles až na saldo vnitřní migrace o hodnotě 9 088 v roce 2013 (o 857 méně než v roce 2012). Výrazné snížení salda vnitřní migrace zaznamenal i Ústecký kraj, který měl ještě v roce 2003 kladné saldo. Naopak z výrazně záporných hodnot salda vnitřní migrace v roce 2003 ke kladným číslům se dostal Jihomoravský kraj. V roce 2013 měly kromě již zmiňovaného Středočeského kraje kladné saldo vnitřního stěhování ještě tři další kraje – Plzeňský (713), Jihočeský (211) a Jihomoravský (210). Nejvyššího záporného salda dosáhly Moravskoslezský (-3 063), Ústecký (-1 189) a Karlovarský kraj (-1 120).  </w:t>
      </w:r>
    </w:p>
    <w:p w:rsidR="00AF561B" w:rsidRDefault="00AF561B" w:rsidP="00AF561B">
      <w:pPr>
        <w:pStyle w:val="Titulek"/>
        <w:spacing w:before="0" w:after="0"/>
      </w:pPr>
    </w:p>
    <w:p w:rsidR="0097516A" w:rsidRDefault="0097516A" w:rsidP="0097516A">
      <w:pPr>
        <w:pStyle w:val="Titulek"/>
        <w:spacing w:before="0" w:after="60"/>
      </w:pPr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r w:rsidR="002478E4">
        <w:t>22</w:t>
      </w:r>
      <w:r>
        <w:t xml:space="preserve"> </w:t>
      </w:r>
      <w:r w:rsidR="00BD35B9">
        <w:t xml:space="preserve">Saldo vnitřní migrace </w:t>
      </w:r>
      <w:r>
        <w:t xml:space="preserve"> v krajích, 2003–2013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36"/>
        <w:gridCol w:w="1115"/>
        <w:gridCol w:w="1148"/>
        <w:gridCol w:w="1148"/>
        <w:gridCol w:w="1148"/>
        <w:gridCol w:w="1148"/>
        <w:gridCol w:w="1148"/>
        <w:gridCol w:w="1148"/>
      </w:tblGrid>
      <w:tr w:rsidR="0097516A" w:rsidTr="002B3D27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2013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pStyle w:val="xl98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hint="eastAsia"/>
              </w:rPr>
              <w:t>x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-2 437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-6 811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-3 969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-2 833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-1 805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-1 713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10 163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15 012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12 401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10 314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9 945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9 088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211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2 383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-990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713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-1 262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-1 543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-2 065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-1 046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-1 117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-1 256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-1 120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-1 026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-1 650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-1 774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-1 411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-1 462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-1 189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-232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-362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-235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-297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-208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-780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-463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-362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-258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-498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-370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-1 088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-797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-567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-779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-571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-873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-244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210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-479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-1 392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-685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-348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-735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-761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-449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-568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-646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-645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-789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-641</w:t>
            </w:r>
          </w:p>
        </w:tc>
      </w:tr>
      <w:tr w:rsidR="0097516A" w:rsidTr="002B3D27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16A" w:rsidRDefault="0097516A" w:rsidP="002B3D27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-2 763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-2 811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-2 950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-2 991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-2 879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7516A" w:rsidRDefault="0097516A" w:rsidP="002B3D2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-3 063</w:t>
            </w:r>
          </w:p>
        </w:tc>
      </w:tr>
    </w:tbl>
    <w:p w:rsidR="004906F6" w:rsidRDefault="004906F6" w:rsidP="004906F6">
      <w:pPr>
        <w:spacing w:after="60"/>
        <w:rPr>
          <w:b/>
          <w:bCs/>
          <w:sz w:val="16"/>
          <w:szCs w:val="16"/>
        </w:rPr>
      </w:pPr>
    </w:p>
    <w:p w:rsidR="00AF561B" w:rsidRDefault="00AF561B" w:rsidP="00AF561B">
      <w:pPr>
        <w:rPr>
          <w:rFonts w:cs="Arial"/>
        </w:rPr>
      </w:pPr>
      <w:r>
        <w:rPr>
          <w:rFonts w:cs="Arial"/>
        </w:rPr>
        <w:t>Celkový objem vnitřního stěhování (stěhování mimo obec) dosáhl v roce 2013 hodnoty 234 094 a ve srovnání s předchozím rokem poklesl o 1 266 případů stěhování. Stěhování přes hranice kraje se na celkovém počtu vnitřních stěhování podílelo z 34,8 %. Nejvyšší objem vnitřního stěhování se uskutečnil mezi Hl. m. Prahou a Středočeským krajem – 20 818 osob tvořilo 25,6 % z objemu mezikrajského stěhování. Kladné saldo stěhování má s Hl. m. Praha právě pouze Středočeský kraj a v roce 2013 činilo 7 092 osob. V posledním sledovaném roce m</w:t>
      </w:r>
      <w:r w:rsidR="00CA1CEB">
        <w:rPr>
          <w:rFonts w:cs="Arial"/>
        </w:rPr>
        <w:t>ěl</w:t>
      </w:r>
      <w:r>
        <w:rPr>
          <w:rFonts w:cs="Arial"/>
        </w:rPr>
        <w:t xml:space="preserve"> Středočeský kraj kladné saldo stěhování vůči 12 ze 13 zbylých krajů, záporné pouze s Plzeňským krajem. Další kraj s výraznou převahou kladného salda stěhování vůči ostatním krajům byl Plzeňský, který měl v roce 2013 kladné saldo s jedenácti kraji. Moravskoslezský kraj byl v roce 2013 migračně ztrátový se všemi ostatními kraji, Ústecký s jedenácti a Karlovarský s devíti kraji. </w:t>
      </w:r>
    </w:p>
    <w:p w:rsidR="007C7B11" w:rsidRDefault="00916ACC">
      <w:pPr>
        <w:rPr>
          <w:rFonts w:cs="Arial"/>
        </w:rPr>
      </w:pPr>
      <w:r>
        <w:rPr>
          <w:rFonts w:cs="Arial"/>
        </w:rPr>
        <w:t xml:space="preserve">  </w:t>
      </w:r>
      <w:r w:rsidR="007C7B11">
        <w:rPr>
          <w:rFonts w:cs="Arial"/>
        </w:rPr>
        <w:t xml:space="preserve">  </w:t>
      </w:r>
    </w:p>
    <w:p w:rsidR="007F4192" w:rsidRDefault="00310396" w:rsidP="00432367">
      <w:pPr>
        <w:pStyle w:val="Titulek"/>
        <w:spacing w:before="0" w:after="60"/>
      </w:pPr>
      <w:bookmarkStart w:id="3" w:name="_Ref332190897"/>
      <w:bookmarkStart w:id="4" w:name="_Ref332190902"/>
      <w:r>
        <w:t xml:space="preserve">Tab. </w:t>
      </w:r>
      <w:r w:rsidR="007042FA">
        <w:fldChar w:fldCharType="begin"/>
      </w:r>
      <w:r>
        <w:instrText xml:space="preserve"> STYLEREF 1 \s </w:instrText>
      </w:r>
      <w:r w:rsidR="007042FA">
        <w:fldChar w:fldCharType="separate"/>
      </w:r>
      <w:r w:rsidR="00D973C6">
        <w:rPr>
          <w:noProof/>
        </w:rPr>
        <w:t>8</w:t>
      </w:r>
      <w:r w:rsidR="007042FA">
        <w:fldChar w:fldCharType="end"/>
      </w:r>
      <w:r>
        <w:t>.</w:t>
      </w:r>
      <w:bookmarkEnd w:id="3"/>
      <w:r w:rsidR="00493EBC">
        <w:t>23</w:t>
      </w:r>
      <w:r>
        <w:t xml:space="preserve"> Vnitřní stěhování mezi kraji a v rámci kraje, 201</w:t>
      </w:r>
      <w:bookmarkEnd w:id="4"/>
      <w:r w:rsidR="00D47989">
        <w:t>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563"/>
        <w:gridCol w:w="599"/>
        <w:gridCol w:w="599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634"/>
      </w:tblGrid>
      <w:tr w:rsidR="007F4192" w:rsidTr="009237B4">
        <w:trPr>
          <w:cantSplit/>
          <w:trHeight w:val="227"/>
        </w:trPr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4192" w:rsidRDefault="00310396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 vystěhování</w:t>
            </w:r>
          </w:p>
        </w:tc>
        <w:tc>
          <w:tcPr>
            <w:tcW w:w="83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F4192" w:rsidRDefault="00310396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 přistěhování</w:t>
            </w:r>
          </w:p>
        </w:tc>
      </w:tr>
      <w:tr w:rsidR="007F4192" w:rsidTr="009237B4">
        <w:trPr>
          <w:cantSplit/>
          <w:trHeight w:val="1446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4192" w:rsidRDefault="007F4192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br/>
              <w:t>Hl.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m.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Praha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7F4192" w:rsidRDefault="00310396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48 264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13 955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1 193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34" w:type="dxa"/>
            <w:tcBorders>
              <w:top w:val="single" w:sz="4" w:space="0" w:color="C0C0C0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341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6 863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20 737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1 208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240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1 133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11 333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9 791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5 917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1 766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1 437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18 345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7 443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9 130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8 239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6 260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1 296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18 077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10 037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729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599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7 569</w:t>
            </w:r>
          </w:p>
        </w:tc>
        <w:tc>
          <w:tcPr>
            <w:tcW w:w="634" w:type="dxa"/>
            <w:tcBorders>
              <w:top w:val="nil"/>
              <w:left w:val="nil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467</w:t>
            </w:r>
          </w:p>
        </w:tc>
      </w:tr>
      <w:tr w:rsidR="00D47989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989" w:rsidRDefault="00D47989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1 483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</w:tcBorders>
            <w:shd w:val="clear" w:color="000000" w:fill="C0C0C0"/>
            <w:tcMar>
              <w:right w:w="57" w:type="dxa"/>
            </w:tcMar>
            <w:vAlign w:val="bottom"/>
          </w:tcPr>
          <w:p w:rsidR="00D47989" w:rsidRDefault="00D47989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19 768</w:t>
            </w:r>
          </w:p>
        </w:tc>
      </w:tr>
    </w:tbl>
    <w:p w:rsidR="007F4192" w:rsidRDefault="00310396" w:rsidP="00FE1DE1">
      <w:pPr>
        <w:pStyle w:val="Textbubliny"/>
        <w:spacing w:before="60"/>
        <w:jc w:val="left"/>
        <w:rPr>
          <w:rFonts w:ascii="Arial" w:hAnsi="Arial" w:cs="Times New Roman"/>
          <w:i/>
          <w:iCs/>
          <w:szCs w:val="24"/>
        </w:rPr>
      </w:pPr>
      <w:r>
        <w:rPr>
          <w:rFonts w:ascii="Arial" w:hAnsi="Arial" w:cs="Times New Roman"/>
          <w:i/>
          <w:iCs/>
          <w:szCs w:val="24"/>
        </w:rPr>
        <w:t>Pozn.: Na diagonále jsou uvedeny údaje o vnitřním stěhováním mezi obcemi v rámci daného kraje.</w:t>
      </w:r>
      <w:r w:rsidR="00783B56">
        <w:rPr>
          <w:rFonts w:ascii="Arial" w:hAnsi="Arial" w:cs="Times New Roman"/>
          <w:i/>
          <w:iCs/>
          <w:szCs w:val="24"/>
        </w:rPr>
        <w:t xml:space="preserve"> V případě Prahy jde o počet stěhování mezi základními sídelními jednotkami.  </w:t>
      </w:r>
    </w:p>
    <w:p w:rsidR="00432E3C" w:rsidRDefault="00432E3C" w:rsidP="00432E3C">
      <w:pPr>
        <w:pStyle w:val="Titulek"/>
        <w:spacing w:before="0" w:after="60"/>
      </w:pPr>
      <w:r>
        <w:t xml:space="preserve">Tab. </w:t>
      </w:r>
      <w:fldSimple w:instr=" STYLEREF 1 \s ">
        <w:r w:rsidR="00D973C6">
          <w:rPr>
            <w:noProof/>
          </w:rPr>
          <w:t>8</w:t>
        </w:r>
      </w:fldSimple>
      <w:r>
        <w:t>.</w:t>
      </w:r>
      <w:r w:rsidR="00493EBC">
        <w:t>24</w:t>
      </w:r>
      <w:r>
        <w:t xml:space="preserve"> </w:t>
      </w:r>
      <w:r w:rsidR="00686058">
        <w:t>Saldo</w:t>
      </w:r>
      <w:r w:rsidRPr="00432E3C">
        <w:t xml:space="preserve"> vnitřního stěhování mezi kraji, 2013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563"/>
        <w:gridCol w:w="599"/>
        <w:gridCol w:w="599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634"/>
      </w:tblGrid>
      <w:tr w:rsidR="00432E3C" w:rsidRPr="00783B56" w:rsidTr="009237B4">
        <w:trPr>
          <w:cantSplit/>
          <w:trHeight w:val="227"/>
        </w:trPr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32E3C" w:rsidRPr="00783B56" w:rsidRDefault="00432E3C" w:rsidP="00BD5E87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783B56">
              <w:rPr>
                <w:rFonts w:hint="eastAsia"/>
                <w:b/>
                <w:bCs/>
                <w:sz w:val="16"/>
                <w:szCs w:val="16"/>
              </w:rPr>
              <w:t>Kraj vystěhování</w:t>
            </w:r>
          </w:p>
        </w:tc>
        <w:tc>
          <w:tcPr>
            <w:tcW w:w="838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2E3C" w:rsidRPr="00783B56" w:rsidRDefault="00432E3C" w:rsidP="00BD5E87">
            <w:pPr>
              <w:jc w:val="center"/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 w:rsidRPr="00783B56">
              <w:rPr>
                <w:rFonts w:hint="eastAsia"/>
                <w:b/>
                <w:bCs/>
                <w:sz w:val="16"/>
                <w:szCs w:val="16"/>
              </w:rPr>
              <w:t>Kraj přistěhování</w:t>
            </w:r>
          </w:p>
        </w:tc>
      </w:tr>
      <w:tr w:rsidR="00432E3C" w:rsidRPr="00783B56" w:rsidTr="009237B4">
        <w:trPr>
          <w:cantSplit/>
          <w:trHeight w:val="1446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E3C" w:rsidRPr="00783B56" w:rsidRDefault="00432E3C" w:rsidP="00BD5E87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br/>
              <w:t>Hl.</w:t>
            </w:r>
            <w:r w:rsidRPr="00783B56">
              <w:rPr>
                <w:sz w:val="16"/>
                <w:szCs w:val="16"/>
              </w:rPr>
              <w:t xml:space="preserve"> </w:t>
            </w:r>
            <w:r w:rsidRPr="00783B56">
              <w:rPr>
                <w:rFonts w:hint="eastAsia"/>
                <w:sz w:val="16"/>
                <w:szCs w:val="16"/>
              </w:rPr>
              <w:t>m.</w:t>
            </w:r>
            <w:r w:rsidRPr="00783B56">
              <w:rPr>
                <w:sz w:val="16"/>
                <w:szCs w:val="16"/>
              </w:rPr>
              <w:t xml:space="preserve"> </w:t>
            </w:r>
            <w:r w:rsidRPr="00783B56">
              <w:rPr>
                <w:rFonts w:hint="eastAsia"/>
                <w:sz w:val="16"/>
                <w:szCs w:val="16"/>
              </w:rPr>
              <w:t>Praha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57" w:type="dxa"/>
            </w:tcMar>
            <w:textDirection w:val="btLr"/>
            <w:vAlign w:val="bottom"/>
          </w:tcPr>
          <w:p w:rsidR="00432E3C" w:rsidRPr="00783B56" w:rsidRDefault="00432E3C" w:rsidP="00BD5E87">
            <w:pPr>
              <w:ind w:left="113" w:right="113"/>
              <w:jc w:val="left"/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Moravskoslezský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7 092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-181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-78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-454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-573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-164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-372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-302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-316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-856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-501</w:t>
            </w:r>
          </w:p>
        </w:tc>
        <w:tc>
          <w:tcPr>
            <w:tcW w:w="599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-440</w:t>
            </w:r>
          </w:p>
        </w:tc>
        <w:tc>
          <w:tcPr>
            <w:tcW w:w="634" w:type="dxa"/>
            <w:tcBorders>
              <w:top w:val="single" w:sz="4" w:space="0" w:color="C0C0C0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-1 142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-7 092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-229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-153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-133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-154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-125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-219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-179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-512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-66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-294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-85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-62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-66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-70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-77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-83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-43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-224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-195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-164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-559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-201</w:t>
            </w:r>
          </w:p>
        </w:tc>
      </w:tr>
      <w:tr w:rsidR="000002BB" w:rsidRPr="00783B56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99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-173</w:t>
            </w:r>
          </w:p>
        </w:tc>
      </w:tr>
      <w:tr w:rsidR="000002BB" w:rsidTr="000002BB">
        <w:trPr>
          <w:trHeight w:val="255"/>
        </w:trPr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BB" w:rsidRPr="00783B56" w:rsidRDefault="000002BB" w:rsidP="00BD5E87">
            <w:pPr>
              <w:rPr>
                <w:rFonts w:eastAsia="Arial Unicode MS" w:cs="Arial Unicode MS"/>
                <w:sz w:val="16"/>
                <w:szCs w:val="16"/>
              </w:rPr>
            </w:pPr>
            <w:r w:rsidRPr="00783B56"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563" w:type="dxa"/>
            <w:tcBorders>
              <w:top w:val="nil"/>
              <w:left w:val="single" w:sz="4" w:space="0" w:color="C0C0C0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0002BB" w:rsidRDefault="000002B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32E3C" w:rsidRPr="00432E3C" w:rsidRDefault="00432E3C" w:rsidP="009237B4">
      <w:pPr>
        <w:spacing w:after="60"/>
      </w:pPr>
    </w:p>
    <w:p w:rsidR="009237B4" w:rsidRDefault="009237B4" w:rsidP="009237B4">
      <w:pPr>
        <w:pStyle w:val="Titulek"/>
        <w:spacing w:before="0" w:after="60"/>
      </w:pPr>
      <w:r>
        <w:t>Tab. 8.25</w:t>
      </w:r>
      <w:r w:rsidRPr="000268D7">
        <w:t xml:space="preserve"> Saldo zahraničního stěhování podle státního občanství* v krajích, </w:t>
      </w:r>
      <w:r>
        <w:t>2013</w:t>
      </w:r>
    </w:p>
    <w:tbl>
      <w:tblPr>
        <w:tblW w:w="9639" w:type="dxa"/>
        <w:tblLayout w:type="fixed"/>
        <w:tblCellMar>
          <w:left w:w="0" w:type="dxa"/>
          <w:right w:w="142" w:type="dxa"/>
        </w:tblCellMar>
        <w:tblLook w:val="0000"/>
      </w:tblPr>
      <w:tblGrid>
        <w:gridCol w:w="2147"/>
        <w:gridCol w:w="1498"/>
        <w:gridCol w:w="1498"/>
        <w:gridCol w:w="1499"/>
        <w:gridCol w:w="1498"/>
        <w:gridCol w:w="1499"/>
      </w:tblGrid>
      <w:tr w:rsidR="009237B4" w:rsidTr="0005457A">
        <w:trPr>
          <w:trHeight w:val="255"/>
        </w:trPr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Slovensko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Německo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Bulharsko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Rumunsko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Maďarsko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4 841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1 299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337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1 165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156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998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Rusko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Moldavsko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Vietnam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Česko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Ukrajina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ČR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-181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-1 185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-1 988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-7 221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Hl. m. Praha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-242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-4 305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Středočeský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-769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Jihočeský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-112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-137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Plzeňský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-82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Karlovarský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-26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Ústecký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-334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Liberecký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-106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Královéhradecký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-221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Pardubický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-220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Vysočina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-135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Jihomoravský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-637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-733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Olomoucký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-66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Zlínský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-28</w:t>
            </w:r>
          </w:p>
        </w:tc>
      </w:tr>
      <w:tr w:rsidR="009237B4" w:rsidTr="0005457A">
        <w:trPr>
          <w:trHeight w:val="255"/>
        </w:trPr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37B4" w:rsidRDefault="009237B4" w:rsidP="0005457A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Moravskoslezský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right w:w="142" w:type="dxa"/>
            </w:tcMar>
            <w:vAlign w:val="bottom"/>
          </w:tcPr>
          <w:p w:rsidR="009237B4" w:rsidRDefault="009237B4" w:rsidP="0005457A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-59</w:t>
            </w:r>
          </w:p>
        </w:tc>
      </w:tr>
    </w:tbl>
    <w:p w:rsidR="009237B4" w:rsidRPr="000D1380" w:rsidRDefault="00686058" w:rsidP="009237B4">
      <w:pPr>
        <w:spacing w:before="20"/>
        <w:rPr>
          <w:i/>
          <w:sz w:val="16"/>
          <w:szCs w:val="16"/>
        </w:rPr>
      </w:pPr>
      <w:r>
        <w:rPr>
          <w:i/>
          <w:sz w:val="16"/>
          <w:szCs w:val="16"/>
        </w:rPr>
        <w:t>* P</w:t>
      </w:r>
      <w:r w:rsidR="009237B4" w:rsidRPr="000D1380">
        <w:rPr>
          <w:i/>
          <w:sz w:val="16"/>
          <w:szCs w:val="16"/>
        </w:rPr>
        <w:t>ět státních občanství s nejvyšším a s nejnižším saldem zahraničního stěhování v</w:t>
      </w:r>
      <w:r w:rsidR="00EB049F">
        <w:rPr>
          <w:i/>
          <w:sz w:val="16"/>
          <w:szCs w:val="16"/>
        </w:rPr>
        <w:t> </w:t>
      </w:r>
      <w:r w:rsidR="009237B4" w:rsidRPr="000D1380">
        <w:rPr>
          <w:i/>
          <w:sz w:val="16"/>
          <w:szCs w:val="16"/>
        </w:rPr>
        <w:t>ČR</w:t>
      </w:r>
      <w:r>
        <w:rPr>
          <w:i/>
          <w:sz w:val="16"/>
          <w:szCs w:val="16"/>
        </w:rPr>
        <w:t>.</w:t>
      </w:r>
    </w:p>
    <w:p w:rsidR="00D33164" w:rsidRDefault="00DE1B25" w:rsidP="00D33164">
      <w:pPr>
        <w:rPr>
          <w:rFonts w:cs="Arial"/>
        </w:rPr>
      </w:pPr>
      <w:r>
        <w:rPr>
          <w:rFonts w:cs="Arial"/>
        </w:rPr>
        <w:t xml:space="preserve">Nejvyšší kladné saldo zahraničního stěhování bylo na celorepublikové úrovní </w:t>
      </w:r>
      <w:r w:rsidR="00577FD1">
        <w:rPr>
          <w:rFonts w:cs="Arial"/>
        </w:rPr>
        <w:t xml:space="preserve">v roce 2013 </w:t>
      </w:r>
      <w:r>
        <w:rPr>
          <w:rFonts w:cs="Arial"/>
        </w:rPr>
        <w:t>zaznamenáno u</w:t>
      </w:r>
      <w:r w:rsidR="00783B56">
        <w:rPr>
          <w:rFonts w:cs="Arial"/>
        </w:rPr>
        <w:t> </w:t>
      </w:r>
      <w:r>
        <w:rPr>
          <w:rFonts w:cs="Arial"/>
        </w:rPr>
        <w:t xml:space="preserve">obyvatel se státním občanstvím Slovenska, Německa, Bulharska, Rumunska a Maďarska. </w:t>
      </w:r>
      <w:r w:rsidR="00310E5D">
        <w:rPr>
          <w:rFonts w:cs="Arial"/>
        </w:rPr>
        <w:t>Ve většině případů se kladné saldo koncentrovalo do Hl. m. Prahy a Středočeského kraje, přičemž u osob se slovenským státním občanství</w:t>
      </w:r>
      <w:r w:rsidR="00783B56">
        <w:rPr>
          <w:rFonts w:cs="Arial"/>
        </w:rPr>
        <w:t>m</w:t>
      </w:r>
      <w:r w:rsidR="00310E5D">
        <w:rPr>
          <w:rFonts w:cs="Arial"/>
        </w:rPr>
        <w:t xml:space="preserve"> byla koncentrace do těchto krajů méně intenzivní. V případě obyvatel s </w:t>
      </w:r>
      <w:r w:rsidR="00971CFC">
        <w:rPr>
          <w:rFonts w:cs="Arial"/>
        </w:rPr>
        <w:t xml:space="preserve">německou </w:t>
      </w:r>
      <w:r w:rsidR="00310E5D">
        <w:rPr>
          <w:rFonts w:cs="Arial"/>
        </w:rPr>
        <w:t>státní příslušn</w:t>
      </w:r>
      <w:r w:rsidR="00971CFC">
        <w:rPr>
          <w:rFonts w:cs="Arial"/>
        </w:rPr>
        <w:t>o</w:t>
      </w:r>
      <w:r w:rsidR="00310E5D">
        <w:rPr>
          <w:rFonts w:cs="Arial"/>
        </w:rPr>
        <w:t>s</w:t>
      </w:r>
      <w:r w:rsidR="00593442">
        <w:rPr>
          <w:rFonts w:cs="Arial"/>
        </w:rPr>
        <w:t>t</w:t>
      </w:r>
      <w:r w:rsidR="00310E5D">
        <w:rPr>
          <w:rFonts w:cs="Arial"/>
        </w:rPr>
        <w:t xml:space="preserve">í se </w:t>
      </w:r>
      <w:r w:rsidR="009C4CB1">
        <w:rPr>
          <w:rFonts w:cs="Arial"/>
        </w:rPr>
        <w:t xml:space="preserve">nejvyšší </w:t>
      </w:r>
      <w:r w:rsidR="00310E5D">
        <w:rPr>
          <w:rFonts w:cs="Arial"/>
        </w:rPr>
        <w:t>kladné saldo zahraniční migrace objevilo v Ústeckém a Karlovarském kraji.</w:t>
      </w:r>
      <w:r w:rsidR="00577FD1">
        <w:rPr>
          <w:rFonts w:cs="Arial"/>
        </w:rPr>
        <w:t xml:space="preserve"> Nejvyšší úbytek obyvatel zahraniční migrací na krajské úrovni byl zaznamenán u osob se státním občanstvím Ukrajiny, Česka, Vietnamu, Moldavska a Ruska.</w:t>
      </w:r>
      <w:r w:rsidR="00F80104">
        <w:rPr>
          <w:rFonts w:cs="Arial"/>
        </w:rPr>
        <w:t xml:space="preserve"> U cizích státních občanství byla </w:t>
      </w:r>
      <w:r w:rsidR="00971CFC">
        <w:rPr>
          <w:rFonts w:cs="Arial"/>
        </w:rPr>
        <w:t xml:space="preserve">i </w:t>
      </w:r>
      <w:r w:rsidR="00F80104">
        <w:rPr>
          <w:rFonts w:cs="Arial"/>
        </w:rPr>
        <w:t xml:space="preserve">většina záporného salda koncentrována do Hl. m. Prahy a Středočeského kraje. V případě ruských státních příslušníků </w:t>
      </w:r>
      <w:r w:rsidR="00FF66B4">
        <w:rPr>
          <w:rFonts w:cs="Arial"/>
        </w:rPr>
        <w:t>bylo sice celkové saldo záporné</w:t>
      </w:r>
      <w:r w:rsidR="00920538">
        <w:rPr>
          <w:rFonts w:cs="Arial"/>
        </w:rPr>
        <w:t xml:space="preserve"> (-181)</w:t>
      </w:r>
      <w:r w:rsidR="00FF66B4">
        <w:rPr>
          <w:rFonts w:cs="Arial"/>
        </w:rPr>
        <w:t>, a to zejména díky úbytku v Hl. m. Praze</w:t>
      </w:r>
      <w:r w:rsidR="00920538">
        <w:rPr>
          <w:rFonts w:cs="Arial"/>
        </w:rPr>
        <w:t xml:space="preserve"> (-400)</w:t>
      </w:r>
      <w:r w:rsidR="00FF66B4">
        <w:rPr>
          <w:rFonts w:cs="Arial"/>
        </w:rPr>
        <w:t xml:space="preserve">, nicméně v Jihomoravském kraji byl </w:t>
      </w:r>
      <w:r w:rsidR="00920538">
        <w:rPr>
          <w:rFonts w:cs="Arial"/>
        </w:rPr>
        <w:t xml:space="preserve">naopak </w:t>
      </w:r>
      <w:r w:rsidR="00FF66B4">
        <w:rPr>
          <w:rFonts w:cs="Arial"/>
        </w:rPr>
        <w:t>zaznamenán výraznější nárůst</w:t>
      </w:r>
      <w:r w:rsidR="00920538">
        <w:rPr>
          <w:rFonts w:cs="Arial"/>
        </w:rPr>
        <w:t xml:space="preserve"> (346)</w:t>
      </w:r>
      <w:r w:rsidR="00FF66B4">
        <w:rPr>
          <w:rFonts w:cs="Arial"/>
        </w:rPr>
        <w:t>. I</w:t>
      </w:r>
      <w:r w:rsidR="00FB7F61">
        <w:rPr>
          <w:rFonts w:cs="Arial"/>
        </w:rPr>
        <w:t> občané ČR ubývají zahraniční migrací a to zejména díky zápornému saldu v Jihomoravském a Moravskoslezském kraji.</w:t>
      </w:r>
      <w:r w:rsidR="00F80104">
        <w:rPr>
          <w:rFonts w:cs="Arial"/>
        </w:rPr>
        <w:t xml:space="preserve">   </w:t>
      </w:r>
      <w:r w:rsidR="00577FD1">
        <w:rPr>
          <w:rFonts w:cs="Arial"/>
        </w:rPr>
        <w:t xml:space="preserve">  </w:t>
      </w:r>
      <w:r w:rsidR="00310E5D">
        <w:rPr>
          <w:rFonts w:cs="Arial"/>
        </w:rPr>
        <w:t xml:space="preserve">  </w:t>
      </w:r>
    </w:p>
    <w:p w:rsidR="002478E4" w:rsidRDefault="002478E4" w:rsidP="00432367">
      <w:pPr>
        <w:pStyle w:val="Titulek"/>
        <w:spacing w:before="0" w:after="60"/>
      </w:pPr>
    </w:p>
    <w:sectPr w:rsidR="002478E4" w:rsidSect="007F2486">
      <w:footerReference w:type="even" r:id="rId16"/>
      <w:footerReference w:type="default" r:id="rId17"/>
      <w:footnotePr>
        <w:numStart w:val="21"/>
      </w:footnotePr>
      <w:type w:val="continuous"/>
      <w:pgSz w:w="11906" w:h="16838"/>
      <w:pgMar w:top="1134" w:right="1134" w:bottom="1134" w:left="1134" w:header="1134" w:footer="851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81" w:rsidRDefault="00BD1581">
      <w:r>
        <w:separator/>
      </w:r>
    </w:p>
  </w:endnote>
  <w:endnote w:type="continuationSeparator" w:id="0">
    <w:p w:rsidR="00BD1581" w:rsidRDefault="00BD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F4" w:rsidRDefault="007042FA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4F79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79F4" w:rsidRDefault="004F79F4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F4" w:rsidRDefault="007042FA">
    <w:pPr>
      <w:pStyle w:val="Zpat"/>
      <w:framePr w:wrap="around" w:vAnchor="text" w:hAnchor="margin" w:xAlign="outside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4F79F4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FA1966">
      <w:rPr>
        <w:rStyle w:val="slostrnky"/>
        <w:noProof/>
        <w:sz w:val="16"/>
      </w:rPr>
      <w:t>53</w:t>
    </w:r>
    <w:r>
      <w:rPr>
        <w:rStyle w:val="slostrnky"/>
        <w:sz w:val="16"/>
      </w:rPr>
      <w:fldChar w:fldCharType="end"/>
    </w:r>
  </w:p>
  <w:p w:rsidR="004F79F4" w:rsidRDefault="004F79F4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81" w:rsidRDefault="00BD1581">
      <w:r>
        <w:separator/>
      </w:r>
    </w:p>
  </w:footnote>
  <w:footnote w:type="continuationSeparator" w:id="0">
    <w:p w:rsidR="00BD1581" w:rsidRDefault="00BD1581">
      <w:r>
        <w:continuationSeparator/>
      </w:r>
    </w:p>
  </w:footnote>
  <w:footnote w:id="1">
    <w:p w:rsidR="004F79F4" w:rsidRDefault="004F79F4" w:rsidP="00FE1DE1">
      <w:pPr>
        <w:pStyle w:val="Textpoznpodarou"/>
        <w:jc w:val="left"/>
      </w:pPr>
      <w:r>
        <w:rPr>
          <w:rStyle w:val="Znakapoznpodarou"/>
          <w:rFonts w:cs="Arial"/>
        </w:rPr>
        <w:footnoteRef/>
      </w:r>
      <w:r>
        <w:t xml:space="preserve"> Veškeré údaje se vztahují k území daného celku, které respektuje územní členění platné v roce události. Základní demografické údaje za kraje ČR ve zhruba desetileté časové řadě přepočtené na aktuální územní vymezení správních jednotek lze najít např. v publikaci Demografická ročenka krajů (kód 130068) na</w:t>
      </w:r>
    </w:p>
    <w:p w:rsidR="004F79F4" w:rsidRDefault="004F79F4" w:rsidP="00F35DEB">
      <w:pPr>
        <w:pStyle w:val="Textpoznpodarou"/>
        <w:rPr>
          <w:rFonts w:cs="Arial"/>
        </w:rPr>
      </w:pPr>
      <w:r>
        <w:rPr>
          <w:rFonts w:cs="Arial"/>
        </w:rPr>
        <w:t>http://www.czso.cz/csu/edicniplan.nsf/select_obyvatelstvo. Další údaje za územní celky ČR jsou k dispozici ve Veřejné databázi ČSÚ (http://vdb.czso.cz/vdbvo/uvod.jsp) či na stránkách jednotlivých regionálních pracovišť ČSÚ (http://www.czso.cz/csu/redakce.nsf/i/regiony_mesta_obce_souhrn).</w:t>
      </w:r>
    </w:p>
  </w:footnote>
  <w:footnote w:id="2">
    <w:p w:rsidR="004F79F4" w:rsidRDefault="004F79F4" w:rsidP="00FE1DE1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Z důvodu vyloučení náhodných výkyvů jsou tabulky za kraje konstruovány za dvouleté kalendářní období. V případě ČR se hodnota vztahuje k druhému uvedenému roku.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B7C"/>
    <w:multiLevelType w:val="hybridMultilevel"/>
    <w:tmpl w:val="99920B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74E5F"/>
    <w:multiLevelType w:val="hybridMultilevel"/>
    <w:tmpl w:val="94DE9A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1382C"/>
    <w:multiLevelType w:val="hybridMultilevel"/>
    <w:tmpl w:val="6106A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349B7"/>
    <w:multiLevelType w:val="multilevel"/>
    <w:tmpl w:val="5EBE2E5A"/>
    <w:lvl w:ilvl="0">
      <w:start w:val="8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4940827"/>
    <w:multiLevelType w:val="hybridMultilevel"/>
    <w:tmpl w:val="79F8A24A"/>
    <w:lvl w:ilvl="0" w:tplc="0405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GrammaticalErrors/>
  <w:doNotTrackMoves/>
  <w:defaultTabStop w:val="708"/>
  <w:hyphenationZone w:val="425"/>
  <w:noPunctuationKerning/>
  <w:characterSpacingControl w:val="doNotCompress"/>
  <w:footnotePr>
    <w:numStart w:val="21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C53"/>
    <w:rsid w:val="000002BB"/>
    <w:rsid w:val="000048D4"/>
    <w:rsid w:val="0000641A"/>
    <w:rsid w:val="00014471"/>
    <w:rsid w:val="00014DF9"/>
    <w:rsid w:val="000268D7"/>
    <w:rsid w:val="00034E08"/>
    <w:rsid w:val="00037505"/>
    <w:rsid w:val="00041432"/>
    <w:rsid w:val="00042D04"/>
    <w:rsid w:val="00042D22"/>
    <w:rsid w:val="00043A28"/>
    <w:rsid w:val="00051FE0"/>
    <w:rsid w:val="0005428A"/>
    <w:rsid w:val="0005457A"/>
    <w:rsid w:val="000645C4"/>
    <w:rsid w:val="00082EA8"/>
    <w:rsid w:val="00085CAD"/>
    <w:rsid w:val="00086C27"/>
    <w:rsid w:val="00092192"/>
    <w:rsid w:val="00095E91"/>
    <w:rsid w:val="000A13BA"/>
    <w:rsid w:val="000B3971"/>
    <w:rsid w:val="000B546F"/>
    <w:rsid w:val="000B7F4D"/>
    <w:rsid w:val="000C678C"/>
    <w:rsid w:val="000C7544"/>
    <w:rsid w:val="000D1380"/>
    <w:rsid w:val="000D2EE4"/>
    <w:rsid w:val="000D42ED"/>
    <w:rsid w:val="000E1638"/>
    <w:rsid w:val="000E20D8"/>
    <w:rsid w:val="000F1209"/>
    <w:rsid w:val="000F26D6"/>
    <w:rsid w:val="000F2C36"/>
    <w:rsid w:val="0010007D"/>
    <w:rsid w:val="00107256"/>
    <w:rsid w:val="00111131"/>
    <w:rsid w:val="00111E3A"/>
    <w:rsid w:val="00117E15"/>
    <w:rsid w:val="001216E5"/>
    <w:rsid w:val="00132145"/>
    <w:rsid w:val="0014080B"/>
    <w:rsid w:val="001476B7"/>
    <w:rsid w:val="00151375"/>
    <w:rsid w:val="00157E1C"/>
    <w:rsid w:val="0017001E"/>
    <w:rsid w:val="001722D3"/>
    <w:rsid w:val="00175B89"/>
    <w:rsid w:val="00177DCD"/>
    <w:rsid w:val="001824B2"/>
    <w:rsid w:val="00185345"/>
    <w:rsid w:val="001866CD"/>
    <w:rsid w:val="001867A1"/>
    <w:rsid w:val="001910A1"/>
    <w:rsid w:val="0019501C"/>
    <w:rsid w:val="00197537"/>
    <w:rsid w:val="001A6225"/>
    <w:rsid w:val="001A692C"/>
    <w:rsid w:val="001B2493"/>
    <w:rsid w:val="001B384C"/>
    <w:rsid w:val="001B5C06"/>
    <w:rsid w:val="001C3F7A"/>
    <w:rsid w:val="001D0CDE"/>
    <w:rsid w:val="001D66E8"/>
    <w:rsid w:val="001D66F1"/>
    <w:rsid w:val="001E0B93"/>
    <w:rsid w:val="001E0F33"/>
    <w:rsid w:val="001E134D"/>
    <w:rsid w:val="001E1AE8"/>
    <w:rsid w:val="001E2841"/>
    <w:rsid w:val="001F10D5"/>
    <w:rsid w:val="001F1886"/>
    <w:rsid w:val="0020060C"/>
    <w:rsid w:val="002041D0"/>
    <w:rsid w:val="00206A4D"/>
    <w:rsid w:val="00212ECC"/>
    <w:rsid w:val="00215852"/>
    <w:rsid w:val="00215C38"/>
    <w:rsid w:val="00217067"/>
    <w:rsid w:val="00222D39"/>
    <w:rsid w:val="00225B70"/>
    <w:rsid w:val="00235A47"/>
    <w:rsid w:val="0024118C"/>
    <w:rsid w:val="00241DAA"/>
    <w:rsid w:val="002439EA"/>
    <w:rsid w:val="0024541F"/>
    <w:rsid w:val="00246629"/>
    <w:rsid w:val="002478E4"/>
    <w:rsid w:val="002514DB"/>
    <w:rsid w:val="00252F7F"/>
    <w:rsid w:val="00264D3D"/>
    <w:rsid w:val="0026565D"/>
    <w:rsid w:val="00272194"/>
    <w:rsid w:val="00274945"/>
    <w:rsid w:val="00280A8A"/>
    <w:rsid w:val="00287FD2"/>
    <w:rsid w:val="00291D06"/>
    <w:rsid w:val="00292987"/>
    <w:rsid w:val="00293675"/>
    <w:rsid w:val="002A34CC"/>
    <w:rsid w:val="002A4ACD"/>
    <w:rsid w:val="002A51AB"/>
    <w:rsid w:val="002B3D27"/>
    <w:rsid w:val="002B5B20"/>
    <w:rsid w:val="002C022B"/>
    <w:rsid w:val="002E1465"/>
    <w:rsid w:val="002E32D0"/>
    <w:rsid w:val="002E3FF7"/>
    <w:rsid w:val="002E6DB2"/>
    <w:rsid w:val="002E7E8E"/>
    <w:rsid w:val="002F676A"/>
    <w:rsid w:val="002F7D77"/>
    <w:rsid w:val="003002C6"/>
    <w:rsid w:val="00304883"/>
    <w:rsid w:val="00310396"/>
    <w:rsid w:val="00310E5D"/>
    <w:rsid w:val="003141D5"/>
    <w:rsid w:val="00314ABE"/>
    <w:rsid w:val="00326AA4"/>
    <w:rsid w:val="00326D9A"/>
    <w:rsid w:val="00326F85"/>
    <w:rsid w:val="003306E1"/>
    <w:rsid w:val="003340A7"/>
    <w:rsid w:val="00344178"/>
    <w:rsid w:val="00350243"/>
    <w:rsid w:val="00350FC7"/>
    <w:rsid w:val="00352E4B"/>
    <w:rsid w:val="00355CAE"/>
    <w:rsid w:val="00361275"/>
    <w:rsid w:val="00364EA1"/>
    <w:rsid w:val="003751B1"/>
    <w:rsid w:val="00380808"/>
    <w:rsid w:val="00381945"/>
    <w:rsid w:val="00387390"/>
    <w:rsid w:val="003967E2"/>
    <w:rsid w:val="0039776C"/>
    <w:rsid w:val="003A00D5"/>
    <w:rsid w:val="003A16CF"/>
    <w:rsid w:val="003A2F3F"/>
    <w:rsid w:val="003B3AA1"/>
    <w:rsid w:val="003B4CDC"/>
    <w:rsid w:val="003C3D69"/>
    <w:rsid w:val="003D2472"/>
    <w:rsid w:val="003D2E73"/>
    <w:rsid w:val="003D4256"/>
    <w:rsid w:val="003D42F2"/>
    <w:rsid w:val="003D689D"/>
    <w:rsid w:val="003E32EE"/>
    <w:rsid w:val="003E5FAA"/>
    <w:rsid w:val="003E71FA"/>
    <w:rsid w:val="00402839"/>
    <w:rsid w:val="00403B08"/>
    <w:rsid w:val="004113C2"/>
    <w:rsid w:val="0041796F"/>
    <w:rsid w:val="00423C53"/>
    <w:rsid w:val="00424542"/>
    <w:rsid w:val="00424F55"/>
    <w:rsid w:val="00425473"/>
    <w:rsid w:val="00432367"/>
    <w:rsid w:val="00432E3C"/>
    <w:rsid w:val="00447539"/>
    <w:rsid w:val="00453A02"/>
    <w:rsid w:val="00454042"/>
    <w:rsid w:val="00462E77"/>
    <w:rsid w:val="004641A6"/>
    <w:rsid w:val="0046551F"/>
    <w:rsid w:val="00466D9A"/>
    <w:rsid w:val="00472504"/>
    <w:rsid w:val="00472C3A"/>
    <w:rsid w:val="004814C9"/>
    <w:rsid w:val="00481FFA"/>
    <w:rsid w:val="00482CB7"/>
    <w:rsid w:val="004864E9"/>
    <w:rsid w:val="004878F0"/>
    <w:rsid w:val="004906F6"/>
    <w:rsid w:val="00491E88"/>
    <w:rsid w:val="00493A20"/>
    <w:rsid w:val="00493EBC"/>
    <w:rsid w:val="004A2F5A"/>
    <w:rsid w:val="004A7BDA"/>
    <w:rsid w:val="004B31B5"/>
    <w:rsid w:val="004B33A2"/>
    <w:rsid w:val="004B6823"/>
    <w:rsid w:val="004B6CE1"/>
    <w:rsid w:val="004C106A"/>
    <w:rsid w:val="004D07E2"/>
    <w:rsid w:val="004D76AC"/>
    <w:rsid w:val="004E0243"/>
    <w:rsid w:val="004E3127"/>
    <w:rsid w:val="004E73D7"/>
    <w:rsid w:val="004E7FF5"/>
    <w:rsid w:val="004F3FE8"/>
    <w:rsid w:val="004F79F4"/>
    <w:rsid w:val="00503CA4"/>
    <w:rsid w:val="00505926"/>
    <w:rsid w:val="00505AD2"/>
    <w:rsid w:val="005101D0"/>
    <w:rsid w:val="0052447E"/>
    <w:rsid w:val="00525034"/>
    <w:rsid w:val="00535A11"/>
    <w:rsid w:val="00540C8F"/>
    <w:rsid w:val="00541030"/>
    <w:rsid w:val="005441E9"/>
    <w:rsid w:val="005447AA"/>
    <w:rsid w:val="005515AA"/>
    <w:rsid w:val="00560DE2"/>
    <w:rsid w:val="005627F2"/>
    <w:rsid w:val="00570E7C"/>
    <w:rsid w:val="00571037"/>
    <w:rsid w:val="00571D19"/>
    <w:rsid w:val="0057743F"/>
    <w:rsid w:val="00577FD1"/>
    <w:rsid w:val="005801F7"/>
    <w:rsid w:val="00590D24"/>
    <w:rsid w:val="00593442"/>
    <w:rsid w:val="005A0E07"/>
    <w:rsid w:val="005A34D2"/>
    <w:rsid w:val="005A5CBA"/>
    <w:rsid w:val="005A6038"/>
    <w:rsid w:val="005B133A"/>
    <w:rsid w:val="005B6CB5"/>
    <w:rsid w:val="005C16A7"/>
    <w:rsid w:val="005C1F1E"/>
    <w:rsid w:val="005C5DFC"/>
    <w:rsid w:val="005D4EE3"/>
    <w:rsid w:val="005D4F41"/>
    <w:rsid w:val="005D5280"/>
    <w:rsid w:val="005E1F61"/>
    <w:rsid w:val="005F3EB5"/>
    <w:rsid w:val="005F586D"/>
    <w:rsid w:val="006009F3"/>
    <w:rsid w:val="00600E64"/>
    <w:rsid w:val="00611BBD"/>
    <w:rsid w:val="00632ED1"/>
    <w:rsid w:val="006354FA"/>
    <w:rsid w:val="006357DC"/>
    <w:rsid w:val="00640DBC"/>
    <w:rsid w:val="00641F3D"/>
    <w:rsid w:val="006441D2"/>
    <w:rsid w:val="00646452"/>
    <w:rsid w:val="00653253"/>
    <w:rsid w:val="00657F50"/>
    <w:rsid w:val="006702A3"/>
    <w:rsid w:val="006740C7"/>
    <w:rsid w:val="00685BAA"/>
    <w:rsid w:val="00686058"/>
    <w:rsid w:val="00694720"/>
    <w:rsid w:val="006A0CDD"/>
    <w:rsid w:val="006A2384"/>
    <w:rsid w:val="006B1099"/>
    <w:rsid w:val="006B5AAA"/>
    <w:rsid w:val="006B6033"/>
    <w:rsid w:val="006B6C97"/>
    <w:rsid w:val="006C12D0"/>
    <w:rsid w:val="006C4676"/>
    <w:rsid w:val="006C744B"/>
    <w:rsid w:val="006E0B91"/>
    <w:rsid w:val="006E14F9"/>
    <w:rsid w:val="006E19F7"/>
    <w:rsid w:val="006E3697"/>
    <w:rsid w:val="006E4D67"/>
    <w:rsid w:val="006F301F"/>
    <w:rsid w:val="006F5C84"/>
    <w:rsid w:val="006F651D"/>
    <w:rsid w:val="00701133"/>
    <w:rsid w:val="00702D32"/>
    <w:rsid w:val="007042FA"/>
    <w:rsid w:val="00707B50"/>
    <w:rsid w:val="00710D11"/>
    <w:rsid w:val="00714206"/>
    <w:rsid w:val="007174FE"/>
    <w:rsid w:val="007215B8"/>
    <w:rsid w:val="00731D94"/>
    <w:rsid w:val="00740BBE"/>
    <w:rsid w:val="0074114F"/>
    <w:rsid w:val="007421C6"/>
    <w:rsid w:val="00743E7C"/>
    <w:rsid w:val="007567B8"/>
    <w:rsid w:val="00757B90"/>
    <w:rsid w:val="00760222"/>
    <w:rsid w:val="00760FDF"/>
    <w:rsid w:val="0076242D"/>
    <w:rsid w:val="007629D5"/>
    <w:rsid w:val="007757AB"/>
    <w:rsid w:val="007805BC"/>
    <w:rsid w:val="00783B56"/>
    <w:rsid w:val="00792720"/>
    <w:rsid w:val="00793B2F"/>
    <w:rsid w:val="007950E7"/>
    <w:rsid w:val="007957E4"/>
    <w:rsid w:val="00797A28"/>
    <w:rsid w:val="00797CEA"/>
    <w:rsid w:val="007A7B35"/>
    <w:rsid w:val="007B455A"/>
    <w:rsid w:val="007B46F0"/>
    <w:rsid w:val="007C5390"/>
    <w:rsid w:val="007C7B11"/>
    <w:rsid w:val="007D3FA8"/>
    <w:rsid w:val="007D493F"/>
    <w:rsid w:val="007D51CC"/>
    <w:rsid w:val="007E2FD5"/>
    <w:rsid w:val="007E52C1"/>
    <w:rsid w:val="007F2378"/>
    <w:rsid w:val="007F2486"/>
    <w:rsid w:val="007F4192"/>
    <w:rsid w:val="007F765B"/>
    <w:rsid w:val="008004B9"/>
    <w:rsid w:val="00800EC6"/>
    <w:rsid w:val="00805AB9"/>
    <w:rsid w:val="008072EE"/>
    <w:rsid w:val="00811820"/>
    <w:rsid w:val="00811A77"/>
    <w:rsid w:val="008169CD"/>
    <w:rsid w:val="0081726D"/>
    <w:rsid w:val="00817E59"/>
    <w:rsid w:val="00823452"/>
    <w:rsid w:val="0082780A"/>
    <w:rsid w:val="00834F43"/>
    <w:rsid w:val="00840E71"/>
    <w:rsid w:val="00847AC8"/>
    <w:rsid w:val="008501B2"/>
    <w:rsid w:val="0085396D"/>
    <w:rsid w:val="00854A58"/>
    <w:rsid w:val="00854BCD"/>
    <w:rsid w:val="00857838"/>
    <w:rsid w:val="00862568"/>
    <w:rsid w:val="00877AAD"/>
    <w:rsid w:val="00883A03"/>
    <w:rsid w:val="00887CA7"/>
    <w:rsid w:val="00894A4A"/>
    <w:rsid w:val="008976CD"/>
    <w:rsid w:val="008A2F1C"/>
    <w:rsid w:val="008A3519"/>
    <w:rsid w:val="008A5740"/>
    <w:rsid w:val="008A60C4"/>
    <w:rsid w:val="008A7227"/>
    <w:rsid w:val="008B2CD1"/>
    <w:rsid w:val="008B7F79"/>
    <w:rsid w:val="008C04E6"/>
    <w:rsid w:val="008C5285"/>
    <w:rsid w:val="008C562B"/>
    <w:rsid w:val="008D095C"/>
    <w:rsid w:val="008D4019"/>
    <w:rsid w:val="008D4415"/>
    <w:rsid w:val="008E3516"/>
    <w:rsid w:val="008F71E9"/>
    <w:rsid w:val="009032D0"/>
    <w:rsid w:val="00903ED9"/>
    <w:rsid w:val="00910F5C"/>
    <w:rsid w:val="00911092"/>
    <w:rsid w:val="00911EA0"/>
    <w:rsid w:val="00914C53"/>
    <w:rsid w:val="00916ACC"/>
    <w:rsid w:val="00917EF5"/>
    <w:rsid w:val="00920538"/>
    <w:rsid w:val="00920CB3"/>
    <w:rsid w:val="00921430"/>
    <w:rsid w:val="00921D33"/>
    <w:rsid w:val="009237B4"/>
    <w:rsid w:val="009341FB"/>
    <w:rsid w:val="00940497"/>
    <w:rsid w:val="00941281"/>
    <w:rsid w:val="009418AD"/>
    <w:rsid w:val="009431F9"/>
    <w:rsid w:val="009478E4"/>
    <w:rsid w:val="00952307"/>
    <w:rsid w:val="00953043"/>
    <w:rsid w:val="0095719F"/>
    <w:rsid w:val="00962667"/>
    <w:rsid w:val="00971B1A"/>
    <w:rsid w:val="00971CFC"/>
    <w:rsid w:val="00971EF0"/>
    <w:rsid w:val="009729C5"/>
    <w:rsid w:val="0097516A"/>
    <w:rsid w:val="009800F5"/>
    <w:rsid w:val="00982055"/>
    <w:rsid w:val="00986BDA"/>
    <w:rsid w:val="0099022E"/>
    <w:rsid w:val="00992C49"/>
    <w:rsid w:val="00994C40"/>
    <w:rsid w:val="009B216C"/>
    <w:rsid w:val="009B6FA8"/>
    <w:rsid w:val="009B7FDA"/>
    <w:rsid w:val="009C46D2"/>
    <w:rsid w:val="009C4CB1"/>
    <w:rsid w:val="009C6532"/>
    <w:rsid w:val="009D3F96"/>
    <w:rsid w:val="009E1622"/>
    <w:rsid w:val="009E67DE"/>
    <w:rsid w:val="009E7052"/>
    <w:rsid w:val="009F206D"/>
    <w:rsid w:val="00A03DE5"/>
    <w:rsid w:val="00A058A3"/>
    <w:rsid w:val="00A20607"/>
    <w:rsid w:val="00A265D6"/>
    <w:rsid w:val="00A270DB"/>
    <w:rsid w:val="00A27FCA"/>
    <w:rsid w:val="00A3024B"/>
    <w:rsid w:val="00A35EDE"/>
    <w:rsid w:val="00A36A00"/>
    <w:rsid w:val="00A37896"/>
    <w:rsid w:val="00A4163A"/>
    <w:rsid w:val="00A421F1"/>
    <w:rsid w:val="00A45BB7"/>
    <w:rsid w:val="00A466E8"/>
    <w:rsid w:val="00A46B40"/>
    <w:rsid w:val="00A63C7E"/>
    <w:rsid w:val="00A73445"/>
    <w:rsid w:val="00A81B7C"/>
    <w:rsid w:val="00A854F5"/>
    <w:rsid w:val="00A8688C"/>
    <w:rsid w:val="00A92247"/>
    <w:rsid w:val="00A96567"/>
    <w:rsid w:val="00AA00B0"/>
    <w:rsid w:val="00AA3ACF"/>
    <w:rsid w:val="00AA4A1E"/>
    <w:rsid w:val="00AA4D82"/>
    <w:rsid w:val="00AA535E"/>
    <w:rsid w:val="00AB1344"/>
    <w:rsid w:val="00AC6286"/>
    <w:rsid w:val="00AC7B77"/>
    <w:rsid w:val="00AD0699"/>
    <w:rsid w:val="00AD0CE3"/>
    <w:rsid w:val="00AD5AA3"/>
    <w:rsid w:val="00AE0279"/>
    <w:rsid w:val="00AE0359"/>
    <w:rsid w:val="00AE091D"/>
    <w:rsid w:val="00AE46D3"/>
    <w:rsid w:val="00AE48CF"/>
    <w:rsid w:val="00AF561B"/>
    <w:rsid w:val="00AF6CFC"/>
    <w:rsid w:val="00AF74D9"/>
    <w:rsid w:val="00AF7F9E"/>
    <w:rsid w:val="00B02AE8"/>
    <w:rsid w:val="00B03C2F"/>
    <w:rsid w:val="00B05A97"/>
    <w:rsid w:val="00B20F66"/>
    <w:rsid w:val="00B2695B"/>
    <w:rsid w:val="00B27B31"/>
    <w:rsid w:val="00B517AC"/>
    <w:rsid w:val="00B523E9"/>
    <w:rsid w:val="00B531AF"/>
    <w:rsid w:val="00B6256B"/>
    <w:rsid w:val="00B63D86"/>
    <w:rsid w:val="00B74C70"/>
    <w:rsid w:val="00B909C2"/>
    <w:rsid w:val="00B90D2E"/>
    <w:rsid w:val="00B925D7"/>
    <w:rsid w:val="00B94595"/>
    <w:rsid w:val="00B95277"/>
    <w:rsid w:val="00B95FE1"/>
    <w:rsid w:val="00B97C0B"/>
    <w:rsid w:val="00BA0E30"/>
    <w:rsid w:val="00BB081E"/>
    <w:rsid w:val="00BB0EE7"/>
    <w:rsid w:val="00BB469B"/>
    <w:rsid w:val="00BC0EA3"/>
    <w:rsid w:val="00BC1DD0"/>
    <w:rsid w:val="00BC3819"/>
    <w:rsid w:val="00BC6878"/>
    <w:rsid w:val="00BC6F87"/>
    <w:rsid w:val="00BD1581"/>
    <w:rsid w:val="00BD223B"/>
    <w:rsid w:val="00BD35B9"/>
    <w:rsid w:val="00BD430F"/>
    <w:rsid w:val="00BD5E87"/>
    <w:rsid w:val="00BD6721"/>
    <w:rsid w:val="00BE0942"/>
    <w:rsid w:val="00BE4DE0"/>
    <w:rsid w:val="00BF0199"/>
    <w:rsid w:val="00BF0E4D"/>
    <w:rsid w:val="00BF187D"/>
    <w:rsid w:val="00BF2B43"/>
    <w:rsid w:val="00BF36AB"/>
    <w:rsid w:val="00C005BF"/>
    <w:rsid w:val="00C0650B"/>
    <w:rsid w:val="00C10997"/>
    <w:rsid w:val="00C10D93"/>
    <w:rsid w:val="00C11E5E"/>
    <w:rsid w:val="00C126D3"/>
    <w:rsid w:val="00C13955"/>
    <w:rsid w:val="00C1480E"/>
    <w:rsid w:val="00C15599"/>
    <w:rsid w:val="00C2719F"/>
    <w:rsid w:val="00C30654"/>
    <w:rsid w:val="00C30CE1"/>
    <w:rsid w:val="00C32251"/>
    <w:rsid w:val="00C32E71"/>
    <w:rsid w:val="00C35C0E"/>
    <w:rsid w:val="00C418D3"/>
    <w:rsid w:val="00C50775"/>
    <w:rsid w:val="00C5298B"/>
    <w:rsid w:val="00C5461B"/>
    <w:rsid w:val="00C56390"/>
    <w:rsid w:val="00C646E5"/>
    <w:rsid w:val="00C647B5"/>
    <w:rsid w:val="00C65467"/>
    <w:rsid w:val="00C70A95"/>
    <w:rsid w:val="00C72967"/>
    <w:rsid w:val="00C75CFD"/>
    <w:rsid w:val="00C9163F"/>
    <w:rsid w:val="00C93B79"/>
    <w:rsid w:val="00C93F4B"/>
    <w:rsid w:val="00C96F7E"/>
    <w:rsid w:val="00CA1CEB"/>
    <w:rsid w:val="00CA2F1C"/>
    <w:rsid w:val="00CA4187"/>
    <w:rsid w:val="00CC0CFA"/>
    <w:rsid w:val="00CC1172"/>
    <w:rsid w:val="00CC61F7"/>
    <w:rsid w:val="00CD306D"/>
    <w:rsid w:val="00CD7C10"/>
    <w:rsid w:val="00CE003B"/>
    <w:rsid w:val="00CE2AE7"/>
    <w:rsid w:val="00CF30DD"/>
    <w:rsid w:val="00CF3A3A"/>
    <w:rsid w:val="00CF4C35"/>
    <w:rsid w:val="00D0443F"/>
    <w:rsid w:val="00D048F9"/>
    <w:rsid w:val="00D137DF"/>
    <w:rsid w:val="00D14262"/>
    <w:rsid w:val="00D208C5"/>
    <w:rsid w:val="00D20D29"/>
    <w:rsid w:val="00D24B1B"/>
    <w:rsid w:val="00D27076"/>
    <w:rsid w:val="00D33164"/>
    <w:rsid w:val="00D376A4"/>
    <w:rsid w:val="00D4081C"/>
    <w:rsid w:val="00D41F93"/>
    <w:rsid w:val="00D47989"/>
    <w:rsid w:val="00D50AE1"/>
    <w:rsid w:val="00D65416"/>
    <w:rsid w:val="00D71442"/>
    <w:rsid w:val="00D75F4F"/>
    <w:rsid w:val="00D83247"/>
    <w:rsid w:val="00D83A45"/>
    <w:rsid w:val="00D84E5B"/>
    <w:rsid w:val="00D91CC2"/>
    <w:rsid w:val="00D921CC"/>
    <w:rsid w:val="00D973C6"/>
    <w:rsid w:val="00DB0FCA"/>
    <w:rsid w:val="00DB40B8"/>
    <w:rsid w:val="00DD1C84"/>
    <w:rsid w:val="00DD6F21"/>
    <w:rsid w:val="00DE085F"/>
    <w:rsid w:val="00DE1B25"/>
    <w:rsid w:val="00DE2A17"/>
    <w:rsid w:val="00DE4B0E"/>
    <w:rsid w:val="00DF691E"/>
    <w:rsid w:val="00E10775"/>
    <w:rsid w:val="00E1286B"/>
    <w:rsid w:val="00E24A96"/>
    <w:rsid w:val="00E32D18"/>
    <w:rsid w:val="00E34352"/>
    <w:rsid w:val="00E35F44"/>
    <w:rsid w:val="00E3721A"/>
    <w:rsid w:val="00E42CD0"/>
    <w:rsid w:val="00E44DA1"/>
    <w:rsid w:val="00E466F8"/>
    <w:rsid w:val="00E47F03"/>
    <w:rsid w:val="00E52706"/>
    <w:rsid w:val="00E544B4"/>
    <w:rsid w:val="00E54A43"/>
    <w:rsid w:val="00E62517"/>
    <w:rsid w:val="00E63699"/>
    <w:rsid w:val="00E67517"/>
    <w:rsid w:val="00E67A42"/>
    <w:rsid w:val="00E70827"/>
    <w:rsid w:val="00E734DC"/>
    <w:rsid w:val="00E80923"/>
    <w:rsid w:val="00E94B93"/>
    <w:rsid w:val="00EA39B6"/>
    <w:rsid w:val="00EA429A"/>
    <w:rsid w:val="00EA7F2F"/>
    <w:rsid w:val="00EB049F"/>
    <w:rsid w:val="00EB10F5"/>
    <w:rsid w:val="00EB2BE9"/>
    <w:rsid w:val="00EB64A2"/>
    <w:rsid w:val="00EB7808"/>
    <w:rsid w:val="00EC0B50"/>
    <w:rsid w:val="00EC0C00"/>
    <w:rsid w:val="00EC3415"/>
    <w:rsid w:val="00ED6071"/>
    <w:rsid w:val="00ED7B96"/>
    <w:rsid w:val="00EE2A7E"/>
    <w:rsid w:val="00EE5C6C"/>
    <w:rsid w:val="00F02C0B"/>
    <w:rsid w:val="00F1678D"/>
    <w:rsid w:val="00F26C58"/>
    <w:rsid w:val="00F30CF1"/>
    <w:rsid w:val="00F35DEB"/>
    <w:rsid w:val="00F35F86"/>
    <w:rsid w:val="00F373FA"/>
    <w:rsid w:val="00F40356"/>
    <w:rsid w:val="00F419D8"/>
    <w:rsid w:val="00F455AA"/>
    <w:rsid w:val="00F463F2"/>
    <w:rsid w:val="00F465A9"/>
    <w:rsid w:val="00F637CE"/>
    <w:rsid w:val="00F637D9"/>
    <w:rsid w:val="00F67BB2"/>
    <w:rsid w:val="00F7115C"/>
    <w:rsid w:val="00F727B1"/>
    <w:rsid w:val="00F72F5D"/>
    <w:rsid w:val="00F73BC4"/>
    <w:rsid w:val="00F80104"/>
    <w:rsid w:val="00F81AB1"/>
    <w:rsid w:val="00F84FB2"/>
    <w:rsid w:val="00F87019"/>
    <w:rsid w:val="00F928E1"/>
    <w:rsid w:val="00F92FAC"/>
    <w:rsid w:val="00FA0AAD"/>
    <w:rsid w:val="00FA1966"/>
    <w:rsid w:val="00FB1ED8"/>
    <w:rsid w:val="00FB60A6"/>
    <w:rsid w:val="00FB74B8"/>
    <w:rsid w:val="00FB7F61"/>
    <w:rsid w:val="00FC19C1"/>
    <w:rsid w:val="00FD4CE6"/>
    <w:rsid w:val="00FD6A92"/>
    <w:rsid w:val="00FE1DE1"/>
    <w:rsid w:val="00FE382A"/>
    <w:rsid w:val="00FE638F"/>
    <w:rsid w:val="00FE65D4"/>
    <w:rsid w:val="00FF0444"/>
    <w:rsid w:val="00FF242F"/>
    <w:rsid w:val="00FF37A0"/>
    <w:rsid w:val="00FF6287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192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F4192"/>
    <w:pPr>
      <w:keepNext/>
      <w:numPr>
        <w:numId w:val="7"/>
      </w:numPr>
      <w:spacing w:before="240" w:after="12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F4192"/>
    <w:pPr>
      <w:keepNext/>
      <w:numPr>
        <w:ilvl w:val="1"/>
        <w:numId w:val="7"/>
      </w:numPr>
      <w:spacing w:before="240" w:after="280"/>
      <w:jc w:val="left"/>
      <w:outlineLvl w:val="1"/>
    </w:pPr>
    <w:rPr>
      <w:rFonts w:cs="Arial"/>
      <w:b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F4192"/>
    <w:pPr>
      <w:keepNext/>
      <w:numPr>
        <w:ilvl w:val="2"/>
        <w:numId w:val="7"/>
      </w:numPr>
      <w:spacing w:before="240" w:after="60"/>
      <w:jc w:val="left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F4192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F419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F4192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F4192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7F4192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7F4192"/>
    <w:pPr>
      <w:numPr>
        <w:ilvl w:val="8"/>
        <w:numId w:val="7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4192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Titulek">
    <w:name w:val="caption"/>
    <w:basedOn w:val="Normln"/>
    <w:next w:val="Normln"/>
    <w:qFormat/>
    <w:rsid w:val="007F4192"/>
    <w:pPr>
      <w:spacing w:before="120" w:after="120"/>
    </w:pPr>
    <w:rPr>
      <w:b/>
      <w:bCs/>
      <w:szCs w:val="20"/>
    </w:rPr>
  </w:style>
  <w:style w:type="paragraph" w:styleId="Zpat">
    <w:name w:val="footer"/>
    <w:basedOn w:val="Normln"/>
    <w:semiHidden/>
    <w:rsid w:val="007F41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4192"/>
  </w:style>
  <w:style w:type="paragraph" w:styleId="Zhlav">
    <w:name w:val="header"/>
    <w:basedOn w:val="Normln"/>
    <w:semiHidden/>
    <w:rsid w:val="007F4192"/>
    <w:pPr>
      <w:tabs>
        <w:tab w:val="center" w:pos="4536"/>
        <w:tab w:val="right" w:pos="9072"/>
      </w:tabs>
    </w:pPr>
  </w:style>
  <w:style w:type="paragraph" w:customStyle="1" w:styleId="tabulkanadpis">
    <w:name w:val="tabulka_nadpis"/>
    <w:basedOn w:val="Nadpis3"/>
    <w:rsid w:val="007F4192"/>
    <w:pPr>
      <w:numPr>
        <w:ilvl w:val="0"/>
        <w:numId w:val="0"/>
      </w:numPr>
    </w:pPr>
    <w:rPr>
      <w:sz w:val="20"/>
    </w:rPr>
  </w:style>
  <w:style w:type="paragraph" w:customStyle="1" w:styleId="grafnadpis">
    <w:name w:val="graf_nadpis"/>
    <w:basedOn w:val="tabulkanadpis"/>
    <w:rsid w:val="007F4192"/>
  </w:style>
  <w:style w:type="paragraph" w:styleId="Zkladntext">
    <w:name w:val="Body Text"/>
    <w:basedOn w:val="Normln"/>
    <w:semiHidden/>
    <w:rsid w:val="007F4192"/>
    <w:rPr>
      <w:color w:val="800080"/>
    </w:rPr>
  </w:style>
  <w:style w:type="paragraph" w:customStyle="1" w:styleId="kapitola">
    <w:name w:val="kapitola"/>
    <w:next w:val="Normln"/>
    <w:rsid w:val="007F4192"/>
    <w:pPr>
      <w:widowControl w:val="0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7F4192"/>
    <w:rPr>
      <w:color w:val="FF0000"/>
    </w:rPr>
  </w:style>
  <w:style w:type="paragraph" w:styleId="Textpoznpodarou">
    <w:name w:val="footnote text"/>
    <w:basedOn w:val="Normln"/>
    <w:semiHidden/>
    <w:rsid w:val="007F4192"/>
    <w:rPr>
      <w:i/>
      <w:sz w:val="18"/>
      <w:szCs w:val="20"/>
    </w:rPr>
  </w:style>
  <w:style w:type="character" w:styleId="Znakapoznpodarou">
    <w:name w:val="footnote reference"/>
    <w:semiHidden/>
    <w:rsid w:val="007F4192"/>
    <w:rPr>
      <w:vertAlign w:val="superscript"/>
    </w:rPr>
  </w:style>
  <w:style w:type="paragraph" w:customStyle="1" w:styleId="obycA10">
    <w:name w:val="obyc_A10"/>
    <w:basedOn w:val="Normln"/>
    <w:rsid w:val="007F4192"/>
    <w:pPr>
      <w:jc w:val="left"/>
    </w:pPr>
  </w:style>
  <w:style w:type="character" w:styleId="Odkaznakoment">
    <w:name w:val="annotation reference"/>
    <w:semiHidden/>
    <w:rsid w:val="007F4192"/>
    <w:rPr>
      <w:sz w:val="16"/>
      <w:szCs w:val="16"/>
    </w:rPr>
  </w:style>
  <w:style w:type="paragraph" w:styleId="Textkomente">
    <w:name w:val="annotation text"/>
    <w:basedOn w:val="Normln"/>
    <w:semiHidden/>
    <w:rsid w:val="007F4192"/>
    <w:rPr>
      <w:szCs w:val="20"/>
    </w:rPr>
  </w:style>
  <w:style w:type="paragraph" w:styleId="Zkladntext3">
    <w:name w:val="Body Text 3"/>
    <w:basedOn w:val="Normln"/>
    <w:semiHidden/>
    <w:rsid w:val="007F4192"/>
    <w:rPr>
      <w:color w:val="993300"/>
    </w:rPr>
  </w:style>
  <w:style w:type="paragraph" w:styleId="Pedmtkomente">
    <w:name w:val="annotation subject"/>
    <w:basedOn w:val="Textkomente"/>
    <w:next w:val="Textkomente"/>
    <w:semiHidden/>
    <w:unhideWhenUsed/>
    <w:rsid w:val="007F4192"/>
    <w:rPr>
      <w:b/>
      <w:bCs/>
    </w:rPr>
  </w:style>
  <w:style w:type="character" w:customStyle="1" w:styleId="TextkomenteChar">
    <w:name w:val="Text komentáře Char"/>
    <w:semiHidden/>
    <w:rsid w:val="007F4192"/>
    <w:rPr>
      <w:rFonts w:ascii="Arial" w:hAnsi="Arial"/>
    </w:rPr>
  </w:style>
  <w:style w:type="character" w:customStyle="1" w:styleId="PedmtkomenteChar">
    <w:name w:val="Předmět komentáře Char"/>
    <w:rsid w:val="007F4192"/>
    <w:rPr>
      <w:rFonts w:ascii="Arial" w:hAnsi="Arial"/>
    </w:rPr>
  </w:style>
  <w:style w:type="paragraph" w:styleId="Textbubliny">
    <w:name w:val="Balloon Text"/>
    <w:basedOn w:val="Normln"/>
    <w:semiHidden/>
    <w:unhideWhenUsed/>
    <w:rsid w:val="007F4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7F4192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7F4192"/>
    <w:pPr>
      <w:ind w:left="200"/>
    </w:pPr>
  </w:style>
  <w:style w:type="paragraph" w:styleId="Obsah1">
    <w:name w:val="toc 1"/>
    <w:basedOn w:val="Normln"/>
    <w:next w:val="Normln"/>
    <w:autoRedefine/>
    <w:semiHidden/>
    <w:rsid w:val="007F4192"/>
  </w:style>
  <w:style w:type="paragraph" w:styleId="Obsah3">
    <w:name w:val="toc 3"/>
    <w:basedOn w:val="Normln"/>
    <w:next w:val="Normln"/>
    <w:autoRedefine/>
    <w:semiHidden/>
    <w:rsid w:val="007F4192"/>
    <w:pPr>
      <w:ind w:left="400"/>
    </w:pPr>
  </w:style>
  <w:style w:type="paragraph" w:styleId="Obsah4">
    <w:name w:val="toc 4"/>
    <w:basedOn w:val="Normln"/>
    <w:next w:val="Normln"/>
    <w:autoRedefine/>
    <w:semiHidden/>
    <w:rsid w:val="007F4192"/>
    <w:pPr>
      <w:ind w:left="600"/>
    </w:pPr>
  </w:style>
  <w:style w:type="paragraph" w:styleId="Obsah5">
    <w:name w:val="toc 5"/>
    <w:basedOn w:val="Normln"/>
    <w:next w:val="Normln"/>
    <w:autoRedefine/>
    <w:semiHidden/>
    <w:rsid w:val="007F4192"/>
    <w:pPr>
      <w:ind w:left="800"/>
    </w:pPr>
  </w:style>
  <w:style w:type="paragraph" w:styleId="Obsah6">
    <w:name w:val="toc 6"/>
    <w:basedOn w:val="Normln"/>
    <w:next w:val="Normln"/>
    <w:autoRedefine/>
    <w:semiHidden/>
    <w:rsid w:val="007F4192"/>
    <w:pPr>
      <w:ind w:left="1000"/>
    </w:pPr>
  </w:style>
  <w:style w:type="paragraph" w:styleId="Obsah7">
    <w:name w:val="toc 7"/>
    <w:basedOn w:val="Normln"/>
    <w:next w:val="Normln"/>
    <w:autoRedefine/>
    <w:semiHidden/>
    <w:rsid w:val="007F4192"/>
    <w:pPr>
      <w:ind w:left="1200"/>
    </w:pPr>
  </w:style>
  <w:style w:type="paragraph" w:styleId="Obsah8">
    <w:name w:val="toc 8"/>
    <w:basedOn w:val="Normln"/>
    <w:next w:val="Normln"/>
    <w:autoRedefine/>
    <w:semiHidden/>
    <w:rsid w:val="007F4192"/>
    <w:pPr>
      <w:ind w:left="1400"/>
    </w:pPr>
  </w:style>
  <w:style w:type="paragraph" w:styleId="Obsah9">
    <w:name w:val="toc 9"/>
    <w:basedOn w:val="Normln"/>
    <w:next w:val="Normln"/>
    <w:autoRedefine/>
    <w:semiHidden/>
    <w:rsid w:val="007F4192"/>
    <w:pPr>
      <w:ind w:left="1600"/>
    </w:pPr>
  </w:style>
  <w:style w:type="character" w:styleId="Hypertextovodkaz">
    <w:name w:val="Hyperlink"/>
    <w:semiHidden/>
    <w:rsid w:val="007F4192"/>
    <w:rPr>
      <w:color w:val="0000FF"/>
      <w:u w:val="single"/>
    </w:rPr>
  </w:style>
  <w:style w:type="character" w:styleId="Sledovanodkaz">
    <w:name w:val="FollowedHyperlink"/>
    <w:semiHidden/>
    <w:rsid w:val="007F4192"/>
    <w:rPr>
      <w:color w:val="800080"/>
      <w:u w:val="single"/>
    </w:rPr>
  </w:style>
  <w:style w:type="paragraph" w:styleId="Zkladntextodsazen">
    <w:name w:val="Body Text Indent"/>
    <w:basedOn w:val="Normln"/>
    <w:semiHidden/>
    <w:rsid w:val="007F4192"/>
    <w:pPr>
      <w:ind w:firstLine="540"/>
    </w:pPr>
    <w:rPr>
      <w:rFonts w:ascii="Times New Roman" w:hAnsi="Times New Roman"/>
      <w:sz w:val="24"/>
    </w:rPr>
  </w:style>
  <w:style w:type="paragraph" w:customStyle="1" w:styleId="xl98">
    <w:name w:val="xl98"/>
    <w:basedOn w:val="Normln"/>
    <w:rsid w:val="007F4192"/>
    <w:pP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99">
    <w:name w:val="xl99"/>
    <w:basedOn w:val="Normln"/>
    <w:rsid w:val="007F4192"/>
    <w:pP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0">
    <w:name w:val="xl100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1">
    <w:name w:val="xl101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102">
    <w:name w:val="xl102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103">
    <w:name w:val="xl103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4">
    <w:name w:val="xl104"/>
    <w:basedOn w:val="Normln"/>
    <w:rsid w:val="007F419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105">
    <w:name w:val="xl105"/>
    <w:basedOn w:val="Normln"/>
    <w:rsid w:val="007F419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6">
    <w:name w:val="xl106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7">
    <w:name w:val="xl107"/>
    <w:basedOn w:val="Normln"/>
    <w:rsid w:val="007F4192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8">
    <w:name w:val="xl108"/>
    <w:basedOn w:val="Normln"/>
    <w:rsid w:val="007F4192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09">
    <w:name w:val="xl109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0">
    <w:name w:val="xl110"/>
    <w:basedOn w:val="Normln"/>
    <w:rsid w:val="007F4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b/>
      <w:bCs/>
      <w:sz w:val="16"/>
      <w:szCs w:val="16"/>
    </w:rPr>
  </w:style>
  <w:style w:type="paragraph" w:customStyle="1" w:styleId="xl111">
    <w:name w:val="xl111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2">
    <w:name w:val="xl112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3">
    <w:name w:val="xl113"/>
    <w:basedOn w:val="Normln"/>
    <w:rsid w:val="007F41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4">
    <w:name w:val="xl114"/>
    <w:basedOn w:val="Normln"/>
    <w:rsid w:val="007F41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5">
    <w:name w:val="xl115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116">
    <w:name w:val="xl116"/>
    <w:basedOn w:val="Normln"/>
    <w:rsid w:val="007F4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sz w:val="16"/>
      <w:szCs w:val="16"/>
    </w:rPr>
  </w:style>
  <w:style w:type="paragraph" w:customStyle="1" w:styleId="xl117">
    <w:name w:val="xl117"/>
    <w:basedOn w:val="Normln"/>
    <w:rsid w:val="007F41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118">
    <w:name w:val="xl118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119">
    <w:name w:val="xl119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120">
    <w:name w:val="xl120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21">
    <w:name w:val="xl121"/>
    <w:basedOn w:val="Normln"/>
    <w:rsid w:val="007F4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font5">
    <w:name w:val="font5"/>
    <w:basedOn w:val="Normln"/>
    <w:rsid w:val="007F4192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7F4192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Normln"/>
    <w:rsid w:val="007F41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123">
    <w:name w:val="xl123"/>
    <w:basedOn w:val="Normln"/>
    <w:rsid w:val="007F41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</w:rPr>
  </w:style>
  <w:style w:type="paragraph" w:customStyle="1" w:styleId="xl82">
    <w:name w:val="xl82"/>
    <w:basedOn w:val="Normln"/>
    <w:rsid w:val="007F4192"/>
    <w:pPr>
      <w:spacing w:before="100" w:beforeAutospacing="1" w:after="100" w:afterAutospacing="1"/>
      <w:jc w:val="left"/>
    </w:pPr>
    <w:rPr>
      <w:rFonts w:eastAsia="Arial Unicode MS" w:cs="Arial Unicode MS"/>
      <w:i/>
      <w:iCs/>
      <w:sz w:val="16"/>
      <w:szCs w:val="16"/>
    </w:rPr>
  </w:style>
  <w:style w:type="paragraph" w:customStyle="1" w:styleId="xl124">
    <w:name w:val="xl124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25">
    <w:name w:val="xl125"/>
    <w:basedOn w:val="Normln"/>
    <w:rsid w:val="007F4192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26">
    <w:name w:val="xl126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127">
    <w:name w:val="xl127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28">
    <w:name w:val="xl128"/>
    <w:basedOn w:val="Normln"/>
    <w:rsid w:val="007F4192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29">
    <w:name w:val="xl129"/>
    <w:basedOn w:val="Normln"/>
    <w:rsid w:val="007F41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130">
    <w:name w:val="xl130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131">
    <w:name w:val="xl131"/>
    <w:basedOn w:val="Normln"/>
    <w:rsid w:val="007F41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16"/>
      <w:szCs w:val="16"/>
    </w:rPr>
  </w:style>
  <w:style w:type="paragraph" w:customStyle="1" w:styleId="xl132">
    <w:name w:val="xl132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33">
    <w:name w:val="xl133"/>
    <w:basedOn w:val="Normln"/>
    <w:rsid w:val="007F41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sz w:val="16"/>
      <w:szCs w:val="16"/>
    </w:rPr>
  </w:style>
  <w:style w:type="paragraph" w:customStyle="1" w:styleId="xl134">
    <w:name w:val="xl134"/>
    <w:basedOn w:val="Normln"/>
    <w:rsid w:val="007F41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35">
    <w:name w:val="xl135"/>
    <w:basedOn w:val="Normln"/>
    <w:rsid w:val="007F4192"/>
    <w:pP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36">
    <w:name w:val="xl136"/>
    <w:basedOn w:val="Normln"/>
    <w:rsid w:val="007F41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00"/>
      <w:sz w:val="16"/>
      <w:szCs w:val="16"/>
    </w:rPr>
  </w:style>
  <w:style w:type="paragraph" w:customStyle="1" w:styleId="xl137">
    <w:name w:val="xl137"/>
    <w:basedOn w:val="Normln"/>
    <w:rsid w:val="007F4192"/>
    <w:pPr>
      <w:spacing w:before="100" w:beforeAutospacing="1" w:after="100" w:afterAutospacing="1"/>
      <w:jc w:val="left"/>
    </w:pPr>
    <w:rPr>
      <w:rFonts w:eastAsia="Arial Unicode MS" w:cs="Arial"/>
      <w:b/>
      <w:bCs/>
      <w:sz w:val="16"/>
      <w:szCs w:val="16"/>
    </w:rPr>
  </w:style>
  <w:style w:type="paragraph" w:customStyle="1" w:styleId="xl138">
    <w:name w:val="xl138"/>
    <w:basedOn w:val="Normln"/>
    <w:rsid w:val="007F41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epp.eurostat.ec.europa.eu/portal/page/portal/product_details/publication?p_product_code=KS-RA-13-028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08EDD-C019-4C96-8BC4-C18BDB29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10654</Words>
  <Characters>62864</Characters>
  <Application>Microsoft Office Word</Application>
  <DocSecurity>0</DocSecurity>
  <Lines>523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CSU</Company>
  <LinksUpToDate>false</LinksUpToDate>
  <CharactersWithSpaces>73372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RK</dc:creator>
  <cp:lastModifiedBy>operator</cp:lastModifiedBy>
  <cp:revision>7</cp:revision>
  <cp:lastPrinted>2014-07-31T09:38:00Z</cp:lastPrinted>
  <dcterms:created xsi:type="dcterms:W3CDTF">2014-08-26T08:57:00Z</dcterms:created>
  <dcterms:modified xsi:type="dcterms:W3CDTF">2014-09-03T04:32:00Z</dcterms:modified>
</cp:coreProperties>
</file>