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63" w:rsidRDefault="00930CFB" w:rsidP="00EB6063">
      <w:pPr>
        <w:pStyle w:val="Nadpis1"/>
        <w:numPr>
          <w:ilvl w:val="0"/>
          <w:numId w:val="20"/>
        </w:numPr>
        <w:rPr>
          <w:lang w:val="en-GB"/>
        </w:rPr>
      </w:pPr>
      <w:bookmarkStart w:id="0" w:name="_Toc454185153"/>
      <w:bookmarkStart w:id="1" w:name="_Toc469327803"/>
      <w:r w:rsidRPr="00CB09D5">
        <w:rPr>
          <w:lang w:val="en-GB"/>
        </w:rPr>
        <w:t>Labour Market</w:t>
      </w:r>
      <w:bookmarkEnd w:id="0"/>
      <w:bookmarkEnd w:id="1"/>
    </w:p>
    <w:tbl>
      <w:tblPr>
        <w:tblW w:w="4986" w:type="pct"/>
        <w:tblLayout w:type="fixed"/>
        <w:tblCellMar>
          <w:left w:w="28" w:type="dxa"/>
          <w:right w:w="28" w:type="dxa"/>
        </w:tblCellMar>
        <w:tblLook w:val="04A0"/>
      </w:tblPr>
      <w:tblGrid>
        <w:gridCol w:w="2043"/>
        <w:gridCol w:w="275"/>
        <w:gridCol w:w="7349"/>
      </w:tblGrid>
      <w:tr w:rsidR="00E90D67" w:rsidRPr="00CB09D5" w:rsidTr="008A03DE">
        <w:tc>
          <w:tcPr>
            <w:tcW w:w="1057" w:type="pct"/>
          </w:tcPr>
          <w:p w:rsidR="00E90D67" w:rsidRPr="00CB09D5" w:rsidRDefault="00C20100"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Properly anchored economic growth further improved the situation on the labour </w:t>
            </w:r>
            <w:proofErr w:type="gramStart"/>
            <w:r w:rsidRPr="00CB09D5">
              <w:rPr>
                <w:rFonts w:cs="Arial"/>
                <w:bCs/>
                <w:iCs/>
                <w:color w:val="0D0D0D"/>
                <w:sz w:val="16"/>
                <w:szCs w:val="16"/>
                <w:lang w:val="en-GB"/>
              </w:rPr>
              <w:t>market,</w:t>
            </w:r>
            <w:proofErr w:type="gramEnd"/>
            <w:r w:rsidRPr="00CB09D5">
              <w:rPr>
                <w:rFonts w:cs="Arial"/>
                <w:bCs/>
                <w:iCs/>
                <w:color w:val="0D0D0D"/>
                <w:sz w:val="16"/>
                <w:szCs w:val="16"/>
                <w:lang w:val="en-GB"/>
              </w:rPr>
              <w:t xml:space="preserve"> the year-on-year growth of employment was highest since </w:t>
            </w:r>
            <w:r w:rsidR="003B5E14" w:rsidRPr="00CB09D5">
              <w:rPr>
                <w:rFonts w:cs="Arial"/>
                <w:bCs/>
                <w:iCs/>
                <w:color w:val="0D0D0D"/>
                <w:sz w:val="16"/>
                <w:szCs w:val="16"/>
                <w:lang w:val="en-GB"/>
              </w:rPr>
              <w:t xml:space="preserve">the </w:t>
            </w:r>
            <w:r w:rsidRPr="00CB09D5">
              <w:rPr>
                <w:rFonts w:cs="Arial"/>
                <w:bCs/>
                <w:iCs/>
                <w:color w:val="0D0D0D"/>
                <w:sz w:val="16"/>
                <w:szCs w:val="16"/>
                <w:lang w:val="en-GB"/>
              </w:rPr>
              <w:t>year 2008 last year</w:t>
            </w:r>
            <w:r w:rsidR="00E90D67" w:rsidRPr="00CB09D5">
              <w:rPr>
                <w:rFonts w:cs="Arial"/>
                <w:bCs/>
                <w:iCs/>
                <w:color w:val="0D0D0D"/>
                <w:sz w:val="16"/>
                <w:szCs w:val="16"/>
                <w:lang w:val="en-GB"/>
              </w:rPr>
              <w:t>.</w:t>
            </w: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E90D67" w:rsidP="008A03DE">
            <w:pPr>
              <w:pStyle w:val="Textpoznpodarou"/>
              <w:jc w:val="both"/>
              <w:rPr>
                <w:rFonts w:cs="Arial"/>
                <w:color w:val="0D0D0D"/>
                <w:spacing w:val="-4"/>
                <w:lang w:val="en-GB"/>
              </w:rPr>
            </w:pPr>
            <w:r w:rsidRPr="00CB09D5">
              <w:rPr>
                <w:rFonts w:cs="Arial"/>
                <w:color w:val="0D0D0D"/>
                <w:spacing w:val="-4"/>
                <w:lang w:val="en-GB"/>
              </w:rPr>
              <w:t>Situa</w:t>
            </w:r>
            <w:r w:rsidR="00F8473C" w:rsidRPr="00CB09D5">
              <w:rPr>
                <w:rFonts w:cs="Arial"/>
                <w:color w:val="0D0D0D"/>
                <w:spacing w:val="-4"/>
                <w:lang w:val="en-GB"/>
              </w:rPr>
              <w:t>tion on the labour market was further improving in 2016 and it had in many respects similar features to the peak period of the past decade. Continuing economic growth generated new job positions. Total employment</w:t>
            </w:r>
            <w:r w:rsidRPr="00CB09D5">
              <w:rPr>
                <w:rStyle w:val="Znakapoznpodarou"/>
                <w:color w:val="0D0D0D"/>
                <w:spacing w:val="-4"/>
                <w:lang w:val="en-GB"/>
              </w:rPr>
              <w:footnoteReference w:id="1"/>
            </w:r>
            <w:r w:rsidRPr="00CB09D5">
              <w:rPr>
                <w:rFonts w:cs="Arial"/>
                <w:color w:val="0D0D0D"/>
                <w:spacing w:val="-4"/>
                <w:lang w:val="en-GB"/>
              </w:rPr>
              <w:t xml:space="preserve"> </w:t>
            </w:r>
            <w:r w:rsidR="00FB3D72" w:rsidRPr="00CB09D5">
              <w:rPr>
                <w:rFonts w:cs="Arial"/>
                <w:color w:val="0D0D0D"/>
                <w:spacing w:val="-4"/>
                <w:lang w:val="en-GB"/>
              </w:rPr>
              <w:t xml:space="preserve">was further </w:t>
            </w:r>
            <w:r w:rsidR="008834D6" w:rsidRPr="00CB09D5">
              <w:rPr>
                <w:rFonts w:cs="Arial"/>
                <w:color w:val="0D0D0D"/>
                <w:spacing w:val="-4"/>
                <w:lang w:val="en-GB"/>
              </w:rPr>
              <w:t>strengthening</w:t>
            </w:r>
            <w:r w:rsidR="00FB3D72" w:rsidRPr="00CB09D5">
              <w:rPr>
                <w:rFonts w:cs="Arial"/>
                <w:color w:val="0D0D0D"/>
                <w:spacing w:val="-4"/>
                <w:lang w:val="en-GB"/>
              </w:rPr>
              <w:t xml:space="preserve"> in the quarter-on-quarter expression during the year (apart from </w:t>
            </w:r>
            <w:r w:rsidR="008834D6" w:rsidRPr="00CB09D5">
              <w:rPr>
                <w:rFonts w:cs="Arial"/>
                <w:color w:val="0D0D0D"/>
                <w:spacing w:val="-4"/>
                <w:lang w:val="en-GB"/>
              </w:rPr>
              <w:t>temporary</w:t>
            </w:r>
            <w:r w:rsidR="00FB3D72" w:rsidRPr="00CB09D5">
              <w:rPr>
                <w:rFonts w:cs="Arial"/>
                <w:color w:val="0D0D0D"/>
                <w:spacing w:val="-4"/>
                <w:lang w:val="en-GB"/>
              </w:rPr>
              <w:t xml:space="preserve"> stagnation in Q3</w:t>
            </w:r>
            <w:r w:rsidRPr="00CB09D5">
              <w:rPr>
                <w:rFonts w:cs="Arial"/>
                <w:color w:val="0D0D0D"/>
                <w:spacing w:val="-4"/>
                <w:lang w:val="en-GB"/>
              </w:rPr>
              <w:t xml:space="preserve">). </w:t>
            </w:r>
            <w:r w:rsidR="00EE5A5A" w:rsidRPr="00CB09D5">
              <w:rPr>
                <w:rFonts w:cs="Arial"/>
                <w:color w:val="0D0D0D"/>
                <w:spacing w:val="-4"/>
                <w:lang w:val="en-GB"/>
              </w:rPr>
              <w:t>More persons by 1.8</w:t>
            </w:r>
            <w:r w:rsidR="008834D6" w:rsidRPr="00CB09D5">
              <w:rPr>
                <w:rFonts w:cs="Arial"/>
                <w:color w:val="0D0D0D"/>
                <w:spacing w:val="-4"/>
                <w:lang w:val="en-GB"/>
              </w:rPr>
              <w:t xml:space="preserve">% worked last year compared to </w:t>
            </w:r>
            <w:r w:rsidR="00CC44C9" w:rsidRPr="00CB09D5">
              <w:rPr>
                <w:rFonts w:cs="Arial"/>
                <w:color w:val="0D0D0D"/>
                <w:spacing w:val="-4"/>
                <w:lang w:val="en-GB"/>
              </w:rPr>
              <w:t xml:space="preserve">the </w:t>
            </w:r>
            <w:r w:rsidR="008834D6" w:rsidRPr="00CB09D5">
              <w:rPr>
                <w:rFonts w:cs="Arial"/>
                <w:color w:val="0D0D0D"/>
                <w:spacing w:val="-4"/>
                <w:lang w:val="en-GB"/>
              </w:rPr>
              <w:t xml:space="preserve">year 2015 </w:t>
            </w:r>
            <w:r w:rsidRPr="00CB09D5">
              <w:rPr>
                <w:rFonts w:cs="Arial"/>
                <w:color w:val="0D0D0D"/>
                <w:spacing w:val="-4"/>
                <w:lang w:val="en-GB"/>
              </w:rPr>
              <w:t>(</w:t>
            </w:r>
            <w:r w:rsidR="008E1FBE" w:rsidRPr="00CB09D5">
              <w:rPr>
                <w:rFonts w:cs="Arial"/>
                <w:color w:val="0D0D0D"/>
                <w:spacing w:val="-4"/>
                <w:lang w:val="en-GB"/>
              </w:rPr>
              <w:t>pace of the year-on-year growth increased for already third yea</w:t>
            </w:r>
            <w:r w:rsidR="00E2245C" w:rsidRPr="00CB09D5">
              <w:rPr>
                <w:rFonts w:cs="Arial"/>
                <w:color w:val="0D0D0D"/>
                <w:spacing w:val="-4"/>
                <w:lang w:val="en-GB"/>
              </w:rPr>
              <w:t xml:space="preserve">r in a row and was the highest since </w:t>
            </w:r>
            <w:r w:rsidRPr="00CB09D5">
              <w:rPr>
                <w:rFonts w:cs="Arial"/>
                <w:color w:val="0D0D0D"/>
                <w:spacing w:val="-4"/>
                <w:lang w:val="en-GB"/>
              </w:rPr>
              <w:t xml:space="preserve">2008). </w:t>
            </w:r>
            <w:r w:rsidR="004010ED" w:rsidRPr="00CB09D5">
              <w:rPr>
                <w:rFonts w:cs="Arial"/>
                <w:color w:val="0D0D0D"/>
                <w:spacing w:val="-4"/>
                <w:lang w:val="en-GB"/>
              </w:rPr>
              <w:t xml:space="preserve">Even though the number of workers crossed the boundary </w:t>
            </w:r>
            <w:proofErr w:type="gramStart"/>
            <w:r w:rsidR="004010ED" w:rsidRPr="00CB09D5">
              <w:rPr>
                <w:rFonts w:cs="Arial"/>
                <w:color w:val="0D0D0D"/>
                <w:spacing w:val="-4"/>
                <w:lang w:val="en-GB"/>
              </w:rPr>
              <w:t>of 5.3 mil</w:t>
            </w:r>
            <w:proofErr w:type="gramEnd"/>
            <w:r w:rsidR="004010ED" w:rsidRPr="00CB09D5">
              <w:rPr>
                <w:rFonts w:cs="Arial"/>
                <w:color w:val="0D0D0D"/>
                <w:spacing w:val="-4"/>
                <w:lang w:val="en-GB"/>
              </w:rPr>
              <w:t xml:space="preserve"> for the first time in the history of the Czech Republic towards the end of the last year, the share of businesses, that considered the lack of labour force as an important barrier to their growth, also markedly rose at the same time. The businesses tried to cover the needed labour force by hiring foreign workers (mainly from the economically less developed EU countries), engaging growing number of prisoners or groups of economically inactive </w:t>
            </w:r>
            <w:r w:rsidR="00A25F1A" w:rsidRPr="00CB09D5">
              <w:rPr>
                <w:rFonts w:cs="Arial"/>
                <w:color w:val="0D0D0D"/>
                <w:spacing w:val="-4"/>
                <w:lang w:val="en-GB"/>
              </w:rPr>
              <w:t xml:space="preserve">persons </w:t>
            </w:r>
            <w:r w:rsidR="004010ED" w:rsidRPr="00CB09D5">
              <w:rPr>
                <w:rFonts w:cs="Arial"/>
                <w:color w:val="0D0D0D"/>
                <w:spacing w:val="-4"/>
                <w:lang w:val="en-GB"/>
              </w:rPr>
              <w:t xml:space="preserve">capable of work. </w:t>
            </w:r>
          </w:p>
          <w:p w:rsidR="00E90D67" w:rsidRPr="00CB09D5" w:rsidRDefault="00BE264F" w:rsidP="008A03DE">
            <w:pPr>
              <w:pStyle w:val="Textpoznpodarou"/>
              <w:jc w:val="both"/>
              <w:rPr>
                <w:rFonts w:cs="Arial"/>
                <w:color w:val="0D0D0D"/>
                <w:sz w:val="14"/>
                <w:szCs w:val="14"/>
                <w:lang w:val="en-GB"/>
              </w:rPr>
            </w:pPr>
            <w:r w:rsidRPr="00CB09D5">
              <w:rPr>
                <w:rFonts w:cs="Arial"/>
                <w:color w:val="0D0D0D"/>
                <w:sz w:val="14"/>
                <w:szCs w:val="14"/>
                <w:lang w:val="en-GB"/>
              </w:rPr>
              <w:t>.</w:t>
            </w:r>
          </w:p>
        </w:tc>
      </w:tr>
      <w:tr w:rsidR="00E90D67" w:rsidRPr="00CB09D5" w:rsidTr="008A03DE">
        <w:tc>
          <w:tcPr>
            <w:tcW w:w="1057" w:type="pct"/>
          </w:tcPr>
          <w:p w:rsidR="00E90D67" w:rsidRPr="00CB09D5" w:rsidRDefault="00BE264F"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 xml:space="preserve">Employment rate </w:t>
            </w:r>
            <w:r w:rsidR="00EE5A5A" w:rsidRPr="00CB09D5">
              <w:rPr>
                <w:rFonts w:cs="Arial"/>
                <w:bCs/>
                <w:iCs/>
                <w:color w:val="0D0D0D"/>
                <w:spacing w:val="-4"/>
                <w:sz w:val="16"/>
                <w:szCs w:val="16"/>
                <w:lang w:val="en-GB"/>
              </w:rPr>
              <w:t>(77</w:t>
            </w:r>
            <w:r w:rsidR="00D177E9">
              <w:rPr>
                <w:rFonts w:cs="Arial"/>
                <w:bCs/>
                <w:iCs/>
                <w:color w:val="0D0D0D"/>
                <w:spacing w:val="-4"/>
                <w:sz w:val="16"/>
                <w:szCs w:val="16"/>
                <w:lang w:val="en-GB"/>
              </w:rPr>
              <w:t>.0</w:t>
            </w:r>
            <w:r w:rsidR="00E90D67" w:rsidRPr="00CB09D5">
              <w:rPr>
                <w:rFonts w:cs="Arial"/>
                <w:bCs/>
                <w:iCs/>
                <w:color w:val="0D0D0D"/>
                <w:spacing w:val="-4"/>
                <w:sz w:val="16"/>
                <w:szCs w:val="16"/>
                <w:lang w:val="en-GB"/>
              </w:rPr>
              <w:t xml:space="preserve">%), </w:t>
            </w:r>
            <w:r w:rsidR="005F76F8" w:rsidRPr="00CB09D5">
              <w:rPr>
                <w:rFonts w:cs="Arial"/>
                <w:bCs/>
                <w:iCs/>
                <w:color w:val="0D0D0D"/>
                <w:spacing w:val="-4"/>
                <w:sz w:val="16"/>
                <w:szCs w:val="16"/>
                <w:lang w:val="en-GB"/>
              </w:rPr>
              <w:t xml:space="preserve">but also its differences between males and females in the CR </w:t>
            </w:r>
            <w:r w:rsidR="00423C04" w:rsidRPr="00CB09D5">
              <w:rPr>
                <w:rFonts w:cs="Arial"/>
                <w:bCs/>
                <w:iCs/>
                <w:color w:val="0D0D0D"/>
                <w:spacing w:val="-4"/>
                <w:sz w:val="16"/>
                <w:szCs w:val="16"/>
                <w:lang w:val="en-GB"/>
              </w:rPr>
              <w:t>(16</w:t>
            </w:r>
            <w:r w:rsidR="005F76F8" w:rsidRPr="00CB09D5">
              <w:rPr>
                <w:rFonts w:cs="Arial"/>
                <w:bCs/>
                <w:iCs/>
                <w:color w:val="0D0D0D"/>
                <w:spacing w:val="-4"/>
                <w:sz w:val="16"/>
                <w:szCs w:val="16"/>
                <w:lang w:val="en-GB"/>
              </w:rPr>
              <w:t>.</w:t>
            </w:r>
            <w:r w:rsidR="00423C04" w:rsidRPr="00CB09D5">
              <w:rPr>
                <w:rFonts w:cs="Arial"/>
                <w:bCs/>
                <w:iCs/>
                <w:color w:val="0D0D0D"/>
                <w:spacing w:val="-4"/>
                <w:sz w:val="16"/>
                <w:szCs w:val="16"/>
                <w:lang w:val="en-GB"/>
              </w:rPr>
              <w:t>3 p.</w:t>
            </w:r>
            <w:r w:rsidR="005F76F8" w:rsidRPr="00CB09D5">
              <w:rPr>
                <w:rFonts w:cs="Arial"/>
                <w:bCs/>
                <w:iCs/>
                <w:color w:val="0D0D0D"/>
                <w:spacing w:val="-4"/>
                <w:sz w:val="16"/>
                <w:szCs w:val="16"/>
                <w:lang w:val="en-GB"/>
              </w:rPr>
              <w:t>p</w:t>
            </w:r>
            <w:r w:rsidR="00423C04" w:rsidRPr="00CB09D5">
              <w:rPr>
                <w:rFonts w:cs="Arial"/>
                <w:bCs/>
                <w:iCs/>
                <w:color w:val="0D0D0D"/>
                <w:spacing w:val="-4"/>
                <w:sz w:val="16"/>
                <w:szCs w:val="16"/>
                <w:lang w:val="en-GB"/>
              </w:rPr>
              <w:t xml:space="preserve">.) </w:t>
            </w:r>
            <w:r w:rsidR="005F76F8" w:rsidRPr="00CB09D5">
              <w:rPr>
                <w:rFonts w:cs="Arial"/>
                <w:bCs/>
                <w:iCs/>
                <w:color w:val="0D0D0D"/>
                <w:spacing w:val="-4"/>
                <w:sz w:val="16"/>
                <w:szCs w:val="16"/>
                <w:lang w:val="en-GB"/>
              </w:rPr>
              <w:t>belonged to the highest among the Union countries</w:t>
            </w:r>
            <w:r w:rsidR="00E90D67" w:rsidRPr="00CB09D5">
              <w:rPr>
                <w:rFonts w:cs="Arial"/>
                <w:bCs/>
                <w:iCs/>
                <w:color w:val="0D0D0D"/>
                <w:spacing w:val="-4"/>
                <w:sz w:val="16"/>
                <w:szCs w:val="16"/>
                <w:lang w:val="en-GB"/>
              </w:rPr>
              <w:t>.</w:t>
            </w:r>
          </w:p>
          <w:p w:rsidR="00E90D67" w:rsidRPr="00CB09D5" w:rsidRDefault="00E90D67" w:rsidP="008A03DE">
            <w:pPr>
              <w:spacing w:line="240" w:lineRule="auto"/>
              <w:rPr>
                <w:rFonts w:cs="Arial"/>
                <w:bCs/>
                <w:iCs/>
                <w:color w:val="0D0D0D"/>
                <w:sz w:val="16"/>
                <w:szCs w:val="16"/>
                <w:lang w:val="en-GB"/>
              </w:rPr>
            </w:pP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BE264F" w:rsidP="008A03DE">
            <w:pPr>
              <w:pStyle w:val="Textpoznpodarou"/>
              <w:jc w:val="both"/>
              <w:rPr>
                <w:rFonts w:cs="Arial"/>
                <w:color w:val="0D0D0D"/>
                <w:sz w:val="14"/>
                <w:szCs w:val="14"/>
                <w:lang w:val="en-GB"/>
              </w:rPr>
            </w:pPr>
            <w:r w:rsidRPr="00CB09D5">
              <w:rPr>
                <w:rFonts w:cs="Arial"/>
                <w:color w:val="0D0D0D"/>
                <w:spacing w:val="-4"/>
                <w:lang w:val="en-GB"/>
              </w:rPr>
              <w:t xml:space="preserve">Employment rate </w:t>
            </w:r>
            <w:r w:rsidR="00261A0F" w:rsidRPr="00CB09D5">
              <w:rPr>
                <w:rFonts w:cs="Arial"/>
                <w:color w:val="0D0D0D"/>
                <w:spacing w:val="-4"/>
                <w:lang w:val="en-GB"/>
              </w:rPr>
              <w:t>(</w:t>
            </w:r>
            <w:r w:rsidRPr="00CB09D5">
              <w:rPr>
                <w:rFonts w:cs="Arial"/>
                <w:color w:val="0D0D0D"/>
                <w:spacing w:val="-4"/>
                <w:lang w:val="en-GB"/>
              </w:rPr>
              <w:t xml:space="preserve">persons aged </w:t>
            </w:r>
            <w:r w:rsidR="00261A0F" w:rsidRPr="00CB09D5">
              <w:rPr>
                <w:rFonts w:cs="Arial"/>
                <w:color w:val="0D0D0D"/>
                <w:spacing w:val="-4"/>
                <w:lang w:val="en-GB"/>
              </w:rPr>
              <w:t>20</w:t>
            </w:r>
            <w:r w:rsidR="00261A0F" w:rsidRPr="00CB09D5">
              <w:rPr>
                <w:rFonts w:cs="Arial"/>
                <w:color w:val="0D0D0D" w:themeColor="text1" w:themeTint="F2"/>
                <w:spacing w:val="-4"/>
                <w:lang w:val="en-GB"/>
              </w:rPr>
              <w:t>–</w:t>
            </w:r>
            <w:r w:rsidR="00E90D67" w:rsidRPr="00CB09D5">
              <w:rPr>
                <w:rFonts w:cs="Arial"/>
                <w:color w:val="0D0D0D"/>
                <w:spacing w:val="-4"/>
                <w:lang w:val="en-GB"/>
              </w:rPr>
              <w:t xml:space="preserve">64) </w:t>
            </w:r>
            <w:r w:rsidR="00EE5A5A" w:rsidRPr="00CB09D5">
              <w:rPr>
                <w:rFonts w:cs="Arial"/>
                <w:color w:val="0D0D0D"/>
                <w:spacing w:val="-4"/>
                <w:lang w:val="en-GB"/>
              </w:rPr>
              <w:t>was according to the LFSS 77</w:t>
            </w:r>
            <w:r w:rsidR="00D177E9">
              <w:rPr>
                <w:rFonts w:cs="Arial"/>
                <w:color w:val="0D0D0D"/>
                <w:spacing w:val="-4"/>
                <w:lang w:val="en-GB"/>
              </w:rPr>
              <w:t>.0</w:t>
            </w:r>
            <w:r w:rsidR="003843F5" w:rsidRPr="00CB09D5">
              <w:rPr>
                <w:rFonts w:cs="Arial"/>
                <w:color w:val="0D0D0D"/>
                <w:spacing w:val="-4"/>
                <w:lang w:val="en-GB"/>
              </w:rPr>
              <w:t xml:space="preserve">% in the CR in Q3 2016 </w:t>
            </w:r>
            <w:r w:rsidR="00E90D67" w:rsidRPr="00CB09D5">
              <w:rPr>
                <w:rFonts w:cs="Arial"/>
                <w:color w:val="0D0D0D"/>
                <w:spacing w:val="-4"/>
                <w:lang w:val="en-GB"/>
              </w:rPr>
              <w:t>(</w:t>
            </w:r>
            <w:r w:rsidRPr="00CB09D5">
              <w:rPr>
                <w:rFonts w:cs="Arial"/>
                <w:color w:val="0D0D0D"/>
                <w:spacing w:val="-4"/>
                <w:lang w:val="en-GB"/>
              </w:rPr>
              <w:t xml:space="preserve">it increased by </w:t>
            </w:r>
            <w:r w:rsidR="00E90D67" w:rsidRPr="00CB09D5">
              <w:rPr>
                <w:rFonts w:cs="Arial"/>
                <w:color w:val="0D0D0D"/>
                <w:spacing w:val="-4"/>
                <w:lang w:val="en-GB"/>
              </w:rPr>
              <w:t>1</w:t>
            </w:r>
            <w:r w:rsidRPr="00CB09D5">
              <w:rPr>
                <w:rFonts w:cs="Arial"/>
                <w:color w:val="0D0D0D"/>
                <w:spacing w:val="-4"/>
                <w:lang w:val="en-GB"/>
              </w:rPr>
              <w:t>.</w:t>
            </w:r>
            <w:r w:rsidR="00E90D67" w:rsidRPr="00CB09D5">
              <w:rPr>
                <w:rFonts w:cs="Arial"/>
                <w:color w:val="0D0D0D"/>
                <w:spacing w:val="-4"/>
                <w:lang w:val="en-GB"/>
              </w:rPr>
              <w:t>9 p.</w:t>
            </w:r>
            <w:r w:rsidRPr="00CB09D5">
              <w:rPr>
                <w:rFonts w:cs="Arial"/>
                <w:color w:val="0D0D0D"/>
                <w:spacing w:val="-4"/>
                <w:lang w:val="en-GB"/>
              </w:rPr>
              <w:t>p</w:t>
            </w:r>
            <w:r w:rsidR="00E90D67" w:rsidRPr="00CB09D5">
              <w:rPr>
                <w:rFonts w:cs="Arial"/>
                <w:color w:val="0D0D0D"/>
                <w:spacing w:val="-4"/>
                <w:lang w:val="en-GB"/>
              </w:rPr>
              <w:t>.</w:t>
            </w:r>
            <w:r w:rsidRPr="00CB09D5">
              <w:rPr>
                <w:rFonts w:cs="Arial"/>
                <w:color w:val="0D0D0D"/>
                <w:spacing w:val="-4"/>
                <w:lang w:val="en-GB"/>
              </w:rPr>
              <w:t xml:space="preserve"> year-on-year, by nearly double pace compared to the EU</w:t>
            </w:r>
            <w:r w:rsidR="003676C4" w:rsidRPr="00CB09D5">
              <w:rPr>
                <w:rFonts w:cs="Arial"/>
                <w:color w:val="0D0D0D"/>
                <w:spacing w:val="-4"/>
                <w:lang w:val="en-GB"/>
              </w:rPr>
              <w:t>)</w:t>
            </w:r>
            <w:r w:rsidR="00E90D67" w:rsidRPr="00CB09D5">
              <w:rPr>
                <w:rFonts w:cs="Arial"/>
                <w:color w:val="0D0D0D"/>
                <w:spacing w:val="-4"/>
                <w:lang w:val="en-GB"/>
              </w:rPr>
              <w:t xml:space="preserve">. </w:t>
            </w:r>
            <w:r w:rsidR="003676C4" w:rsidRPr="00CB09D5">
              <w:rPr>
                <w:rFonts w:cs="Arial"/>
                <w:color w:val="0D0D0D"/>
                <w:spacing w:val="-4"/>
                <w:lang w:val="en-GB"/>
              </w:rPr>
              <w:t xml:space="preserve">While the employment rate of males came to </w:t>
            </w:r>
            <w:r w:rsidR="00EE5A5A" w:rsidRPr="00CB09D5">
              <w:rPr>
                <w:rFonts w:cs="Arial"/>
                <w:color w:val="0D0D0D"/>
                <w:spacing w:val="-4"/>
                <w:lang w:val="en-GB"/>
              </w:rPr>
              <w:t>85</w:t>
            </w:r>
            <w:r w:rsidR="00D177E9">
              <w:rPr>
                <w:rFonts w:cs="Arial"/>
                <w:color w:val="0D0D0D"/>
                <w:spacing w:val="-4"/>
                <w:lang w:val="en-GB"/>
              </w:rPr>
              <w:t>.0</w:t>
            </w:r>
            <w:r w:rsidR="00E90D67" w:rsidRPr="00CB09D5">
              <w:rPr>
                <w:rFonts w:cs="Arial"/>
                <w:color w:val="0D0D0D"/>
                <w:spacing w:val="-4"/>
                <w:lang w:val="en-GB"/>
              </w:rPr>
              <w:t>% (a</w:t>
            </w:r>
            <w:r w:rsidR="003676C4" w:rsidRPr="00CB09D5">
              <w:rPr>
                <w:rFonts w:cs="Arial"/>
                <w:color w:val="0D0D0D"/>
                <w:spacing w:val="-4"/>
                <w:lang w:val="en-GB"/>
              </w:rPr>
              <w:t>nd was the highest among the Union states already eighth quarter in a row</w:t>
            </w:r>
            <w:r w:rsidR="00E90D67" w:rsidRPr="00CB09D5">
              <w:rPr>
                <w:rFonts w:cs="Arial"/>
                <w:color w:val="0D0D0D"/>
                <w:spacing w:val="-4"/>
                <w:lang w:val="en-GB"/>
              </w:rPr>
              <w:t xml:space="preserve">), </w:t>
            </w:r>
            <w:r w:rsidR="003843F5" w:rsidRPr="00CB09D5">
              <w:rPr>
                <w:rFonts w:cs="Arial"/>
                <w:color w:val="0D0D0D"/>
                <w:spacing w:val="-4"/>
                <w:lang w:val="en-GB"/>
              </w:rPr>
              <w:t xml:space="preserve">for females it was </w:t>
            </w:r>
            <w:r w:rsidR="006A5BA8" w:rsidRPr="00CB09D5">
              <w:rPr>
                <w:rFonts w:cs="Arial"/>
                <w:color w:val="0D0D0D"/>
                <w:spacing w:val="-4"/>
                <w:lang w:val="en-GB"/>
              </w:rPr>
              <w:t>“</w:t>
            </w:r>
            <w:r w:rsidR="004010ED" w:rsidRPr="00CB09D5">
              <w:rPr>
                <w:rFonts w:cs="Arial"/>
                <w:color w:val="0D0D0D"/>
                <w:spacing w:val="-4"/>
                <w:lang w:val="en-GB"/>
              </w:rPr>
              <w:t>only</w:t>
            </w:r>
            <w:r w:rsidR="006A5BA8" w:rsidRPr="00CB09D5">
              <w:rPr>
                <w:rFonts w:cs="Arial"/>
                <w:color w:val="0D0D0D"/>
                <w:spacing w:val="-4"/>
                <w:lang w:val="en-GB"/>
              </w:rPr>
              <w:t>”</w:t>
            </w:r>
            <w:r w:rsidR="004010ED" w:rsidRPr="00CB09D5">
              <w:rPr>
                <w:rFonts w:cs="Arial"/>
                <w:color w:val="0D0D0D"/>
                <w:spacing w:val="-4"/>
                <w:lang w:val="en-GB"/>
              </w:rPr>
              <w:t xml:space="preserve"> 68.7</w:t>
            </w:r>
            <w:r w:rsidR="00E90D67" w:rsidRPr="00CB09D5">
              <w:rPr>
                <w:rFonts w:cs="Arial"/>
                <w:color w:val="0D0D0D"/>
                <w:spacing w:val="-4"/>
                <w:lang w:val="en-GB"/>
              </w:rPr>
              <w:t>% (</w:t>
            </w:r>
            <w:r w:rsidR="003C7A95" w:rsidRPr="00CB09D5">
              <w:rPr>
                <w:rFonts w:cs="Arial"/>
                <w:color w:val="0D0D0D"/>
                <w:spacing w:val="-4"/>
                <w:lang w:val="en-GB"/>
              </w:rPr>
              <w:t>the Czech Republic</w:t>
            </w:r>
            <w:r w:rsidR="00D177E9">
              <w:rPr>
                <w:rFonts w:cs="Arial"/>
                <w:color w:val="0D0D0D"/>
                <w:spacing w:val="-4"/>
                <w:lang w:val="en-GB"/>
              </w:rPr>
              <w:t xml:space="preserve"> was</w:t>
            </w:r>
            <w:r w:rsidR="003C7A95" w:rsidRPr="00CB09D5">
              <w:rPr>
                <w:rFonts w:cs="Arial"/>
                <w:color w:val="0D0D0D"/>
                <w:spacing w:val="-4"/>
                <w:lang w:val="en-GB"/>
              </w:rPr>
              <w:t xml:space="preserve"> “pushed” out of the first ten of Union countries not only </w:t>
            </w:r>
            <w:r w:rsidR="00D177E9">
              <w:rPr>
                <w:rFonts w:cs="Arial"/>
                <w:color w:val="0D0D0D"/>
                <w:spacing w:val="-4"/>
                <w:lang w:val="en-GB"/>
              </w:rPr>
              <w:t xml:space="preserve">by </w:t>
            </w:r>
            <w:r w:rsidR="003C7A95" w:rsidRPr="00CB09D5">
              <w:rPr>
                <w:rFonts w:cs="Arial"/>
                <w:color w:val="0D0D0D"/>
                <w:spacing w:val="-4"/>
                <w:lang w:val="en-GB"/>
              </w:rPr>
              <w:t xml:space="preserve">the Nordic states, Germany, Austria, but also </w:t>
            </w:r>
            <w:r w:rsidR="00D177E9">
              <w:rPr>
                <w:rFonts w:cs="Arial"/>
                <w:color w:val="0D0D0D"/>
                <w:spacing w:val="-4"/>
                <w:lang w:val="en-GB"/>
              </w:rPr>
              <w:t xml:space="preserve">by </w:t>
            </w:r>
            <w:r w:rsidR="003C7A95" w:rsidRPr="00CB09D5">
              <w:rPr>
                <w:rFonts w:cs="Arial"/>
                <w:color w:val="0D0D0D"/>
                <w:spacing w:val="-4"/>
                <w:lang w:val="en-GB"/>
              </w:rPr>
              <w:t>the Baltic states</w:t>
            </w:r>
            <w:r w:rsidR="00E90D67" w:rsidRPr="00CB09D5">
              <w:rPr>
                <w:rFonts w:cs="Arial"/>
                <w:color w:val="0D0D0D"/>
                <w:spacing w:val="-4"/>
                <w:lang w:val="en-GB"/>
              </w:rPr>
              <w:t>).</w:t>
            </w:r>
          </w:p>
          <w:p w:rsidR="00E90D67" w:rsidRPr="00CB09D5" w:rsidRDefault="00E90D67" w:rsidP="008A03DE">
            <w:pPr>
              <w:pStyle w:val="Textpoznpodarou"/>
              <w:jc w:val="both"/>
              <w:rPr>
                <w:rFonts w:cs="Arial"/>
                <w:color w:val="0D0D0D"/>
                <w:sz w:val="14"/>
                <w:szCs w:val="14"/>
                <w:lang w:val="en-GB"/>
              </w:rPr>
            </w:pPr>
          </w:p>
        </w:tc>
      </w:tr>
      <w:tr w:rsidR="00E90D67" w:rsidRPr="00CB09D5" w:rsidTr="008A03DE">
        <w:tc>
          <w:tcPr>
            <w:tcW w:w="1057" w:type="pct"/>
          </w:tcPr>
          <w:p w:rsidR="00E90D67" w:rsidRPr="00CB09D5" w:rsidRDefault="00DC18B6"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Manufacturing contributed the most to the year-on-year growth of the total employment already third year in a row, services however also helped noticeably in the last year. </w:t>
            </w: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DC18B6"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Long term adverse development of employment persisted in construction and non-manufacturing industrial activities. </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2012FC" w:rsidP="008A03DE">
            <w:pPr>
              <w:pStyle w:val="Textpoznpodarou"/>
              <w:jc w:val="both"/>
              <w:rPr>
                <w:rFonts w:cs="Arial"/>
                <w:color w:val="0D0D0D"/>
                <w:spacing w:val="-2"/>
                <w:lang w:val="en-GB"/>
              </w:rPr>
            </w:pPr>
            <w:r w:rsidRPr="00CB09D5">
              <w:rPr>
                <w:rFonts w:cs="Arial"/>
                <w:color w:val="0D0D0D"/>
                <w:spacing w:val="-2"/>
                <w:lang w:val="en-GB"/>
              </w:rPr>
              <w:t>Both em</w:t>
            </w:r>
            <w:r w:rsidR="00EE5A5A" w:rsidRPr="00CB09D5">
              <w:rPr>
                <w:rFonts w:cs="Arial"/>
                <w:color w:val="0D0D0D"/>
                <w:spacing w:val="-2"/>
                <w:lang w:val="en-GB"/>
              </w:rPr>
              <w:t>ployees (with the growth of 1.9</w:t>
            </w:r>
            <w:r w:rsidRPr="00CB09D5">
              <w:rPr>
                <w:rFonts w:cs="Arial"/>
                <w:color w:val="0D0D0D"/>
                <w:spacing w:val="-2"/>
                <w:lang w:val="en-GB"/>
              </w:rPr>
              <w:t>%) and self-emplo</w:t>
            </w:r>
            <w:r w:rsidR="00EE5A5A" w:rsidRPr="00CB09D5">
              <w:rPr>
                <w:rFonts w:cs="Arial"/>
                <w:color w:val="0D0D0D"/>
                <w:spacing w:val="-2"/>
                <w:lang w:val="en-GB"/>
              </w:rPr>
              <w:t>yed (whose levels expanded by 1</w:t>
            </w:r>
            <w:r w:rsidRPr="00CB09D5">
              <w:rPr>
                <w:rFonts w:cs="Arial"/>
                <w:color w:val="0D0D0D"/>
                <w:spacing w:val="-2"/>
                <w:lang w:val="en-GB"/>
              </w:rPr>
              <w:t>% year-on-year, mainly due to the more favourable development in H2)</w:t>
            </w:r>
            <w:r w:rsidR="00E90D67" w:rsidRPr="00CB09D5">
              <w:rPr>
                <w:rStyle w:val="Znakapoznpodarou"/>
                <w:color w:val="0D0D0D"/>
                <w:spacing w:val="-2"/>
                <w:lang w:val="en-GB"/>
              </w:rPr>
              <w:footnoteReference w:id="2"/>
            </w:r>
            <w:r w:rsidRPr="00CB09D5">
              <w:rPr>
                <w:rFonts w:cs="Arial"/>
                <w:color w:val="0D0D0D"/>
                <w:spacing w:val="-2"/>
                <w:lang w:val="en-GB"/>
              </w:rPr>
              <w:t xml:space="preserve"> participated on the last year’s increase of number of workers in the economy for the first time since 2007 last year. From the view of branches, manufacturing added the most to the growth of total </w:t>
            </w:r>
            <w:r w:rsidR="00885891" w:rsidRPr="00CB09D5">
              <w:rPr>
                <w:rFonts w:cs="Arial"/>
                <w:color w:val="0D0D0D"/>
                <w:spacing w:val="-2"/>
                <w:lang w:val="en-GB"/>
              </w:rPr>
              <w:t>employment</w:t>
            </w:r>
            <w:r w:rsidRPr="00CB09D5">
              <w:rPr>
                <w:rFonts w:cs="Arial"/>
                <w:color w:val="0D0D0D"/>
                <w:spacing w:val="-2"/>
                <w:lang w:val="en-GB"/>
              </w:rPr>
              <w:t xml:space="preserve"> already third year in a row</w:t>
            </w:r>
            <w:r w:rsidR="00B34CCE" w:rsidRPr="00CB09D5">
              <w:rPr>
                <w:rFonts w:cs="Arial"/>
                <w:color w:val="0D0D0D"/>
                <w:spacing w:val="-2"/>
                <w:lang w:val="en-GB"/>
              </w:rPr>
              <w:t xml:space="preserve"> </w:t>
            </w:r>
            <w:r w:rsidR="00D6126B" w:rsidRPr="00CB09D5">
              <w:rPr>
                <w:rFonts w:cs="Arial"/>
                <w:color w:val="0D0D0D"/>
                <w:spacing w:val="-2"/>
                <w:lang w:val="en-GB"/>
              </w:rPr>
              <w:t xml:space="preserve">absorbed </w:t>
            </w:r>
            <w:r w:rsidR="00444983" w:rsidRPr="00CB09D5">
              <w:rPr>
                <w:rFonts w:cs="Arial"/>
                <w:color w:val="0D0D0D"/>
                <w:spacing w:val="-2"/>
                <w:lang w:val="en-GB"/>
              </w:rPr>
              <w:t xml:space="preserve">by 40 thousand workers more compared to </w:t>
            </w:r>
            <w:r w:rsidR="00CC44C9" w:rsidRPr="00CB09D5">
              <w:rPr>
                <w:rFonts w:cs="Arial"/>
                <w:color w:val="0D0D0D"/>
                <w:spacing w:val="-2"/>
                <w:lang w:val="en-GB"/>
              </w:rPr>
              <w:t xml:space="preserve">the </w:t>
            </w:r>
            <w:r w:rsidR="00444983" w:rsidRPr="00CB09D5">
              <w:rPr>
                <w:rFonts w:cs="Arial"/>
                <w:color w:val="0D0D0D"/>
                <w:spacing w:val="-2"/>
                <w:lang w:val="en-GB"/>
              </w:rPr>
              <w:t xml:space="preserve">year </w:t>
            </w:r>
            <w:r w:rsidR="00E90D67" w:rsidRPr="00CB09D5">
              <w:rPr>
                <w:rFonts w:cs="Arial"/>
                <w:color w:val="0D0D0D"/>
                <w:spacing w:val="-2"/>
                <w:lang w:val="en-GB"/>
              </w:rPr>
              <w:t>2015</w:t>
            </w:r>
            <w:r w:rsidR="00444983" w:rsidRPr="00CB09D5">
              <w:rPr>
                <w:rFonts w:cs="Arial"/>
                <w:color w:val="0D0D0D"/>
                <w:spacing w:val="-2"/>
                <w:lang w:val="en-GB"/>
              </w:rPr>
              <w:t xml:space="preserve"> (similarly to the preceding year). </w:t>
            </w:r>
            <w:r w:rsidR="00AC556E" w:rsidRPr="00CB09D5">
              <w:rPr>
                <w:rFonts w:cs="Arial"/>
                <w:color w:val="0D0D0D"/>
                <w:spacing w:val="-2"/>
                <w:lang w:val="en-GB"/>
              </w:rPr>
              <w:t xml:space="preserve">Among services, especially the professional, scientific, technical and administrative activities contributed </w:t>
            </w:r>
            <w:r w:rsidR="00E90D67" w:rsidRPr="00CB09D5">
              <w:rPr>
                <w:rFonts w:cs="Arial"/>
                <w:color w:val="0D0D0D"/>
                <w:spacing w:val="-2"/>
                <w:lang w:val="en-GB"/>
              </w:rPr>
              <w:t>(+19 t</w:t>
            </w:r>
            <w:r w:rsidR="00AC556E" w:rsidRPr="00CB09D5">
              <w:rPr>
                <w:rFonts w:cs="Arial"/>
                <w:color w:val="0D0D0D"/>
                <w:spacing w:val="-2"/>
                <w:lang w:val="en-GB"/>
              </w:rPr>
              <w:t>housand persons</w:t>
            </w:r>
            <w:r w:rsidR="00E90D67" w:rsidRPr="00CB09D5">
              <w:rPr>
                <w:rFonts w:cs="Arial"/>
                <w:color w:val="0D0D0D"/>
                <w:spacing w:val="-2"/>
                <w:lang w:val="en-GB"/>
              </w:rPr>
              <w:t xml:space="preserve">). </w:t>
            </w:r>
            <w:r w:rsidR="00DC5BAA" w:rsidRPr="00CB09D5">
              <w:rPr>
                <w:rFonts w:cs="Arial"/>
                <w:color w:val="0D0D0D"/>
                <w:spacing w:val="-2"/>
                <w:lang w:val="en-GB"/>
              </w:rPr>
              <w:t xml:space="preserve">Rate of growth of employment increased also in </w:t>
            </w:r>
            <w:r w:rsidR="00D177E9">
              <w:rPr>
                <w:rFonts w:cs="Arial"/>
                <w:color w:val="0D0D0D"/>
                <w:spacing w:val="-2"/>
                <w:lang w:val="en-GB"/>
              </w:rPr>
              <w:t>(</w:t>
            </w:r>
            <w:r w:rsidR="00DC5BAA" w:rsidRPr="00CB09D5">
              <w:rPr>
                <w:rFonts w:cs="Arial"/>
                <w:color w:val="0D0D0D"/>
                <w:spacing w:val="-2"/>
                <w:lang w:val="en-GB"/>
              </w:rPr>
              <w:t>the group dominant by weight</w:t>
            </w:r>
            <w:r w:rsidR="00D177E9">
              <w:rPr>
                <w:rFonts w:cs="Arial"/>
                <w:color w:val="0D0D0D"/>
                <w:spacing w:val="-2"/>
                <w:lang w:val="en-GB"/>
              </w:rPr>
              <w:t>)</w:t>
            </w:r>
            <w:r w:rsidR="00DC5BAA" w:rsidRPr="00CB09D5">
              <w:rPr>
                <w:rFonts w:cs="Arial"/>
                <w:color w:val="0D0D0D"/>
                <w:spacing w:val="-2"/>
                <w:lang w:val="en-GB"/>
              </w:rPr>
              <w:t xml:space="preserve"> trade, transportation, accommodation and restaurants, as well as in information and communication (where the levels of workers expanded alread</w:t>
            </w:r>
            <w:r w:rsidR="00EE5A5A" w:rsidRPr="00CB09D5">
              <w:rPr>
                <w:rFonts w:cs="Arial"/>
                <w:color w:val="0D0D0D"/>
                <w:spacing w:val="-2"/>
                <w:lang w:val="en-GB"/>
              </w:rPr>
              <w:t>y a fifth year in a row – by 15</w:t>
            </w:r>
            <w:r w:rsidR="00DC5BAA" w:rsidRPr="00CB09D5">
              <w:rPr>
                <w:rFonts w:cs="Arial"/>
                <w:color w:val="0D0D0D"/>
                <w:spacing w:val="-2"/>
                <w:lang w:val="en-GB"/>
              </w:rPr>
              <w:t xml:space="preserve">% in total). </w:t>
            </w:r>
            <w:r w:rsidR="00EE5A5A" w:rsidRPr="00CB09D5">
              <w:rPr>
                <w:rFonts w:cs="Arial"/>
                <w:color w:val="0D0D0D"/>
                <w:spacing w:val="-2"/>
                <w:lang w:val="en-GB"/>
              </w:rPr>
              <w:t>Last year’s 0.7</w:t>
            </w:r>
            <w:r w:rsidR="007268D0" w:rsidRPr="00CB09D5">
              <w:rPr>
                <w:rFonts w:cs="Arial"/>
                <w:color w:val="0D0D0D"/>
                <w:spacing w:val="-2"/>
                <w:lang w:val="en-GB"/>
              </w:rPr>
              <w:t xml:space="preserve">% growth was on the contrary the lowest after </w:t>
            </w:r>
            <w:r w:rsidR="00CC44C9" w:rsidRPr="00CB09D5">
              <w:rPr>
                <w:rFonts w:cs="Arial"/>
                <w:color w:val="0D0D0D"/>
                <w:spacing w:val="-2"/>
                <w:lang w:val="en-GB"/>
              </w:rPr>
              <w:t xml:space="preserve">the </w:t>
            </w:r>
            <w:r w:rsidR="007268D0" w:rsidRPr="00CB09D5">
              <w:rPr>
                <w:rFonts w:cs="Arial"/>
                <w:color w:val="0D0D0D"/>
                <w:spacing w:val="-2"/>
                <w:lang w:val="en-GB"/>
              </w:rPr>
              <w:t xml:space="preserve">year 2012 in branches with the state dominance – public administration, defence, education, health and social </w:t>
            </w:r>
            <w:r w:rsidR="002E5958" w:rsidRPr="00CB09D5">
              <w:rPr>
                <w:rFonts w:cs="Arial"/>
                <w:color w:val="0D0D0D"/>
                <w:spacing w:val="-2"/>
                <w:lang w:val="en-GB"/>
              </w:rPr>
              <w:t>work</w:t>
            </w:r>
            <w:r w:rsidR="007268D0" w:rsidRPr="00CB09D5">
              <w:rPr>
                <w:rFonts w:cs="Arial"/>
                <w:color w:val="0D0D0D"/>
                <w:spacing w:val="-2"/>
                <w:lang w:val="en-GB"/>
              </w:rPr>
              <w:t>.</w:t>
            </w:r>
            <w:r w:rsidR="00E90D67" w:rsidRPr="00CB09D5">
              <w:rPr>
                <w:spacing w:val="-4"/>
                <w:lang w:val="en-GB"/>
              </w:rPr>
              <w:t xml:space="preserve"> </w:t>
            </w:r>
            <w:r w:rsidR="00B34CCE" w:rsidRPr="00CB09D5">
              <w:rPr>
                <w:spacing w:val="-4"/>
                <w:lang w:val="en-GB"/>
              </w:rPr>
              <w:t>Adverse situation continued in construction, which lost nearly 65 thousand positions since</w:t>
            </w:r>
            <w:r w:rsidR="00CC44C9" w:rsidRPr="00CB09D5">
              <w:rPr>
                <w:spacing w:val="-4"/>
                <w:lang w:val="en-GB"/>
              </w:rPr>
              <w:t xml:space="preserve"> the</w:t>
            </w:r>
            <w:r w:rsidR="00B34CCE" w:rsidRPr="00CB09D5">
              <w:rPr>
                <w:spacing w:val="-4"/>
                <w:lang w:val="en-GB"/>
              </w:rPr>
              <w:t xml:space="preserve"> year 2010.</w:t>
            </w:r>
            <w:r w:rsidR="00F608FF" w:rsidRPr="00CB09D5">
              <w:rPr>
                <w:spacing w:val="-4"/>
                <w:lang w:val="en-GB"/>
              </w:rPr>
              <w:t xml:space="preserve"> The number of employees as well as the self-employed was decreasing in this branch in 2016. Employment dropped in total by more than 8 thousand persons in mining and </w:t>
            </w:r>
            <w:proofErr w:type="spellStart"/>
            <w:r w:rsidR="00F608FF" w:rsidRPr="00CB09D5">
              <w:rPr>
                <w:spacing w:val="-4"/>
                <w:lang w:val="en-GB"/>
              </w:rPr>
              <w:t>energetics</w:t>
            </w:r>
            <w:proofErr w:type="spellEnd"/>
            <w:r w:rsidR="00F608FF" w:rsidRPr="00CB09D5">
              <w:rPr>
                <w:spacing w:val="-4"/>
                <w:lang w:val="en-GB"/>
              </w:rPr>
              <w:t xml:space="preserve"> compared to </w:t>
            </w:r>
            <w:r w:rsidR="00B75AC6" w:rsidRPr="00CB09D5">
              <w:rPr>
                <w:spacing w:val="-4"/>
                <w:lang w:val="en-GB"/>
              </w:rPr>
              <w:t xml:space="preserve">the </w:t>
            </w:r>
            <w:r w:rsidR="00F608FF" w:rsidRPr="00CB09D5">
              <w:rPr>
                <w:spacing w:val="-4"/>
                <w:lang w:val="en-GB"/>
              </w:rPr>
              <w:t xml:space="preserve">year 2008. </w:t>
            </w:r>
            <w:r w:rsidR="00B34CCE" w:rsidRPr="00CB09D5">
              <w:rPr>
                <w:spacing w:val="-4"/>
                <w:lang w:val="en-GB"/>
              </w:rPr>
              <w:t xml:space="preserve"> </w:t>
            </w:r>
            <w:r w:rsidR="00E90D67" w:rsidRPr="00CB09D5">
              <w:rPr>
                <w:spacing w:val="-4"/>
                <w:lang w:val="en-GB"/>
              </w:rPr>
              <w:t xml:space="preserve"> </w:t>
            </w:r>
          </w:p>
          <w:p w:rsidR="00E90D67" w:rsidRPr="00CB09D5" w:rsidRDefault="00E90D67" w:rsidP="008A03DE">
            <w:pPr>
              <w:pStyle w:val="Textpoznpodarou"/>
              <w:jc w:val="both"/>
              <w:rPr>
                <w:rFonts w:cs="Arial"/>
                <w:color w:val="0D0D0D"/>
                <w:sz w:val="14"/>
                <w:szCs w:val="14"/>
                <w:lang w:val="en-GB"/>
              </w:rPr>
            </w:pPr>
          </w:p>
        </w:tc>
      </w:tr>
      <w:tr w:rsidR="00E90D67" w:rsidRPr="00CB09D5" w:rsidTr="008A03DE">
        <w:tc>
          <w:tcPr>
            <w:tcW w:w="1057" w:type="pct"/>
          </w:tcPr>
          <w:p w:rsidR="00E90D67" w:rsidRPr="00CB09D5" w:rsidRDefault="00DC18B6"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Growth of the hourly labour productivity from </w:t>
            </w:r>
            <w:r w:rsidR="00B75AC6" w:rsidRPr="00CB09D5">
              <w:rPr>
                <w:rFonts w:cs="Arial"/>
                <w:bCs/>
                <w:iCs/>
                <w:color w:val="0D0D0D"/>
                <w:spacing w:val="-2"/>
                <w:sz w:val="16"/>
                <w:szCs w:val="16"/>
                <w:lang w:val="en-GB"/>
              </w:rPr>
              <w:t xml:space="preserve">the </w:t>
            </w:r>
            <w:r w:rsidRPr="00CB09D5">
              <w:rPr>
                <w:rFonts w:cs="Arial"/>
                <w:bCs/>
                <w:iCs/>
                <w:color w:val="0D0D0D"/>
                <w:spacing w:val="-2"/>
                <w:sz w:val="16"/>
                <w:szCs w:val="16"/>
                <w:lang w:val="en-GB"/>
              </w:rPr>
              <w:t xml:space="preserve">years 2014 and 2015 was not repeated any more mainly due to the </w:t>
            </w:r>
            <w:r w:rsidR="00C726EA" w:rsidRPr="00CB09D5">
              <w:rPr>
                <w:rFonts w:cs="Arial"/>
                <w:bCs/>
                <w:iCs/>
                <w:color w:val="0D0D0D"/>
                <w:spacing w:val="-2"/>
                <w:sz w:val="16"/>
                <w:szCs w:val="16"/>
                <w:lang w:val="en-GB"/>
              </w:rPr>
              <w:t>unfavourable</w:t>
            </w:r>
            <w:r w:rsidRPr="00CB09D5">
              <w:rPr>
                <w:rFonts w:cs="Arial"/>
                <w:bCs/>
                <w:iCs/>
                <w:color w:val="0D0D0D"/>
                <w:spacing w:val="-2"/>
                <w:sz w:val="16"/>
                <w:szCs w:val="16"/>
                <w:lang w:val="en-GB"/>
              </w:rPr>
              <w:t xml:space="preserve"> development in construction but also some services last year. </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D66076" w:rsidP="008A03DE">
            <w:pPr>
              <w:pStyle w:val="Textpoznpodarou"/>
              <w:jc w:val="both"/>
              <w:rPr>
                <w:rFonts w:cs="Arial"/>
                <w:color w:val="0D0D0D"/>
                <w:spacing w:val="-4"/>
                <w:lang w:val="en-GB"/>
              </w:rPr>
            </w:pPr>
            <w:r w:rsidRPr="00CB09D5">
              <w:rPr>
                <w:rFonts w:cs="Arial"/>
                <w:color w:val="0D0D0D"/>
                <w:spacing w:val="-4"/>
                <w:lang w:val="en-GB"/>
              </w:rPr>
              <w:t xml:space="preserve">Only branches with higher value added did not create new job positions in 2016.  It is thus not particularly surprising, that the more significant labour productivity growth from </w:t>
            </w:r>
            <w:r w:rsidR="00B75AC6" w:rsidRPr="00CB09D5">
              <w:rPr>
                <w:rFonts w:cs="Arial"/>
                <w:color w:val="0D0D0D"/>
                <w:spacing w:val="-4"/>
                <w:lang w:val="en-GB"/>
              </w:rPr>
              <w:t xml:space="preserve">the </w:t>
            </w:r>
            <w:r w:rsidRPr="00CB09D5">
              <w:rPr>
                <w:rFonts w:cs="Arial"/>
                <w:color w:val="0D0D0D"/>
                <w:spacing w:val="-4"/>
                <w:lang w:val="en-GB"/>
              </w:rPr>
              <w:t>years 2014 and 2015 was not repeated last year (</w:t>
            </w:r>
            <w:r w:rsidR="00C726EA" w:rsidRPr="00CB09D5">
              <w:rPr>
                <w:rFonts w:cs="Arial"/>
                <w:color w:val="0D0D0D"/>
                <w:spacing w:val="-4"/>
                <w:lang w:val="en-GB"/>
              </w:rPr>
              <w:t>GVA related to</w:t>
            </w:r>
            <w:r w:rsidR="00EE5A5A" w:rsidRPr="00CB09D5">
              <w:rPr>
                <w:rFonts w:cs="Arial"/>
                <w:color w:val="0D0D0D"/>
                <w:spacing w:val="-4"/>
                <w:lang w:val="en-GB"/>
              </w:rPr>
              <w:t xml:space="preserve"> the hour worked lowered by 0.4</w:t>
            </w:r>
            <w:r w:rsidR="00C726EA" w:rsidRPr="00CB09D5">
              <w:rPr>
                <w:rFonts w:cs="Arial"/>
                <w:color w:val="0D0D0D"/>
                <w:spacing w:val="-4"/>
                <w:lang w:val="en-GB"/>
              </w:rPr>
              <w:t>% for the whole year)</w:t>
            </w:r>
            <w:r w:rsidR="00E90D67" w:rsidRPr="00CB09D5">
              <w:rPr>
                <w:rFonts w:cs="Arial"/>
                <w:color w:val="0D0D0D"/>
                <w:spacing w:val="-4"/>
                <w:lang w:val="en-GB"/>
              </w:rPr>
              <w:t xml:space="preserve">. </w:t>
            </w:r>
            <w:r w:rsidR="00223ECF" w:rsidRPr="00CB09D5">
              <w:rPr>
                <w:rFonts w:cs="Arial"/>
                <w:color w:val="0D0D0D"/>
                <w:spacing w:val="-4"/>
                <w:lang w:val="en-GB"/>
              </w:rPr>
              <w:t>Both lower productivi</w:t>
            </w:r>
            <w:r w:rsidR="00EE5A5A" w:rsidRPr="00CB09D5">
              <w:rPr>
                <w:rFonts w:cs="Arial"/>
                <w:color w:val="0D0D0D"/>
                <w:spacing w:val="-4"/>
                <w:lang w:val="en-GB"/>
              </w:rPr>
              <w:t>ty in construction (by 4.7</w:t>
            </w:r>
            <w:r w:rsidR="00223ECF" w:rsidRPr="00CB09D5">
              <w:rPr>
                <w:rFonts w:cs="Arial"/>
                <w:color w:val="0D0D0D"/>
                <w:spacing w:val="-4"/>
                <w:lang w:val="en-GB"/>
              </w:rPr>
              <w:t xml:space="preserve">%) and e.g. also in branch trade, transportation, accommodation and restaurants played a role. </w:t>
            </w:r>
            <w:r w:rsidR="00E1291F" w:rsidRPr="00CB09D5">
              <w:rPr>
                <w:rFonts w:cs="Arial"/>
                <w:color w:val="0D0D0D"/>
                <w:spacing w:val="-4"/>
                <w:lang w:val="en-GB"/>
              </w:rPr>
              <w:t xml:space="preserve">Development was on the contrary more favourable in manufacturing </w:t>
            </w:r>
            <w:r w:rsidR="00E90D67" w:rsidRPr="00CB09D5">
              <w:rPr>
                <w:rFonts w:cs="Arial"/>
                <w:color w:val="0D0D0D"/>
                <w:spacing w:val="-4"/>
                <w:lang w:val="en-GB"/>
              </w:rPr>
              <w:t>(+1</w:t>
            </w:r>
            <w:r w:rsidR="00E1291F" w:rsidRPr="00CB09D5">
              <w:rPr>
                <w:rFonts w:cs="Arial"/>
                <w:color w:val="0D0D0D"/>
                <w:spacing w:val="-4"/>
                <w:lang w:val="en-GB"/>
              </w:rPr>
              <w:t>.</w:t>
            </w:r>
            <w:r w:rsidR="00EE5A5A" w:rsidRPr="00CB09D5">
              <w:rPr>
                <w:rFonts w:cs="Arial"/>
                <w:color w:val="0D0D0D"/>
                <w:spacing w:val="-4"/>
                <w:lang w:val="en-GB"/>
              </w:rPr>
              <w:t>6</w:t>
            </w:r>
            <w:r w:rsidR="00E90D67" w:rsidRPr="00CB09D5">
              <w:rPr>
                <w:rFonts w:cs="Arial"/>
                <w:color w:val="0D0D0D"/>
                <w:spacing w:val="-4"/>
                <w:lang w:val="en-GB"/>
              </w:rPr>
              <w:t xml:space="preserve">%), </w:t>
            </w:r>
            <w:r w:rsidR="00E1291F" w:rsidRPr="00CB09D5">
              <w:rPr>
                <w:rFonts w:cs="Arial"/>
                <w:color w:val="0D0D0D"/>
                <w:spacing w:val="-4"/>
                <w:lang w:val="en-GB"/>
              </w:rPr>
              <w:t>the productivity however grew the most in branch agricultur</w:t>
            </w:r>
            <w:r w:rsidR="00EE5A5A" w:rsidRPr="00CB09D5">
              <w:rPr>
                <w:rFonts w:cs="Arial"/>
                <w:color w:val="0D0D0D"/>
                <w:spacing w:val="-4"/>
                <w:lang w:val="en-GB"/>
              </w:rPr>
              <w:t>e, forestry and fishing (+6.1</w:t>
            </w:r>
            <w:r w:rsidR="00E1291F" w:rsidRPr="00CB09D5">
              <w:rPr>
                <w:rFonts w:cs="Arial"/>
                <w:color w:val="0D0D0D"/>
                <w:spacing w:val="-4"/>
                <w:lang w:val="en-GB"/>
              </w:rPr>
              <w:t>%) last year (similarly to</w:t>
            </w:r>
            <w:r w:rsidR="00B75AC6" w:rsidRPr="00CB09D5">
              <w:rPr>
                <w:rFonts w:cs="Arial"/>
                <w:color w:val="0D0D0D"/>
                <w:spacing w:val="-4"/>
                <w:lang w:val="en-GB"/>
              </w:rPr>
              <w:t xml:space="preserve"> the</w:t>
            </w:r>
            <w:r w:rsidR="00E1291F" w:rsidRPr="00CB09D5">
              <w:rPr>
                <w:rFonts w:cs="Arial"/>
                <w:color w:val="0D0D0D"/>
                <w:spacing w:val="-4"/>
                <w:lang w:val="en-GB"/>
              </w:rPr>
              <w:t xml:space="preserve"> years 201</w:t>
            </w:r>
            <w:r w:rsidR="00632D86" w:rsidRPr="00CB09D5">
              <w:rPr>
                <w:rFonts w:cs="Arial"/>
                <w:color w:val="0D0D0D"/>
                <w:spacing w:val="-4"/>
                <w:lang w:val="en-GB"/>
              </w:rPr>
              <w:t>4</w:t>
            </w:r>
            <w:r w:rsidR="00E1291F" w:rsidRPr="00CB09D5">
              <w:rPr>
                <w:rFonts w:cs="Arial"/>
                <w:color w:val="0D0D0D"/>
                <w:spacing w:val="-4"/>
                <w:lang w:val="en-GB"/>
              </w:rPr>
              <w:t xml:space="preserve"> and 2015).</w:t>
            </w:r>
          </w:p>
          <w:p w:rsidR="00E90D67" w:rsidRPr="00CB09D5" w:rsidRDefault="00E90D67" w:rsidP="008A03DE">
            <w:pPr>
              <w:pStyle w:val="Textpoznpodarou"/>
              <w:jc w:val="both"/>
              <w:rPr>
                <w:rFonts w:cs="Arial"/>
                <w:color w:val="0D0D0D"/>
                <w:spacing w:val="-4"/>
                <w:sz w:val="14"/>
                <w:szCs w:val="14"/>
                <w:lang w:val="en-GB"/>
              </w:rPr>
            </w:pPr>
          </w:p>
        </w:tc>
      </w:tr>
      <w:tr w:rsidR="00E90D67" w:rsidRPr="00CB09D5" w:rsidTr="008A03DE">
        <w:tc>
          <w:tcPr>
            <w:tcW w:w="1057" w:type="pct"/>
          </w:tcPr>
          <w:p w:rsidR="00E90D67" w:rsidRPr="00CB09D5" w:rsidRDefault="00EF7B70"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Pace of decrease of the </w:t>
            </w:r>
            <w:r w:rsidR="005F7A9D" w:rsidRPr="00CB09D5">
              <w:rPr>
                <w:rFonts w:cs="Arial"/>
                <w:bCs/>
                <w:iCs/>
                <w:color w:val="0D0D0D"/>
                <w:spacing w:val="-2"/>
                <w:sz w:val="16"/>
                <w:szCs w:val="16"/>
                <w:lang w:val="en-GB"/>
              </w:rPr>
              <w:t>unemployment</w:t>
            </w:r>
            <w:r w:rsidRPr="00CB09D5">
              <w:rPr>
                <w:rFonts w:cs="Arial"/>
                <w:bCs/>
                <w:iCs/>
                <w:color w:val="0D0D0D"/>
                <w:spacing w:val="-2"/>
                <w:sz w:val="16"/>
                <w:szCs w:val="16"/>
                <w:lang w:val="en-GB"/>
              </w:rPr>
              <w:t xml:space="preserve"> rate of males slowed down last year, for females it was comparable to </w:t>
            </w:r>
            <w:r w:rsidR="00AB2797" w:rsidRPr="00CB09D5">
              <w:rPr>
                <w:rFonts w:cs="Arial"/>
                <w:bCs/>
                <w:iCs/>
                <w:color w:val="0D0D0D"/>
                <w:spacing w:val="-2"/>
                <w:sz w:val="16"/>
                <w:szCs w:val="16"/>
                <w:lang w:val="en-GB"/>
              </w:rPr>
              <w:t xml:space="preserve">the </w:t>
            </w:r>
            <w:r w:rsidRPr="00CB09D5">
              <w:rPr>
                <w:rFonts w:cs="Arial"/>
                <w:bCs/>
                <w:iCs/>
                <w:color w:val="0D0D0D"/>
                <w:spacing w:val="-2"/>
                <w:sz w:val="16"/>
                <w:szCs w:val="16"/>
                <w:lang w:val="en-GB"/>
              </w:rPr>
              <w:t xml:space="preserve">years 2014 and </w:t>
            </w:r>
            <w:r w:rsidR="00E90D67" w:rsidRPr="00CB09D5">
              <w:rPr>
                <w:rFonts w:cs="Arial"/>
                <w:bCs/>
                <w:iCs/>
                <w:color w:val="0D0D0D"/>
                <w:spacing w:val="-2"/>
                <w:sz w:val="16"/>
                <w:szCs w:val="16"/>
                <w:lang w:val="en-GB"/>
              </w:rPr>
              <w:t>2015.</w:t>
            </w:r>
          </w:p>
          <w:p w:rsidR="00E90D67" w:rsidRPr="00CB09D5" w:rsidRDefault="00E90D67" w:rsidP="008A03DE">
            <w:pPr>
              <w:spacing w:line="240" w:lineRule="auto"/>
              <w:rPr>
                <w:rFonts w:cs="Arial"/>
                <w:bCs/>
                <w:iCs/>
                <w:color w:val="0D0D0D"/>
                <w:spacing w:val="-2"/>
                <w:sz w:val="16"/>
                <w:szCs w:val="16"/>
                <w:lang w:val="en-GB"/>
              </w:rPr>
            </w:pPr>
          </w:p>
          <w:p w:rsidR="00E90D67" w:rsidRPr="00CB09D5" w:rsidRDefault="00E90D67" w:rsidP="008A03DE">
            <w:pPr>
              <w:spacing w:line="240" w:lineRule="auto"/>
              <w:rPr>
                <w:rFonts w:cs="Arial"/>
                <w:bCs/>
                <w:iCs/>
                <w:color w:val="0D0D0D"/>
                <w:spacing w:val="-2"/>
                <w:sz w:val="10"/>
                <w:szCs w:val="10"/>
                <w:lang w:val="en-GB"/>
              </w:rPr>
            </w:pPr>
          </w:p>
          <w:p w:rsidR="000D1BFB" w:rsidRPr="00CB09D5" w:rsidRDefault="00515400" w:rsidP="008A03DE">
            <w:pPr>
              <w:spacing w:line="240" w:lineRule="auto"/>
              <w:rPr>
                <w:rFonts w:cs="Arial"/>
                <w:color w:val="0D0D0D"/>
                <w:spacing w:val="-4"/>
                <w:sz w:val="16"/>
                <w:szCs w:val="16"/>
                <w:lang w:val="en-GB"/>
              </w:rPr>
            </w:pPr>
            <w:r w:rsidRPr="00CB09D5">
              <w:rPr>
                <w:rFonts w:cs="Arial"/>
                <w:color w:val="0D0D0D"/>
                <w:spacing w:val="-4"/>
                <w:sz w:val="16"/>
                <w:szCs w:val="16"/>
                <w:lang w:val="en-GB"/>
              </w:rPr>
              <w:t>Job applicants b</w:t>
            </w:r>
            <w:r w:rsidR="00711D33" w:rsidRPr="00CB09D5">
              <w:rPr>
                <w:rFonts w:cs="Arial"/>
                <w:color w:val="0D0D0D"/>
                <w:spacing w:val="-4"/>
                <w:sz w:val="16"/>
                <w:szCs w:val="16"/>
                <w:lang w:val="en-GB"/>
              </w:rPr>
              <w:t xml:space="preserve">eing without job for more than one year </w:t>
            </w:r>
            <w:r w:rsidR="00711D33" w:rsidRPr="00CB09D5">
              <w:rPr>
                <w:rFonts w:cs="Arial"/>
                <w:color w:val="0D0D0D"/>
                <w:spacing w:val="-4"/>
                <w:sz w:val="16"/>
                <w:szCs w:val="16"/>
                <w:lang w:val="en-GB"/>
              </w:rPr>
              <w:lastRenderedPageBreak/>
              <w:t xml:space="preserve">had a major effect on the </w:t>
            </w:r>
            <w:r w:rsidR="005F7A9D" w:rsidRPr="00CB09D5">
              <w:rPr>
                <w:rFonts w:cs="Arial"/>
                <w:color w:val="0D0D0D"/>
                <w:spacing w:val="-4"/>
                <w:sz w:val="16"/>
                <w:szCs w:val="16"/>
                <w:lang w:val="en-GB"/>
              </w:rPr>
              <w:t>unemployment</w:t>
            </w:r>
            <w:r w:rsidR="00711D33" w:rsidRPr="00CB09D5">
              <w:rPr>
                <w:rFonts w:cs="Arial"/>
                <w:color w:val="0D0D0D"/>
                <w:spacing w:val="-4"/>
                <w:sz w:val="16"/>
                <w:szCs w:val="16"/>
                <w:lang w:val="en-GB"/>
              </w:rPr>
              <w:t xml:space="preserve"> decrease last year. </w:t>
            </w:r>
          </w:p>
          <w:p w:rsidR="00711D33" w:rsidRPr="00CB09D5" w:rsidRDefault="00711D33" w:rsidP="008A03DE">
            <w:pPr>
              <w:spacing w:line="240" w:lineRule="auto"/>
              <w:rPr>
                <w:rFonts w:cs="Arial"/>
                <w:bCs/>
                <w:iCs/>
                <w:color w:val="0D0D0D"/>
                <w:spacing w:val="-2"/>
                <w:sz w:val="16"/>
                <w:szCs w:val="16"/>
                <w:lang w:val="en-GB"/>
              </w:rPr>
            </w:pPr>
          </w:p>
          <w:p w:rsidR="00E90D67" w:rsidRPr="00CB09D5" w:rsidRDefault="00E90D67" w:rsidP="008A03DE">
            <w:pPr>
              <w:spacing w:line="240" w:lineRule="auto"/>
              <w:rPr>
                <w:rFonts w:cs="Arial"/>
                <w:bCs/>
                <w:iCs/>
                <w:color w:val="0D0D0D"/>
                <w:spacing w:val="-2"/>
                <w:sz w:val="10"/>
                <w:szCs w:val="10"/>
                <w:lang w:val="en-GB"/>
              </w:rPr>
            </w:pPr>
          </w:p>
          <w:p w:rsidR="00E90D67" w:rsidRPr="00CB09D5" w:rsidRDefault="005F7A9D"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Gener</w:t>
            </w:r>
            <w:r w:rsidR="00EE5A5A" w:rsidRPr="00CB09D5">
              <w:rPr>
                <w:rFonts w:cs="Arial"/>
                <w:bCs/>
                <w:iCs/>
                <w:color w:val="0D0D0D"/>
                <w:spacing w:val="-2"/>
                <w:sz w:val="16"/>
                <w:szCs w:val="16"/>
                <w:lang w:val="en-GB"/>
              </w:rPr>
              <w:t>al unemployment rate fell in 90</w:t>
            </w:r>
            <w:r w:rsidRPr="00CB09D5">
              <w:rPr>
                <w:rFonts w:cs="Arial"/>
                <w:bCs/>
                <w:iCs/>
                <w:color w:val="0D0D0D"/>
                <w:spacing w:val="-2"/>
                <w:sz w:val="16"/>
                <w:szCs w:val="16"/>
                <w:lang w:val="en-GB"/>
              </w:rPr>
              <w:t>% of EU countries in 2016. Large differences between states however did not shrink.</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844AFC" w:rsidP="008A03DE">
            <w:pPr>
              <w:pStyle w:val="Textpoznpodarou"/>
              <w:jc w:val="both"/>
              <w:rPr>
                <w:rFonts w:cs="Arial"/>
                <w:color w:val="0D0D0D"/>
                <w:spacing w:val="-4"/>
                <w:lang w:val="en-GB"/>
              </w:rPr>
            </w:pPr>
            <w:r w:rsidRPr="00CB09D5">
              <w:rPr>
                <w:rFonts w:cs="Arial"/>
                <w:color w:val="0D0D0D"/>
                <w:spacing w:val="-4"/>
                <w:lang w:val="en-GB"/>
              </w:rPr>
              <w:t>General une</w:t>
            </w:r>
            <w:r w:rsidR="007C2C5A">
              <w:rPr>
                <w:rFonts w:cs="Arial"/>
                <w:color w:val="0D0D0D"/>
                <w:spacing w:val="-4"/>
                <w:lang w:val="en-GB"/>
              </w:rPr>
              <w:t>mployment rate (persons aged 15</w:t>
            </w:r>
            <w:r w:rsidR="007C2C5A" w:rsidRPr="00CB09D5">
              <w:rPr>
                <w:rFonts w:cs="Arial"/>
                <w:color w:val="0D0D0D"/>
                <w:spacing w:val="-2"/>
                <w:lang w:val="en-GB"/>
              </w:rPr>
              <w:t>–</w:t>
            </w:r>
            <w:r w:rsidRPr="00CB09D5">
              <w:rPr>
                <w:rFonts w:cs="Arial"/>
                <w:color w:val="0D0D0D"/>
                <w:spacing w:val="-4"/>
                <w:lang w:val="en-GB"/>
              </w:rPr>
              <w:t xml:space="preserve">64) kept further falling throughout </w:t>
            </w:r>
            <w:r w:rsidR="005F7A9D" w:rsidRPr="00CB09D5">
              <w:rPr>
                <w:rFonts w:cs="Arial"/>
                <w:color w:val="0D0D0D"/>
                <w:spacing w:val="-4"/>
                <w:lang w:val="en-GB"/>
              </w:rPr>
              <w:t>the</w:t>
            </w:r>
            <w:r w:rsidRPr="00CB09D5">
              <w:rPr>
                <w:rFonts w:cs="Arial"/>
                <w:color w:val="0D0D0D"/>
                <w:spacing w:val="-4"/>
                <w:lang w:val="en-GB"/>
              </w:rPr>
              <w:t xml:space="preserve"> whole year and it arrived at 3.6</w:t>
            </w:r>
            <w:r w:rsidR="00E90D67" w:rsidRPr="00CB09D5">
              <w:rPr>
                <w:rStyle w:val="Znakapoznpodarou"/>
                <w:color w:val="0D0D0D"/>
                <w:spacing w:val="-4"/>
                <w:lang w:val="en-GB"/>
              </w:rPr>
              <w:footnoteReference w:id="3"/>
            </w:r>
            <w:r w:rsidRPr="00CB09D5">
              <w:rPr>
                <w:rFonts w:cs="Arial"/>
                <w:color w:val="0D0D0D"/>
                <w:spacing w:val="-4"/>
                <w:lang w:val="en-GB"/>
              </w:rPr>
              <w:t xml:space="preserve"> in December 2016</w:t>
            </w:r>
            <w:r w:rsidR="00E90D67" w:rsidRPr="00CB09D5">
              <w:rPr>
                <w:rFonts w:cs="Arial"/>
                <w:color w:val="0D0D0D"/>
                <w:spacing w:val="-4"/>
                <w:lang w:val="en-GB"/>
              </w:rPr>
              <w:t xml:space="preserve"> (</w:t>
            </w:r>
            <w:r w:rsidR="00EE5A5A" w:rsidRPr="00CB09D5">
              <w:rPr>
                <w:rFonts w:cs="Arial"/>
                <w:color w:val="0D0D0D"/>
                <w:spacing w:val="-4"/>
                <w:lang w:val="en-GB"/>
              </w:rPr>
              <w:t>4.5</w:t>
            </w:r>
            <w:r w:rsidRPr="00CB09D5">
              <w:rPr>
                <w:rFonts w:cs="Arial"/>
                <w:color w:val="0D0D0D"/>
                <w:spacing w:val="-4"/>
                <w:lang w:val="en-GB"/>
              </w:rPr>
              <w:t>% a year ago</w:t>
            </w:r>
            <w:r w:rsidR="00E90D67" w:rsidRPr="00CB09D5">
              <w:rPr>
                <w:rFonts w:cs="Arial"/>
                <w:color w:val="0D0D0D"/>
                <w:spacing w:val="-4"/>
                <w:lang w:val="en-GB"/>
              </w:rPr>
              <w:t xml:space="preserve">). </w:t>
            </w:r>
            <w:r w:rsidR="002A3A75" w:rsidRPr="00CB09D5">
              <w:rPr>
                <w:rFonts w:cs="Arial"/>
                <w:color w:val="0D0D0D"/>
                <w:spacing w:val="-4"/>
                <w:lang w:val="en-GB"/>
              </w:rPr>
              <w:t>While for males it hit its limits given by the structural influences (</w:t>
            </w:r>
            <w:r w:rsidR="005F7A9D" w:rsidRPr="00CB09D5">
              <w:rPr>
                <w:rFonts w:cs="Arial"/>
                <w:color w:val="0D0D0D"/>
                <w:spacing w:val="-4"/>
                <w:lang w:val="en-GB"/>
              </w:rPr>
              <w:t xml:space="preserve">decreased “only” </w:t>
            </w:r>
            <w:r w:rsidR="00EE5A5A" w:rsidRPr="00CB09D5">
              <w:rPr>
                <w:rFonts w:cs="Arial"/>
                <w:color w:val="0D0D0D"/>
                <w:spacing w:val="-4"/>
                <w:lang w:val="en-GB"/>
              </w:rPr>
              <w:t>by 0.6 p.p. year-on-year to 3.1</w:t>
            </w:r>
            <w:r w:rsidR="005F7A9D" w:rsidRPr="00CB09D5">
              <w:rPr>
                <w:rFonts w:cs="Arial"/>
                <w:color w:val="0D0D0D"/>
                <w:spacing w:val="-4"/>
                <w:lang w:val="en-GB"/>
              </w:rPr>
              <w:t xml:space="preserve">%), for females the reduction was </w:t>
            </w:r>
            <w:r w:rsidR="00D177E9">
              <w:rPr>
                <w:rFonts w:cs="Arial"/>
                <w:color w:val="0D0D0D"/>
                <w:spacing w:val="-4"/>
                <w:lang w:val="en-GB"/>
              </w:rPr>
              <w:t xml:space="preserve">more </w:t>
            </w:r>
            <w:r w:rsidR="005F7A9D" w:rsidRPr="00CB09D5">
              <w:rPr>
                <w:rFonts w:cs="Arial"/>
                <w:color w:val="0D0D0D"/>
                <w:spacing w:val="-4"/>
                <w:lang w:val="en-GB"/>
              </w:rPr>
              <w:t xml:space="preserve">significant (by 1.3 p.p. similarly to </w:t>
            </w:r>
            <w:r w:rsidR="00AB2797" w:rsidRPr="00CB09D5">
              <w:rPr>
                <w:rFonts w:cs="Arial"/>
                <w:color w:val="0D0D0D"/>
                <w:spacing w:val="-4"/>
                <w:lang w:val="en-GB"/>
              </w:rPr>
              <w:t xml:space="preserve">the </w:t>
            </w:r>
            <w:r w:rsidR="005F7A9D" w:rsidRPr="00CB09D5">
              <w:rPr>
                <w:rFonts w:cs="Arial"/>
                <w:color w:val="0D0D0D"/>
                <w:spacing w:val="-4"/>
                <w:lang w:val="en-GB"/>
              </w:rPr>
              <w:t xml:space="preserve">years 2014 and 2015). Persons that were without a job for more than one year majorly participated on the decrease of </w:t>
            </w:r>
            <w:r w:rsidR="001010CD" w:rsidRPr="00CB09D5">
              <w:rPr>
                <w:rFonts w:cs="Arial"/>
                <w:color w:val="0D0D0D"/>
                <w:spacing w:val="-4"/>
                <w:lang w:val="en-GB"/>
              </w:rPr>
              <w:t>unemployment</w:t>
            </w:r>
            <w:r w:rsidR="005F7A9D" w:rsidRPr="00CB09D5">
              <w:rPr>
                <w:rFonts w:cs="Arial"/>
                <w:color w:val="0D0D0D"/>
                <w:spacing w:val="-4"/>
                <w:lang w:val="en-GB"/>
              </w:rPr>
              <w:t xml:space="preserve">. </w:t>
            </w:r>
            <w:r w:rsidR="001010CD" w:rsidRPr="00CB09D5">
              <w:rPr>
                <w:rFonts w:cs="Arial"/>
                <w:color w:val="0D0D0D"/>
                <w:spacing w:val="-4"/>
                <w:lang w:val="en-GB"/>
              </w:rPr>
              <w:t>The num</w:t>
            </w:r>
            <w:r w:rsidR="00EE5A5A" w:rsidRPr="00CB09D5">
              <w:rPr>
                <w:rFonts w:cs="Arial"/>
                <w:color w:val="0D0D0D"/>
                <w:spacing w:val="-4"/>
                <w:lang w:val="en-GB"/>
              </w:rPr>
              <w:t>ber of these persons fell by 35</w:t>
            </w:r>
            <w:r w:rsidR="001010CD" w:rsidRPr="00CB09D5">
              <w:rPr>
                <w:rFonts w:cs="Arial"/>
                <w:color w:val="0D0D0D"/>
                <w:spacing w:val="-4"/>
                <w:lang w:val="en-GB"/>
              </w:rPr>
              <w:t>% year-o</w:t>
            </w:r>
            <w:r w:rsidR="00EE5A5A" w:rsidRPr="00CB09D5">
              <w:rPr>
                <w:rFonts w:cs="Arial"/>
                <w:color w:val="0D0D0D"/>
                <w:spacing w:val="-4"/>
                <w:lang w:val="en-GB"/>
              </w:rPr>
              <w:t>n-year in Q4 and they formed 39</w:t>
            </w:r>
            <w:r w:rsidR="001010CD" w:rsidRPr="00CB09D5">
              <w:rPr>
                <w:rFonts w:cs="Arial"/>
                <w:color w:val="0D0D0D"/>
                <w:spacing w:val="-4"/>
                <w:lang w:val="en-GB"/>
              </w:rPr>
              <w:t xml:space="preserve">% from the total number of </w:t>
            </w:r>
            <w:r w:rsidR="001010CD" w:rsidRPr="00CB09D5">
              <w:rPr>
                <w:rFonts w:cs="Arial"/>
                <w:color w:val="0D0D0D"/>
                <w:spacing w:val="-4"/>
                <w:lang w:val="en-GB"/>
              </w:rPr>
              <w:lastRenderedPageBreak/>
              <w:t xml:space="preserve">unemployed (the lowest share since Q1 2010). </w:t>
            </w:r>
            <w:r w:rsidR="00E90D67" w:rsidRPr="00CB09D5">
              <w:rPr>
                <w:rFonts w:cs="Arial"/>
                <w:color w:val="0D0D0D"/>
                <w:spacing w:val="-4"/>
                <w:lang w:val="en-GB"/>
              </w:rPr>
              <w:t> </w:t>
            </w:r>
            <w:r w:rsidR="00515400" w:rsidRPr="00CB09D5">
              <w:rPr>
                <w:rFonts w:cs="Arial"/>
                <w:color w:val="0D0D0D"/>
                <w:spacing w:val="-4"/>
                <w:lang w:val="en-GB"/>
              </w:rPr>
              <w:t>Consequently, this was reflected also in the accelerated fall of the unemployment rate of job applicants wi</w:t>
            </w:r>
            <w:r w:rsidR="00EE5A5A" w:rsidRPr="00CB09D5">
              <w:rPr>
                <w:rFonts w:cs="Arial"/>
                <w:color w:val="0D0D0D"/>
                <w:spacing w:val="-4"/>
                <w:lang w:val="en-GB"/>
              </w:rPr>
              <w:t>th primary education (from 22.8% to 18.7</w:t>
            </w:r>
            <w:r w:rsidR="00515400" w:rsidRPr="00CB09D5">
              <w:rPr>
                <w:rFonts w:cs="Arial"/>
                <w:color w:val="0D0D0D"/>
                <w:spacing w:val="-4"/>
                <w:lang w:val="en-GB"/>
              </w:rPr>
              <w:t>%).</w:t>
            </w:r>
            <w:r w:rsidR="00C26D9B" w:rsidRPr="00CB09D5">
              <w:rPr>
                <w:rFonts w:cs="Arial"/>
                <w:color w:val="0D0D0D"/>
                <w:spacing w:val="-4"/>
                <w:lang w:val="en-GB"/>
              </w:rPr>
              <w:t xml:space="preserve"> </w:t>
            </w:r>
            <w:r w:rsidR="00515400" w:rsidRPr="00CB09D5">
              <w:rPr>
                <w:rFonts w:cs="Arial"/>
                <w:color w:val="0D0D0D"/>
                <w:spacing w:val="-4"/>
                <w:lang w:val="en-GB"/>
              </w:rPr>
              <w:t>The Czech Republic maintains the most favourable position with respect to the total unemployment among the EU states</w:t>
            </w:r>
            <w:r w:rsidR="00E90D67" w:rsidRPr="00CB09D5">
              <w:rPr>
                <w:rFonts w:cs="Arial"/>
                <w:color w:val="0D0D0D"/>
                <w:spacing w:val="-4"/>
                <w:lang w:val="en-GB"/>
              </w:rPr>
              <w:t xml:space="preserve"> (</w:t>
            </w:r>
            <w:r w:rsidR="00515400" w:rsidRPr="00CB09D5">
              <w:rPr>
                <w:rFonts w:cs="Arial"/>
                <w:color w:val="0D0D0D"/>
                <w:spacing w:val="-4"/>
                <w:lang w:val="en-GB"/>
              </w:rPr>
              <w:t>thanks to the very low unemployment of males or persons with the secondary education</w:t>
            </w:r>
            <w:r w:rsidR="00E90D67" w:rsidRPr="00CB09D5">
              <w:rPr>
                <w:rFonts w:cs="Arial"/>
                <w:color w:val="0D0D0D"/>
                <w:spacing w:val="-4"/>
                <w:lang w:val="en-GB"/>
              </w:rPr>
              <w:t xml:space="preserve">). </w:t>
            </w:r>
            <w:r w:rsidR="00297C8C" w:rsidRPr="00CB09D5">
              <w:rPr>
                <w:rFonts w:cs="Arial"/>
                <w:color w:val="0D0D0D"/>
                <w:spacing w:val="-4"/>
                <w:lang w:val="en-GB"/>
              </w:rPr>
              <w:t xml:space="preserve">General </w:t>
            </w:r>
            <w:r w:rsidR="00EE5A5A" w:rsidRPr="00CB09D5">
              <w:rPr>
                <w:rFonts w:cs="Arial"/>
                <w:color w:val="0D0D0D"/>
                <w:spacing w:val="-4"/>
                <w:lang w:val="en-GB"/>
              </w:rPr>
              <w:t>unemployment rate dropped in 90</w:t>
            </w:r>
            <w:r w:rsidR="00297C8C" w:rsidRPr="00CB09D5">
              <w:rPr>
                <w:rFonts w:cs="Arial"/>
                <w:color w:val="0D0D0D"/>
                <w:spacing w:val="-4"/>
                <w:lang w:val="en-GB"/>
              </w:rPr>
              <w:t xml:space="preserve">% of the Union states during the year 2016 (the most in Croatia, Spain and Portugal), large regional differences however persisted. High unemployment in some states strongly hit by the recession in the past </w:t>
            </w:r>
            <w:r w:rsidR="00D177E9">
              <w:rPr>
                <w:rFonts w:cs="Arial"/>
                <w:color w:val="0D0D0D"/>
                <w:spacing w:val="-4"/>
                <w:lang w:val="en-GB"/>
              </w:rPr>
              <w:t xml:space="preserve">decade </w:t>
            </w:r>
            <w:r w:rsidR="00297C8C" w:rsidRPr="00CB09D5">
              <w:rPr>
                <w:rFonts w:cs="Arial"/>
                <w:color w:val="0D0D0D"/>
                <w:spacing w:val="-4"/>
                <w:lang w:val="en-GB"/>
              </w:rPr>
              <w:t xml:space="preserve">stagnated (Italy, France), it even grew by 1 p.p. in Cyprus and by contrast it even </w:t>
            </w:r>
            <w:r w:rsidR="00C26D9B" w:rsidRPr="00CB09D5">
              <w:rPr>
                <w:rFonts w:cs="Arial"/>
                <w:color w:val="0D0D0D"/>
                <w:spacing w:val="-4"/>
                <w:lang w:val="en-GB"/>
              </w:rPr>
              <w:t>markedly fell further in many countries with low unemploymen</w:t>
            </w:r>
            <w:r w:rsidR="00EE5A5A" w:rsidRPr="00CB09D5">
              <w:rPr>
                <w:rFonts w:cs="Arial"/>
                <w:color w:val="0D0D0D"/>
                <w:spacing w:val="-4"/>
                <w:lang w:val="en-GB"/>
              </w:rPr>
              <w:t>t rate, e.g. in Hungary (to 4.3%), Poland and Romania (to 5.5</w:t>
            </w:r>
            <w:r w:rsidR="00C26D9B" w:rsidRPr="00CB09D5">
              <w:rPr>
                <w:rFonts w:cs="Arial"/>
                <w:color w:val="0D0D0D"/>
                <w:spacing w:val="-4"/>
                <w:lang w:val="en-GB"/>
              </w:rPr>
              <w:t>%).</w:t>
            </w:r>
          </w:p>
          <w:p w:rsidR="00E90D67" w:rsidRPr="00CB09D5" w:rsidRDefault="00E90D67" w:rsidP="008A03DE">
            <w:pPr>
              <w:pStyle w:val="Textpoznpodarou"/>
              <w:jc w:val="both"/>
              <w:rPr>
                <w:rFonts w:cs="Arial"/>
                <w:color w:val="0D0D0D"/>
                <w:spacing w:val="-2"/>
                <w:sz w:val="13"/>
                <w:szCs w:val="13"/>
                <w:lang w:val="en-GB"/>
              </w:rPr>
            </w:pPr>
          </w:p>
        </w:tc>
      </w:tr>
      <w:tr w:rsidR="00E90D67" w:rsidRPr="00CB09D5" w:rsidTr="008A03DE">
        <w:tc>
          <w:tcPr>
            <w:tcW w:w="1057" w:type="pct"/>
          </w:tcPr>
          <w:p w:rsidR="00E90D67" w:rsidRPr="00CB09D5" w:rsidRDefault="005B2929" w:rsidP="008A03DE">
            <w:pPr>
              <w:spacing w:line="240" w:lineRule="auto"/>
              <w:rPr>
                <w:rFonts w:cs="Arial"/>
                <w:bCs/>
                <w:iCs/>
                <w:color w:val="0D0D0D"/>
                <w:spacing w:val="-2"/>
                <w:sz w:val="12"/>
                <w:szCs w:val="12"/>
                <w:lang w:val="en-GB"/>
              </w:rPr>
            </w:pPr>
            <w:r w:rsidRPr="00CB09D5">
              <w:rPr>
                <w:rFonts w:cs="Arial"/>
                <w:bCs/>
                <w:iCs/>
                <w:color w:val="0D0D0D"/>
                <w:spacing w:val="-2"/>
                <w:sz w:val="16"/>
                <w:szCs w:val="16"/>
                <w:lang w:val="en-GB"/>
              </w:rPr>
              <w:lastRenderedPageBreak/>
              <w:t xml:space="preserve">Supply of job vacancies kept further </w:t>
            </w:r>
            <w:proofErr w:type="gramStart"/>
            <w:r w:rsidRPr="00CB09D5">
              <w:rPr>
                <w:rFonts w:cs="Arial"/>
                <w:bCs/>
                <w:iCs/>
                <w:color w:val="0D0D0D"/>
                <w:spacing w:val="-2"/>
                <w:sz w:val="16"/>
                <w:szCs w:val="16"/>
                <w:lang w:val="en-GB"/>
              </w:rPr>
              <w:t>expanding,</w:t>
            </w:r>
            <w:proofErr w:type="gramEnd"/>
            <w:r w:rsidRPr="00CB09D5">
              <w:rPr>
                <w:rFonts w:cs="Arial"/>
                <w:bCs/>
                <w:iCs/>
                <w:color w:val="0D0D0D"/>
                <w:spacing w:val="-2"/>
                <w:sz w:val="16"/>
                <w:szCs w:val="16"/>
                <w:lang w:val="en-GB"/>
              </w:rPr>
              <w:t xml:space="preserve"> </w:t>
            </w:r>
            <w:r w:rsidR="00D177E9">
              <w:rPr>
                <w:rFonts w:cs="Arial"/>
                <w:bCs/>
                <w:iCs/>
                <w:color w:val="0D0D0D"/>
                <w:spacing w:val="-2"/>
                <w:sz w:val="16"/>
                <w:szCs w:val="16"/>
                <w:lang w:val="en-GB"/>
              </w:rPr>
              <w:t>professional</w:t>
            </w:r>
            <w:r w:rsidRPr="00CB09D5">
              <w:rPr>
                <w:rFonts w:cs="Arial"/>
                <w:bCs/>
                <w:iCs/>
                <w:color w:val="0D0D0D"/>
                <w:spacing w:val="-2"/>
                <w:sz w:val="16"/>
                <w:szCs w:val="16"/>
                <w:lang w:val="en-GB"/>
              </w:rPr>
              <w:t xml:space="preserve">s and qualified manual workers were the most in demand. </w:t>
            </w:r>
          </w:p>
          <w:p w:rsidR="00E90D67" w:rsidRPr="00CB09D5" w:rsidRDefault="00E90D67"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347F1E" w:rsidP="008A03DE">
            <w:pPr>
              <w:pStyle w:val="Textpoznpodarou"/>
              <w:jc w:val="both"/>
              <w:rPr>
                <w:rFonts w:cs="Arial"/>
                <w:color w:val="0D0D0D"/>
                <w:spacing w:val="-4"/>
                <w:lang w:val="en-GB"/>
              </w:rPr>
            </w:pPr>
            <w:r w:rsidRPr="00CB09D5">
              <w:rPr>
                <w:rFonts w:cs="Arial"/>
                <w:color w:val="0D0D0D"/>
                <w:spacing w:val="-2"/>
                <w:lang w:val="en-GB"/>
              </w:rPr>
              <w:t xml:space="preserve">Opportunities of unemployed </w:t>
            </w:r>
            <w:r w:rsidR="00816D15" w:rsidRPr="00CB09D5">
              <w:rPr>
                <w:rFonts w:cs="Arial"/>
                <w:color w:val="0D0D0D"/>
                <w:spacing w:val="-2"/>
                <w:lang w:val="en-GB"/>
              </w:rPr>
              <w:t xml:space="preserve">to find job </w:t>
            </w:r>
            <w:r w:rsidRPr="00CB09D5">
              <w:rPr>
                <w:rFonts w:cs="Arial"/>
                <w:color w:val="0D0D0D"/>
                <w:spacing w:val="-2"/>
                <w:lang w:val="en-GB"/>
              </w:rPr>
              <w:t xml:space="preserve">on the labour market kept further widening. </w:t>
            </w:r>
            <w:r w:rsidR="002A51BD" w:rsidRPr="00CB09D5">
              <w:rPr>
                <w:rFonts w:cs="Arial"/>
                <w:color w:val="0D0D0D"/>
                <w:spacing w:val="-2"/>
                <w:lang w:val="en-GB"/>
              </w:rPr>
              <w:t>Supply of job positions increased via the labour offices (LO) by nearly one third year-on-year, there were 132.5 thousand positions available in December 2016. The ratio was 2.9 applicants per one vacan</w:t>
            </w:r>
            <w:r w:rsidR="0040633F" w:rsidRPr="00CB09D5">
              <w:rPr>
                <w:rFonts w:cs="Arial"/>
                <w:color w:val="0D0D0D"/>
                <w:spacing w:val="-2"/>
                <w:lang w:val="en-GB"/>
              </w:rPr>
              <w:t>c</w:t>
            </w:r>
            <w:r w:rsidR="002A51BD" w:rsidRPr="00CB09D5">
              <w:rPr>
                <w:rFonts w:cs="Arial"/>
                <w:color w:val="0D0D0D"/>
                <w:spacing w:val="-2"/>
                <w:lang w:val="en-GB"/>
              </w:rPr>
              <w:t>y (the most favourable December relation since</w:t>
            </w:r>
            <w:r w:rsidR="00AB2797" w:rsidRPr="00CB09D5">
              <w:rPr>
                <w:rFonts w:cs="Arial"/>
                <w:color w:val="0D0D0D"/>
                <w:spacing w:val="-2"/>
                <w:lang w:val="en-GB"/>
              </w:rPr>
              <w:t xml:space="preserve"> the</w:t>
            </w:r>
            <w:r w:rsidR="002A51BD" w:rsidRPr="00CB09D5">
              <w:rPr>
                <w:rFonts w:cs="Arial"/>
                <w:color w:val="0D0D0D"/>
                <w:spacing w:val="-2"/>
                <w:lang w:val="en-GB"/>
              </w:rPr>
              <w:t xml:space="preserve"> year 2007). </w:t>
            </w:r>
            <w:r w:rsidR="0040633F" w:rsidRPr="00CB09D5">
              <w:rPr>
                <w:rFonts w:cs="Arial"/>
                <w:color w:val="0D0D0D"/>
                <w:spacing w:val="-2"/>
                <w:lang w:val="en-GB"/>
              </w:rPr>
              <w:t xml:space="preserve">This relation improved in all regions during the year 2016, the most visibly in </w:t>
            </w:r>
            <w:r w:rsidR="0094681E">
              <w:rPr>
                <w:rFonts w:cs="Arial"/>
                <w:color w:val="0D0D0D"/>
                <w:spacing w:val="-4"/>
                <w:lang w:val="en-GB"/>
              </w:rPr>
              <w:t xml:space="preserve">the </w:t>
            </w:r>
            <w:proofErr w:type="spellStart"/>
            <w:r w:rsidR="0094681E">
              <w:rPr>
                <w:rFonts w:cs="Arial"/>
                <w:color w:val="0D0D0D"/>
                <w:spacing w:val="-4"/>
                <w:lang w:val="en-GB"/>
              </w:rPr>
              <w:t>Ústecký</w:t>
            </w:r>
            <w:proofErr w:type="spellEnd"/>
            <w:r w:rsidR="0094681E">
              <w:rPr>
                <w:rFonts w:cs="Arial"/>
                <w:color w:val="0D0D0D"/>
                <w:spacing w:val="-4"/>
                <w:lang w:val="en-GB"/>
              </w:rPr>
              <w:t xml:space="preserve"> Region</w:t>
            </w:r>
            <w:r w:rsidR="00E90D67" w:rsidRPr="00CB09D5">
              <w:rPr>
                <w:rFonts w:cs="Arial"/>
                <w:color w:val="0D0D0D"/>
                <w:spacing w:val="-4"/>
                <w:lang w:val="en-GB"/>
              </w:rPr>
              <w:t xml:space="preserve"> (</w:t>
            </w:r>
            <w:r w:rsidR="0040633F" w:rsidRPr="00CB09D5">
              <w:rPr>
                <w:rFonts w:cs="Arial"/>
                <w:color w:val="0D0D0D"/>
                <w:spacing w:val="-4"/>
                <w:lang w:val="en-GB"/>
              </w:rPr>
              <w:t>still there was 5.8 job applicants for one vacancy at the end of the year</w:t>
            </w:r>
            <w:r w:rsidR="00E90D67" w:rsidRPr="00CB09D5">
              <w:rPr>
                <w:rFonts w:cs="Arial"/>
                <w:color w:val="0D0D0D"/>
                <w:spacing w:val="-4"/>
                <w:lang w:val="en-GB"/>
              </w:rPr>
              <w:t xml:space="preserve">, </w:t>
            </w:r>
            <w:r w:rsidR="0094681E">
              <w:rPr>
                <w:rFonts w:cs="Arial"/>
                <w:color w:val="0D0D0D"/>
                <w:spacing w:val="-4"/>
                <w:lang w:val="en-GB"/>
              </w:rPr>
              <w:t xml:space="preserve">together with the </w:t>
            </w:r>
            <w:proofErr w:type="spellStart"/>
            <w:r w:rsidR="0094681E">
              <w:rPr>
                <w:rFonts w:cs="Arial"/>
                <w:color w:val="0D0D0D"/>
                <w:spacing w:val="-4"/>
                <w:lang w:val="en-GB"/>
              </w:rPr>
              <w:t>Moravskoslezský</w:t>
            </w:r>
            <w:proofErr w:type="spellEnd"/>
            <w:r w:rsidR="0094681E">
              <w:rPr>
                <w:rFonts w:cs="Arial"/>
                <w:color w:val="0D0D0D"/>
                <w:spacing w:val="-4"/>
                <w:lang w:val="en-GB"/>
              </w:rPr>
              <w:t xml:space="preserve"> R</w:t>
            </w:r>
            <w:r w:rsidR="0040633F" w:rsidRPr="00CB09D5">
              <w:rPr>
                <w:rFonts w:cs="Arial"/>
                <w:color w:val="0D0D0D"/>
                <w:spacing w:val="-4"/>
                <w:lang w:val="en-GB"/>
              </w:rPr>
              <w:t>egion</w:t>
            </w:r>
            <w:r w:rsidR="00816D15" w:rsidRPr="00CB09D5">
              <w:rPr>
                <w:rFonts w:cs="Arial"/>
                <w:color w:val="0D0D0D"/>
                <w:spacing w:val="-4"/>
                <w:lang w:val="en-GB"/>
              </w:rPr>
              <w:t xml:space="preserve"> t</w:t>
            </w:r>
            <w:r w:rsidR="0040633F" w:rsidRPr="00CB09D5">
              <w:rPr>
                <w:rFonts w:cs="Arial"/>
                <w:color w:val="0D0D0D"/>
                <w:spacing w:val="-4"/>
                <w:lang w:val="en-GB"/>
              </w:rPr>
              <w:t>he most in the CR</w:t>
            </w:r>
            <w:r w:rsidR="00E90D67" w:rsidRPr="00CB09D5">
              <w:rPr>
                <w:rFonts w:cs="Arial"/>
                <w:color w:val="0D0D0D"/>
                <w:spacing w:val="-4"/>
                <w:lang w:val="en-GB"/>
              </w:rPr>
              <w:t xml:space="preserve">). </w:t>
            </w:r>
            <w:r w:rsidR="00C14A8D" w:rsidRPr="00CB09D5">
              <w:rPr>
                <w:rFonts w:cs="Arial"/>
                <w:color w:val="0D0D0D"/>
                <w:spacing w:val="-4"/>
                <w:lang w:val="en-GB"/>
              </w:rPr>
              <w:t xml:space="preserve">Less than two applicants per vacancy </w:t>
            </w:r>
            <w:r w:rsidR="00816D15" w:rsidRPr="00CB09D5">
              <w:rPr>
                <w:rFonts w:cs="Arial"/>
                <w:color w:val="0D0D0D"/>
                <w:spacing w:val="-4"/>
                <w:lang w:val="en-GB"/>
              </w:rPr>
              <w:t xml:space="preserve">were assigned </w:t>
            </w:r>
            <w:r w:rsidR="00C14A8D" w:rsidRPr="00CB09D5">
              <w:rPr>
                <w:rFonts w:cs="Arial"/>
                <w:color w:val="0D0D0D"/>
                <w:spacing w:val="-4"/>
                <w:lang w:val="en-GB"/>
              </w:rPr>
              <w:t xml:space="preserve">in Prague, </w:t>
            </w:r>
            <w:r w:rsidR="00D909FE">
              <w:rPr>
                <w:rFonts w:cs="Arial"/>
                <w:color w:val="0D0D0D"/>
                <w:spacing w:val="-4"/>
                <w:lang w:val="en-GB"/>
              </w:rPr>
              <w:t xml:space="preserve">the </w:t>
            </w:r>
            <w:proofErr w:type="spellStart"/>
            <w:r w:rsidR="00E90D67" w:rsidRPr="00CB09D5">
              <w:rPr>
                <w:rFonts w:cs="Arial"/>
                <w:color w:val="0D0D0D"/>
                <w:spacing w:val="-4"/>
                <w:lang w:val="en-GB"/>
              </w:rPr>
              <w:t>Plzeňsk</w:t>
            </w:r>
            <w:r w:rsidR="00C14A8D" w:rsidRPr="00CB09D5">
              <w:rPr>
                <w:rFonts w:cs="Arial"/>
                <w:color w:val="0D0D0D"/>
                <w:spacing w:val="-4"/>
                <w:lang w:val="en-GB"/>
              </w:rPr>
              <w:t>ý</w:t>
            </w:r>
            <w:proofErr w:type="spellEnd"/>
            <w:r w:rsidR="00C14A8D" w:rsidRPr="00CB09D5">
              <w:rPr>
                <w:rFonts w:cs="Arial"/>
                <w:color w:val="0D0D0D"/>
                <w:spacing w:val="-4"/>
                <w:lang w:val="en-GB"/>
              </w:rPr>
              <w:t xml:space="preserve"> and </w:t>
            </w:r>
            <w:r w:rsidR="00D909FE">
              <w:rPr>
                <w:rFonts w:cs="Arial"/>
                <w:color w:val="0D0D0D"/>
                <w:spacing w:val="-4"/>
                <w:lang w:val="en-GB"/>
              </w:rPr>
              <w:t xml:space="preserve">the </w:t>
            </w:r>
            <w:proofErr w:type="spellStart"/>
            <w:r w:rsidR="00C14A8D" w:rsidRPr="00CB09D5">
              <w:rPr>
                <w:rFonts w:cs="Arial"/>
                <w:color w:val="0D0D0D"/>
                <w:spacing w:val="-4"/>
                <w:lang w:val="en-GB"/>
              </w:rPr>
              <w:t>Pa</w:t>
            </w:r>
            <w:r w:rsidR="00E90D67" w:rsidRPr="00CB09D5">
              <w:rPr>
                <w:rFonts w:cs="Arial"/>
                <w:color w:val="0D0D0D"/>
                <w:spacing w:val="-4"/>
                <w:lang w:val="en-GB"/>
              </w:rPr>
              <w:t>rdubick</w:t>
            </w:r>
            <w:r w:rsidR="00AB2797" w:rsidRPr="00CB09D5">
              <w:rPr>
                <w:rFonts w:cs="Arial"/>
                <w:color w:val="0D0D0D"/>
                <w:spacing w:val="-4"/>
                <w:lang w:val="en-GB"/>
              </w:rPr>
              <w:t>ý</w:t>
            </w:r>
            <w:proofErr w:type="spellEnd"/>
            <w:r w:rsidR="00AB2797" w:rsidRPr="00CB09D5">
              <w:rPr>
                <w:rFonts w:cs="Arial"/>
                <w:color w:val="0D0D0D"/>
                <w:spacing w:val="-4"/>
                <w:lang w:val="en-GB"/>
              </w:rPr>
              <w:t xml:space="preserve"> R</w:t>
            </w:r>
            <w:r w:rsidR="00C14A8D" w:rsidRPr="00CB09D5">
              <w:rPr>
                <w:rFonts w:cs="Arial"/>
                <w:color w:val="0D0D0D"/>
                <w:spacing w:val="-4"/>
                <w:lang w:val="en-GB"/>
              </w:rPr>
              <w:t xml:space="preserve">egion. </w:t>
            </w:r>
            <w:r w:rsidR="00557E36" w:rsidRPr="00CB09D5">
              <w:rPr>
                <w:rFonts w:cs="Arial"/>
                <w:color w:val="0D0D0D"/>
                <w:spacing w:val="-4"/>
                <w:lang w:val="en-GB"/>
              </w:rPr>
              <w:t xml:space="preserve">The highest demand from the view of the qualification </w:t>
            </w:r>
            <w:r w:rsidR="00395A52" w:rsidRPr="00CB09D5">
              <w:rPr>
                <w:rFonts w:cs="Arial"/>
                <w:color w:val="0D0D0D"/>
                <w:spacing w:val="-4"/>
                <w:lang w:val="en-GB"/>
              </w:rPr>
              <w:t>levels was thus for specialists</w:t>
            </w:r>
            <w:r w:rsidR="00D177E9">
              <w:rPr>
                <w:rFonts w:cs="Arial"/>
                <w:color w:val="0D0D0D"/>
                <w:spacing w:val="-4"/>
                <w:lang w:val="en-GB"/>
              </w:rPr>
              <w:t xml:space="preserve"> or professionals</w:t>
            </w:r>
            <w:r w:rsidR="00395A52" w:rsidRPr="00CB09D5">
              <w:rPr>
                <w:rFonts w:cs="Arial"/>
                <w:color w:val="0D0D0D"/>
                <w:spacing w:val="-4"/>
                <w:lang w:val="en-GB"/>
              </w:rPr>
              <w:t xml:space="preserve"> </w:t>
            </w:r>
            <w:r w:rsidR="00E90D67" w:rsidRPr="00CB09D5">
              <w:rPr>
                <w:rFonts w:cs="Arial"/>
                <w:color w:val="0D0D0D"/>
                <w:spacing w:val="-4"/>
                <w:lang w:val="en-GB"/>
              </w:rPr>
              <w:t>(1</w:t>
            </w:r>
            <w:r w:rsidR="00395A52" w:rsidRPr="00CB09D5">
              <w:rPr>
                <w:rFonts w:cs="Arial"/>
                <w:color w:val="0D0D0D"/>
                <w:spacing w:val="-4"/>
                <w:lang w:val="en-GB"/>
              </w:rPr>
              <w:t>.</w:t>
            </w:r>
            <w:r w:rsidR="00E90D67" w:rsidRPr="00CB09D5">
              <w:rPr>
                <w:rFonts w:cs="Arial"/>
                <w:color w:val="0D0D0D"/>
                <w:spacing w:val="-4"/>
                <w:lang w:val="en-GB"/>
              </w:rPr>
              <w:t xml:space="preserve">8), </w:t>
            </w:r>
            <w:r w:rsidR="00395A52" w:rsidRPr="00CB09D5">
              <w:rPr>
                <w:rFonts w:cs="Arial"/>
                <w:color w:val="0D0D0D"/>
                <w:spacing w:val="-4"/>
                <w:lang w:val="en-GB"/>
              </w:rPr>
              <w:t>craft and re</w:t>
            </w:r>
            <w:r w:rsidR="00D177E9">
              <w:rPr>
                <w:rFonts w:cs="Arial"/>
                <w:color w:val="0D0D0D"/>
                <w:spacing w:val="-4"/>
                <w:lang w:val="en-GB"/>
              </w:rPr>
              <w:t>lated trades workers</w:t>
            </w:r>
            <w:r w:rsidR="00395A52" w:rsidRPr="00CB09D5">
              <w:rPr>
                <w:rFonts w:cs="Arial"/>
                <w:color w:val="0D0D0D"/>
                <w:spacing w:val="-4"/>
                <w:lang w:val="en-GB"/>
              </w:rPr>
              <w:t xml:space="preserve"> </w:t>
            </w:r>
            <w:r w:rsidR="00E90D67" w:rsidRPr="00CB09D5">
              <w:rPr>
                <w:rFonts w:cs="Arial"/>
                <w:color w:val="0D0D0D"/>
                <w:spacing w:val="-4"/>
                <w:lang w:val="en-GB"/>
              </w:rPr>
              <w:t>(1</w:t>
            </w:r>
            <w:r w:rsidR="00395A52" w:rsidRPr="00CB09D5">
              <w:rPr>
                <w:rFonts w:cs="Arial"/>
                <w:color w:val="0D0D0D"/>
                <w:spacing w:val="-4"/>
                <w:lang w:val="en-GB"/>
              </w:rPr>
              <w:t>.</w:t>
            </w:r>
            <w:r w:rsidR="00E90D67" w:rsidRPr="00CB09D5">
              <w:rPr>
                <w:rFonts w:cs="Arial"/>
                <w:color w:val="0D0D0D"/>
                <w:spacing w:val="-4"/>
                <w:lang w:val="en-GB"/>
              </w:rPr>
              <w:t>7) a</w:t>
            </w:r>
            <w:r w:rsidR="00395A52" w:rsidRPr="00CB09D5">
              <w:rPr>
                <w:rFonts w:cs="Arial"/>
                <w:color w:val="0D0D0D"/>
                <w:spacing w:val="-4"/>
                <w:lang w:val="en-GB"/>
              </w:rPr>
              <w:t xml:space="preserve">nd </w:t>
            </w:r>
            <w:r w:rsidR="00D177E9">
              <w:rPr>
                <w:rFonts w:cs="Arial"/>
                <w:color w:val="0D0D0D"/>
                <w:spacing w:val="-4"/>
                <w:lang w:val="en-GB"/>
              </w:rPr>
              <w:t xml:space="preserve">plant </w:t>
            </w:r>
            <w:r w:rsidR="00395A52" w:rsidRPr="00CB09D5">
              <w:rPr>
                <w:lang w:val="en-GB"/>
              </w:rPr>
              <w:t>machine</w:t>
            </w:r>
            <w:r w:rsidR="00D177E9">
              <w:rPr>
                <w:lang w:val="en-GB"/>
              </w:rPr>
              <w:t xml:space="preserve"> </w:t>
            </w:r>
            <w:r w:rsidR="00395A52" w:rsidRPr="00CB09D5">
              <w:rPr>
                <w:lang w:val="en-GB"/>
              </w:rPr>
              <w:t>operators,</w:t>
            </w:r>
            <w:r w:rsidR="00536BCA" w:rsidRPr="00CB09D5">
              <w:rPr>
                <w:lang w:val="en-GB"/>
              </w:rPr>
              <w:t xml:space="preserve"> incl. assemblers (1.2</w:t>
            </w:r>
            <w:r w:rsidR="00395A52" w:rsidRPr="00CB09D5">
              <w:rPr>
                <w:lang w:val="en-GB"/>
              </w:rPr>
              <w:t xml:space="preserve">%). The situation of </w:t>
            </w:r>
            <w:r w:rsidR="00D62CB2" w:rsidRPr="00CB09D5">
              <w:rPr>
                <w:lang w:val="en-GB"/>
              </w:rPr>
              <w:t xml:space="preserve">assisting and unskilled workers </w:t>
            </w:r>
            <w:r w:rsidR="00D177E9">
              <w:rPr>
                <w:lang w:val="en-GB"/>
              </w:rPr>
              <w:t xml:space="preserve">in elementary occupations </w:t>
            </w:r>
            <w:r w:rsidR="00D62CB2" w:rsidRPr="00CB09D5">
              <w:rPr>
                <w:lang w:val="en-GB"/>
              </w:rPr>
              <w:t>also improved year-on-year, despite their share on the total job app</w:t>
            </w:r>
            <w:r w:rsidR="00536BCA" w:rsidRPr="00CB09D5">
              <w:rPr>
                <w:lang w:val="en-GB"/>
              </w:rPr>
              <w:t>licants increasing to nearly 30</w:t>
            </w:r>
            <w:r w:rsidR="00D62CB2" w:rsidRPr="00CB09D5">
              <w:rPr>
                <w:lang w:val="en-GB"/>
              </w:rPr>
              <w:t xml:space="preserve">%. </w:t>
            </w:r>
            <w:r w:rsidR="00E90D67" w:rsidRPr="00CB09D5">
              <w:rPr>
                <w:rFonts w:cs="Arial"/>
                <w:color w:val="0D0D0D"/>
                <w:spacing w:val="-4"/>
                <w:lang w:val="en-GB"/>
              </w:rPr>
              <w:t xml:space="preserve"> </w:t>
            </w:r>
          </w:p>
          <w:p w:rsidR="00E90D67" w:rsidRPr="00CB09D5" w:rsidRDefault="00E90D67" w:rsidP="008A03DE">
            <w:pPr>
              <w:pStyle w:val="Textpoznpodarou"/>
              <w:jc w:val="both"/>
              <w:rPr>
                <w:rFonts w:cs="Arial"/>
                <w:color w:val="0D0D0D"/>
                <w:spacing w:val="-2"/>
                <w:sz w:val="13"/>
                <w:szCs w:val="13"/>
                <w:lang w:val="en-GB"/>
              </w:rPr>
            </w:pPr>
          </w:p>
        </w:tc>
      </w:tr>
      <w:tr w:rsidR="00E90D67" w:rsidRPr="00CB09D5" w:rsidTr="008A03DE">
        <w:tc>
          <w:tcPr>
            <w:tcW w:w="1057" w:type="pct"/>
          </w:tcPr>
          <w:p w:rsidR="00E90D67" w:rsidRPr="00CB09D5" w:rsidRDefault="00DD10F4"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Good financial situation of businesses as well as the growing obstacles </w:t>
            </w:r>
            <w:r w:rsidR="00056A90" w:rsidRPr="00CB09D5">
              <w:rPr>
                <w:rFonts w:cs="Arial"/>
                <w:bCs/>
                <w:iCs/>
                <w:color w:val="0D0D0D"/>
                <w:spacing w:val="-2"/>
                <w:sz w:val="16"/>
                <w:szCs w:val="16"/>
                <w:lang w:val="en-GB"/>
              </w:rPr>
              <w:t>to find new workers pressed on the incr</w:t>
            </w:r>
            <w:r w:rsidR="00536BCA" w:rsidRPr="00CB09D5">
              <w:rPr>
                <w:rFonts w:cs="Arial"/>
                <w:bCs/>
                <w:iCs/>
                <w:color w:val="0D0D0D"/>
                <w:spacing w:val="-2"/>
                <w:sz w:val="16"/>
                <w:szCs w:val="16"/>
                <w:lang w:val="en-GB"/>
              </w:rPr>
              <w:t>ease of wages. They rose by 4.2</w:t>
            </w:r>
            <w:r w:rsidR="00056A90" w:rsidRPr="00CB09D5">
              <w:rPr>
                <w:rFonts w:cs="Arial"/>
                <w:bCs/>
                <w:iCs/>
                <w:color w:val="0D0D0D"/>
                <w:spacing w:val="-2"/>
                <w:sz w:val="16"/>
                <w:szCs w:val="16"/>
                <w:lang w:val="en-GB"/>
              </w:rPr>
              <w:t xml:space="preserve">% last year, the most since </w:t>
            </w:r>
            <w:r w:rsidR="00AB2797" w:rsidRPr="00CB09D5">
              <w:rPr>
                <w:rFonts w:cs="Arial"/>
                <w:bCs/>
                <w:iCs/>
                <w:color w:val="0D0D0D"/>
                <w:spacing w:val="-2"/>
                <w:sz w:val="16"/>
                <w:szCs w:val="16"/>
                <w:lang w:val="en-GB"/>
              </w:rPr>
              <w:t xml:space="preserve">the </w:t>
            </w:r>
            <w:r w:rsidR="00056A90" w:rsidRPr="00CB09D5">
              <w:rPr>
                <w:rFonts w:cs="Arial"/>
                <w:bCs/>
                <w:iCs/>
                <w:color w:val="0D0D0D"/>
                <w:spacing w:val="-2"/>
                <w:sz w:val="16"/>
                <w:szCs w:val="16"/>
                <w:lang w:val="en-GB"/>
              </w:rPr>
              <w:t>year 2008</w:t>
            </w:r>
            <w:r w:rsidR="00E90D67" w:rsidRPr="00CB09D5">
              <w:rPr>
                <w:rFonts w:cs="Arial"/>
                <w:bCs/>
                <w:iCs/>
                <w:color w:val="0D0D0D"/>
                <w:spacing w:val="-2"/>
                <w:sz w:val="16"/>
                <w:szCs w:val="16"/>
                <w:lang w:val="en-GB"/>
              </w:rPr>
              <w:t>.</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8A1662" w:rsidP="008A03DE">
            <w:pPr>
              <w:pStyle w:val="Textpoznpodarou"/>
              <w:jc w:val="both"/>
              <w:rPr>
                <w:rFonts w:cs="Arial"/>
                <w:color w:val="0D0D0D"/>
                <w:spacing w:val="-4"/>
                <w:lang w:val="en-GB"/>
              </w:rPr>
            </w:pPr>
            <w:r w:rsidRPr="00CB09D5">
              <w:rPr>
                <w:rFonts w:cs="Arial"/>
                <w:color w:val="0D0D0D"/>
                <w:spacing w:val="-4"/>
                <w:lang w:val="en-GB"/>
              </w:rPr>
              <w:t xml:space="preserve">Continuing growth of the economy, lasting positive outlook in key branches, loose budget policy of the state and last but not least, the growing lack of labour </w:t>
            </w:r>
            <w:r w:rsidR="00423C04" w:rsidRPr="00CB09D5">
              <w:rPr>
                <w:rFonts w:cs="Arial"/>
                <w:color w:val="0D0D0D"/>
                <w:spacing w:val="-4"/>
                <w:lang w:val="en-GB"/>
              </w:rPr>
              <w:t>(</w:t>
            </w:r>
            <w:r w:rsidR="00E23DA4" w:rsidRPr="00CB09D5">
              <w:rPr>
                <w:rFonts w:cs="Arial"/>
                <w:color w:val="0D0D0D"/>
                <w:spacing w:val="-4"/>
                <w:lang w:val="en-GB"/>
              </w:rPr>
              <w:t xml:space="preserve">due to the low and still falling unemployment) pushed the growth of the earnings up. The average gross wage (reflecting the length of employee </w:t>
            </w:r>
            <w:r w:rsidR="00536BCA" w:rsidRPr="00CB09D5">
              <w:rPr>
                <w:rFonts w:cs="Arial"/>
                <w:color w:val="0D0D0D"/>
                <w:spacing w:val="-4"/>
                <w:lang w:val="en-GB"/>
              </w:rPr>
              <w:t>job contracts) increased by 4.2</w:t>
            </w:r>
            <w:r w:rsidR="00E23DA4" w:rsidRPr="00CB09D5">
              <w:rPr>
                <w:rFonts w:cs="Arial"/>
                <w:color w:val="0D0D0D"/>
                <w:spacing w:val="-4"/>
                <w:lang w:val="en-GB"/>
              </w:rPr>
              <w:t xml:space="preserve">% last year compared to </w:t>
            </w:r>
            <w:r w:rsidR="00AB2797" w:rsidRPr="00CB09D5">
              <w:rPr>
                <w:rFonts w:cs="Arial"/>
                <w:color w:val="0D0D0D"/>
                <w:spacing w:val="-4"/>
                <w:lang w:val="en-GB"/>
              </w:rPr>
              <w:t xml:space="preserve">the </w:t>
            </w:r>
            <w:r w:rsidR="00E23DA4" w:rsidRPr="00CB09D5">
              <w:rPr>
                <w:rFonts w:cs="Arial"/>
                <w:color w:val="0D0D0D"/>
                <w:spacing w:val="-4"/>
                <w:lang w:val="en-GB"/>
              </w:rPr>
              <w:t xml:space="preserve">year 2015 </w:t>
            </w:r>
            <w:r w:rsidR="00E90D67" w:rsidRPr="00CB09D5">
              <w:rPr>
                <w:rFonts w:cs="Arial"/>
                <w:color w:val="0D0D0D"/>
                <w:spacing w:val="-4"/>
                <w:lang w:val="en-GB"/>
              </w:rPr>
              <w:t>(nomin</w:t>
            </w:r>
            <w:r w:rsidR="00E23DA4" w:rsidRPr="00CB09D5">
              <w:rPr>
                <w:rFonts w:cs="Arial"/>
                <w:color w:val="0D0D0D"/>
                <w:spacing w:val="-4"/>
                <w:lang w:val="en-GB"/>
              </w:rPr>
              <w:t>al growth of wage stayed closely below th</w:t>
            </w:r>
            <w:r w:rsidR="00536BCA" w:rsidRPr="00CB09D5">
              <w:rPr>
                <w:rFonts w:cs="Arial"/>
                <w:color w:val="0D0D0D"/>
                <w:spacing w:val="-4"/>
                <w:lang w:val="en-GB"/>
              </w:rPr>
              <w:t>e 3</w:t>
            </w:r>
            <w:r w:rsidR="00E23DA4" w:rsidRPr="00CB09D5">
              <w:rPr>
                <w:rFonts w:cs="Arial"/>
                <w:color w:val="0D0D0D"/>
                <w:spacing w:val="-4"/>
                <w:lang w:val="en-GB"/>
              </w:rPr>
              <w:t xml:space="preserve">% in </w:t>
            </w:r>
            <w:r w:rsidR="00AB2797" w:rsidRPr="00CB09D5">
              <w:rPr>
                <w:rFonts w:cs="Arial"/>
                <w:color w:val="0D0D0D"/>
                <w:spacing w:val="-4"/>
                <w:lang w:val="en-GB"/>
              </w:rPr>
              <w:t xml:space="preserve">the </w:t>
            </w:r>
            <w:r w:rsidR="00E23DA4" w:rsidRPr="00CB09D5">
              <w:rPr>
                <w:rFonts w:cs="Arial"/>
                <w:color w:val="0D0D0D"/>
                <w:spacing w:val="-4"/>
                <w:lang w:val="en-GB"/>
              </w:rPr>
              <w:t>years 2014 and 2015 at the same time</w:t>
            </w:r>
            <w:r w:rsidR="008173D2">
              <w:rPr>
                <w:rFonts w:cs="Arial"/>
                <w:color w:val="0D0D0D"/>
                <w:spacing w:val="-4"/>
                <w:lang w:val="en-GB"/>
              </w:rPr>
              <w:t>)</w:t>
            </w:r>
            <w:r w:rsidR="00E23DA4" w:rsidRPr="00CB09D5">
              <w:rPr>
                <w:rFonts w:cs="Arial"/>
                <w:color w:val="0D0D0D"/>
                <w:spacing w:val="-4"/>
                <w:lang w:val="en-GB"/>
              </w:rPr>
              <w:t xml:space="preserve">. Year-on-year rates of growth of wages however did not signal an upward trend anymore within the last </w:t>
            </w:r>
            <w:r w:rsidR="00536BCA" w:rsidRPr="00CB09D5">
              <w:rPr>
                <w:rFonts w:cs="Arial"/>
                <w:color w:val="0D0D0D"/>
                <w:spacing w:val="-4"/>
                <w:lang w:val="en-GB"/>
              </w:rPr>
              <w:t>year (the growth arrived at 4.2</w:t>
            </w:r>
            <w:r w:rsidR="00E23DA4" w:rsidRPr="00CB09D5">
              <w:rPr>
                <w:rFonts w:cs="Arial"/>
                <w:color w:val="0D0D0D"/>
                <w:spacing w:val="-4"/>
                <w:lang w:val="en-GB"/>
              </w:rPr>
              <w:t xml:space="preserve">% in the Q4 itself). </w:t>
            </w:r>
            <w:r w:rsidR="00732F10" w:rsidRPr="00CB09D5">
              <w:rPr>
                <w:rFonts w:cs="Arial"/>
                <w:color w:val="0D0D0D"/>
                <w:spacing w:val="-4"/>
                <w:lang w:val="en-GB"/>
              </w:rPr>
              <w:t xml:space="preserve">High growth </w:t>
            </w:r>
            <w:r w:rsidR="00536BCA" w:rsidRPr="00CB09D5">
              <w:rPr>
                <w:rFonts w:cs="Arial"/>
                <w:color w:val="0D0D0D"/>
                <w:spacing w:val="-4"/>
                <w:lang w:val="en-GB"/>
              </w:rPr>
              <w:t>of the number of employees (1.8</w:t>
            </w:r>
            <w:r w:rsidR="00732F10" w:rsidRPr="00CB09D5">
              <w:rPr>
                <w:rFonts w:cs="Arial"/>
                <w:color w:val="0D0D0D"/>
                <w:spacing w:val="-4"/>
                <w:lang w:val="en-GB"/>
              </w:rPr>
              <w:t>%) prevented the acceleration of the average wages, with a significant part being concentrated into the branches with the below</w:t>
            </w:r>
            <w:r w:rsidR="003460E3" w:rsidRPr="00CB09D5">
              <w:rPr>
                <w:rFonts w:cs="Arial"/>
                <w:color w:val="0D0D0D"/>
                <w:spacing w:val="-4"/>
                <w:lang w:val="en-GB"/>
              </w:rPr>
              <w:t xml:space="preserve"> </w:t>
            </w:r>
            <w:r w:rsidR="00732F10" w:rsidRPr="00CB09D5">
              <w:rPr>
                <w:rFonts w:cs="Arial"/>
                <w:color w:val="0D0D0D"/>
                <w:spacing w:val="-4"/>
                <w:lang w:val="en-GB"/>
              </w:rPr>
              <w:t>average level of wages (trade,</w:t>
            </w:r>
            <w:r w:rsidR="003E6EB0" w:rsidRPr="00CB09D5">
              <w:rPr>
                <w:rFonts w:cs="Arial"/>
                <w:color w:val="0D0D0D"/>
                <w:spacing w:val="-4"/>
                <w:lang w:val="en-GB"/>
              </w:rPr>
              <w:t xml:space="preserve"> transportation and </w:t>
            </w:r>
            <w:r w:rsidR="003460E3" w:rsidRPr="00CB09D5">
              <w:rPr>
                <w:rFonts w:cs="Arial"/>
                <w:color w:val="0D0D0D"/>
                <w:spacing w:val="-4"/>
                <w:lang w:val="en-GB"/>
              </w:rPr>
              <w:t>storage</w:t>
            </w:r>
            <w:r w:rsidR="00E90D67" w:rsidRPr="00CB09D5">
              <w:rPr>
                <w:rFonts w:cs="Arial"/>
                <w:color w:val="0D0D0D"/>
                <w:spacing w:val="-4"/>
                <w:lang w:val="en-GB"/>
              </w:rPr>
              <w:t xml:space="preserve">, </w:t>
            </w:r>
            <w:r w:rsidR="003E6EB0" w:rsidRPr="00CB09D5">
              <w:rPr>
                <w:rFonts w:cs="Arial"/>
                <w:color w:val="0D0D0D"/>
                <w:spacing w:val="-4"/>
                <w:lang w:val="en-GB"/>
              </w:rPr>
              <w:t xml:space="preserve">real estate activities, </w:t>
            </w:r>
            <w:r w:rsidR="00E90D67" w:rsidRPr="00CB09D5">
              <w:rPr>
                <w:rFonts w:cs="Arial"/>
                <w:color w:val="0D0D0D"/>
                <w:spacing w:val="-4"/>
                <w:lang w:val="en-GB"/>
              </w:rPr>
              <w:t>administrativ</w:t>
            </w:r>
            <w:r w:rsidR="003460E3" w:rsidRPr="00CB09D5">
              <w:rPr>
                <w:rFonts w:cs="Arial"/>
                <w:color w:val="0D0D0D"/>
                <w:spacing w:val="-4"/>
                <w:lang w:val="en-GB"/>
              </w:rPr>
              <w:t>e and support service activities</w:t>
            </w:r>
            <w:r w:rsidR="00E90D67" w:rsidRPr="00CB09D5">
              <w:rPr>
                <w:rFonts w:cs="Arial"/>
                <w:color w:val="0D0D0D"/>
                <w:spacing w:val="-4"/>
                <w:lang w:val="en-GB"/>
              </w:rPr>
              <w:t xml:space="preserve">). </w:t>
            </w:r>
          </w:p>
          <w:p w:rsidR="00E90D67" w:rsidRPr="00CB09D5" w:rsidRDefault="00E90D67" w:rsidP="008A03DE">
            <w:pPr>
              <w:pStyle w:val="Textpoznpodarou"/>
              <w:jc w:val="both"/>
              <w:rPr>
                <w:rFonts w:cs="Arial"/>
                <w:color w:val="0D0D0D"/>
                <w:spacing w:val="-2"/>
                <w:sz w:val="13"/>
                <w:szCs w:val="13"/>
                <w:lang w:val="en-GB"/>
              </w:rPr>
            </w:pPr>
          </w:p>
        </w:tc>
      </w:tr>
      <w:tr w:rsidR="00E90D67" w:rsidRPr="00CB09D5" w:rsidTr="008A03DE">
        <w:tc>
          <w:tcPr>
            <w:tcW w:w="1057" w:type="pct"/>
          </w:tcPr>
          <w:p w:rsidR="00E90D67" w:rsidRPr="00CB09D5" w:rsidRDefault="00775219"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Vast majority of branches recorded a more favourable year-on-year rate of growth of the average wages than in 2015, with the exception of mining and quarrying, construction and also the real estate activities.</w:t>
            </w:r>
          </w:p>
          <w:p w:rsidR="00E90D67" w:rsidRPr="00CB09D5" w:rsidRDefault="00E90D67" w:rsidP="008A03DE">
            <w:pPr>
              <w:spacing w:line="240" w:lineRule="auto"/>
              <w:rPr>
                <w:rFonts w:cs="Arial"/>
                <w:bCs/>
                <w:iCs/>
                <w:color w:val="0D0D0D"/>
                <w:spacing w:val="-4"/>
                <w:sz w:val="16"/>
                <w:szCs w:val="16"/>
                <w:lang w:val="en-GB"/>
              </w:rPr>
            </w:pPr>
          </w:p>
          <w:p w:rsidR="00E90D67" w:rsidRPr="00CB09D5" w:rsidRDefault="00E90D67" w:rsidP="008A03DE">
            <w:pPr>
              <w:spacing w:line="240" w:lineRule="auto"/>
              <w:rPr>
                <w:rFonts w:cs="Arial"/>
                <w:bCs/>
                <w:iCs/>
                <w:color w:val="0D0D0D"/>
                <w:spacing w:val="-4"/>
                <w:sz w:val="10"/>
                <w:szCs w:val="10"/>
                <w:lang w:val="en-GB"/>
              </w:rPr>
            </w:pPr>
          </w:p>
          <w:p w:rsidR="00E90D67" w:rsidRPr="00CB09D5" w:rsidRDefault="00E90D67" w:rsidP="008A03DE">
            <w:pPr>
              <w:spacing w:line="240" w:lineRule="auto"/>
              <w:rPr>
                <w:rFonts w:cs="Arial"/>
                <w:bCs/>
                <w:iCs/>
                <w:color w:val="0D0D0D"/>
                <w:spacing w:val="-4"/>
                <w:sz w:val="16"/>
                <w:szCs w:val="16"/>
                <w:lang w:val="en-GB"/>
              </w:rPr>
            </w:pPr>
          </w:p>
          <w:p w:rsidR="000E4241" w:rsidRPr="00CB09D5" w:rsidRDefault="000E4241" w:rsidP="008A03DE">
            <w:pPr>
              <w:spacing w:line="240" w:lineRule="auto"/>
              <w:rPr>
                <w:rFonts w:cs="Arial"/>
                <w:bCs/>
                <w:iCs/>
                <w:color w:val="0D0D0D"/>
                <w:spacing w:val="-4"/>
                <w:sz w:val="16"/>
                <w:szCs w:val="16"/>
                <w:lang w:val="en-GB"/>
              </w:rPr>
            </w:pPr>
          </w:p>
          <w:p w:rsidR="000E4241" w:rsidRPr="00CB09D5" w:rsidRDefault="000E4241" w:rsidP="008A03DE">
            <w:pPr>
              <w:spacing w:line="240" w:lineRule="auto"/>
              <w:rPr>
                <w:rFonts w:cs="Arial"/>
                <w:bCs/>
                <w:iCs/>
                <w:color w:val="0D0D0D"/>
                <w:spacing w:val="-4"/>
                <w:sz w:val="16"/>
                <w:szCs w:val="16"/>
                <w:lang w:val="en-GB"/>
              </w:rPr>
            </w:pPr>
          </w:p>
          <w:p w:rsidR="000E4241" w:rsidRPr="00CB09D5" w:rsidRDefault="000E4241" w:rsidP="008A03DE">
            <w:pPr>
              <w:spacing w:line="240" w:lineRule="auto"/>
              <w:rPr>
                <w:rFonts w:cs="Arial"/>
                <w:bCs/>
                <w:iCs/>
                <w:color w:val="0D0D0D"/>
                <w:spacing w:val="-4"/>
                <w:sz w:val="16"/>
                <w:szCs w:val="16"/>
                <w:lang w:val="en-GB"/>
              </w:rPr>
            </w:pPr>
          </w:p>
          <w:p w:rsidR="000E4241" w:rsidRPr="00CB09D5" w:rsidRDefault="000E4241" w:rsidP="008A03DE">
            <w:pPr>
              <w:spacing w:line="240" w:lineRule="auto"/>
              <w:rPr>
                <w:rFonts w:cs="Arial"/>
                <w:bCs/>
                <w:iCs/>
                <w:color w:val="0D0D0D"/>
                <w:spacing w:val="-4"/>
                <w:sz w:val="16"/>
                <w:szCs w:val="16"/>
                <w:lang w:val="en-GB"/>
              </w:rPr>
            </w:pPr>
          </w:p>
          <w:p w:rsidR="00E90D67" w:rsidRPr="00CB09D5" w:rsidRDefault="00E90D67" w:rsidP="008A03DE">
            <w:pPr>
              <w:spacing w:line="240" w:lineRule="auto"/>
              <w:rPr>
                <w:rFonts w:cs="Arial"/>
                <w:bCs/>
                <w:iCs/>
                <w:color w:val="0D0D0D"/>
                <w:spacing w:val="-4"/>
                <w:sz w:val="10"/>
                <w:szCs w:val="10"/>
                <w:lang w:val="en-GB"/>
              </w:rPr>
            </w:pPr>
          </w:p>
          <w:p w:rsidR="00E90D67" w:rsidRPr="00CB09D5" w:rsidRDefault="0086405D"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 xml:space="preserve">Wage median grew more dynamically than the average wage already sixth quarter in a row. </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176C72" w:rsidP="008173D2">
            <w:pPr>
              <w:pStyle w:val="Textpoznpodarou"/>
              <w:jc w:val="both"/>
              <w:rPr>
                <w:color w:val="0D0D0D"/>
                <w:spacing w:val="-4"/>
                <w:lang w:val="en-GB"/>
              </w:rPr>
            </w:pPr>
            <w:r w:rsidRPr="00CB09D5">
              <w:rPr>
                <w:rFonts w:cs="Arial"/>
                <w:color w:val="0D0D0D"/>
                <w:spacing w:val="-4"/>
                <w:lang w:val="en-GB"/>
              </w:rPr>
              <w:t>Average wage increased</w:t>
            </w:r>
            <w:r w:rsidR="008173D2">
              <w:rPr>
                <w:rFonts w:cs="Arial"/>
                <w:color w:val="0D0D0D"/>
                <w:spacing w:val="-4"/>
                <w:lang w:val="en-GB"/>
              </w:rPr>
              <w:t xml:space="preserve"> in </w:t>
            </w:r>
            <w:r w:rsidRPr="00CB09D5">
              <w:rPr>
                <w:rFonts w:cs="Arial"/>
                <w:color w:val="0D0D0D"/>
                <w:spacing w:val="-4"/>
                <w:lang w:val="en-GB"/>
              </w:rPr>
              <w:t>all branc</w:t>
            </w:r>
            <w:r w:rsidR="00004CAA" w:rsidRPr="00CB09D5">
              <w:rPr>
                <w:rFonts w:cs="Arial"/>
                <w:color w:val="0D0D0D"/>
                <w:spacing w:val="-4"/>
                <w:lang w:val="en-GB"/>
              </w:rPr>
              <w:t>h</w:t>
            </w:r>
            <w:r w:rsidRPr="00CB09D5">
              <w:rPr>
                <w:rFonts w:cs="Arial"/>
                <w:color w:val="0D0D0D"/>
                <w:spacing w:val="-4"/>
                <w:lang w:val="en-GB"/>
              </w:rPr>
              <w:t>es except for</w:t>
            </w:r>
            <w:r w:rsidR="00536BCA" w:rsidRPr="00CB09D5">
              <w:rPr>
                <w:rFonts w:cs="Arial"/>
                <w:color w:val="0D0D0D"/>
                <w:spacing w:val="-4"/>
                <w:lang w:val="en-GB"/>
              </w:rPr>
              <w:t xml:space="preserve"> the mining and quarrying (-0.5</w:t>
            </w:r>
            <w:r w:rsidRPr="00CB09D5">
              <w:rPr>
                <w:rFonts w:cs="Arial"/>
                <w:color w:val="0D0D0D"/>
                <w:spacing w:val="-4"/>
                <w:lang w:val="en-GB"/>
              </w:rPr>
              <w:t xml:space="preserve">%) last year, where it was in addition accompanied by a </w:t>
            </w:r>
            <w:r w:rsidR="009C41EA" w:rsidRPr="00CB09D5">
              <w:rPr>
                <w:rFonts w:cs="Arial"/>
                <w:color w:val="0D0D0D"/>
                <w:spacing w:val="-4"/>
                <w:lang w:val="en-GB"/>
              </w:rPr>
              <w:t xml:space="preserve">considerable </w:t>
            </w:r>
            <w:r w:rsidRPr="00CB09D5">
              <w:rPr>
                <w:rFonts w:cs="Arial"/>
                <w:color w:val="0D0D0D"/>
                <w:spacing w:val="-4"/>
                <w:lang w:val="en-GB"/>
              </w:rPr>
              <w:t>reduction o</w:t>
            </w:r>
            <w:r w:rsidR="00536BCA" w:rsidRPr="00CB09D5">
              <w:rPr>
                <w:rFonts w:cs="Arial"/>
                <w:color w:val="0D0D0D"/>
                <w:spacing w:val="-4"/>
                <w:lang w:val="en-GB"/>
              </w:rPr>
              <w:t>f the number of employees (by 6</w:t>
            </w:r>
            <w:r w:rsidRPr="00CB09D5">
              <w:rPr>
                <w:rFonts w:cs="Arial"/>
                <w:color w:val="0D0D0D"/>
                <w:spacing w:val="-4"/>
                <w:lang w:val="en-GB"/>
              </w:rPr>
              <w:t xml:space="preserve">%). </w:t>
            </w:r>
            <w:r w:rsidR="003138E0" w:rsidRPr="00CB09D5">
              <w:rPr>
                <w:rFonts w:cs="Arial"/>
                <w:color w:val="0D0D0D"/>
                <w:spacing w:val="-4"/>
                <w:lang w:val="en-GB"/>
              </w:rPr>
              <w:t>The strongest growth of wages occurred in accommodation</w:t>
            </w:r>
            <w:r w:rsidR="008173D2">
              <w:rPr>
                <w:rFonts w:cs="Arial"/>
                <w:color w:val="0D0D0D"/>
                <w:spacing w:val="-4"/>
                <w:lang w:val="en-GB"/>
              </w:rPr>
              <w:t xml:space="preserve"> and</w:t>
            </w:r>
            <w:r w:rsidR="003138E0" w:rsidRPr="00CB09D5">
              <w:rPr>
                <w:rFonts w:cs="Arial"/>
                <w:color w:val="0D0D0D"/>
                <w:spacing w:val="-4"/>
                <w:lang w:val="en-GB"/>
              </w:rPr>
              <w:t xml:space="preserve"> food service activities </w:t>
            </w:r>
            <w:r w:rsidR="00E90D67" w:rsidRPr="00CB09D5">
              <w:rPr>
                <w:rFonts w:cs="Arial"/>
                <w:color w:val="0D0D0D"/>
                <w:spacing w:val="-4"/>
                <w:lang w:val="en-GB"/>
              </w:rPr>
              <w:t>(+7</w:t>
            </w:r>
            <w:r w:rsidR="003138E0" w:rsidRPr="00CB09D5">
              <w:rPr>
                <w:rFonts w:cs="Arial"/>
                <w:color w:val="0D0D0D"/>
                <w:spacing w:val="-4"/>
                <w:lang w:val="en-GB"/>
              </w:rPr>
              <w:t>.</w:t>
            </w:r>
            <w:r w:rsidR="00215CC3" w:rsidRPr="00CB09D5">
              <w:rPr>
                <w:rFonts w:cs="Arial"/>
                <w:color w:val="0D0D0D"/>
                <w:spacing w:val="-4"/>
                <w:lang w:val="en-GB"/>
              </w:rPr>
              <w:t>2</w:t>
            </w:r>
            <w:r w:rsidR="00E90D67" w:rsidRPr="00CB09D5">
              <w:rPr>
                <w:rFonts w:cs="Arial"/>
                <w:color w:val="0D0D0D"/>
                <w:spacing w:val="-4"/>
                <w:lang w:val="en-GB"/>
              </w:rPr>
              <w:t xml:space="preserve">%) </w:t>
            </w:r>
            <w:r w:rsidR="003138E0" w:rsidRPr="00CB09D5">
              <w:rPr>
                <w:rFonts w:cs="Arial"/>
                <w:color w:val="0D0D0D"/>
                <w:spacing w:val="-4"/>
                <w:lang w:val="en-GB"/>
              </w:rPr>
              <w:t xml:space="preserve">pulled for the most part by the growth of the minimal wage (by </w:t>
            </w:r>
            <w:r w:rsidR="00E90D67" w:rsidRPr="00CB09D5">
              <w:rPr>
                <w:rFonts w:cs="Arial"/>
                <w:color w:val="0D0D0D"/>
                <w:spacing w:val="-4"/>
                <w:lang w:val="en-GB"/>
              </w:rPr>
              <w:t xml:space="preserve">1100 </w:t>
            </w:r>
            <w:r w:rsidR="003138E0" w:rsidRPr="00CB09D5">
              <w:rPr>
                <w:rFonts w:cs="Arial"/>
                <w:color w:val="0D0D0D"/>
                <w:spacing w:val="-4"/>
                <w:lang w:val="en-GB"/>
              </w:rPr>
              <w:t>crowns</w:t>
            </w:r>
            <w:r w:rsidR="00E90D67" w:rsidRPr="00CB09D5">
              <w:rPr>
                <w:rFonts w:cs="Arial"/>
                <w:color w:val="0D0D0D"/>
                <w:spacing w:val="-4"/>
                <w:lang w:val="en-GB"/>
              </w:rPr>
              <w:t xml:space="preserve">). </w:t>
            </w:r>
            <w:r w:rsidR="003138E0" w:rsidRPr="00CB09D5">
              <w:rPr>
                <w:rFonts w:cs="Arial"/>
                <w:color w:val="0D0D0D"/>
                <w:spacing w:val="-4"/>
                <w:lang w:val="en-GB"/>
              </w:rPr>
              <w:t>In the absolute expression, the wages of employees in information and communication improved the most (by 1687 crowns)</w:t>
            </w:r>
            <w:proofErr w:type="gramStart"/>
            <w:r w:rsidR="003138E0" w:rsidRPr="00CB09D5">
              <w:rPr>
                <w:rFonts w:cs="Arial"/>
                <w:color w:val="0D0D0D"/>
                <w:spacing w:val="-4"/>
                <w:lang w:val="en-GB"/>
              </w:rPr>
              <w:t>,</w:t>
            </w:r>
            <w:proofErr w:type="gramEnd"/>
            <w:r w:rsidR="003138E0" w:rsidRPr="00CB09D5">
              <w:rPr>
                <w:rFonts w:cs="Arial"/>
                <w:color w:val="0D0D0D"/>
                <w:spacing w:val="-4"/>
                <w:lang w:val="en-GB"/>
              </w:rPr>
              <w:t xml:space="preserve"> the average wage here crossed the 50 thousand boundary similarly to the</w:t>
            </w:r>
            <w:r w:rsidR="00004CAA" w:rsidRPr="00CB09D5">
              <w:rPr>
                <w:rFonts w:cs="Arial"/>
                <w:color w:val="0D0D0D"/>
                <w:spacing w:val="-4"/>
                <w:lang w:val="en-GB"/>
              </w:rPr>
              <w:t xml:space="preserve"> </w:t>
            </w:r>
            <w:r w:rsidR="00AE76E4" w:rsidRPr="00CB09D5">
              <w:rPr>
                <w:rFonts w:cs="Arial"/>
                <w:color w:val="0D0D0D"/>
                <w:spacing w:val="-4"/>
                <w:lang w:val="en-GB"/>
              </w:rPr>
              <w:t>financial and insurance</w:t>
            </w:r>
            <w:r w:rsidR="008173D2">
              <w:rPr>
                <w:rFonts w:cs="Arial"/>
                <w:color w:val="0D0D0D"/>
                <w:spacing w:val="-4"/>
                <w:lang w:val="en-GB"/>
              </w:rPr>
              <w:t xml:space="preserve"> activities</w:t>
            </w:r>
            <w:r w:rsidR="00E90D67" w:rsidRPr="00CB09D5">
              <w:rPr>
                <w:rFonts w:cs="Arial"/>
                <w:color w:val="0D0D0D"/>
                <w:spacing w:val="-4"/>
                <w:lang w:val="en-GB"/>
              </w:rPr>
              <w:t xml:space="preserve">. </w:t>
            </w:r>
            <w:r w:rsidR="00004CAA" w:rsidRPr="00CB09D5">
              <w:rPr>
                <w:rFonts w:cs="Arial"/>
                <w:color w:val="0D0D0D"/>
                <w:spacing w:val="-4"/>
                <w:lang w:val="en-GB"/>
              </w:rPr>
              <w:t>In the weight significant manufacturing the growth of wages copied (</w:t>
            </w:r>
            <w:r w:rsidR="00A23DE5" w:rsidRPr="00CB09D5">
              <w:rPr>
                <w:rFonts w:cs="Arial"/>
                <w:color w:val="0D0D0D"/>
                <w:spacing w:val="-4"/>
                <w:lang w:val="en-GB"/>
              </w:rPr>
              <w:t>similarly</w:t>
            </w:r>
            <w:r w:rsidR="00004CAA" w:rsidRPr="00CB09D5">
              <w:rPr>
                <w:rFonts w:cs="Arial"/>
                <w:color w:val="0D0D0D"/>
                <w:spacing w:val="-4"/>
                <w:lang w:val="en-GB"/>
              </w:rPr>
              <w:t xml:space="preserve"> to </w:t>
            </w:r>
            <w:r w:rsidR="00AB2797" w:rsidRPr="00CB09D5">
              <w:rPr>
                <w:rFonts w:cs="Arial"/>
                <w:color w:val="0D0D0D"/>
                <w:spacing w:val="-4"/>
                <w:lang w:val="en-GB"/>
              </w:rPr>
              <w:t xml:space="preserve">the </w:t>
            </w:r>
            <w:r w:rsidR="00004CAA" w:rsidRPr="00CB09D5">
              <w:rPr>
                <w:rFonts w:cs="Arial"/>
                <w:color w:val="0D0D0D"/>
                <w:spacing w:val="-4"/>
                <w:lang w:val="en-GB"/>
              </w:rPr>
              <w:t xml:space="preserve">year 2015) the rates of growth in the whole economy, this branch however still intensively hired new workers. </w:t>
            </w:r>
            <w:r w:rsidR="002907F1" w:rsidRPr="00CB09D5">
              <w:rPr>
                <w:rFonts w:cs="Arial"/>
                <w:color w:val="0D0D0D"/>
                <w:spacing w:val="-4"/>
                <w:lang w:val="en-GB"/>
              </w:rPr>
              <w:t xml:space="preserve">Average wages in the branches with a dominant share of the state grew swiftly, however they did not create (apart from the health and social care) new job positions to any significant extent. </w:t>
            </w:r>
            <w:r w:rsidR="004B30E2" w:rsidRPr="00CB09D5">
              <w:rPr>
                <w:rFonts w:cs="Arial"/>
                <w:color w:val="0D0D0D"/>
                <w:spacing w:val="-4"/>
                <w:lang w:val="en-GB"/>
              </w:rPr>
              <w:t xml:space="preserve">Higher earnings of the </w:t>
            </w:r>
            <w:r w:rsidR="000760AE" w:rsidRPr="00CB09D5">
              <w:rPr>
                <w:rFonts w:cs="Arial"/>
                <w:color w:val="0D0D0D"/>
                <w:spacing w:val="-4"/>
                <w:lang w:val="en-GB"/>
              </w:rPr>
              <w:t xml:space="preserve">members of the armed forces </w:t>
            </w:r>
            <w:r w:rsidR="004B30E2" w:rsidRPr="00CB09D5">
              <w:rPr>
                <w:rFonts w:cs="Arial"/>
                <w:color w:val="0D0D0D"/>
                <w:spacing w:val="-4"/>
                <w:lang w:val="en-GB"/>
              </w:rPr>
              <w:t>also contr</w:t>
            </w:r>
            <w:r w:rsidR="00215CC3" w:rsidRPr="00CB09D5">
              <w:rPr>
                <w:rFonts w:cs="Arial"/>
                <w:color w:val="0D0D0D"/>
                <w:spacing w:val="-4"/>
                <w:lang w:val="en-GB"/>
              </w:rPr>
              <w:t>ibuted to the wage growth (+5.6</w:t>
            </w:r>
            <w:r w:rsidR="004B30E2" w:rsidRPr="00CB09D5">
              <w:rPr>
                <w:rFonts w:cs="Arial"/>
                <w:color w:val="0D0D0D"/>
                <w:spacing w:val="-4"/>
                <w:lang w:val="en-GB"/>
              </w:rPr>
              <w:t xml:space="preserve">%) in the public </w:t>
            </w:r>
            <w:r w:rsidR="000760AE" w:rsidRPr="00CB09D5">
              <w:rPr>
                <w:rFonts w:cs="Arial"/>
                <w:color w:val="0D0D0D"/>
                <w:spacing w:val="-4"/>
                <w:lang w:val="en-GB"/>
              </w:rPr>
              <w:t xml:space="preserve">administration, defence and social security. </w:t>
            </w:r>
            <w:r w:rsidR="00A84179" w:rsidRPr="00CB09D5">
              <w:rPr>
                <w:rFonts w:cs="Arial"/>
                <w:color w:val="0D0D0D"/>
                <w:spacing w:val="-4"/>
                <w:lang w:val="en-GB"/>
              </w:rPr>
              <w:t xml:space="preserve">Wages in education displayed </w:t>
            </w:r>
            <w:r w:rsidR="003D15C3" w:rsidRPr="00CB09D5">
              <w:rPr>
                <w:rFonts w:cs="Arial"/>
                <w:color w:val="0D0D0D"/>
                <w:spacing w:val="-4"/>
                <w:lang w:val="en-GB"/>
              </w:rPr>
              <w:t>weaker dynamics</w:t>
            </w:r>
            <w:r w:rsidR="00A84179" w:rsidRPr="00CB09D5">
              <w:rPr>
                <w:rFonts w:cs="Arial"/>
                <w:color w:val="0D0D0D"/>
                <w:spacing w:val="-4"/>
                <w:lang w:val="en-GB"/>
              </w:rPr>
              <w:t xml:space="preserve"> throughout the whole year </w:t>
            </w:r>
            <w:r w:rsidR="00E90D67" w:rsidRPr="00CB09D5">
              <w:rPr>
                <w:rFonts w:cs="Arial"/>
                <w:color w:val="0D0D0D"/>
                <w:spacing w:val="-4"/>
                <w:lang w:val="en-GB"/>
              </w:rPr>
              <w:t>(+4</w:t>
            </w:r>
            <w:r w:rsidR="00A84179" w:rsidRPr="00CB09D5">
              <w:rPr>
                <w:rFonts w:cs="Arial"/>
                <w:color w:val="0D0D0D"/>
                <w:spacing w:val="-4"/>
                <w:lang w:val="en-GB"/>
              </w:rPr>
              <w:t>.</w:t>
            </w:r>
            <w:r w:rsidR="00215CC3" w:rsidRPr="00CB09D5">
              <w:rPr>
                <w:rFonts w:cs="Arial"/>
                <w:color w:val="0D0D0D"/>
                <w:spacing w:val="-4"/>
                <w:lang w:val="en-GB"/>
              </w:rPr>
              <w:t>1</w:t>
            </w:r>
            <w:r w:rsidR="00E90D67" w:rsidRPr="00CB09D5">
              <w:rPr>
                <w:rFonts w:cs="Arial"/>
                <w:color w:val="0D0D0D"/>
                <w:spacing w:val="-4"/>
                <w:lang w:val="en-GB"/>
              </w:rPr>
              <w:t xml:space="preserve">%), </w:t>
            </w:r>
            <w:r w:rsidR="001F1C99" w:rsidRPr="00CB09D5">
              <w:rPr>
                <w:rFonts w:cs="Arial"/>
                <w:color w:val="0D0D0D"/>
                <w:spacing w:val="-4"/>
                <w:lang w:val="en-GB"/>
              </w:rPr>
              <w:t xml:space="preserve">the growth however accelerated due to the increase of the wage </w:t>
            </w:r>
            <w:r w:rsidR="000760AE" w:rsidRPr="00CB09D5">
              <w:rPr>
                <w:rFonts w:cs="Arial"/>
                <w:color w:val="0D0D0D"/>
                <w:spacing w:val="-4"/>
                <w:lang w:val="en-GB"/>
              </w:rPr>
              <w:t>tariffs</w:t>
            </w:r>
            <w:r w:rsidR="00215CC3" w:rsidRPr="00CB09D5">
              <w:rPr>
                <w:rFonts w:cs="Arial"/>
                <w:color w:val="0D0D0D"/>
                <w:spacing w:val="-4"/>
                <w:lang w:val="en-GB"/>
              </w:rPr>
              <w:t xml:space="preserve"> to 7.4</w:t>
            </w:r>
            <w:r w:rsidR="001F1C99" w:rsidRPr="00CB09D5">
              <w:rPr>
                <w:rFonts w:cs="Arial"/>
                <w:color w:val="0D0D0D"/>
                <w:spacing w:val="-4"/>
                <w:lang w:val="en-GB"/>
              </w:rPr>
              <w:t xml:space="preserve">% in the Q4 itself. </w:t>
            </w:r>
            <w:r w:rsidR="006F1A67" w:rsidRPr="00CB09D5">
              <w:rPr>
                <w:rFonts w:cs="Arial"/>
                <w:color w:val="0D0D0D"/>
                <w:spacing w:val="-4"/>
                <w:lang w:val="en-GB"/>
              </w:rPr>
              <w:t xml:space="preserve">More favourable development of the average </w:t>
            </w:r>
            <w:r w:rsidR="006F1A67" w:rsidRPr="00021597">
              <w:rPr>
                <w:rFonts w:cs="Arial"/>
                <w:color w:val="0D0D0D"/>
                <w:lang w:val="en-GB"/>
              </w:rPr>
              <w:t xml:space="preserve">earnings in the branches with the dominant share of state </w:t>
            </w:r>
            <w:r w:rsidR="001F1C99" w:rsidRPr="00021597">
              <w:rPr>
                <w:rFonts w:cs="Arial"/>
                <w:color w:val="0D0D0D"/>
                <w:lang w:val="en-GB"/>
              </w:rPr>
              <w:t>was reflected in the high growth of the wage median (</w:t>
            </w:r>
            <w:r w:rsidR="00215CC3" w:rsidRPr="00021597">
              <w:rPr>
                <w:rFonts w:cs="Arial"/>
                <w:color w:val="0D0D0D"/>
                <w:lang w:val="en-GB"/>
              </w:rPr>
              <w:t>by 6.0% in Q4, by 6.7</w:t>
            </w:r>
            <w:r w:rsidR="00290870" w:rsidRPr="00021597">
              <w:rPr>
                <w:rFonts w:cs="Arial"/>
                <w:color w:val="0D0D0D"/>
                <w:lang w:val="en-GB"/>
              </w:rPr>
              <w:t>% for females</w:t>
            </w:r>
            <w:r w:rsidR="00220838" w:rsidRPr="00021597">
              <w:rPr>
                <w:color w:val="0D0D0D"/>
                <w:lang w:val="en-GB"/>
              </w:rPr>
              <w:t xml:space="preserve">). </w:t>
            </w:r>
            <w:r w:rsidR="00BC00E5" w:rsidRPr="00021597">
              <w:rPr>
                <w:color w:val="0D0D0D"/>
                <w:lang w:val="en-GB"/>
              </w:rPr>
              <w:t xml:space="preserve">It exceeded the dynamics of the average wages already six quarters in a </w:t>
            </w:r>
            <w:proofErr w:type="gramStart"/>
            <w:r w:rsidR="00BC00E5" w:rsidRPr="00021597">
              <w:rPr>
                <w:color w:val="0D0D0D"/>
                <w:lang w:val="en-GB"/>
              </w:rPr>
              <w:t>row,</w:t>
            </w:r>
            <w:proofErr w:type="gramEnd"/>
            <w:r w:rsidR="00BC00E5" w:rsidRPr="00021597">
              <w:rPr>
                <w:color w:val="0D0D0D"/>
                <w:lang w:val="en-GB"/>
              </w:rPr>
              <w:t xml:space="preserve"> both direct and indirect impacts of the repeated increases of the minimal wages had an effect here. </w:t>
            </w:r>
            <w:r w:rsidR="0005171C" w:rsidRPr="00021597">
              <w:rPr>
                <w:color w:val="0D0D0D"/>
                <w:lang w:val="en-GB"/>
              </w:rPr>
              <w:t>A</w:t>
            </w:r>
            <w:r w:rsidR="00215CC3" w:rsidRPr="00021597">
              <w:rPr>
                <w:color w:val="0D0D0D"/>
                <w:lang w:val="en-GB"/>
              </w:rPr>
              <w:t>verage real wage grew by 3.5</w:t>
            </w:r>
            <w:r w:rsidR="0005171C" w:rsidRPr="00021597">
              <w:rPr>
                <w:color w:val="0D0D0D"/>
                <w:lang w:val="en-GB"/>
              </w:rPr>
              <w:t>% last year (the most sin</w:t>
            </w:r>
            <w:r w:rsidR="00215CC3" w:rsidRPr="00021597">
              <w:rPr>
                <w:color w:val="0D0D0D"/>
                <w:lang w:val="en-GB"/>
              </w:rPr>
              <w:t>ce 2007)</w:t>
            </w:r>
            <w:proofErr w:type="gramStart"/>
            <w:r w:rsidR="00215CC3" w:rsidRPr="00021597">
              <w:rPr>
                <w:color w:val="0D0D0D"/>
                <w:lang w:val="en-GB"/>
              </w:rPr>
              <w:t>,</w:t>
            </w:r>
            <w:proofErr w:type="gramEnd"/>
            <w:r w:rsidR="00215CC3" w:rsidRPr="00021597">
              <w:rPr>
                <w:color w:val="0D0D0D"/>
                <w:lang w:val="en-GB"/>
              </w:rPr>
              <w:t xml:space="preserve"> it slowed down to 2.8</w:t>
            </w:r>
            <w:r w:rsidR="0005171C" w:rsidRPr="00021597">
              <w:rPr>
                <w:color w:val="0D0D0D"/>
                <w:lang w:val="en-GB"/>
              </w:rPr>
              <w:t>% due to a growing inflation in Q4.</w:t>
            </w:r>
            <w:r w:rsidR="0005171C" w:rsidRPr="00CB09D5">
              <w:rPr>
                <w:color w:val="0D0D0D"/>
                <w:spacing w:val="-5"/>
                <w:lang w:val="en-GB"/>
              </w:rPr>
              <w:t xml:space="preserve"> </w:t>
            </w:r>
            <w:r w:rsidR="00E90D67" w:rsidRPr="00CB09D5">
              <w:rPr>
                <w:color w:val="0D0D0D"/>
                <w:spacing w:val="-4"/>
                <w:lang w:val="en-GB"/>
              </w:rPr>
              <w:t xml:space="preserve"> </w:t>
            </w:r>
          </w:p>
        </w:tc>
      </w:tr>
    </w:tbl>
    <w:p w:rsidR="00E90D67" w:rsidRPr="00CB09D5" w:rsidRDefault="00E90D67" w:rsidP="00E90D67">
      <w:pPr>
        <w:rPr>
          <w:sz w:val="8"/>
          <w:szCs w:val="8"/>
          <w:lang w:val="en-GB"/>
        </w:rPr>
      </w:pPr>
    </w:p>
    <w:tbl>
      <w:tblPr>
        <w:tblW w:w="4986" w:type="pct"/>
        <w:tblLayout w:type="fixed"/>
        <w:tblCellMar>
          <w:left w:w="28" w:type="dxa"/>
          <w:right w:w="28" w:type="dxa"/>
        </w:tblCellMar>
        <w:tblLook w:val="04A0"/>
      </w:tblPr>
      <w:tblGrid>
        <w:gridCol w:w="760"/>
        <w:gridCol w:w="4089"/>
        <w:gridCol w:w="708"/>
        <w:gridCol w:w="4110"/>
      </w:tblGrid>
      <w:tr w:rsidR="00E90D67" w:rsidRPr="00CB09D5" w:rsidTr="008A03DE">
        <w:tc>
          <w:tcPr>
            <w:tcW w:w="393" w:type="pct"/>
          </w:tcPr>
          <w:p w:rsidR="00E90D67" w:rsidRPr="00CB09D5" w:rsidRDefault="00DE5ABD" w:rsidP="008A03DE">
            <w:pPr>
              <w:pStyle w:val="Textpoznpodarou"/>
              <w:rPr>
                <w:lang w:val="en-GB" w:eastAsia="en-US"/>
              </w:rPr>
            </w:pPr>
            <w:r w:rsidRPr="00CB09D5">
              <w:rPr>
                <w:lang w:val="en-GB" w:eastAsia="en-US"/>
              </w:rPr>
              <w:lastRenderedPageBreak/>
              <w:t xml:space="preserve">Chart </w:t>
            </w:r>
            <w:r w:rsidR="00E90D67" w:rsidRPr="00CB09D5">
              <w:rPr>
                <w:lang w:val="en-GB" w:eastAsia="en-US"/>
              </w:rPr>
              <w:t>15</w:t>
            </w:r>
          </w:p>
        </w:tc>
        <w:tc>
          <w:tcPr>
            <w:tcW w:w="2115" w:type="pct"/>
          </w:tcPr>
          <w:p w:rsidR="00E90D67" w:rsidRPr="00021597" w:rsidRDefault="00B00724" w:rsidP="00C4341C">
            <w:pPr>
              <w:pStyle w:val="Textpoznpodarou"/>
              <w:rPr>
                <w:lang w:val="en-GB" w:eastAsia="en-US"/>
              </w:rPr>
            </w:pPr>
            <w:r w:rsidRPr="00021597">
              <w:rPr>
                <w:b/>
                <w:lang w:val="en-GB" w:eastAsia="en-US"/>
              </w:rPr>
              <w:t>Total n</w:t>
            </w:r>
            <w:r w:rsidR="00E17233" w:rsidRPr="00021597">
              <w:rPr>
                <w:b/>
                <w:lang w:val="en-GB" w:eastAsia="en-US"/>
              </w:rPr>
              <w:t>umber of employed persons and employees</w:t>
            </w:r>
            <w:r w:rsidR="00E17233" w:rsidRPr="00021597">
              <w:rPr>
                <w:lang w:val="en-GB" w:eastAsia="en-US"/>
              </w:rPr>
              <w:t xml:space="preserve"> </w:t>
            </w:r>
            <w:r w:rsidR="00E90D67" w:rsidRPr="00021597">
              <w:rPr>
                <w:lang w:val="en-GB" w:eastAsia="en-US"/>
              </w:rPr>
              <w:t>(</w:t>
            </w:r>
            <w:r w:rsidR="00E17233" w:rsidRPr="00021597">
              <w:rPr>
                <w:lang w:val="en-GB" w:eastAsia="en-US"/>
              </w:rPr>
              <w:t xml:space="preserve">national accounts data, </w:t>
            </w:r>
            <w:r w:rsidR="00E90D67" w:rsidRPr="00021597">
              <w:rPr>
                <w:lang w:val="en-GB" w:eastAsia="en-US"/>
              </w:rPr>
              <w:t>se</w:t>
            </w:r>
            <w:r w:rsidR="00C4341C" w:rsidRPr="00021597">
              <w:rPr>
                <w:lang w:val="en-GB" w:eastAsia="en-US"/>
              </w:rPr>
              <w:t>asonally adj.</w:t>
            </w:r>
            <w:r w:rsidR="00E90D67" w:rsidRPr="00021597">
              <w:rPr>
                <w:lang w:val="en-GB" w:eastAsia="en-US"/>
              </w:rPr>
              <w:t xml:space="preserve">, y/y </w:t>
            </w:r>
            <w:r w:rsidR="00C4341C" w:rsidRPr="00021597">
              <w:rPr>
                <w:lang w:val="en-GB" w:eastAsia="en-US"/>
              </w:rPr>
              <w:t>in</w:t>
            </w:r>
            <w:r w:rsidR="00E90D67" w:rsidRPr="00021597">
              <w:rPr>
                <w:lang w:val="en-GB" w:eastAsia="en-US"/>
              </w:rPr>
              <w:t xml:space="preserve"> %)</w:t>
            </w:r>
          </w:p>
        </w:tc>
        <w:tc>
          <w:tcPr>
            <w:tcW w:w="366" w:type="pct"/>
          </w:tcPr>
          <w:p w:rsidR="00E90D67" w:rsidRPr="00021597" w:rsidRDefault="00C4341C" w:rsidP="008A03DE">
            <w:pPr>
              <w:pStyle w:val="Textpoznpodarou"/>
              <w:rPr>
                <w:lang w:val="en-GB" w:eastAsia="en-US"/>
              </w:rPr>
            </w:pPr>
            <w:r w:rsidRPr="00021597">
              <w:rPr>
                <w:lang w:val="en-GB" w:eastAsia="en-US"/>
              </w:rPr>
              <w:t>Chart</w:t>
            </w:r>
            <w:r w:rsidR="00E90D67" w:rsidRPr="00021597">
              <w:rPr>
                <w:lang w:val="en-GB" w:eastAsia="en-US"/>
              </w:rPr>
              <w:t xml:space="preserve"> 16</w:t>
            </w:r>
          </w:p>
        </w:tc>
        <w:tc>
          <w:tcPr>
            <w:tcW w:w="2126" w:type="pct"/>
          </w:tcPr>
          <w:p w:rsidR="00E90D67" w:rsidRPr="00021597" w:rsidRDefault="00C4341C" w:rsidP="00F92347">
            <w:pPr>
              <w:pStyle w:val="Textpoznpodarou"/>
              <w:rPr>
                <w:lang w:val="en-GB" w:eastAsia="en-US"/>
              </w:rPr>
            </w:pPr>
            <w:r w:rsidRPr="00021597">
              <w:rPr>
                <w:b/>
                <w:lang w:val="en-GB" w:eastAsia="en-US"/>
              </w:rPr>
              <w:t xml:space="preserve">Gross monthly </w:t>
            </w:r>
            <w:r w:rsidR="0058621A" w:rsidRPr="00021597">
              <w:rPr>
                <w:b/>
                <w:lang w:val="en-GB" w:eastAsia="en-US"/>
              </w:rPr>
              <w:t xml:space="preserve">wage </w:t>
            </w:r>
            <w:r w:rsidR="00EB6063" w:rsidRPr="00021597">
              <w:rPr>
                <w:b/>
                <w:lang w:val="en-GB" w:eastAsia="en-US"/>
              </w:rPr>
              <w:t>of employees</w:t>
            </w:r>
            <w:r w:rsidR="009757E6" w:rsidRPr="00021597">
              <w:rPr>
                <w:lang w:val="en-GB" w:eastAsia="en-US"/>
              </w:rPr>
              <w:t xml:space="preserve"> (in full-time equivalent</w:t>
            </w:r>
            <w:r w:rsidR="00E90D67" w:rsidRPr="00021597">
              <w:rPr>
                <w:lang w:val="en-GB" w:eastAsia="en-US"/>
              </w:rPr>
              <w:t xml:space="preserve">, y/y </w:t>
            </w:r>
            <w:r w:rsidR="00F92347" w:rsidRPr="00021597">
              <w:rPr>
                <w:lang w:val="en-GB" w:eastAsia="en-US"/>
              </w:rPr>
              <w:t>in</w:t>
            </w:r>
            <w:r w:rsidR="00E90D67" w:rsidRPr="00021597">
              <w:rPr>
                <w:lang w:val="en-GB" w:eastAsia="en-US"/>
              </w:rPr>
              <w:t xml:space="preserve"> %) a</w:t>
            </w:r>
            <w:r w:rsidR="00F92347" w:rsidRPr="00021597">
              <w:rPr>
                <w:lang w:val="en-GB" w:eastAsia="en-US"/>
              </w:rPr>
              <w:t>nd</w:t>
            </w:r>
            <w:r w:rsidR="00E90D67" w:rsidRPr="00021597">
              <w:rPr>
                <w:lang w:val="en-GB" w:eastAsia="en-US"/>
              </w:rPr>
              <w:t xml:space="preserve"> </w:t>
            </w:r>
            <w:r w:rsidR="00F92347" w:rsidRPr="00021597">
              <w:rPr>
                <w:b/>
                <w:lang w:val="en-GB" w:eastAsia="en-US"/>
              </w:rPr>
              <w:t>labour productivity</w:t>
            </w:r>
            <w:r w:rsidR="00B00724" w:rsidRPr="00021597">
              <w:rPr>
                <w:b/>
                <w:lang w:val="en-GB" w:eastAsia="en-US"/>
              </w:rPr>
              <w:t xml:space="preserve"> </w:t>
            </w:r>
            <w:r w:rsidR="00EB6063" w:rsidRPr="00021597">
              <w:rPr>
                <w:lang w:val="en-GB" w:eastAsia="en-US"/>
              </w:rPr>
              <w:t>(</w:t>
            </w:r>
            <w:r w:rsidR="00B00724" w:rsidRPr="00021597">
              <w:rPr>
                <w:lang w:val="en-GB" w:eastAsia="en-US"/>
              </w:rPr>
              <w:t>y/y in %)</w:t>
            </w:r>
          </w:p>
        </w:tc>
      </w:tr>
      <w:tr w:rsidR="00E90D67" w:rsidRPr="00CB09D5" w:rsidTr="0098121F">
        <w:trPr>
          <w:trHeight w:val="3662"/>
        </w:trPr>
        <w:tc>
          <w:tcPr>
            <w:tcW w:w="2508" w:type="pct"/>
            <w:gridSpan w:val="2"/>
          </w:tcPr>
          <w:p w:rsidR="00E90D67" w:rsidRPr="00CB09D5" w:rsidRDefault="0029191C" w:rsidP="008A03DE">
            <w:pPr>
              <w:pStyle w:val="Textpoznpodarou"/>
              <w:jc w:val="both"/>
              <w:rPr>
                <w:lang w:val="en-GB"/>
              </w:rPr>
            </w:pPr>
            <w:r>
              <w:rPr>
                <w:noProof/>
              </w:rPr>
              <w:drawing>
                <wp:inline distT="0" distB="0" distL="0" distR="0">
                  <wp:extent cx="3042920" cy="2319020"/>
                  <wp:effectExtent l="19050" t="0" r="5080" b="0"/>
                  <wp:docPr id="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42920" cy="2319020"/>
                          </a:xfrm>
                          <a:prstGeom prst="rect">
                            <a:avLst/>
                          </a:prstGeom>
                          <a:noFill/>
                          <a:ln w="9525">
                            <a:noFill/>
                            <a:miter lim="800000"/>
                            <a:headEnd/>
                            <a:tailEnd/>
                          </a:ln>
                        </pic:spPr>
                      </pic:pic>
                    </a:graphicData>
                  </a:graphic>
                </wp:inline>
              </w:drawing>
            </w:r>
          </w:p>
        </w:tc>
        <w:tc>
          <w:tcPr>
            <w:tcW w:w="2492" w:type="pct"/>
            <w:gridSpan w:val="2"/>
          </w:tcPr>
          <w:p w:rsidR="00E90D67" w:rsidRPr="00CB09D5" w:rsidRDefault="0029191C" w:rsidP="008A03DE">
            <w:pPr>
              <w:pStyle w:val="Textpoznpodarou"/>
              <w:jc w:val="both"/>
              <w:rPr>
                <w:lang w:val="en-GB"/>
              </w:rPr>
            </w:pPr>
            <w:r>
              <w:rPr>
                <w:noProof/>
              </w:rPr>
              <w:drawing>
                <wp:inline distT="0" distB="0" distL="0" distR="0">
                  <wp:extent cx="3021297" cy="2318918"/>
                  <wp:effectExtent l="19050" t="0" r="7653" b="0"/>
                  <wp:docPr id="2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021330" cy="2318944"/>
                          </a:xfrm>
                          <a:prstGeom prst="rect">
                            <a:avLst/>
                          </a:prstGeom>
                          <a:noFill/>
                          <a:ln w="9525">
                            <a:noFill/>
                            <a:miter lim="800000"/>
                            <a:headEnd/>
                            <a:tailEnd/>
                          </a:ln>
                        </pic:spPr>
                      </pic:pic>
                    </a:graphicData>
                  </a:graphic>
                </wp:inline>
              </w:drawing>
            </w:r>
          </w:p>
        </w:tc>
      </w:tr>
      <w:tr w:rsidR="00E90D67" w:rsidRPr="00CB09D5" w:rsidTr="008A03DE">
        <w:tc>
          <w:tcPr>
            <w:tcW w:w="5000" w:type="pct"/>
            <w:gridSpan w:val="4"/>
          </w:tcPr>
          <w:p w:rsidR="00EB6063" w:rsidRDefault="00DE5ABD" w:rsidP="00EB6063">
            <w:pPr>
              <w:tabs>
                <w:tab w:val="left" w:pos="822"/>
              </w:tabs>
              <w:autoSpaceDE w:val="0"/>
              <w:autoSpaceDN w:val="0"/>
              <w:adjustRightInd w:val="0"/>
              <w:spacing w:line="240" w:lineRule="auto"/>
              <w:jc w:val="right"/>
              <w:rPr>
                <w:lang w:val="en-GB"/>
              </w:rPr>
            </w:pPr>
            <w:r w:rsidRPr="00CB09D5">
              <w:rPr>
                <w:sz w:val="18"/>
                <w:szCs w:val="18"/>
                <w:lang w:val="en-GB" w:eastAsia="en-US"/>
              </w:rPr>
              <w:t>Source</w:t>
            </w:r>
            <w:r w:rsidR="00E90D67" w:rsidRPr="00CB09D5">
              <w:rPr>
                <w:sz w:val="18"/>
                <w:szCs w:val="18"/>
                <w:lang w:val="en-GB" w:eastAsia="en-US"/>
              </w:rPr>
              <w:t xml:space="preserve">: </w:t>
            </w:r>
            <w:r w:rsidRPr="00CB09D5">
              <w:rPr>
                <w:sz w:val="18"/>
                <w:szCs w:val="18"/>
                <w:lang w:val="en-GB" w:eastAsia="en-US"/>
              </w:rPr>
              <w:t>CZSO</w:t>
            </w:r>
          </w:p>
        </w:tc>
      </w:tr>
    </w:tbl>
    <w:p w:rsidR="00492991" w:rsidRPr="00CB09D5" w:rsidRDefault="00492991" w:rsidP="00D94859">
      <w:pPr>
        <w:rPr>
          <w:sz w:val="2"/>
          <w:szCs w:val="2"/>
          <w:lang w:val="en-GB" w:eastAsia="ar-SA"/>
        </w:rPr>
      </w:pPr>
    </w:p>
    <w:p w:rsidR="005752EB" w:rsidRPr="00CB09D5" w:rsidRDefault="005752EB"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Default="00E17233" w:rsidP="00D94859">
      <w:pPr>
        <w:rPr>
          <w:sz w:val="2"/>
          <w:szCs w:val="2"/>
          <w:lang w:val="en-GB" w:eastAsia="ar-SA"/>
        </w:rPr>
      </w:pPr>
    </w:p>
    <w:p w:rsidR="007A7EA4" w:rsidRPr="00CB09D5" w:rsidRDefault="007A7EA4" w:rsidP="00D94859">
      <w:pPr>
        <w:rPr>
          <w:sz w:val="2"/>
          <w:szCs w:val="2"/>
          <w:lang w:val="en-GB" w:eastAsia="ar-SA"/>
        </w:rPr>
      </w:pPr>
    </w:p>
    <w:sectPr w:rsidR="007A7EA4" w:rsidRPr="00CB09D5" w:rsidSect="00021597">
      <w:headerReference w:type="even" r:id="rId11"/>
      <w:headerReference w:type="default" r:id="rId12"/>
      <w:footerReference w:type="even" r:id="rId13"/>
      <w:footerReference w:type="default" r:id="rId14"/>
      <w:type w:val="continuous"/>
      <w:pgSz w:w="11906" w:h="16838" w:code="9"/>
      <w:pgMar w:top="1134" w:right="1134" w:bottom="1418" w:left="1134" w:header="680" w:footer="680"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76F" w:rsidRDefault="00EE476F" w:rsidP="00E71A58">
      <w:r>
        <w:separator/>
      </w:r>
    </w:p>
  </w:endnote>
  <w:endnote w:type="continuationSeparator" w:id="0">
    <w:p w:rsidR="00EE476F" w:rsidRDefault="00EE476F"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0A7C02"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A01004" w:rsidRPr="005A21E0">
      <w:rPr>
        <w:rFonts w:ascii="Arial" w:hAnsi="Arial" w:cs="Arial"/>
        <w:sz w:val="16"/>
        <w:szCs w:val="16"/>
      </w:rPr>
      <w:fldChar w:fldCharType="begin"/>
    </w:r>
    <w:r w:rsidRPr="005A21E0">
      <w:rPr>
        <w:rFonts w:ascii="Arial" w:hAnsi="Arial" w:cs="Arial"/>
        <w:sz w:val="16"/>
        <w:szCs w:val="16"/>
      </w:rPr>
      <w:instrText>PAGE   \* MERGEFORMAT</w:instrText>
    </w:r>
    <w:r w:rsidR="00A01004" w:rsidRPr="005A21E0">
      <w:rPr>
        <w:rFonts w:ascii="Arial" w:hAnsi="Arial" w:cs="Arial"/>
        <w:sz w:val="16"/>
        <w:szCs w:val="16"/>
      </w:rPr>
      <w:fldChar w:fldCharType="separate"/>
    </w:r>
    <w:r w:rsidR="00021597">
      <w:rPr>
        <w:rFonts w:ascii="Arial" w:hAnsi="Arial" w:cs="Arial"/>
        <w:noProof/>
        <w:sz w:val="16"/>
        <w:szCs w:val="16"/>
      </w:rPr>
      <w:t>20</w:t>
    </w:r>
    <w:r w:rsidR="00A01004"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9743B9" w:rsidP="00357449">
    <w:pPr>
      <w:pStyle w:val="Zpat"/>
      <w:tabs>
        <w:tab w:val="clear" w:pos="4536"/>
        <w:tab w:val="clear" w:pos="9072"/>
        <w:tab w:val="left" w:pos="1134"/>
        <w:tab w:val="left" w:pos="1920"/>
        <w:tab w:val="center" w:pos="4820"/>
        <w:tab w:val="right" w:pos="9639"/>
      </w:tabs>
    </w:pPr>
    <w:r w:rsidRPr="009743B9">
      <w:rPr>
        <w:noProof/>
        <w:lang w:eastAsia="cs-CZ"/>
      </w:rPr>
      <w:drawing>
        <wp:anchor distT="0" distB="0" distL="114300" distR="114300" simplePos="0" relativeHeight="251662848" behindDoc="0" locked="0" layoutInCell="1" allowOverlap="1">
          <wp:simplePos x="0" y="0"/>
          <wp:positionH relativeFrom="column">
            <wp:posOffset>35560</wp:posOffset>
          </wp:positionH>
          <wp:positionV relativeFrom="paragraph">
            <wp:posOffset>155575</wp:posOffset>
          </wp:positionV>
          <wp:extent cx="692150" cy="203200"/>
          <wp:effectExtent l="19050" t="0" r="0" b="0"/>
          <wp:wrapNone/>
          <wp:docPr id="6"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2150" cy="203200"/>
                  </a:xfrm>
                  <a:prstGeom prst="rect">
                    <a:avLst/>
                  </a:prstGeom>
                  <a:noFill/>
                  <a:ln w="9525">
                    <a:noFill/>
                    <a:miter lim="800000"/>
                    <a:headEnd/>
                    <a:tailEnd/>
                  </a:ln>
                </pic:spPr>
              </pic:pic>
            </a:graphicData>
          </a:graphic>
        </wp:anchor>
      </w:drawing>
    </w:r>
    <w:r w:rsidR="000A7C02">
      <w:tab/>
    </w:r>
    <w:r w:rsidR="000A7C02">
      <w:tab/>
    </w:r>
    <w:r w:rsidR="000A7C02" w:rsidRPr="00DC5B3B">
      <w:t xml:space="preserve">                              </w:t>
    </w:r>
  </w:p>
  <w:p w:rsidR="000A7C02" w:rsidRPr="00223E00" w:rsidRDefault="000A7C0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A0100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A01004" w:rsidRPr="00223E00">
      <w:rPr>
        <w:rFonts w:ascii="Arial" w:hAnsi="Arial" w:cs="Arial"/>
        <w:sz w:val="16"/>
        <w:szCs w:val="16"/>
      </w:rPr>
      <w:fldChar w:fldCharType="separate"/>
    </w:r>
    <w:r w:rsidR="00021597">
      <w:rPr>
        <w:rFonts w:ascii="Arial" w:hAnsi="Arial" w:cs="Arial"/>
        <w:noProof/>
        <w:sz w:val="16"/>
        <w:szCs w:val="16"/>
      </w:rPr>
      <w:t>19</w:t>
    </w:r>
    <w:r w:rsidR="00A01004"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76F" w:rsidRDefault="00EE476F" w:rsidP="00E71A58">
      <w:r>
        <w:separator/>
      </w:r>
    </w:p>
  </w:footnote>
  <w:footnote w:type="continuationSeparator" w:id="0">
    <w:p w:rsidR="00EE476F" w:rsidRDefault="00EE476F" w:rsidP="00E71A58">
      <w:r>
        <w:continuationSeparator/>
      </w:r>
    </w:p>
  </w:footnote>
  <w:footnote w:id="1">
    <w:p w:rsidR="000A7C02" w:rsidRPr="00B53EA6" w:rsidRDefault="000A7C02" w:rsidP="00D6126B">
      <w:pPr>
        <w:pStyle w:val="Textpoznpodarou"/>
        <w:jc w:val="both"/>
        <w:rPr>
          <w:sz w:val="16"/>
          <w:szCs w:val="16"/>
          <w:lang w:val="en-GB"/>
        </w:rPr>
      </w:pPr>
      <w:r w:rsidRPr="00B53EA6">
        <w:rPr>
          <w:rStyle w:val="Znakapoznpodarou"/>
          <w:sz w:val="16"/>
          <w:szCs w:val="16"/>
          <w:lang w:val="en-GB"/>
        </w:rPr>
        <w:footnoteRef/>
      </w:r>
      <w:r w:rsidRPr="00B53EA6">
        <w:rPr>
          <w:sz w:val="16"/>
          <w:szCs w:val="16"/>
          <w:lang w:val="en-GB"/>
        </w:rPr>
        <w:t xml:space="preserve"> Unless stated otherwise, all employment data are in the national accounts conception and seasonally adjusted in this chapter. </w:t>
      </w:r>
    </w:p>
  </w:footnote>
  <w:footnote w:id="2">
    <w:p w:rsidR="000A7C02" w:rsidRPr="00CC509A" w:rsidRDefault="000A7C02" w:rsidP="00D6126B">
      <w:pPr>
        <w:pStyle w:val="Textpoznpodarou"/>
        <w:jc w:val="both"/>
        <w:rPr>
          <w:sz w:val="16"/>
          <w:szCs w:val="16"/>
          <w:lang w:val="en-GB"/>
        </w:rPr>
      </w:pPr>
      <w:r w:rsidRPr="00B53EA6">
        <w:rPr>
          <w:rStyle w:val="Znakapoznpodarou"/>
          <w:sz w:val="16"/>
          <w:szCs w:val="16"/>
          <w:lang w:val="en-GB"/>
        </w:rPr>
        <w:footnoteRef/>
      </w:r>
      <w:r w:rsidRPr="00B53EA6">
        <w:rPr>
          <w:sz w:val="16"/>
          <w:szCs w:val="16"/>
          <w:lang w:val="en-GB"/>
        </w:rPr>
        <w:t xml:space="preserve"> </w:t>
      </w:r>
      <w:r w:rsidRPr="00CC509A">
        <w:rPr>
          <w:sz w:val="16"/>
          <w:szCs w:val="16"/>
          <w:lang w:val="en-GB"/>
        </w:rPr>
        <w:t xml:space="preserve">Additional more detailed data of the </w:t>
      </w:r>
      <w:r w:rsidR="00D177E9">
        <w:rPr>
          <w:sz w:val="16"/>
          <w:szCs w:val="16"/>
          <w:lang w:val="en-GB"/>
        </w:rPr>
        <w:t>L</w:t>
      </w:r>
      <w:r w:rsidRPr="00CC509A">
        <w:rPr>
          <w:sz w:val="16"/>
          <w:szCs w:val="16"/>
          <w:lang w:val="en-GB"/>
        </w:rPr>
        <w:t xml:space="preserve">abour force sample survey suggest, that the numbers of entrepreneurs without employees were increasing (by 46 thousand year-on-year in Q4) in 2016, while the number of entrepreneurs with employees on the contrary shrank (by 10 thousand). </w:t>
      </w:r>
    </w:p>
  </w:footnote>
  <w:footnote w:id="3">
    <w:p w:rsidR="000A7C02" w:rsidRPr="00215B9A" w:rsidRDefault="000A7C02" w:rsidP="00E90D67">
      <w:pPr>
        <w:pStyle w:val="Textpoznpodarou"/>
        <w:rPr>
          <w:sz w:val="16"/>
          <w:szCs w:val="16"/>
        </w:rPr>
      </w:pPr>
      <w:r w:rsidRPr="00CC509A">
        <w:rPr>
          <w:rStyle w:val="Znakapoznpodarou"/>
          <w:sz w:val="16"/>
          <w:szCs w:val="16"/>
          <w:lang w:val="en-GB"/>
        </w:rPr>
        <w:footnoteRef/>
      </w:r>
      <w:r w:rsidRPr="00CC509A">
        <w:rPr>
          <w:sz w:val="16"/>
          <w:szCs w:val="16"/>
          <w:lang w:val="en-GB"/>
        </w:rPr>
        <w:t xml:space="preserve"> </w:t>
      </w:r>
      <w:proofErr w:type="gramStart"/>
      <w:r w:rsidRPr="00CC509A">
        <w:rPr>
          <w:sz w:val="16"/>
          <w:szCs w:val="16"/>
          <w:lang w:val="en-GB"/>
        </w:rPr>
        <w:t>After adjustment for seasonal effects</w:t>
      </w:r>
      <w:r w:rsidRPr="00CC509A">
        <w:rPr>
          <w:rFonts w:cs="Arial"/>
          <w:spacing w:val="-4"/>
          <w:sz w:val="16"/>
          <w:szCs w:val="16"/>
          <w:lang w:val="en-GB"/>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F7A39" w:rsidRDefault="000A7C02" w:rsidP="007F7A39">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p w:rsidR="000A7C02" w:rsidRPr="007F7A39" w:rsidRDefault="000A7C02" w:rsidP="007F7A39">
    <w:pPr>
      <w:pStyle w:val="Zhlav"/>
      <w:rPr>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859BB" w:rsidRDefault="000A7C02" w:rsidP="007859BB">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286E7B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6320703"/>
    <w:multiLevelType w:val="hybridMultilevel"/>
    <w:tmpl w:val="9CB2DAE6"/>
    <w:lvl w:ilvl="0" w:tplc="45ECC748">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255FDC"/>
    <w:multiLevelType w:val="hybridMultilevel"/>
    <w:tmpl w:val="14EC1500"/>
    <w:lvl w:ilvl="0" w:tplc="DAC09A1E">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3"/>
  </w:num>
  <w:num w:numId="2">
    <w:abstractNumId w:val="19"/>
  </w:num>
  <w:num w:numId="3">
    <w:abstractNumId w:val="9"/>
  </w:num>
  <w:num w:numId="4">
    <w:abstractNumId w:val="17"/>
  </w:num>
  <w:num w:numId="5">
    <w:abstractNumId w:val="10"/>
  </w:num>
  <w:num w:numId="6">
    <w:abstractNumId w:val="14"/>
  </w:num>
  <w:num w:numId="7">
    <w:abstractNumId w:val="3"/>
  </w:num>
  <w:num w:numId="8">
    <w:abstractNumId w:val="8"/>
  </w:num>
  <w:num w:numId="9">
    <w:abstractNumId w:val="16"/>
  </w:num>
  <w:num w:numId="10">
    <w:abstractNumId w:val="2"/>
  </w:num>
  <w:num w:numId="11">
    <w:abstractNumId w:val="7"/>
  </w:num>
  <w:num w:numId="12">
    <w:abstractNumId w:val="1"/>
  </w:num>
  <w:num w:numId="13">
    <w:abstractNumId w:val="6"/>
  </w:num>
  <w:num w:numId="14">
    <w:abstractNumId w:val="0"/>
  </w:num>
  <w:num w:numId="15">
    <w:abstractNumId w:val="15"/>
  </w:num>
  <w:num w:numId="16">
    <w:abstractNumId w:val="11"/>
  </w:num>
  <w:num w:numId="17">
    <w:abstractNumId w:val="4"/>
  </w:num>
  <w:num w:numId="18">
    <w:abstractNumId w:val="18"/>
  </w:num>
  <w:num w:numId="19">
    <w:abstractNumId w:val="12"/>
  </w:num>
  <w:num w:numId="2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B70BD"/>
    <w:rsid w:val="00000FA7"/>
    <w:rsid w:val="00001EFF"/>
    <w:rsid w:val="00003687"/>
    <w:rsid w:val="00003C43"/>
    <w:rsid w:val="00004CAA"/>
    <w:rsid w:val="00004EB0"/>
    <w:rsid w:val="00005BC0"/>
    <w:rsid w:val="000065B8"/>
    <w:rsid w:val="000065F9"/>
    <w:rsid w:val="00006FF3"/>
    <w:rsid w:val="00007498"/>
    <w:rsid w:val="0000767A"/>
    <w:rsid w:val="00007C85"/>
    <w:rsid w:val="000101F5"/>
    <w:rsid w:val="000104B9"/>
    <w:rsid w:val="00010702"/>
    <w:rsid w:val="00010770"/>
    <w:rsid w:val="00011191"/>
    <w:rsid w:val="0001159B"/>
    <w:rsid w:val="000117CA"/>
    <w:rsid w:val="00011C90"/>
    <w:rsid w:val="00012986"/>
    <w:rsid w:val="00013E59"/>
    <w:rsid w:val="00014028"/>
    <w:rsid w:val="00015195"/>
    <w:rsid w:val="0001519F"/>
    <w:rsid w:val="0001572B"/>
    <w:rsid w:val="0001573E"/>
    <w:rsid w:val="000157DA"/>
    <w:rsid w:val="0001589D"/>
    <w:rsid w:val="00016033"/>
    <w:rsid w:val="000162DB"/>
    <w:rsid w:val="00016315"/>
    <w:rsid w:val="00017F05"/>
    <w:rsid w:val="00020137"/>
    <w:rsid w:val="000202C6"/>
    <w:rsid w:val="00020946"/>
    <w:rsid w:val="00021597"/>
    <w:rsid w:val="00021E93"/>
    <w:rsid w:val="0002203C"/>
    <w:rsid w:val="00022081"/>
    <w:rsid w:val="0002292C"/>
    <w:rsid w:val="00022B41"/>
    <w:rsid w:val="00023FB5"/>
    <w:rsid w:val="0002434F"/>
    <w:rsid w:val="00024887"/>
    <w:rsid w:val="00024CBA"/>
    <w:rsid w:val="00025501"/>
    <w:rsid w:val="00025532"/>
    <w:rsid w:val="00026998"/>
    <w:rsid w:val="00026B06"/>
    <w:rsid w:val="000304C4"/>
    <w:rsid w:val="0003066A"/>
    <w:rsid w:val="00030BF0"/>
    <w:rsid w:val="00030F14"/>
    <w:rsid w:val="000311C5"/>
    <w:rsid w:val="00032838"/>
    <w:rsid w:val="00032C12"/>
    <w:rsid w:val="00032E0C"/>
    <w:rsid w:val="00035CCF"/>
    <w:rsid w:val="00035FC6"/>
    <w:rsid w:val="0003705E"/>
    <w:rsid w:val="00037667"/>
    <w:rsid w:val="00037961"/>
    <w:rsid w:val="00040682"/>
    <w:rsid w:val="0004075D"/>
    <w:rsid w:val="000411E1"/>
    <w:rsid w:val="00041E9C"/>
    <w:rsid w:val="00043C68"/>
    <w:rsid w:val="00043E05"/>
    <w:rsid w:val="0004694F"/>
    <w:rsid w:val="000500DC"/>
    <w:rsid w:val="0005025B"/>
    <w:rsid w:val="000509FD"/>
    <w:rsid w:val="0005171C"/>
    <w:rsid w:val="00051ADE"/>
    <w:rsid w:val="00052052"/>
    <w:rsid w:val="00052172"/>
    <w:rsid w:val="000534FD"/>
    <w:rsid w:val="00053CBA"/>
    <w:rsid w:val="000541D1"/>
    <w:rsid w:val="00054BB5"/>
    <w:rsid w:val="00054E43"/>
    <w:rsid w:val="00055059"/>
    <w:rsid w:val="000553E4"/>
    <w:rsid w:val="0005599E"/>
    <w:rsid w:val="0005670F"/>
    <w:rsid w:val="000567FA"/>
    <w:rsid w:val="00056A90"/>
    <w:rsid w:val="00056B26"/>
    <w:rsid w:val="00057708"/>
    <w:rsid w:val="00057C16"/>
    <w:rsid w:val="00060F26"/>
    <w:rsid w:val="00062D43"/>
    <w:rsid w:val="00062EC5"/>
    <w:rsid w:val="00064256"/>
    <w:rsid w:val="0006708D"/>
    <w:rsid w:val="000671C7"/>
    <w:rsid w:val="00067531"/>
    <w:rsid w:val="00067684"/>
    <w:rsid w:val="000706A4"/>
    <w:rsid w:val="00070A0C"/>
    <w:rsid w:val="0007104B"/>
    <w:rsid w:val="00071F80"/>
    <w:rsid w:val="00072118"/>
    <w:rsid w:val="00073173"/>
    <w:rsid w:val="00073192"/>
    <w:rsid w:val="00073461"/>
    <w:rsid w:val="000760AE"/>
    <w:rsid w:val="0007651D"/>
    <w:rsid w:val="00076FFF"/>
    <w:rsid w:val="000779AC"/>
    <w:rsid w:val="00080A41"/>
    <w:rsid w:val="00080AA8"/>
    <w:rsid w:val="00081C84"/>
    <w:rsid w:val="00082637"/>
    <w:rsid w:val="00082D56"/>
    <w:rsid w:val="00083803"/>
    <w:rsid w:val="00083D7F"/>
    <w:rsid w:val="00084393"/>
    <w:rsid w:val="00084807"/>
    <w:rsid w:val="00085070"/>
    <w:rsid w:val="000870F1"/>
    <w:rsid w:val="0008716A"/>
    <w:rsid w:val="00087634"/>
    <w:rsid w:val="000879B9"/>
    <w:rsid w:val="00091237"/>
    <w:rsid w:val="000916B1"/>
    <w:rsid w:val="0009191B"/>
    <w:rsid w:val="000920EC"/>
    <w:rsid w:val="00092208"/>
    <w:rsid w:val="00092505"/>
    <w:rsid w:val="000927EB"/>
    <w:rsid w:val="00092BD9"/>
    <w:rsid w:val="00092C9A"/>
    <w:rsid w:val="00094D55"/>
    <w:rsid w:val="000973B6"/>
    <w:rsid w:val="000976A6"/>
    <w:rsid w:val="00097BFC"/>
    <w:rsid w:val="00097D02"/>
    <w:rsid w:val="000A0BBE"/>
    <w:rsid w:val="000A1183"/>
    <w:rsid w:val="000A2121"/>
    <w:rsid w:val="000A2484"/>
    <w:rsid w:val="000A36CE"/>
    <w:rsid w:val="000A4021"/>
    <w:rsid w:val="000A59BF"/>
    <w:rsid w:val="000A66C2"/>
    <w:rsid w:val="000A68A2"/>
    <w:rsid w:val="000A68A7"/>
    <w:rsid w:val="000A742D"/>
    <w:rsid w:val="000A7C02"/>
    <w:rsid w:val="000B1458"/>
    <w:rsid w:val="000B1CFE"/>
    <w:rsid w:val="000B1F3D"/>
    <w:rsid w:val="000B210A"/>
    <w:rsid w:val="000B21AC"/>
    <w:rsid w:val="000B249B"/>
    <w:rsid w:val="000B2ADE"/>
    <w:rsid w:val="000B2C3D"/>
    <w:rsid w:val="000B3B01"/>
    <w:rsid w:val="000B3DB9"/>
    <w:rsid w:val="000B3F02"/>
    <w:rsid w:val="000B48A2"/>
    <w:rsid w:val="000B48E7"/>
    <w:rsid w:val="000B4F41"/>
    <w:rsid w:val="000B6E11"/>
    <w:rsid w:val="000B7663"/>
    <w:rsid w:val="000C09C1"/>
    <w:rsid w:val="000C1106"/>
    <w:rsid w:val="000C11D3"/>
    <w:rsid w:val="000C12F5"/>
    <w:rsid w:val="000C2C94"/>
    <w:rsid w:val="000C3408"/>
    <w:rsid w:val="000C3DFC"/>
    <w:rsid w:val="000C4AC8"/>
    <w:rsid w:val="000C54AF"/>
    <w:rsid w:val="000C5C0F"/>
    <w:rsid w:val="000C5D56"/>
    <w:rsid w:val="000C6498"/>
    <w:rsid w:val="000D0B22"/>
    <w:rsid w:val="000D0D51"/>
    <w:rsid w:val="000D14B3"/>
    <w:rsid w:val="000D1BFB"/>
    <w:rsid w:val="000D1F52"/>
    <w:rsid w:val="000D208B"/>
    <w:rsid w:val="000D263E"/>
    <w:rsid w:val="000D2B48"/>
    <w:rsid w:val="000D2B8D"/>
    <w:rsid w:val="000D2E41"/>
    <w:rsid w:val="000D342A"/>
    <w:rsid w:val="000D3DC0"/>
    <w:rsid w:val="000D43CB"/>
    <w:rsid w:val="000D5E7A"/>
    <w:rsid w:val="000D5FAA"/>
    <w:rsid w:val="000D65A4"/>
    <w:rsid w:val="000D6AEF"/>
    <w:rsid w:val="000D7D11"/>
    <w:rsid w:val="000E0098"/>
    <w:rsid w:val="000E025B"/>
    <w:rsid w:val="000E0ECB"/>
    <w:rsid w:val="000E153A"/>
    <w:rsid w:val="000E19A8"/>
    <w:rsid w:val="000E1EEA"/>
    <w:rsid w:val="000E4241"/>
    <w:rsid w:val="000E4A42"/>
    <w:rsid w:val="000E6476"/>
    <w:rsid w:val="000E77CC"/>
    <w:rsid w:val="000E78D2"/>
    <w:rsid w:val="000F06EF"/>
    <w:rsid w:val="000F3332"/>
    <w:rsid w:val="000F338D"/>
    <w:rsid w:val="000F33EE"/>
    <w:rsid w:val="000F401E"/>
    <w:rsid w:val="000F4191"/>
    <w:rsid w:val="000F43EB"/>
    <w:rsid w:val="000F5445"/>
    <w:rsid w:val="000F5673"/>
    <w:rsid w:val="000F67B2"/>
    <w:rsid w:val="000F6CFB"/>
    <w:rsid w:val="000F74B6"/>
    <w:rsid w:val="000F790F"/>
    <w:rsid w:val="000F7E1B"/>
    <w:rsid w:val="00100014"/>
    <w:rsid w:val="0010039A"/>
    <w:rsid w:val="001010CD"/>
    <w:rsid w:val="00101E94"/>
    <w:rsid w:val="00101FB2"/>
    <w:rsid w:val="00102CB8"/>
    <w:rsid w:val="00102F02"/>
    <w:rsid w:val="0010385D"/>
    <w:rsid w:val="00103B42"/>
    <w:rsid w:val="00103CE1"/>
    <w:rsid w:val="00103E41"/>
    <w:rsid w:val="001041B6"/>
    <w:rsid w:val="001048E0"/>
    <w:rsid w:val="001070EA"/>
    <w:rsid w:val="0011002A"/>
    <w:rsid w:val="001107CE"/>
    <w:rsid w:val="0011110A"/>
    <w:rsid w:val="001118AF"/>
    <w:rsid w:val="00111CA5"/>
    <w:rsid w:val="00112488"/>
    <w:rsid w:val="0011256E"/>
    <w:rsid w:val="0011274D"/>
    <w:rsid w:val="00112E13"/>
    <w:rsid w:val="0011352E"/>
    <w:rsid w:val="00113F43"/>
    <w:rsid w:val="00114A13"/>
    <w:rsid w:val="00114FC0"/>
    <w:rsid w:val="00115496"/>
    <w:rsid w:val="00116DB9"/>
    <w:rsid w:val="00116F28"/>
    <w:rsid w:val="00121C39"/>
    <w:rsid w:val="00123255"/>
    <w:rsid w:val="00123A5C"/>
    <w:rsid w:val="00124430"/>
    <w:rsid w:val="00124D2D"/>
    <w:rsid w:val="00124DA1"/>
    <w:rsid w:val="00124E9C"/>
    <w:rsid w:val="00125326"/>
    <w:rsid w:val="00125CB5"/>
    <w:rsid w:val="0012678C"/>
    <w:rsid w:val="00127535"/>
    <w:rsid w:val="00127965"/>
    <w:rsid w:val="001307BE"/>
    <w:rsid w:val="00130C8F"/>
    <w:rsid w:val="001314F2"/>
    <w:rsid w:val="001317DA"/>
    <w:rsid w:val="001322B4"/>
    <w:rsid w:val="001323BA"/>
    <w:rsid w:val="0013254D"/>
    <w:rsid w:val="00133AAC"/>
    <w:rsid w:val="00133FBD"/>
    <w:rsid w:val="00135008"/>
    <w:rsid w:val="001364C1"/>
    <w:rsid w:val="00136561"/>
    <w:rsid w:val="001400E1"/>
    <w:rsid w:val="001405FA"/>
    <w:rsid w:val="001413B3"/>
    <w:rsid w:val="001425C3"/>
    <w:rsid w:val="00142F16"/>
    <w:rsid w:val="00143E03"/>
    <w:rsid w:val="00143E93"/>
    <w:rsid w:val="00143FA3"/>
    <w:rsid w:val="0014428D"/>
    <w:rsid w:val="00144BEA"/>
    <w:rsid w:val="001468CC"/>
    <w:rsid w:val="001500FC"/>
    <w:rsid w:val="00151AAB"/>
    <w:rsid w:val="00151AC0"/>
    <w:rsid w:val="00151B27"/>
    <w:rsid w:val="00152046"/>
    <w:rsid w:val="001524FC"/>
    <w:rsid w:val="001528DF"/>
    <w:rsid w:val="00152E53"/>
    <w:rsid w:val="001536DD"/>
    <w:rsid w:val="00153ECF"/>
    <w:rsid w:val="00154147"/>
    <w:rsid w:val="00155089"/>
    <w:rsid w:val="001550F3"/>
    <w:rsid w:val="00155746"/>
    <w:rsid w:val="00156318"/>
    <w:rsid w:val="0015639A"/>
    <w:rsid w:val="00157410"/>
    <w:rsid w:val="0016081D"/>
    <w:rsid w:val="00160CF3"/>
    <w:rsid w:val="00160E61"/>
    <w:rsid w:val="00161300"/>
    <w:rsid w:val="00161CCF"/>
    <w:rsid w:val="001620FA"/>
    <w:rsid w:val="00162853"/>
    <w:rsid w:val="00163793"/>
    <w:rsid w:val="001640FB"/>
    <w:rsid w:val="00164B83"/>
    <w:rsid w:val="00165E1B"/>
    <w:rsid w:val="00167FB2"/>
    <w:rsid w:val="001707DE"/>
    <w:rsid w:val="00170B04"/>
    <w:rsid w:val="00170F47"/>
    <w:rsid w:val="001711F2"/>
    <w:rsid w:val="001714F2"/>
    <w:rsid w:val="00172F26"/>
    <w:rsid w:val="00173642"/>
    <w:rsid w:val="00173AF4"/>
    <w:rsid w:val="00173CB0"/>
    <w:rsid w:val="00174853"/>
    <w:rsid w:val="00174CE8"/>
    <w:rsid w:val="00174E7D"/>
    <w:rsid w:val="001752CB"/>
    <w:rsid w:val="00175351"/>
    <w:rsid w:val="00175F60"/>
    <w:rsid w:val="00176050"/>
    <w:rsid w:val="001764D8"/>
    <w:rsid w:val="00176A8F"/>
    <w:rsid w:val="00176C72"/>
    <w:rsid w:val="00180D58"/>
    <w:rsid w:val="00181938"/>
    <w:rsid w:val="00182981"/>
    <w:rsid w:val="00184CF9"/>
    <w:rsid w:val="00185010"/>
    <w:rsid w:val="001852EC"/>
    <w:rsid w:val="001857D6"/>
    <w:rsid w:val="00185D70"/>
    <w:rsid w:val="00186447"/>
    <w:rsid w:val="001874CF"/>
    <w:rsid w:val="00190214"/>
    <w:rsid w:val="00190D9B"/>
    <w:rsid w:val="00191461"/>
    <w:rsid w:val="00191BAE"/>
    <w:rsid w:val="00193432"/>
    <w:rsid w:val="0019346C"/>
    <w:rsid w:val="00194AE3"/>
    <w:rsid w:val="00194D9B"/>
    <w:rsid w:val="00195335"/>
    <w:rsid w:val="00195444"/>
    <w:rsid w:val="0019579E"/>
    <w:rsid w:val="0019797A"/>
    <w:rsid w:val="001A0A79"/>
    <w:rsid w:val="001A199D"/>
    <w:rsid w:val="001A2BDB"/>
    <w:rsid w:val="001A30F4"/>
    <w:rsid w:val="001A44F9"/>
    <w:rsid w:val="001A47AB"/>
    <w:rsid w:val="001A4930"/>
    <w:rsid w:val="001A4A37"/>
    <w:rsid w:val="001A4C0D"/>
    <w:rsid w:val="001A552F"/>
    <w:rsid w:val="001A56F3"/>
    <w:rsid w:val="001A737B"/>
    <w:rsid w:val="001A750C"/>
    <w:rsid w:val="001A7769"/>
    <w:rsid w:val="001A7A4E"/>
    <w:rsid w:val="001A7BBB"/>
    <w:rsid w:val="001B1D89"/>
    <w:rsid w:val="001B2143"/>
    <w:rsid w:val="001B2B24"/>
    <w:rsid w:val="001B3110"/>
    <w:rsid w:val="001B4198"/>
    <w:rsid w:val="001B44BC"/>
    <w:rsid w:val="001B46D6"/>
    <w:rsid w:val="001B5215"/>
    <w:rsid w:val="001B5888"/>
    <w:rsid w:val="001B618F"/>
    <w:rsid w:val="001B6277"/>
    <w:rsid w:val="001B6545"/>
    <w:rsid w:val="001B681B"/>
    <w:rsid w:val="001B6A49"/>
    <w:rsid w:val="001B7231"/>
    <w:rsid w:val="001B74FB"/>
    <w:rsid w:val="001B77A1"/>
    <w:rsid w:val="001C0422"/>
    <w:rsid w:val="001C049B"/>
    <w:rsid w:val="001C0E0E"/>
    <w:rsid w:val="001C0EB9"/>
    <w:rsid w:val="001C1219"/>
    <w:rsid w:val="001C24D7"/>
    <w:rsid w:val="001C2816"/>
    <w:rsid w:val="001C357A"/>
    <w:rsid w:val="001C3A37"/>
    <w:rsid w:val="001C4384"/>
    <w:rsid w:val="001C55F5"/>
    <w:rsid w:val="001C6024"/>
    <w:rsid w:val="001C65FF"/>
    <w:rsid w:val="001C78A2"/>
    <w:rsid w:val="001D05CF"/>
    <w:rsid w:val="001D3787"/>
    <w:rsid w:val="001D47E5"/>
    <w:rsid w:val="001D48A5"/>
    <w:rsid w:val="001D584C"/>
    <w:rsid w:val="001D5E1B"/>
    <w:rsid w:val="001D66C1"/>
    <w:rsid w:val="001D74E8"/>
    <w:rsid w:val="001D7C6F"/>
    <w:rsid w:val="001E0024"/>
    <w:rsid w:val="001E0C65"/>
    <w:rsid w:val="001E2377"/>
    <w:rsid w:val="001E23E3"/>
    <w:rsid w:val="001E29AF"/>
    <w:rsid w:val="001E387A"/>
    <w:rsid w:val="001E3DA4"/>
    <w:rsid w:val="001E5469"/>
    <w:rsid w:val="001E5830"/>
    <w:rsid w:val="001E59D5"/>
    <w:rsid w:val="001E684C"/>
    <w:rsid w:val="001E701C"/>
    <w:rsid w:val="001E7552"/>
    <w:rsid w:val="001E7C03"/>
    <w:rsid w:val="001F02AF"/>
    <w:rsid w:val="001F0649"/>
    <w:rsid w:val="001F1C99"/>
    <w:rsid w:val="001F21A6"/>
    <w:rsid w:val="001F28F4"/>
    <w:rsid w:val="001F2CC6"/>
    <w:rsid w:val="001F3055"/>
    <w:rsid w:val="001F31BC"/>
    <w:rsid w:val="001F378E"/>
    <w:rsid w:val="001F3C79"/>
    <w:rsid w:val="001F3E68"/>
    <w:rsid w:val="001F4597"/>
    <w:rsid w:val="001F56A9"/>
    <w:rsid w:val="001F5C6A"/>
    <w:rsid w:val="001F63A7"/>
    <w:rsid w:val="001F670A"/>
    <w:rsid w:val="001F6A2E"/>
    <w:rsid w:val="001F6CC0"/>
    <w:rsid w:val="00200D15"/>
    <w:rsid w:val="002012FC"/>
    <w:rsid w:val="0020223B"/>
    <w:rsid w:val="0020294A"/>
    <w:rsid w:val="00203074"/>
    <w:rsid w:val="00203B46"/>
    <w:rsid w:val="002048E1"/>
    <w:rsid w:val="00207DB6"/>
    <w:rsid w:val="00210278"/>
    <w:rsid w:val="00210CC2"/>
    <w:rsid w:val="00210F5B"/>
    <w:rsid w:val="00210FFA"/>
    <w:rsid w:val="00211262"/>
    <w:rsid w:val="002115F5"/>
    <w:rsid w:val="00211AC9"/>
    <w:rsid w:val="00212292"/>
    <w:rsid w:val="002131D4"/>
    <w:rsid w:val="0021329E"/>
    <w:rsid w:val="0021355B"/>
    <w:rsid w:val="00215A2C"/>
    <w:rsid w:val="00215CC3"/>
    <w:rsid w:val="002169D2"/>
    <w:rsid w:val="00217980"/>
    <w:rsid w:val="002179F9"/>
    <w:rsid w:val="00217B00"/>
    <w:rsid w:val="00217F7E"/>
    <w:rsid w:val="002205F2"/>
    <w:rsid w:val="0022080E"/>
    <w:rsid w:val="00220838"/>
    <w:rsid w:val="00220B20"/>
    <w:rsid w:val="00220CF8"/>
    <w:rsid w:val="0022139E"/>
    <w:rsid w:val="0022272B"/>
    <w:rsid w:val="00222A99"/>
    <w:rsid w:val="002234CA"/>
    <w:rsid w:val="00223678"/>
    <w:rsid w:val="002236F7"/>
    <w:rsid w:val="00223E00"/>
    <w:rsid w:val="00223ECF"/>
    <w:rsid w:val="00224546"/>
    <w:rsid w:val="002252E0"/>
    <w:rsid w:val="002255F6"/>
    <w:rsid w:val="002261DD"/>
    <w:rsid w:val="00226466"/>
    <w:rsid w:val="002266D0"/>
    <w:rsid w:val="00226887"/>
    <w:rsid w:val="00227771"/>
    <w:rsid w:val="00227991"/>
    <w:rsid w:val="0023093E"/>
    <w:rsid w:val="00230DAD"/>
    <w:rsid w:val="00231EE1"/>
    <w:rsid w:val="0023229C"/>
    <w:rsid w:val="0023301B"/>
    <w:rsid w:val="002334DF"/>
    <w:rsid w:val="0023355C"/>
    <w:rsid w:val="002340A2"/>
    <w:rsid w:val="00234280"/>
    <w:rsid w:val="00234DD5"/>
    <w:rsid w:val="00235000"/>
    <w:rsid w:val="002350E3"/>
    <w:rsid w:val="00235330"/>
    <w:rsid w:val="00236443"/>
    <w:rsid w:val="0024074D"/>
    <w:rsid w:val="00240773"/>
    <w:rsid w:val="00240815"/>
    <w:rsid w:val="00240A5B"/>
    <w:rsid w:val="00240C76"/>
    <w:rsid w:val="002411EF"/>
    <w:rsid w:val="00241446"/>
    <w:rsid w:val="00241FAA"/>
    <w:rsid w:val="00242730"/>
    <w:rsid w:val="00242C0B"/>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17D"/>
    <w:rsid w:val="0026138C"/>
    <w:rsid w:val="00261A0F"/>
    <w:rsid w:val="00261E5B"/>
    <w:rsid w:val="00262F34"/>
    <w:rsid w:val="00263470"/>
    <w:rsid w:val="00263733"/>
    <w:rsid w:val="00264000"/>
    <w:rsid w:val="00264676"/>
    <w:rsid w:val="0026507C"/>
    <w:rsid w:val="00265536"/>
    <w:rsid w:val="00265772"/>
    <w:rsid w:val="00265E54"/>
    <w:rsid w:val="00266040"/>
    <w:rsid w:val="00266F3E"/>
    <w:rsid w:val="00270785"/>
    <w:rsid w:val="00270B56"/>
    <w:rsid w:val="00271BEF"/>
    <w:rsid w:val="00272464"/>
    <w:rsid w:val="002726B8"/>
    <w:rsid w:val="00272B0B"/>
    <w:rsid w:val="00272CC5"/>
    <w:rsid w:val="00273C60"/>
    <w:rsid w:val="00273CBE"/>
    <w:rsid w:val="00273DCD"/>
    <w:rsid w:val="00274291"/>
    <w:rsid w:val="00275D3C"/>
    <w:rsid w:val="00276C09"/>
    <w:rsid w:val="00276CFE"/>
    <w:rsid w:val="00277071"/>
    <w:rsid w:val="0027786C"/>
    <w:rsid w:val="00277BF7"/>
    <w:rsid w:val="00277C94"/>
    <w:rsid w:val="00280E67"/>
    <w:rsid w:val="00281416"/>
    <w:rsid w:val="00283C61"/>
    <w:rsid w:val="00285CD3"/>
    <w:rsid w:val="0028633E"/>
    <w:rsid w:val="0028686A"/>
    <w:rsid w:val="00286E66"/>
    <w:rsid w:val="002870B7"/>
    <w:rsid w:val="002879DE"/>
    <w:rsid w:val="002903C9"/>
    <w:rsid w:val="00290423"/>
    <w:rsid w:val="002907F1"/>
    <w:rsid w:val="00290870"/>
    <w:rsid w:val="0029191C"/>
    <w:rsid w:val="002919B5"/>
    <w:rsid w:val="00292137"/>
    <w:rsid w:val="002926EF"/>
    <w:rsid w:val="00293441"/>
    <w:rsid w:val="00293EA0"/>
    <w:rsid w:val="00294238"/>
    <w:rsid w:val="0029493E"/>
    <w:rsid w:val="00294A5F"/>
    <w:rsid w:val="002962E0"/>
    <w:rsid w:val="00296C2E"/>
    <w:rsid w:val="00297C8C"/>
    <w:rsid w:val="002A01B2"/>
    <w:rsid w:val="002A1B05"/>
    <w:rsid w:val="002A267F"/>
    <w:rsid w:val="002A3354"/>
    <w:rsid w:val="002A35EA"/>
    <w:rsid w:val="002A37B6"/>
    <w:rsid w:val="002A3A75"/>
    <w:rsid w:val="002A3BD5"/>
    <w:rsid w:val="002A43A2"/>
    <w:rsid w:val="002A44ED"/>
    <w:rsid w:val="002A4612"/>
    <w:rsid w:val="002A4F70"/>
    <w:rsid w:val="002A51BD"/>
    <w:rsid w:val="002A5263"/>
    <w:rsid w:val="002A66AF"/>
    <w:rsid w:val="002A6821"/>
    <w:rsid w:val="002A74D2"/>
    <w:rsid w:val="002A7CDA"/>
    <w:rsid w:val="002A7F47"/>
    <w:rsid w:val="002B1544"/>
    <w:rsid w:val="002B195A"/>
    <w:rsid w:val="002B1AA2"/>
    <w:rsid w:val="002B1DC1"/>
    <w:rsid w:val="002B36C8"/>
    <w:rsid w:val="002B385B"/>
    <w:rsid w:val="002B3A9C"/>
    <w:rsid w:val="002B556B"/>
    <w:rsid w:val="002B6D1E"/>
    <w:rsid w:val="002B71B4"/>
    <w:rsid w:val="002B7240"/>
    <w:rsid w:val="002C0FF4"/>
    <w:rsid w:val="002C125A"/>
    <w:rsid w:val="002C2668"/>
    <w:rsid w:val="002C43BD"/>
    <w:rsid w:val="002C493D"/>
    <w:rsid w:val="002C4E5A"/>
    <w:rsid w:val="002C5261"/>
    <w:rsid w:val="002C6091"/>
    <w:rsid w:val="002C7FC5"/>
    <w:rsid w:val="002D0562"/>
    <w:rsid w:val="002D1B5A"/>
    <w:rsid w:val="002D1BFF"/>
    <w:rsid w:val="002D2500"/>
    <w:rsid w:val="002D338A"/>
    <w:rsid w:val="002D3A1A"/>
    <w:rsid w:val="002D3F00"/>
    <w:rsid w:val="002D4D59"/>
    <w:rsid w:val="002D549A"/>
    <w:rsid w:val="002D54BF"/>
    <w:rsid w:val="002D58F6"/>
    <w:rsid w:val="002D5C3D"/>
    <w:rsid w:val="002D5E94"/>
    <w:rsid w:val="002D632D"/>
    <w:rsid w:val="002D68E6"/>
    <w:rsid w:val="002D6E8B"/>
    <w:rsid w:val="002D6FC7"/>
    <w:rsid w:val="002E02A1"/>
    <w:rsid w:val="002E0982"/>
    <w:rsid w:val="002E0B7A"/>
    <w:rsid w:val="002E0DB9"/>
    <w:rsid w:val="002E2CE4"/>
    <w:rsid w:val="002E34F3"/>
    <w:rsid w:val="002E383E"/>
    <w:rsid w:val="002E4217"/>
    <w:rsid w:val="002E435E"/>
    <w:rsid w:val="002E5958"/>
    <w:rsid w:val="002E73F2"/>
    <w:rsid w:val="002F0457"/>
    <w:rsid w:val="002F291A"/>
    <w:rsid w:val="002F33FB"/>
    <w:rsid w:val="002F3FBA"/>
    <w:rsid w:val="002F663A"/>
    <w:rsid w:val="002F68A4"/>
    <w:rsid w:val="002F7594"/>
    <w:rsid w:val="002F7902"/>
    <w:rsid w:val="003003E7"/>
    <w:rsid w:val="00300D6F"/>
    <w:rsid w:val="00301357"/>
    <w:rsid w:val="00301D04"/>
    <w:rsid w:val="00302C69"/>
    <w:rsid w:val="003035D4"/>
    <w:rsid w:val="00303A3C"/>
    <w:rsid w:val="00303DCB"/>
    <w:rsid w:val="00304771"/>
    <w:rsid w:val="00305736"/>
    <w:rsid w:val="0030599E"/>
    <w:rsid w:val="00305C33"/>
    <w:rsid w:val="00306C5B"/>
    <w:rsid w:val="00306E3B"/>
    <w:rsid w:val="00310ADB"/>
    <w:rsid w:val="003119B6"/>
    <w:rsid w:val="003119B7"/>
    <w:rsid w:val="00312C3D"/>
    <w:rsid w:val="003138E0"/>
    <w:rsid w:val="00314331"/>
    <w:rsid w:val="00314808"/>
    <w:rsid w:val="00317E31"/>
    <w:rsid w:val="00320146"/>
    <w:rsid w:val="00320214"/>
    <w:rsid w:val="003209D6"/>
    <w:rsid w:val="0032109A"/>
    <w:rsid w:val="0032214F"/>
    <w:rsid w:val="00322164"/>
    <w:rsid w:val="0032279C"/>
    <w:rsid w:val="00322949"/>
    <w:rsid w:val="00322CEB"/>
    <w:rsid w:val="00322D09"/>
    <w:rsid w:val="00322D80"/>
    <w:rsid w:val="00323CF7"/>
    <w:rsid w:val="00323E61"/>
    <w:rsid w:val="0032513D"/>
    <w:rsid w:val="00326251"/>
    <w:rsid w:val="0032739C"/>
    <w:rsid w:val="003277A6"/>
    <w:rsid w:val="00327DEE"/>
    <w:rsid w:val="003302DA"/>
    <w:rsid w:val="00330EB0"/>
    <w:rsid w:val="00331574"/>
    <w:rsid w:val="0033229B"/>
    <w:rsid w:val="003329F3"/>
    <w:rsid w:val="0033352E"/>
    <w:rsid w:val="00333690"/>
    <w:rsid w:val="0033390C"/>
    <w:rsid w:val="00333D20"/>
    <w:rsid w:val="00333F53"/>
    <w:rsid w:val="003340EF"/>
    <w:rsid w:val="0033463E"/>
    <w:rsid w:val="00334A49"/>
    <w:rsid w:val="0033536F"/>
    <w:rsid w:val="00335BB0"/>
    <w:rsid w:val="0033627B"/>
    <w:rsid w:val="003370B9"/>
    <w:rsid w:val="003406BD"/>
    <w:rsid w:val="00340D38"/>
    <w:rsid w:val="00342753"/>
    <w:rsid w:val="00342D7B"/>
    <w:rsid w:val="00343474"/>
    <w:rsid w:val="00343F84"/>
    <w:rsid w:val="00344135"/>
    <w:rsid w:val="00344533"/>
    <w:rsid w:val="003450E2"/>
    <w:rsid w:val="003460E3"/>
    <w:rsid w:val="00347F1E"/>
    <w:rsid w:val="00350053"/>
    <w:rsid w:val="003508B0"/>
    <w:rsid w:val="00351B63"/>
    <w:rsid w:val="00352E57"/>
    <w:rsid w:val="003541B0"/>
    <w:rsid w:val="0035422B"/>
    <w:rsid w:val="0035457E"/>
    <w:rsid w:val="00355885"/>
    <w:rsid w:val="00355A57"/>
    <w:rsid w:val="00355B5A"/>
    <w:rsid w:val="0035605E"/>
    <w:rsid w:val="00356244"/>
    <w:rsid w:val="00357449"/>
    <w:rsid w:val="00357CC2"/>
    <w:rsid w:val="00361CEF"/>
    <w:rsid w:val="0036238B"/>
    <w:rsid w:val="003630B0"/>
    <w:rsid w:val="00364173"/>
    <w:rsid w:val="003649FC"/>
    <w:rsid w:val="003651A4"/>
    <w:rsid w:val="00365680"/>
    <w:rsid w:val="003657F3"/>
    <w:rsid w:val="00365FBC"/>
    <w:rsid w:val="00366D4D"/>
    <w:rsid w:val="00367038"/>
    <w:rsid w:val="003676C4"/>
    <w:rsid w:val="0037077A"/>
    <w:rsid w:val="00370963"/>
    <w:rsid w:val="0037144E"/>
    <w:rsid w:val="00372272"/>
    <w:rsid w:val="00373689"/>
    <w:rsid w:val="003736B5"/>
    <w:rsid w:val="00374798"/>
    <w:rsid w:val="00374F1E"/>
    <w:rsid w:val="003750BC"/>
    <w:rsid w:val="003750CF"/>
    <w:rsid w:val="0037529E"/>
    <w:rsid w:val="00375A22"/>
    <w:rsid w:val="00376DEC"/>
    <w:rsid w:val="00377200"/>
    <w:rsid w:val="00377666"/>
    <w:rsid w:val="00377FE1"/>
    <w:rsid w:val="0038034A"/>
    <w:rsid w:val="00380E04"/>
    <w:rsid w:val="00380E6C"/>
    <w:rsid w:val="00381479"/>
    <w:rsid w:val="00383227"/>
    <w:rsid w:val="003839C9"/>
    <w:rsid w:val="0038422D"/>
    <w:rsid w:val="003843F5"/>
    <w:rsid w:val="00384D8F"/>
    <w:rsid w:val="00384EEA"/>
    <w:rsid w:val="003857A2"/>
    <w:rsid w:val="003857CD"/>
    <w:rsid w:val="0038595F"/>
    <w:rsid w:val="00385D98"/>
    <w:rsid w:val="00385EC5"/>
    <w:rsid w:val="0038625E"/>
    <w:rsid w:val="0038658E"/>
    <w:rsid w:val="00387507"/>
    <w:rsid w:val="003875C2"/>
    <w:rsid w:val="0039066E"/>
    <w:rsid w:val="00391C95"/>
    <w:rsid w:val="00392110"/>
    <w:rsid w:val="00393D74"/>
    <w:rsid w:val="00394D49"/>
    <w:rsid w:val="0039598F"/>
    <w:rsid w:val="00395A52"/>
    <w:rsid w:val="00396DAC"/>
    <w:rsid w:val="003971D0"/>
    <w:rsid w:val="003A0214"/>
    <w:rsid w:val="003A027D"/>
    <w:rsid w:val="003A1D74"/>
    <w:rsid w:val="003A2B4D"/>
    <w:rsid w:val="003A2D2B"/>
    <w:rsid w:val="003A2DD4"/>
    <w:rsid w:val="003A31A9"/>
    <w:rsid w:val="003A3B1C"/>
    <w:rsid w:val="003A4088"/>
    <w:rsid w:val="003A478C"/>
    <w:rsid w:val="003A4F82"/>
    <w:rsid w:val="003A5525"/>
    <w:rsid w:val="003A57A4"/>
    <w:rsid w:val="003A663F"/>
    <w:rsid w:val="003A6B38"/>
    <w:rsid w:val="003A73EA"/>
    <w:rsid w:val="003B1781"/>
    <w:rsid w:val="003B2142"/>
    <w:rsid w:val="003B2580"/>
    <w:rsid w:val="003B2E63"/>
    <w:rsid w:val="003B2F0A"/>
    <w:rsid w:val="003B3189"/>
    <w:rsid w:val="003B3A9D"/>
    <w:rsid w:val="003B3DDD"/>
    <w:rsid w:val="003B42A1"/>
    <w:rsid w:val="003B5031"/>
    <w:rsid w:val="003B5A32"/>
    <w:rsid w:val="003B5B61"/>
    <w:rsid w:val="003B5E14"/>
    <w:rsid w:val="003B6105"/>
    <w:rsid w:val="003C0122"/>
    <w:rsid w:val="003C03CC"/>
    <w:rsid w:val="003C04C4"/>
    <w:rsid w:val="003C1F8B"/>
    <w:rsid w:val="003C26F4"/>
    <w:rsid w:val="003C2809"/>
    <w:rsid w:val="003C3686"/>
    <w:rsid w:val="003C38D4"/>
    <w:rsid w:val="003C4852"/>
    <w:rsid w:val="003C486D"/>
    <w:rsid w:val="003C505A"/>
    <w:rsid w:val="003C5BC7"/>
    <w:rsid w:val="003C601E"/>
    <w:rsid w:val="003C66C4"/>
    <w:rsid w:val="003C7928"/>
    <w:rsid w:val="003C797A"/>
    <w:rsid w:val="003C7A95"/>
    <w:rsid w:val="003C7B97"/>
    <w:rsid w:val="003D15C3"/>
    <w:rsid w:val="003D17A6"/>
    <w:rsid w:val="003D2C4E"/>
    <w:rsid w:val="003D2D51"/>
    <w:rsid w:val="003D33FD"/>
    <w:rsid w:val="003D3600"/>
    <w:rsid w:val="003D3825"/>
    <w:rsid w:val="003D3EC4"/>
    <w:rsid w:val="003D44E2"/>
    <w:rsid w:val="003D4760"/>
    <w:rsid w:val="003D49DC"/>
    <w:rsid w:val="003D4DD9"/>
    <w:rsid w:val="003D4FB5"/>
    <w:rsid w:val="003D5D7A"/>
    <w:rsid w:val="003D5E4B"/>
    <w:rsid w:val="003D653F"/>
    <w:rsid w:val="003E00D4"/>
    <w:rsid w:val="003E0663"/>
    <w:rsid w:val="003E133F"/>
    <w:rsid w:val="003E194E"/>
    <w:rsid w:val="003E42C9"/>
    <w:rsid w:val="003E49F6"/>
    <w:rsid w:val="003E4FD4"/>
    <w:rsid w:val="003E5488"/>
    <w:rsid w:val="003E699C"/>
    <w:rsid w:val="003E69F3"/>
    <w:rsid w:val="003E6EB0"/>
    <w:rsid w:val="003E7550"/>
    <w:rsid w:val="003E782E"/>
    <w:rsid w:val="003E7A0B"/>
    <w:rsid w:val="003E7B2B"/>
    <w:rsid w:val="003F116D"/>
    <w:rsid w:val="003F1749"/>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015"/>
    <w:rsid w:val="003F6C74"/>
    <w:rsid w:val="003F6D19"/>
    <w:rsid w:val="003F7F67"/>
    <w:rsid w:val="004000D5"/>
    <w:rsid w:val="00400244"/>
    <w:rsid w:val="004005C1"/>
    <w:rsid w:val="004010ED"/>
    <w:rsid w:val="00401716"/>
    <w:rsid w:val="004018F7"/>
    <w:rsid w:val="00401A09"/>
    <w:rsid w:val="0040273A"/>
    <w:rsid w:val="00402C25"/>
    <w:rsid w:val="004036FB"/>
    <w:rsid w:val="00403CE3"/>
    <w:rsid w:val="004050D7"/>
    <w:rsid w:val="0040633F"/>
    <w:rsid w:val="0040758A"/>
    <w:rsid w:val="004078BD"/>
    <w:rsid w:val="00410132"/>
    <w:rsid w:val="004104E4"/>
    <w:rsid w:val="00410A97"/>
    <w:rsid w:val="00410BCD"/>
    <w:rsid w:val="00410DE5"/>
    <w:rsid w:val="00410E40"/>
    <w:rsid w:val="00410F03"/>
    <w:rsid w:val="00410FF4"/>
    <w:rsid w:val="0041175D"/>
    <w:rsid w:val="004117CE"/>
    <w:rsid w:val="004123BE"/>
    <w:rsid w:val="00412CC0"/>
    <w:rsid w:val="00414757"/>
    <w:rsid w:val="00414CE5"/>
    <w:rsid w:val="0041548B"/>
    <w:rsid w:val="00416673"/>
    <w:rsid w:val="00416F9E"/>
    <w:rsid w:val="004174FD"/>
    <w:rsid w:val="0042094A"/>
    <w:rsid w:val="004211D7"/>
    <w:rsid w:val="0042160D"/>
    <w:rsid w:val="00421A52"/>
    <w:rsid w:val="00421E7A"/>
    <w:rsid w:val="004233DB"/>
    <w:rsid w:val="00423A3C"/>
    <w:rsid w:val="00423C04"/>
    <w:rsid w:val="00423D69"/>
    <w:rsid w:val="004257F9"/>
    <w:rsid w:val="0042681B"/>
    <w:rsid w:val="00427193"/>
    <w:rsid w:val="0043068A"/>
    <w:rsid w:val="004306E0"/>
    <w:rsid w:val="004309CD"/>
    <w:rsid w:val="00431D54"/>
    <w:rsid w:val="00431F98"/>
    <w:rsid w:val="004325AA"/>
    <w:rsid w:val="004329BE"/>
    <w:rsid w:val="00432C38"/>
    <w:rsid w:val="00432F8F"/>
    <w:rsid w:val="004342EC"/>
    <w:rsid w:val="00434C84"/>
    <w:rsid w:val="00434DC4"/>
    <w:rsid w:val="00437C76"/>
    <w:rsid w:val="00437F4A"/>
    <w:rsid w:val="0044105C"/>
    <w:rsid w:val="00441542"/>
    <w:rsid w:val="00442197"/>
    <w:rsid w:val="00442B3C"/>
    <w:rsid w:val="00442FD6"/>
    <w:rsid w:val="00443646"/>
    <w:rsid w:val="00443DDE"/>
    <w:rsid w:val="00443E95"/>
    <w:rsid w:val="004441A0"/>
    <w:rsid w:val="00444268"/>
    <w:rsid w:val="00444326"/>
    <w:rsid w:val="004443BF"/>
    <w:rsid w:val="00444983"/>
    <w:rsid w:val="00444C19"/>
    <w:rsid w:val="00445218"/>
    <w:rsid w:val="00445CDD"/>
    <w:rsid w:val="00446892"/>
    <w:rsid w:val="00446C9F"/>
    <w:rsid w:val="00447E36"/>
    <w:rsid w:val="004504E0"/>
    <w:rsid w:val="00450700"/>
    <w:rsid w:val="00450C30"/>
    <w:rsid w:val="004529C7"/>
    <w:rsid w:val="00453C62"/>
    <w:rsid w:val="00453FD7"/>
    <w:rsid w:val="004540FF"/>
    <w:rsid w:val="004541F1"/>
    <w:rsid w:val="00455ECA"/>
    <w:rsid w:val="00457296"/>
    <w:rsid w:val="00457320"/>
    <w:rsid w:val="0045761F"/>
    <w:rsid w:val="00460164"/>
    <w:rsid w:val="0046039A"/>
    <w:rsid w:val="00460A6B"/>
    <w:rsid w:val="00461873"/>
    <w:rsid w:val="00461977"/>
    <w:rsid w:val="00461A3F"/>
    <w:rsid w:val="004629FD"/>
    <w:rsid w:val="00462AD2"/>
    <w:rsid w:val="00463B4B"/>
    <w:rsid w:val="00463F4D"/>
    <w:rsid w:val="00464658"/>
    <w:rsid w:val="0046471F"/>
    <w:rsid w:val="00464BE8"/>
    <w:rsid w:val="00464DE7"/>
    <w:rsid w:val="00465019"/>
    <w:rsid w:val="00465FA4"/>
    <w:rsid w:val="0046613F"/>
    <w:rsid w:val="0046655D"/>
    <w:rsid w:val="00466808"/>
    <w:rsid w:val="00466AAE"/>
    <w:rsid w:val="00466CE1"/>
    <w:rsid w:val="0046765E"/>
    <w:rsid w:val="004676E2"/>
    <w:rsid w:val="0047020E"/>
    <w:rsid w:val="00471EDD"/>
    <w:rsid w:val="00472B52"/>
    <w:rsid w:val="00473E94"/>
    <w:rsid w:val="0047400C"/>
    <w:rsid w:val="004745D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3BFB"/>
    <w:rsid w:val="00484874"/>
    <w:rsid w:val="00484AE4"/>
    <w:rsid w:val="00485230"/>
    <w:rsid w:val="00487127"/>
    <w:rsid w:val="004879E9"/>
    <w:rsid w:val="00487BCB"/>
    <w:rsid w:val="00487F81"/>
    <w:rsid w:val="00490247"/>
    <w:rsid w:val="00490BD8"/>
    <w:rsid w:val="0049104F"/>
    <w:rsid w:val="00491218"/>
    <w:rsid w:val="00491CFD"/>
    <w:rsid w:val="00492991"/>
    <w:rsid w:val="00493362"/>
    <w:rsid w:val="00494343"/>
    <w:rsid w:val="00494AAB"/>
    <w:rsid w:val="00495456"/>
    <w:rsid w:val="004966D7"/>
    <w:rsid w:val="00496C2F"/>
    <w:rsid w:val="00496CEC"/>
    <w:rsid w:val="0049740D"/>
    <w:rsid w:val="0049778A"/>
    <w:rsid w:val="004978D3"/>
    <w:rsid w:val="004A11F8"/>
    <w:rsid w:val="004A1871"/>
    <w:rsid w:val="004A22BD"/>
    <w:rsid w:val="004A22FA"/>
    <w:rsid w:val="004A269A"/>
    <w:rsid w:val="004A26DB"/>
    <w:rsid w:val="004A2A16"/>
    <w:rsid w:val="004A30FB"/>
    <w:rsid w:val="004A35DD"/>
    <w:rsid w:val="004A37D3"/>
    <w:rsid w:val="004A3AD6"/>
    <w:rsid w:val="004A5865"/>
    <w:rsid w:val="004A6092"/>
    <w:rsid w:val="004A6EA4"/>
    <w:rsid w:val="004A7670"/>
    <w:rsid w:val="004A77DF"/>
    <w:rsid w:val="004B0295"/>
    <w:rsid w:val="004B0803"/>
    <w:rsid w:val="004B10A8"/>
    <w:rsid w:val="004B1F58"/>
    <w:rsid w:val="004B1F9D"/>
    <w:rsid w:val="004B22DA"/>
    <w:rsid w:val="004B2591"/>
    <w:rsid w:val="004B30E2"/>
    <w:rsid w:val="004B3CB7"/>
    <w:rsid w:val="004B3D55"/>
    <w:rsid w:val="004B55B7"/>
    <w:rsid w:val="004B5836"/>
    <w:rsid w:val="004B5F05"/>
    <w:rsid w:val="004B7A90"/>
    <w:rsid w:val="004C00A6"/>
    <w:rsid w:val="004C0BBB"/>
    <w:rsid w:val="004C1AD6"/>
    <w:rsid w:val="004C1B86"/>
    <w:rsid w:val="004C2316"/>
    <w:rsid w:val="004C2F2D"/>
    <w:rsid w:val="004C3382"/>
    <w:rsid w:val="004C3867"/>
    <w:rsid w:val="004C4AB7"/>
    <w:rsid w:val="004C4B88"/>
    <w:rsid w:val="004C4CD0"/>
    <w:rsid w:val="004C5186"/>
    <w:rsid w:val="004C57B5"/>
    <w:rsid w:val="004C5ADB"/>
    <w:rsid w:val="004C5C25"/>
    <w:rsid w:val="004C6717"/>
    <w:rsid w:val="004C6CFF"/>
    <w:rsid w:val="004C70DC"/>
    <w:rsid w:val="004C7268"/>
    <w:rsid w:val="004C7628"/>
    <w:rsid w:val="004C7C5C"/>
    <w:rsid w:val="004D0211"/>
    <w:rsid w:val="004D1C9C"/>
    <w:rsid w:val="004D458D"/>
    <w:rsid w:val="004D4F13"/>
    <w:rsid w:val="004D504B"/>
    <w:rsid w:val="004D536E"/>
    <w:rsid w:val="004D70B1"/>
    <w:rsid w:val="004D76CC"/>
    <w:rsid w:val="004E1839"/>
    <w:rsid w:val="004E230C"/>
    <w:rsid w:val="004E4A75"/>
    <w:rsid w:val="004E541A"/>
    <w:rsid w:val="004E5A5C"/>
    <w:rsid w:val="004E7007"/>
    <w:rsid w:val="004E76D6"/>
    <w:rsid w:val="004E7F57"/>
    <w:rsid w:val="004F06F5"/>
    <w:rsid w:val="004F15E5"/>
    <w:rsid w:val="004F191F"/>
    <w:rsid w:val="004F2A4D"/>
    <w:rsid w:val="004F2A73"/>
    <w:rsid w:val="004F33A0"/>
    <w:rsid w:val="004F4353"/>
    <w:rsid w:val="004F447D"/>
    <w:rsid w:val="004F4C28"/>
    <w:rsid w:val="004F4E82"/>
    <w:rsid w:val="004F5470"/>
    <w:rsid w:val="004F5CC5"/>
    <w:rsid w:val="004F6350"/>
    <w:rsid w:val="004F674E"/>
    <w:rsid w:val="004F7170"/>
    <w:rsid w:val="005028E1"/>
    <w:rsid w:val="00503C34"/>
    <w:rsid w:val="00504937"/>
    <w:rsid w:val="00505989"/>
    <w:rsid w:val="00506309"/>
    <w:rsid w:val="0050692E"/>
    <w:rsid w:val="00507040"/>
    <w:rsid w:val="005079F8"/>
    <w:rsid w:val="00510189"/>
    <w:rsid w:val="005108C0"/>
    <w:rsid w:val="00510DA4"/>
    <w:rsid w:val="00511873"/>
    <w:rsid w:val="00512603"/>
    <w:rsid w:val="0051367B"/>
    <w:rsid w:val="00513A89"/>
    <w:rsid w:val="00513B7E"/>
    <w:rsid w:val="005140DE"/>
    <w:rsid w:val="0051412B"/>
    <w:rsid w:val="00514474"/>
    <w:rsid w:val="005147E9"/>
    <w:rsid w:val="005151B5"/>
    <w:rsid w:val="00515400"/>
    <w:rsid w:val="00515402"/>
    <w:rsid w:val="0051593C"/>
    <w:rsid w:val="00515A90"/>
    <w:rsid w:val="00517567"/>
    <w:rsid w:val="0051778B"/>
    <w:rsid w:val="0051778E"/>
    <w:rsid w:val="005215EF"/>
    <w:rsid w:val="00521923"/>
    <w:rsid w:val="00523FA1"/>
    <w:rsid w:val="00524637"/>
    <w:rsid w:val="00524FDD"/>
    <w:rsid w:val="00525137"/>
    <w:rsid w:val="005251DD"/>
    <w:rsid w:val="00526DB6"/>
    <w:rsid w:val="0053017A"/>
    <w:rsid w:val="00530492"/>
    <w:rsid w:val="0053055E"/>
    <w:rsid w:val="005308E4"/>
    <w:rsid w:val="00532854"/>
    <w:rsid w:val="00532935"/>
    <w:rsid w:val="00533AB1"/>
    <w:rsid w:val="005350F2"/>
    <w:rsid w:val="00535152"/>
    <w:rsid w:val="00535359"/>
    <w:rsid w:val="005357A2"/>
    <w:rsid w:val="005359E3"/>
    <w:rsid w:val="00535D87"/>
    <w:rsid w:val="00535EF0"/>
    <w:rsid w:val="005363DF"/>
    <w:rsid w:val="00536BCA"/>
    <w:rsid w:val="0053734B"/>
    <w:rsid w:val="005375B1"/>
    <w:rsid w:val="00537737"/>
    <w:rsid w:val="00537AFD"/>
    <w:rsid w:val="00537CB4"/>
    <w:rsid w:val="00542636"/>
    <w:rsid w:val="005447DC"/>
    <w:rsid w:val="0054516B"/>
    <w:rsid w:val="0054559E"/>
    <w:rsid w:val="005459BD"/>
    <w:rsid w:val="00546234"/>
    <w:rsid w:val="005501E1"/>
    <w:rsid w:val="005502D6"/>
    <w:rsid w:val="00550ACF"/>
    <w:rsid w:val="005513D5"/>
    <w:rsid w:val="005523B9"/>
    <w:rsid w:val="0055240C"/>
    <w:rsid w:val="005532E5"/>
    <w:rsid w:val="005545E0"/>
    <w:rsid w:val="00554865"/>
    <w:rsid w:val="00554D1E"/>
    <w:rsid w:val="00554E57"/>
    <w:rsid w:val="0055601A"/>
    <w:rsid w:val="00557E36"/>
    <w:rsid w:val="00557E6A"/>
    <w:rsid w:val="00562749"/>
    <w:rsid w:val="00562DE9"/>
    <w:rsid w:val="00563191"/>
    <w:rsid w:val="005638A5"/>
    <w:rsid w:val="0056474F"/>
    <w:rsid w:val="00564DBF"/>
    <w:rsid w:val="00566381"/>
    <w:rsid w:val="00566837"/>
    <w:rsid w:val="00566A03"/>
    <w:rsid w:val="005703D0"/>
    <w:rsid w:val="00571932"/>
    <w:rsid w:val="00572B2C"/>
    <w:rsid w:val="00573C97"/>
    <w:rsid w:val="00574240"/>
    <w:rsid w:val="0057454C"/>
    <w:rsid w:val="005752EB"/>
    <w:rsid w:val="00575CDC"/>
    <w:rsid w:val="005765D5"/>
    <w:rsid w:val="005767FE"/>
    <w:rsid w:val="00576A3E"/>
    <w:rsid w:val="00576B86"/>
    <w:rsid w:val="0057703D"/>
    <w:rsid w:val="00581892"/>
    <w:rsid w:val="00582C84"/>
    <w:rsid w:val="00582F04"/>
    <w:rsid w:val="0058366F"/>
    <w:rsid w:val="00583D5B"/>
    <w:rsid w:val="00583FFD"/>
    <w:rsid w:val="00584150"/>
    <w:rsid w:val="0058621A"/>
    <w:rsid w:val="005867AE"/>
    <w:rsid w:val="00587451"/>
    <w:rsid w:val="00587CCD"/>
    <w:rsid w:val="005908AE"/>
    <w:rsid w:val="00590FCF"/>
    <w:rsid w:val="0059176E"/>
    <w:rsid w:val="00592854"/>
    <w:rsid w:val="00593152"/>
    <w:rsid w:val="005934CE"/>
    <w:rsid w:val="00593CA3"/>
    <w:rsid w:val="00594161"/>
    <w:rsid w:val="00594969"/>
    <w:rsid w:val="00594B91"/>
    <w:rsid w:val="00594D2B"/>
    <w:rsid w:val="00595035"/>
    <w:rsid w:val="00596AC6"/>
    <w:rsid w:val="00596C5E"/>
    <w:rsid w:val="005A2194"/>
    <w:rsid w:val="005A21E0"/>
    <w:rsid w:val="005A3210"/>
    <w:rsid w:val="005A33A1"/>
    <w:rsid w:val="005A3687"/>
    <w:rsid w:val="005A54EE"/>
    <w:rsid w:val="005A563B"/>
    <w:rsid w:val="005A5F82"/>
    <w:rsid w:val="005A6E85"/>
    <w:rsid w:val="005A7500"/>
    <w:rsid w:val="005A77E4"/>
    <w:rsid w:val="005B0262"/>
    <w:rsid w:val="005B0B8F"/>
    <w:rsid w:val="005B1BDB"/>
    <w:rsid w:val="005B22A7"/>
    <w:rsid w:val="005B2929"/>
    <w:rsid w:val="005B2944"/>
    <w:rsid w:val="005B2BAA"/>
    <w:rsid w:val="005B2D53"/>
    <w:rsid w:val="005B3247"/>
    <w:rsid w:val="005B3409"/>
    <w:rsid w:val="005B498A"/>
    <w:rsid w:val="005B7B12"/>
    <w:rsid w:val="005B7F75"/>
    <w:rsid w:val="005C16CB"/>
    <w:rsid w:val="005C21D6"/>
    <w:rsid w:val="005C3F9F"/>
    <w:rsid w:val="005C406F"/>
    <w:rsid w:val="005C4978"/>
    <w:rsid w:val="005C4A23"/>
    <w:rsid w:val="005C562C"/>
    <w:rsid w:val="005C5812"/>
    <w:rsid w:val="005C591E"/>
    <w:rsid w:val="005C6400"/>
    <w:rsid w:val="005C7F1E"/>
    <w:rsid w:val="005D073B"/>
    <w:rsid w:val="005D1966"/>
    <w:rsid w:val="005D25B4"/>
    <w:rsid w:val="005D374F"/>
    <w:rsid w:val="005D5802"/>
    <w:rsid w:val="005D6CFC"/>
    <w:rsid w:val="005D73E2"/>
    <w:rsid w:val="005D757A"/>
    <w:rsid w:val="005D7C4B"/>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4057"/>
    <w:rsid w:val="005F4088"/>
    <w:rsid w:val="005F42F4"/>
    <w:rsid w:val="005F4C83"/>
    <w:rsid w:val="005F5916"/>
    <w:rsid w:val="005F5AD6"/>
    <w:rsid w:val="005F601D"/>
    <w:rsid w:val="005F6119"/>
    <w:rsid w:val="005F74B2"/>
    <w:rsid w:val="005F76F8"/>
    <w:rsid w:val="005F7940"/>
    <w:rsid w:val="005F7A9D"/>
    <w:rsid w:val="0060107A"/>
    <w:rsid w:val="00601AFF"/>
    <w:rsid w:val="00602D1D"/>
    <w:rsid w:val="00603BAF"/>
    <w:rsid w:val="00604307"/>
    <w:rsid w:val="0060487F"/>
    <w:rsid w:val="00605814"/>
    <w:rsid w:val="00606B93"/>
    <w:rsid w:val="00607119"/>
    <w:rsid w:val="006074D7"/>
    <w:rsid w:val="00607727"/>
    <w:rsid w:val="00607934"/>
    <w:rsid w:val="00610504"/>
    <w:rsid w:val="00610578"/>
    <w:rsid w:val="00610BD5"/>
    <w:rsid w:val="00611363"/>
    <w:rsid w:val="00611531"/>
    <w:rsid w:val="006118AA"/>
    <w:rsid w:val="00611C28"/>
    <w:rsid w:val="00612192"/>
    <w:rsid w:val="006139C7"/>
    <w:rsid w:val="006150EA"/>
    <w:rsid w:val="006153E3"/>
    <w:rsid w:val="006167AB"/>
    <w:rsid w:val="0061718A"/>
    <w:rsid w:val="00617C6F"/>
    <w:rsid w:val="00617D2D"/>
    <w:rsid w:val="00617D83"/>
    <w:rsid w:val="00620430"/>
    <w:rsid w:val="00620AC5"/>
    <w:rsid w:val="00621575"/>
    <w:rsid w:val="006215FC"/>
    <w:rsid w:val="00623EB2"/>
    <w:rsid w:val="00624093"/>
    <w:rsid w:val="00624198"/>
    <w:rsid w:val="006250B5"/>
    <w:rsid w:val="006279F0"/>
    <w:rsid w:val="00630F66"/>
    <w:rsid w:val="00631FC2"/>
    <w:rsid w:val="00632171"/>
    <w:rsid w:val="0063252F"/>
    <w:rsid w:val="006325CC"/>
    <w:rsid w:val="00632D86"/>
    <w:rsid w:val="0063332A"/>
    <w:rsid w:val="006347F9"/>
    <w:rsid w:val="0063494E"/>
    <w:rsid w:val="00634C90"/>
    <w:rsid w:val="00635818"/>
    <w:rsid w:val="00635E79"/>
    <w:rsid w:val="00636E5E"/>
    <w:rsid w:val="006379E0"/>
    <w:rsid w:val="006403DC"/>
    <w:rsid w:val="006404A7"/>
    <w:rsid w:val="006407F3"/>
    <w:rsid w:val="006408EC"/>
    <w:rsid w:val="0064129B"/>
    <w:rsid w:val="00641849"/>
    <w:rsid w:val="00641DF7"/>
    <w:rsid w:val="00643145"/>
    <w:rsid w:val="00643497"/>
    <w:rsid w:val="00643735"/>
    <w:rsid w:val="00643A80"/>
    <w:rsid w:val="006448C2"/>
    <w:rsid w:val="00644DFC"/>
    <w:rsid w:val="006451E4"/>
    <w:rsid w:val="006454B4"/>
    <w:rsid w:val="0064575F"/>
    <w:rsid w:val="00645A9C"/>
    <w:rsid w:val="00646042"/>
    <w:rsid w:val="006460B8"/>
    <w:rsid w:val="00650260"/>
    <w:rsid w:val="006504A0"/>
    <w:rsid w:val="006515D6"/>
    <w:rsid w:val="006520C7"/>
    <w:rsid w:val="006520D5"/>
    <w:rsid w:val="0065271C"/>
    <w:rsid w:val="00652CBB"/>
    <w:rsid w:val="006530B8"/>
    <w:rsid w:val="006535D6"/>
    <w:rsid w:val="006539ED"/>
    <w:rsid w:val="00655197"/>
    <w:rsid w:val="006555FE"/>
    <w:rsid w:val="00656716"/>
    <w:rsid w:val="0065692B"/>
    <w:rsid w:val="006572ED"/>
    <w:rsid w:val="00657E87"/>
    <w:rsid w:val="00660457"/>
    <w:rsid w:val="00660CB4"/>
    <w:rsid w:val="00660E1E"/>
    <w:rsid w:val="00661416"/>
    <w:rsid w:val="006621EB"/>
    <w:rsid w:val="00662E05"/>
    <w:rsid w:val="0066328A"/>
    <w:rsid w:val="006637B1"/>
    <w:rsid w:val="00663CFD"/>
    <w:rsid w:val="00664B64"/>
    <w:rsid w:val="00665587"/>
    <w:rsid w:val="00665D67"/>
    <w:rsid w:val="00665D77"/>
    <w:rsid w:val="006660BB"/>
    <w:rsid w:val="006660CD"/>
    <w:rsid w:val="00666EC8"/>
    <w:rsid w:val="00666F4B"/>
    <w:rsid w:val="006676D0"/>
    <w:rsid w:val="0066796E"/>
    <w:rsid w:val="00667ED1"/>
    <w:rsid w:val="00670FAC"/>
    <w:rsid w:val="006710C9"/>
    <w:rsid w:val="006716A5"/>
    <w:rsid w:val="00672271"/>
    <w:rsid w:val="00673904"/>
    <w:rsid w:val="00674B96"/>
    <w:rsid w:val="00674D93"/>
    <w:rsid w:val="00675E37"/>
    <w:rsid w:val="006764ED"/>
    <w:rsid w:val="00676AFC"/>
    <w:rsid w:val="00676F11"/>
    <w:rsid w:val="00680079"/>
    <w:rsid w:val="00680ECC"/>
    <w:rsid w:val="00680F68"/>
    <w:rsid w:val="0068260E"/>
    <w:rsid w:val="0068373D"/>
    <w:rsid w:val="00683BFE"/>
    <w:rsid w:val="0068437D"/>
    <w:rsid w:val="006857DF"/>
    <w:rsid w:val="00685E66"/>
    <w:rsid w:val="00686B72"/>
    <w:rsid w:val="00686BF1"/>
    <w:rsid w:val="006877CC"/>
    <w:rsid w:val="00687AE5"/>
    <w:rsid w:val="0069087E"/>
    <w:rsid w:val="00690A09"/>
    <w:rsid w:val="00690A25"/>
    <w:rsid w:val="00691008"/>
    <w:rsid w:val="006927C4"/>
    <w:rsid w:val="0069281B"/>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4409"/>
    <w:rsid w:val="006A45B6"/>
    <w:rsid w:val="006A568F"/>
    <w:rsid w:val="006A5BA8"/>
    <w:rsid w:val="006A5C97"/>
    <w:rsid w:val="006A65EF"/>
    <w:rsid w:val="006A672B"/>
    <w:rsid w:val="006A7B27"/>
    <w:rsid w:val="006B08BB"/>
    <w:rsid w:val="006B1781"/>
    <w:rsid w:val="006B23A9"/>
    <w:rsid w:val="006B23D8"/>
    <w:rsid w:val="006B281D"/>
    <w:rsid w:val="006B2F6D"/>
    <w:rsid w:val="006B385C"/>
    <w:rsid w:val="006B3F8A"/>
    <w:rsid w:val="006B5CA3"/>
    <w:rsid w:val="006B6B3B"/>
    <w:rsid w:val="006B7248"/>
    <w:rsid w:val="006B7714"/>
    <w:rsid w:val="006B781B"/>
    <w:rsid w:val="006B78D8"/>
    <w:rsid w:val="006C07D6"/>
    <w:rsid w:val="006C090F"/>
    <w:rsid w:val="006C0935"/>
    <w:rsid w:val="006C0BCE"/>
    <w:rsid w:val="006C113F"/>
    <w:rsid w:val="006C1B8C"/>
    <w:rsid w:val="006C2AED"/>
    <w:rsid w:val="006C38DD"/>
    <w:rsid w:val="006C457F"/>
    <w:rsid w:val="006C53C7"/>
    <w:rsid w:val="006C5577"/>
    <w:rsid w:val="006C559A"/>
    <w:rsid w:val="006C58FA"/>
    <w:rsid w:val="006C5FB6"/>
    <w:rsid w:val="006D004F"/>
    <w:rsid w:val="006D0366"/>
    <w:rsid w:val="006D042D"/>
    <w:rsid w:val="006D06BF"/>
    <w:rsid w:val="006D06EF"/>
    <w:rsid w:val="006D142E"/>
    <w:rsid w:val="006D1B43"/>
    <w:rsid w:val="006D3B87"/>
    <w:rsid w:val="006D4178"/>
    <w:rsid w:val="006D4497"/>
    <w:rsid w:val="006D4E6F"/>
    <w:rsid w:val="006D61F6"/>
    <w:rsid w:val="006D710C"/>
    <w:rsid w:val="006E0EB0"/>
    <w:rsid w:val="006E182C"/>
    <w:rsid w:val="006E1F4C"/>
    <w:rsid w:val="006E22C8"/>
    <w:rsid w:val="006E279A"/>
    <w:rsid w:val="006E2C28"/>
    <w:rsid w:val="006E2F3F"/>
    <w:rsid w:val="006E313B"/>
    <w:rsid w:val="006E3B2F"/>
    <w:rsid w:val="006E442A"/>
    <w:rsid w:val="006E4434"/>
    <w:rsid w:val="006E59FC"/>
    <w:rsid w:val="006E5CFD"/>
    <w:rsid w:val="006E7E2C"/>
    <w:rsid w:val="006F0367"/>
    <w:rsid w:val="006F1326"/>
    <w:rsid w:val="006F1A67"/>
    <w:rsid w:val="006F21A0"/>
    <w:rsid w:val="006F2280"/>
    <w:rsid w:val="006F2BEE"/>
    <w:rsid w:val="006F3531"/>
    <w:rsid w:val="006F3708"/>
    <w:rsid w:val="006F376C"/>
    <w:rsid w:val="006F3E6B"/>
    <w:rsid w:val="006F4619"/>
    <w:rsid w:val="006F4A59"/>
    <w:rsid w:val="006F6968"/>
    <w:rsid w:val="006F69A1"/>
    <w:rsid w:val="0070009B"/>
    <w:rsid w:val="00700232"/>
    <w:rsid w:val="00701382"/>
    <w:rsid w:val="007014C7"/>
    <w:rsid w:val="007016E8"/>
    <w:rsid w:val="00702100"/>
    <w:rsid w:val="00702401"/>
    <w:rsid w:val="00702D6F"/>
    <w:rsid w:val="00703B6C"/>
    <w:rsid w:val="00703B9F"/>
    <w:rsid w:val="00703C6B"/>
    <w:rsid w:val="007047D5"/>
    <w:rsid w:val="00704A71"/>
    <w:rsid w:val="00705CA7"/>
    <w:rsid w:val="00705D98"/>
    <w:rsid w:val="00707891"/>
    <w:rsid w:val="00707D43"/>
    <w:rsid w:val="00710F7C"/>
    <w:rsid w:val="00711D33"/>
    <w:rsid w:val="00711D7C"/>
    <w:rsid w:val="00711EF1"/>
    <w:rsid w:val="007120ED"/>
    <w:rsid w:val="0071229A"/>
    <w:rsid w:val="00712572"/>
    <w:rsid w:val="00713355"/>
    <w:rsid w:val="00713477"/>
    <w:rsid w:val="00713495"/>
    <w:rsid w:val="00713EEB"/>
    <w:rsid w:val="007159D2"/>
    <w:rsid w:val="007175F6"/>
    <w:rsid w:val="00717726"/>
    <w:rsid w:val="0072050E"/>
    <w:rsid w:val="00720958"/>
    <w:rsid w:val="00720FA2"/>
    <w:rsid w:val="007211F5"/>
    <w:rsid w:val="00721B11"/>
    <w:rsid w:val="00722286"/>
    <w:rsid w:val="00724428"/>
    <w:rsid w:val="00724666"/>
    <w:rsid w:val="00724E80"/>
    <w:rsid w:val="0072526D"/>
    <w:rsid w:val="00725492"/>
    <w:rsid w:val="007256B7"/>
    <w:rsid w:val="00726043"/>
    <w:rsid w:val="007268D0"/>
    <w:rsid w:val="0072704A"/>
    <w:rsid w:val="00727457"/>
    <w:rsid w:val="007274A9"/>
    <w:rsid w:val="00730AE8"/>
    <w:rsid w:val="007315DA"/>
    <w:rsid w:val="00731963"/>
    <w:rsid w:val="00732706"/>
    <w:rsid w:val="00732F10"/>
    <w:rsid w:val="00734321"/>
    <w:rsid w:val="0073532E"/>
    <w:rsid w:val="00735B01"/>
    <w:rsid w:val="007374FC"/>
    <w:rsid w:val="00740310"/>
    <w:rsid w:val="00740652"/>
    <w:rsid w:val="00740F02"/>
    <w:rsid w:val="00740FEC"/>
    <w:rsid w:val="0074132E"/>
    <w:rsid w:val="00741493"/>
    <w:rsid w:val="0074261C"/>
    <w:rsid w:val="007426B3"/>
    <w:rsid w:val="007426FD"/>
    <w:rsid w:val="007430AB"/>
    <w:rsid w:val="0074329D"/>
    <w:rsid w:val="007436AD"/>
    <w:rsid w:val="00744376"/>
    <w:rsid w:val="007449EA"/>
    <w:rsid w:val="00744D00"/>
    <w:rsid w:val="00744D2B"/>
    <w:rsid w:val="00745273"/>
    <w:rsid w:val="00745F3C"/>
    <w:rsid w:val="007468BC"/>
    <w:rsid w:val="00746AA2"/>
    <w:rsid w:val="00746DC9"/>
    <w:rsid w:val="00746DD9"/>
    <w:rsid w:val="0075057A"/>
    <w:rsid w:val="007515E0"/>
    <w:rsid w:val="00751771"/>
    <w:rsid w:val="00751C1C"/>
    <w:rsid w:val="00752180"/>
    <w:rsid w:val="007521A1"/>
    <w:rsid w:val="00752BC3"/>
    <w:rsid w:val="0075315D"/>
    <w:rsid w:val="00753518"/>
    <w:rsid w:val="007538F9"/>
    <w:rsid w:val="00754253"/>
    <w:rsid w:val="00754593"/>
    <w:rsid w:val="007552BB"/>
    <w:rsid w:val="007558D3"/>
    <w:rsid w:val="007559D7"/>
    <w:rsid w:val="00755D3A"/>
    <w:rsid w:val="0075747F"/>
    <w:rsid w:val="00760141"/>
    <w:rsid w:val="007609C6"/>
    <w:rsid w:val="007610A0"/>
    <w:rsid w:val="00762036"/>
    <w:rsid w:val="007620F2"/>
    <w:rsid w:val="00762EBA"/>
    <w:rsid w:val="0076359D"/>
    <w:rsid w:val="007678F9"/>
    <w:rsid w:val="0077058D"/>
    <w:rsid w:val="00770931"/>
    <w:rsid w:val="00772536"/>
    <w:rsid w:val="007732D4"/>
    <w:rsid w:val="00773613"/>
    <w:rsid w:val="00774782"/>
    <w:rsid w:val="00775219"/>
    <w:rsid w:val="00776476"/>
    <w:rsid w:val="00776527"/>
    <w:rsid w:val="00777268"/>
    <w:rsid w:val="007805E1"/>
    <w:rsid w:val="0078113E"/>
    <w:rsid w:val="00781834"/>
    <w:rsid w:val="007821DB"/>
    <w:rsid w:val="00782818"/>
    <w:rsid w:val="0078337E"/>
    <w:rsid w:val="007838F1"/>
    <w:rsid w:val="007845FB"/>
    <w:rsid w:val="007846DB"/>
    <w:rsid w:val="00784AE5"/>
    <w:rsid w:val="00784C4A"/>
    <w:rsid w:val="007856E9"/>
    <w:rsid w:val="007859BB"/>
    <w:rsid w:val="00787432"/>
    <w:rsid w:val="00787507"/>
    <w:rsid w:val="007877B5"/>
    <w:rsid w:val="007879F2"/>
    <w:rsid w:val="00787AC5"/>
    <w:rsid w:val="00790393"/>
    <w:rsid w:val="007909B8"/>
    <w:rsid w:val="00791804"/>
    <w:rsid w:val="00791CF8"/>
    <w:rsid w:val="00791D4B"/>
    <w:rsid w:val="00791EF9"/>
    <w:rsid w:val="00792262"/>
    <w:rsid w:val="00793387"/>
    <w:rsid w:val="00793BAE"/>
    <w:rsid w:val="00794216"/>
    <w:rsid w:val="00794870"/>
    <w:rsid w:val="00794E0A"/>
    <w:rsid w:val="00795B04"/>
    <w:rsid w:val="00796642"/>
    <w:rsid w:val="007A11D9"/>
    <w:rsid w:val="007A186E"/>
    <w:rsid w:val="007A327B"/>
    <w:rsid w:val="007A4048"/>
    <w:rsid w:val="007A45B1"/>
    <w:rsid w:val="007A4606"/>
    <w:rsid w:val="007A4C99"/>
    <w:rsid w:val="007A4D58"/>
    <w:rsid w:val="007A4FAF"/>
    <w:rsid w:val="007A51A8"/>
    <w:rsid w:val="007A7976"/>
    <w:rsid w:val="007A7EA4"/>
    <w:rsid w:val="007B011D"/>
    <w:rsid w:val="007B0D67"/>
    <w:rsid w:val="007B1584"/>
    <w:rsid w:val="007B1966"/>
    <w:rsid w:val="007B1A8F"/>
    <w:rsid w:val="007B1BA5"/>
    <w:rsid w:val="007B2257"/>
    <w:rsid w:val="007B2779"/>
    <w:rsid w:val="007B2AF7"/>
    <w:rsid w:val="007B3A9B"/>
    <w:rsid w:val="007B3DCC"/>
    <w:rsid w:val="007B400B"/>
    <w:rsid w:val="007B4427"/>
    <w:rsid w:val="007B4518"/>
    <w:rsid w:val="007B5031"/>
    <w:rsid w:val="007B573F"/>
    <w:rsid w:val="007B58A7"/>
    <w:rsid w:val="007B72AC"/>
    <w:rsid w:val="007B78F8"/>
    <w:rsid w:val="007C0065"/>
    <w:rsid w:val="007C010B"/>
    <w:rsid w:val="007C0BF1"/>
    <w:rsid w:val="007C2C5A"/>
    <w:rsid w:val="007C3191"/>
    <w:rsid w:val="007C32B6"/>
    <w:rsid w:val="007C3AE3"/>
    <w:rsid w:val="007C605B"/>
    <w:rsid w:val="007C6EBA"/>
    <w:rsid w:val="007D08EF"/>
    <w:rsid w:val="007D2A5A"/>
    <w:rsid w:val="007D2AD8"/>
    <w:rsid w:val="007D2C47"/>
    <w:rsid w:val="007D2C61"/>
    <w:rsid w:val="007D2F81"/>
    <w:rsid w:val="007D3167"/>
    <w:rsid w:val="007D3CF7"/>
    <w:rsid w:val="007D4128"/>
    <w:rsid w:val="007D4281"/>
    <w:rsid w:val="007D42F5"/>
    <w:rsid w:val="007D44C3"/>
    <w:rsid w:val="007D5947"/>
    <w:rsid w:val="007D5A68"/>
    <w:rsid w:val="007D65C1"/>
    <w:rsid w:val="007E00F7"/>
    <w:rsid w:val="007E030F"/>
    <w:rsid w:val="007E0D49"/>
    <w:rsid w:val="007E0E59"/>
    <w:rsid w:val="007E0F4B"/>
    <w:rsid w:val="007E12C1"/>
    <w:rsid w:val="007E1EF7"/>
    <w:rsid w:val="007E24C1"/>
    <w:rsid w:val="007E3715"/>
    <w:rsid w:val="007E5F3D"/>
    <w:rsid w:val="007E6588"/>
    <w:rsid w:val="007E69F5"/>
    <w:rsid w:val="007E7063"/>
    <w:rsid w:val="007E74EA"/>
    <w:rsid w:val="007E7E61"/>
    <w:rsid w:val="007E7E88"/>
    <w:rsid w:val="007F0316"/>
    <w:rsid w:val="007F0845"/>
    <w:rsid w:val="007F1092"/>
    <w:rsid w:val="007F12B6"/>
    <w:rsid w:val="007F16F9"/>
    <w:rsid w:val="007F27D2"/>
    <w:rsid w:val="007F2801"/>
    <w:rsid w:val="007F3D55"/>
    <w:rsid w:val="007F3E3E"/>
    <w:rsid w:val="007F42E0"/>
    <w:rsid w:val="007F500D"/>
    <w:rsid w:val="007F5F14"/>
    <w:rsid w:val="007F6CEB"/>
    <w:rsid w:val="007F7A39"/>
    <w:rsid w:val="007F7B54"/>
    <w:rsid w:val="007F7C60"/>
    <w:rsid w:val="00800073"/>
    <w:rsid w:val="008000EB"/>
    <w:rsid w:val="008005D7"/>
    <w:rsid w:val="00801FB7"/>
    <w:rsid w:val="00801FDD"/>
    <w:rsid w:val="008020C2"/>
    <w:rsid w:val="00802259"/>
    <w:rsid w:val="0080255C"/>
    <w:rsid w:val="00802D68"/>
    <w:rsid w:val="00806088"/>
    <w:rsid w:val="00806231"/>
    <w:rsid w:val="00806D07"/>
    <w:rsid w:val="008100E2"/>
    <w:rsid w:val="0081019B"/>
    <w:rsid w:val="00810A42"/>
    <w:rsid w:val="0081100A"/>
    <w:rsid w:val="0081187C"/>
    <w:rsid w:val="00811E24"/>
    <w:rsid w:val="00812386"/>
    <w:rsid w:val="00812A9C"/>
    <w:rsid w:val="00812E2B"/>
    <w:rsid w:val="00813A70"/>
    <w:rsid w:val="00813FE6"/>
    <w:rsid w:val="00815C6E"/>
    <w:rsid w:val="00815DD0"/>
    <w:rsid w:val="00815F10"/>
    <w:rsid w:val="0081645F"/>
    <w:rsid w:val="00816D15"/>
    <w:rsid w:val="008173D2"/>
    <w:rsid w:val="00817755"/>
    <w:rsid w:val="008178C2"/>
    <w:rsid w:val="008178CF"/>
    <w:rsid w:val="00817C98"/>
    <w:rsid w:val="00820C9F"/>
    <w:rsid w:val="00821AAE"/>
    <w:rsid w:val="00821FF6"/>
    <w:rsid w:val="00823AAF"/>
    <w:rsid w:val="00824081"/>
    <w:rsid w:val="0082409A"/>
    <w:rsid w:val="008252D7"/>
    <w:rsid w:val="00825B92"/>
    <w:rsid w:val="00825C0F"/>
    <w:rsid w:val="00826376"/>
    <w:rsid w:val="00826ED1"/>
    <w:rsid w:val="00827181"/>
    <w:rsid w:val="0082733C"/>
    <w:rsid w:val="00827746"/>
    <w:rsid w:val="00830191"/>
    <w:rsid w:val="0083102D"/>
    <w:rsid w:val="00831296"/>
    <w:rsid w:val="0083143E"/>
    <w:rsid w:val="0083159D"/>
    <w:rsid w:val="008318FF"/>
    <w:rsid w:val="00832187"/>
    <w:rsid w:val="00832493"/>
    <w:rsid w:val="008329BD"/>
    <w:rsid w:val="0083330B"/>
    <w:rsid w:val="008334C3"/>
    <w:rsid w:val="008336D8"/>
    <w:rsid w:val="008339C4"/>
    <w:rsid w:val="008339DC"/>
    <w:rsid w:val="008341B5"/>
    <w:rsid w:val="00834F0A"/>
    <w:rsid w:val="00834FAA"/>
    <w:rsid w:val="00835181"/>
    <w:rsid w:val="00835606"/>
    <w:rsid w:val="00835991"/>
    <w:rsid w:val="00836086"/>
    <w:rsid w:val="00837280"/>
    <w:rsid w:val="00837763"/>
    <w:rsid w:val="00840699"/>
    <w:rsid w:val="00841924"/>
    <w:rsid w:val="00841D9F"/>
    <w:rsid w:val="00842078"/>
    <w:rsid w:val="00842604"/>
    <w:rsid w:val="008426B1"/>
    <w:rsid w:val="00843ECF"/>
    <w:rsid w:val="00844AFC"/>
    <w:rsid w:val="00845AB1"/>
    <w:rsid w:val="00846673"/>
    <w:rsid w:val="008508A9"/>
    <w:rsid w:val="0085188D"/>
    <w:rsid w:val="008525F9"/>
    <w:rsid w:val="0085281A"/>
    <w:rsid w:val="00852939"/>
    <w:rsid w:val="00853421"/>
    <w:rsid w:val="00853A25"/>
    <w:rsid w:val="00853F33"/>
    <w:rsid w:val="008544C2"/>
    <w:rsid w:val="00854A82"/>
    <w:rsid w:val="00854BD5"/>
    <w:rsid w:val="008550EA"/>
    <w:rsid w:val="008559FE"/>
    <w:rsid w:val="00857339"/>
    <w:rsid w:val="00857A2F"/>
    <w:rsid w:val="00860706"/>
    <w:rsid w:val="008612B0"/>
    <w:rsid w:val="00862A7A"/>
    <w:rsid w:val="00862FBD"/>
    <w:rsid w:val="00863104"/>
    <w:rsid w:val="008636CD"/>
    <w:rsid w:val="00863702"/>
    <w:rsid w:val="00863D9E"/>
    <w:rsid w:val="00863FDC"/>
    <w:rsid w:val="0086405D"/>
    <w:rsid w:val="008642AF"/>
    <w:rsid w:val="00865286"/>
    <w:rsid w:val="00865729"/>
    <w:rsid w:val="00865ED4"/>
    <w:rsid w:val="008669A7"/>
    <w:rsid w:val="00867464"/>
    <w:rsid w:val="00867D15"/>
    <w:rsid w:val="00867E29"/>
    <w:rsid w:val="00870F2B"/>
    <w:rsid w:val="00871594"/>
    <w:rsid w:val="00873B2E"/>
    <w:rsid w:val="008746E6"/>
    <w:rsid w:val="0087515D"/>
    <w:rsid w:val="0087594C"/>
    <w:rsid w:val="00876086"/>
    <w:rsid w:val="008765FA"/>
    <w:rsid w:val="008768D6"/>
    <w:rsid w:val="008775D1"/>
    <w:rsid w:val="008777A6"/>
    <w:rsid w:val="008777BB"/>
    <w:rsid w:val="00877BA6"/>
    <w:rsid w:val="00877D68"/>
    <w:rsid w:val="00877E5D"/>
    <w:rsid w:val="00880150"/>
    <w:rsid w:val="00880ABA"/>
    <w:rsid w:val="00880BD4"/>
    <w:rsid w:val="00882D1B"/>
    <w:rsid w:val="008834D6"/>
    <w:rsid w:val="00883A67"/>
    <w:rsid w:val="00883CB5"/>
    <w:rsid w:val="00883D45"/>
    <w:rsid w:val="0088446A"/>
    <w:rsid w:val="00884D69"/>
    <w:rsid w:val="00884E13"/>
    <w:rsid w:val="0088503D"/>
    <w:rsid w:val="008850F7"/>
    <w:rsid w:val="008856E1"/>
    <w:rsid w:val="00885891"/>
    <w:rsid w:val="00885EC6"/>
    <w:rsid w:val="008869D2"/>
    <w:rsid w:val="00886A8F"/>
    <w:rsid w:val="0088733A"/>
    <w:rsid w:val="00890114"/>
    <w:rsid w:val="0089107B"/>
    <w:rsid w:val="00891BE0"/>
    <w:rsid w:val="00893302"/>
    <w:rsid w:val="00893648"/>
    <w:rsid w:val="0089368A"/>
    <w:rsid w:val="00893F3C"/>
    <w:rsid w:val="008945A1"/>
    <w:rsid w:val="00894A63"/>
    <w:rsid w:val="00895A54"/>
    <w:rsid w:val="00896776"/>
    <w:rsid w:val="0089690C"/>
    <w:rsid w:val="00896916"/>
    <w:rsid w:val="00896BDE"/>
    <w:rsid w:val="0089763E"/>
    <w:rsid w:val="008A03DE"/>
    <w:rsid w:val="008A0861"/>
    <w:rsid w:val="008A0BB2"/>
    <w:rsid w:val="008A1662"/>
    <w:rsid w:val="008A1AB3"/>
    <w:rsid w:val="008A1D5C"/>
    <w:rsid w:val="008A3047"/>
    <w:rsid w:val="008A3292"/>
    <w:rsid w:val="008A349F"/>
    <w:rsid w:val="008A3A85"/>
    <w:rsid w:val="008A43E9"/>
    <w:rsid w:val="008A4CB1"/>
    <w:rsid w:val="008A6103"/>
    <w:rsid w:val="008A615E"/>
    <w:rsid w:val="008A632B"/>
    <w:rsid w:val="008A69A7"/>
    <w:rsid w:val="008A6BFE"/>
    <w:rsid w:val="008A73DA"/>
    <w:rsid w:val="008A76BD"/>
    <w:rsid w:val="008B00C2"/>
    <w:rsid w:val="008B051B"/>
    <w:rsid w:val="008B05E8"/>
    <w:rsid w:val="008B07EF"/>
    <w:rsid w:val="008B0862"/>
    <w:rsid w:val="008B16DE"/>
    <w:rsid w:val="008B190E"/>
    <w:rsid w:val="008B1A8A"/>
    <w:rsid w:val="008B1FC9"/>
    <w:rsid w:val="008B24AF"/>
    <w:rsid w:val="008B2D93"/>
    <w:rsid w:val="008B531F"/>
    <w:rsid w:val="008B54A3"/>
    <w:rsid w:val="008B634C"/>
    <w:rsid w:val="008B6B67"/>
    <w:rsid w:val="008B7306"/>
    <w:rsid w:val="008B775F"/>
    <w:rsid w:val="008B7C02"/>
    <w:rsid w:val="008B7D13"/>
    <w:rsid w:val="008B7F9E"/>
    <w:rsid w:val="008C034E"/>
    <w:rsid w:val="008C0595"/>
    <w:rsid w:val="008C083D"/>
    <w:rsid w:val="008C0E88"/>
    <w:rsid w:val="008C1399"/>
    <w:rsid w:val="008C173D"/>
    <w:rsid w:val="008C1AA8"/>
    <w:rsid w:val="008C22A8"/>
    <w:rsid w:val="008C2BDA"/>
    <w:rsid w:val="008C46D8"/>
    <w:rsid w:val="008C478D"/>
    <w:rsid w:val="008C5B43"/>
    <w:rsid w:val="008C5DC6"/>
    <w:rsid w:val="008C63FD"/>
    <w:rsid w:val="008C6B40"/>
    <w:rsid w:val="008C6CB8"/>
    <w:rsid w:val="008C6D92"/>
    <w:rsid w:val="008C777A"/>
    <w:rsid w:val="008C7815"/>
    <w:rsid w:val="008C7A07"/>
    <w:rsid w:val="008C7E90"/>
    <w:rsid w:val="008C7EB3"/>
    <w:rsid w:val="008D0171"/>
    <w:rsid w:val="008D0462"/>
    <w:rsid w:val="008D068A"/>
    <w:rsid w:val="008D0AC2"/>
    <w:rsid w:val="008D13EA"/>
    <w:rsid w:val="008D1DD9"/>
    <w:rsid w:val="008D2671"/>
    <w:rsid w:val="008D2A16"/>
    <w:rsid w:val="008D2ECF"/>
    <w:rsid w:val="008D347D"/>
    <w:rsid w:val="008D3F3D"/>
    <w:rsid w:val="008D3F95"/>
    <w:rsid w:val="008D4376"/>
    <w:rsid w:val="008D4D5E"/>
    <w:rsid w:val="008D5058"/>
    <w:rsid w:val="008D6244"/>
    <w:rsid w:val="008E0367"/>
    <w:rsid w:val="008E1FBE"/>
    <w:rsid w:val="008E308D"/>
    <w:rsid w:val="008E31FF"/>
    <w:rsid w:val="008E46A3"/>
    <w:rsid w:val="008E4E44"/>
    <w:rsid w:val="008E4FC2"/>
    <w:rsid w:val="008E5DE6"/>
    <w:rsid w:val="008E6113"/>
    <w:rsid w:val="008E6AB3"/>
    <w:rsid w:val="008E6AD3"/>
    <w:rsid w:val="008E6EBD"/>
    <w:rsid w:val="008E71A6"/>
    <w:rsid w:val="008E77B6"/>
    <w:rsid w:val="008E7C55"/>
    <w:rsid w:val="008F032E"/>
    <w:rsid w:val="008F0F14"/>
    <w:rsid w:val="008F2097"/>
    <w:rsid w:val="008F2342"/>
    <w:rsid w:val="008F2F44"/>
    <w:rsid w:val="008F4FCE"/>
    <w:rsid w:val="008F5301"/>
    <w:rsid w:val="008F6967"/>
    <w:rsid w:val="008F6A0C"/>
    <w:rsid w:val="008F6F38"/>
    <w:rsid w:val="008F7721"/>
    <w:rsid w:val="008F77B5"/>
    <w:rsid w:val="008F7D28"/>
    <w:rsid w:val="009003A8"/>
    <w:rsid w:val="009010A7"/>
    <w:rsid w:val="009010E3"/>
    <w:rsid w:val="00901703"/>
    <w:rsid w:val="00901AF3"/>
    <w:rsid w:val="009029C8"/>
    <w:rsid w:val="00902CBE"/>
    <w:rsid w:val="00902D74"/>
    <w:rsid w:val="00902EFF"/>
    <w:rsid w:val="009030F3"/>
    <w:rsid w:val="00903126"/>
    <w:rsid w:val="00903E06"/>
    <w:rsid w:val="00903F54"/>
    <w:rsid w:val="009045D1"/>
    <w:rsid w:val="00904B9D"/>
    <w:rsid w:val="009050C0"/>
    <w:rsid w:val="00905A11"/>
    <w:rsid w:val="00905FE8"/>
    <w:rsid w:val="009060A1"/>
    <w:rsid w:val="00906225"/>
    <w:rsid w:val="009066E1"/>
    <w:rsid w:val="00906F67"/>
    <w:rsid w:val="00907A41"/>
    <w:rsid w:val="009102BD"/>
    <w:rsid w:val="00910F93"/>
    <w:rsid w:val="0091174F"/>
    <w:rsid w:val="00911E87"/>
    <w:rsid w:val="0091255A"/>
    <w:rsid w:val="0091339E"/>
    <w:rsid w:val="00913547"/>
    <w:rsid w:val="00914426"/>
    <w:rsid w:val="00914962"/>
    <w:rsid w:val="0091675F"/>
    <w:rsid w:val="00917709"/>
    <w:rsid w:val="00917918"/>
    <w:rsid w:val="00920874"/>
    <w:rsid w:val="009209D9"/>
    <w:rsid w:val="00921F14"/>
    <w:rsid w:val="00923750"/>
    <w:rsid w:val="00923C17"/>
    <w:rsid w:val="009243A5"/>
    <w:rsid w:val="0092500F"/>
    <w:rsid w:val="009250D2"/>
    <w:rsid w:val="0092519D"/>
    <w:rsid w:val="0092540B"/>
    <w:rsid w:val="009256C5"/>
    <w:rsid w:val="00926283"/>
    <w:rsid w:val="009262D6"/>
    <w:rsid w:val="009306BE"/>
    <w:rsid w:val="00930CFB"/>
    <w:rsid w:val="00931208"/>
    <w:rsid w:val="00931324"/>
    <w:rsid w:val="00931C13"/>
    <w:rsid w:val="00934963"/>
    <w:rsid w:val="00934D36"/>
    <w:rsid w:val="009360FE"/>
    <w:rsid w:val="00937B11"/>
    <w:rsid w:val="009408E8"/>
    <w:rsid w:val="00940F1F"/>
    <w:rsid w:val="00941250"/>
    <w:rsid w:val="00941339"/>
    <w:rsid w:val="009416D5"/>
    <w:rsid w:val="0094396E"/>
    <w:rsid w:val="0094427A"/>
    <w:rsid w:val="00944380"/>
    <w:rsid w:val="009459C5"/>
    <w:rsid w:val="00945E5E"/>
    <w:rsid w:val="0094626C"/>
    <w:rsid w:val="0094681E"/>
    <w:rsid w:val="009475DB"/>
    <w:rsid w:val="0095013A"/>
    <w:rsid w:val="00953070"/>
    <w:rsid w:val="00953AEF"/>
    <w:rsid w:val="00953F0A"/>
    <w:rsid w:val="009546B0"/>
    <w:rsid w:val="009551E2"/>
    <w:rsid w:val="00955783"/>
    <w:rsid w:val="009558A6"/>
    <w:rsid w:val="00955E5F"/>
    <w:rsid w:val="009560B0"/>
    <w:rsid w:val="00956722"/>
    <w:rsid w:val="00956F23"/>
    <w:rsid w:val="009576AC"/>
    <w:rsid w:val="00957871"/>
    <w:rsid w:val="00960077"/>
    <w:rsid w:val="00960719"/>
    <w:rsid w:val="00960769"/>
    <w:rsid w:val="00962D2E"/>
    <w:rsid w:val="009632E3"/>
    <w:rsid w:val="00963724"/>
    <w:rsid w:val="00963F41"/>
    <w:rsid w:val="00964498"/>
    <w:rsid w:val="00964AF4"/>
    <w:rsid w:val="0096504D"/>
    <w:rsid w:val="00965795"/>
    <w:rsid w:val="00965830"/>
    <w:rsid w:val="00965A2D"/>
    <w:rsid w:val="009663EB"/>
    <w:rsid w:val="0096650F"/>
    <w:rsid w:val="00967801"/>
    <w:rsid w:val="00967AD2"/>
    <w:rsid w:val="009700DB"/>
    <w:rsid w:val="009714B0"/>
    <w:rsid w:val="00971DC6"/>
    <w:rsid w:val="00972263"/>
    <w:rsid w:val="00972502"/>
    <w:rsid w:val="00972B1B"/>
    <w:rsid w:val="00972D8D"/>
    <w:rsid w:val="00973AAE"/>
    <w:rsid w:val="009743B9"/>
    <w:rsid w:val="0097476C"/>
    <w:rsid w:val="00974923"/>
    <w:rsid w:val="00974A3C"/>
    <w:rsid w:val="00974D48"/>
    <w:rsid w:val="00974D5F"/>
    <w:rsid w:val="00975017"/>
    <w:rsid w:val="009757E6"/>
    <w:rsid w:val="009759DF"/>
    <w:rsid w:val="00977A58"/>
    <w:rsid w:val="00977EAC"/>
    <w:rsid w:val="00980373"/>
    <w:rsid w:val="00980621"/>
    <w:rsid w:val="0098095B"/>
    <w:rsid w:val="0098121F"/>
    <w:rsid w:val="00982072"/>
    <w:rsid w:val="009833FA"/>
    <w:rsid w:val="00983DBB"/>
    <w:rsid w:val="00983ECF"/>
    <w:rsid w:val="00985767"/>
    <w:rsid w:val="00985A99"/>
    <w:rsid w:val="00986375"/>
    <w:rsid w:val="00986745"/>
    <w:rsid w:val="009867BC"/>
    <w:rsid w:val="00987109"/>
    <w:rsid w:val="00987309"/>
    <w:rsid w:val="0099012D"/>
    <w:rsid w:val="00990363"/>
    <w:rsid w:val="00993BE6"/>
    <w:rsid w:val="00993D9C"/>
    <w:rsid w:val="00993F56"/>
    <w:rsid w:val="00994C29"/>
    <w:rsid w:val="009954FF"/>
    <w:rsid w:val="00995E2F"/>
    <w:rsid w:val="00995FEC"/>
    <w:rsid w:val="009961BC"/>
    <w:rsid w:val="00996355"/>
    <w:rsid w:val="00996D79"/>
    <w:rsid w:val="0099788F"/>
    <w:rsid w:val="00997ADD"/>
    <w:rsid w:val="009A1374"/>
    <w:rsid w:val="009A2014"/>
    <w:rsid w:val="009A2030"/>
    <w:rsid w:val="009A3A87"/>
    <w:rsid w:val="009A4E12"/>
    <w:rsid w:val="009A5C68"/>
    <w:rsid w:val="009A5DE2"/>
    <w:rsid w:val="009A6EF7"/>
    <w:rsid w:val="009B04D0"/>
    <w:rsid w:val="009B052C"/>
    <w:rsid w:val="009B093D"/>
    <w:rsid w:val="009B0975"/>
    <w:rsid w:val="009B0B1C"/>
    <w:rsid w:val="009B0EF2"/>
    <w:rsid w:val="009B23A3"/>
    <w:rsid w:val="009B24D3"/>
    <w:rsid w:val="009B2C0E"/>
    <w:rsid w:val="009B4925"/>
    <w:rsid w:val="009B4B41"/>
    <w:rsid w:val="009B4B4B"/>
    <w:rsid w:val="009B4CE3"/>
    <w:rsid w:val="009B6FD3"/>
    <w:rsid w:val="009B70BD"/>
    <w:rsid w:val="009B7B36"/>
    <w:rsid w:val="009C07A5"/>
    <w:rsid w:val="009C24A3"/>
    <w:rsid w:val="009C32EC"/>
    <w:rsid w:val="009C3705"/>
    <w:rsid w:val="009C41EA"/>
    <w:rsid w:val="009C63FE"/>
    <w:rsid w:val="009C7388"/>
    <w:rsid w:val="009C74C2"/>
    <w:rsid w:val="009C76F6"/>
    <w:rsid w:val="009D0CFF"/>
    <w:rsid w:val="009D1551"/>
    <w:rsid w:val="009D1796"/>
    <w:rsid w:val="009D2859"/>
    <w:rsid w:val="009D2958"/>
    <w:rsid w:val="009D36EC"/>
    <w:rsid w:val="009D3CD0"/>
    <w:rsid w:val="009D4173"/>
    <w:rsid w:val="009D51CA"/>
    <w:rsid w:val="009D57D7"/>
    <w:rsid w:val="009D6095"/>
    <w:rsid w:val="009D6306"/>
    <w:rsid w:val="009D6A6F"/>
    <w:rsid w:val="009E048A"/>
    <w:rsid w:val="009E0CB1"/>
    <w:rsid w:val="009E1124"/>
    <w:rsid w:val="009E198E"/>
    <w:rsid w:val="009E1FBA"/>
    <w:rsid w:val="009E22F0"/>
    <w:rsid w:val="009E2C54"/>
    <w:rsid w:val="009E3710"/>
    <w:rsid w:val="009E4826"/>
    <w:rsid w:val="009E6698"/>
    <w:rsid w:val="009E6F65"/>
    <w:rsid w:val="009E7340"/>
    <w:rsid w:val="009E7B1F"/>
    <w:rsid w:val="009F2A39"/>
    <w:rsid w:val="009F346F"/>
    <w:rsid w:val="009F371A"/>
    <w:rsid w:val="009F3F25"/>
    <w:rsid w:val="009F3FC3"/>
    <w:rsid w:val="009F41C4"/>
    <w:rsid w:val="009F458F"/>
    <w:rsid w:val="009F4DA8"/>
    <w:rsid w:val="009F5846"/>
    <w:rsid w:val="009F63D2"/>
    <w:rsid w:val="009F6537"/>
    <w:rsid w:val="009F777A"/>
    <w:rsid w:val="009F7B52"/>
    <w:rsid w:val="009F7D77"/>
    <w:rsid w:val="00A0019E"/>
    <w:rsid w:val="00A00476"/>
    <w:rsid w:val="00A004D2"/>
    <w:rsid w:val="00A01004"/>
    <w:rsid w:val="00A015EA"/>
    <w:rsid w:val="00A02257"/>
    <w:rsid w:val="00A03996"/>
    <w:rsid w:val="00A05B91"/>
    <w:rsid w:val="00A10D66"/>
    <w:rsid w:val="00A12BA8"/>
    <w:rsid w:val="00A12F7C"/>
    <w:rsid w:val="00A133F2"/>
    <w:rsid w:val="00A13993"/>
    <w:rsid w:val="00A13BA6"/>
    <w:rsid w:val="00A1420C"/>
    <w:rsid w:val="00A1456C"/>
    <w:rsid w:val="00A14821"/>
    <w:rsid w:val="00A1698D"/>
    <w:rsid w:val="00A17754"/>
    <w:rsid w:val="00A2055B"/>
    <w:rsid w:val="00A20995"/>
    <w:rsid w:val="00A20E22"/>
    <w:rsid w:val="00A2253C"/>
    <w:rsid w:val="00A23545"/>
    <w:rsid w:val="00A23A55"/>
    <w:rsid w:val="00A23DE5"/>
    <w:rsid w:val="00A23E43"/>
    <w:rsid w:val="00A23EF0"/>
    <w:rsid w:val="00A24136"/>
    <w:rsid w:val="00A24F8C"/>
    <w:rsid w:val="00A25F1A"/>
    <w:rsid w:val="00A262BF"/>
    <w:rsid w:val="00A26802"/>
    <w:rsid w:val="00A271AD"/>
    <w:rsid w:val="00A276D5"/>
    <w:rsid w:val="00A30336"/>
    <w:rsid w:val="00A3041C"/>
    <w:rsid w:val="00A30BB5"/>
    <w:rsid w:val="00A3128F"/>
    <w:rsid w:val="00A326D0"/>
    <w:rsid w:val="00A35287"/>
    <w:rsid w:val="00A378F8"/>
    <w:rsid w:val="00A40965"/>
    <w:rsid w:val="00A40B19"/>
    <w:rsid w:val="00A41D07"/>
    <w:rsid w:val="00A42487"/>
    <w:rsid w:val="00A424F8"/>
    <w:rsid w:val="00A42883"/>
    <w:rsid w:val="00A437B7"/>
    <w:rsid w:val="00A43EA2"/>
    <w:rsid w:val="00A457B8"/>
    <w:rsid w:val="00A46A7F"/>
    <w:rsid w:val="00A46C70"/>
    <w:rsid w:val="00A46D48"/>
    <w:rsid w:val="00A46DE0"/>
    <w:rsid w:val="00A4778A"/>
    <w:rsid w:val="00A47C74"/>
    <w:rsid w:val="00A47C94"/>
    <w:rsid w:val="00A504C0"/>
    <w:rsid w:val="00A5067F"/>
    <w:rsid w:val="00A508A2"/>
    <w:rsid w:val="00A5171F"/>
    <w:rsid w:val="00A517C1"/>
    <w:rsid w:val="00A518E0"/>
    <w:rsid w:val="00A537CA"/>
    <w:rsid w:val="00A5408A"/>
    <w:rsid w:val="00A55301"/>
    <w:rsid w:val="00A56DD4"/>
    <w:rsid w:val="00A572FB"/>
    <w:rsid w:val="00A57B3C"/>
    <w:rsid w:val="00A57F1B"/>
    <w:rsid w:val="00A600D2"/>
    <w:rsid w:val="00A6128E"/>
    <w:rsid w:val="00A62CE1"/>
    <w:rsid w:val="00A631FA"/>
    <w:rsid w:val="00A63EE7"/>
    <w:rsid w:val="00A64203"/>
    <w:rsid w:val="00A64348"/>
    <w:rsid w:val="00A644E1"/>
    <w:rsid w:val="00A65E41"/>
    <w:rsid w:val="00A700C4"/>
    <w:rsid w:val="00A711B0"/>
    <w:rsid w:val="00A71279"/>
    <w:rsid w:val="00A718BC"/>
    <w:rsid w:val="00A721FB"/>
    <w:rsid w:val="00A727BA"/>
    <w:rsid w:val="00A72D4B"/>
    <w:rsid w:val="00A730A5"/>
    <w:rsid w:val="00A732AE"/>
    <w:rsid w:val="00A74192"/>
    <w:rsid w:val="00A75837"/>
    <w:rsid w:val="00A75E40"/>
    <w:rsid w:val="00A76B12"/>
    <w:rsid w:val="00A76EF2"/>
    <w:rsid w:val="00A7727E"/>
    <w:rsid w:val="00A77654"/>
    <w:rsid w:val="00A77E9F"/>
    <w:rsid w:val="00A77EB2"/>
    <w:rsid w:val="00A80458"/>
    <w:rsid w:val="00A80E64"/>
    <w:rsid w:val="00A81094"/>
    <w:rsid w:val="00A810BA"/>
    <w:rsid w:val="00A82B66"/>
    <w:rsid w:val="00A83308"/>
    <w:rsid w:val="00A83B58"/>
    <w:rsid w:val="00A84179"/>
    <w:rsid w:val="00A84FAF"/>
    <w:rsid w:val="00A851B6"/>
    <w:rsid w:val="00A85729"/>
    <w:rsid w:val="00A8574B"/>
    <w:rsid w:val="00A857C0"/>
    <w:rsid w:val="00A90343"/>
    <w:rsid w:val="00A91336"/>
    <w:rsid w:val="00A9221C"/>
    <w:rsid w:val="00A92277"/>
    <w:rsid w:val="00A92916"/>
    <w:rsid w:val="00A93106"/>
    <w:rsid w:val="00A94628"/>
    <w:rsid w:val="00A94954"/>
    <w:rsid w:val="00A9497A"/>
    <w:rsid w:val="00A950B5"/>
    <w:rsid w:val="00A96463"/>
    <w:rsid w:val="00A97E3F"/>
    <w:rsid w:val="00AA0243"/>
    <w:rsid w:val="00AA09D3"/>
    <w:rsid w:val="00AA220F"/>
    <w:rsid w:val="00AA23FB"/>
    <w:rsid w:val="00AA29BB"/>
    <w:rsid w:val="00AA34FE"/>
    <w:rsid w:val="00AA42AB"/>
    <w:rsid w:val="00AA5283"/>
    <w:rsid w:val="00AA559A"/>
    <w:rsid w:val="00AA57A4"/>
    <w:rsid w:val="00AA5F10"/>
    <w:rsid w:val="00AB043E"/>
    <w:rsid w:val="00AB0BB9"/>
    <w:rsid w:val="00AB104D"/>
    <w:rsid w:val="00AB1441"/>
    <w:rsid w:val="00AB24E7"/>
    <w:rsid w:val="00AB2797"/>
    <w:rsid w:val="00AB2AF1"/>
    <w:rsid w:val="00AB2EE8"/>
    <w:rsid w:val="00AB2FF7"/>
    <w:rsid w:val="00AB38B7"/>
    <w:rsid w:val="00AB440B"/>
    <w:rsid w:val="00AB47E3"/>
    <w:rsid w:val="00AB6383"/>
    <w:rsid w:val="00AB74C5"/>
    <w:rsid w:val="00AB7BEE"/>
    <w:rsid w:val="00AB7DF2"/>
    <w:rsid w:val="00AC1E3F"/>
    <w:rsid w:val="00AC219A"/>
    <w:rsid w:val="00AC3D02"/>
    <w:rsid w:val="00AC4F18"/>
    <w:rsid w:val="00AC556E"/>
    <w:rsid w:val="00AC7965"/>
    <w:rsid w:val="00AD0B46"/>
    <w:rsid w:val="00AD1094"/>
    <w:rsid w:val="00AD2565"/>
    <w:rsid w:val="00AD2C0A"/>
    <w:rsid w:val="00AD306C"/>
    <w:rsid w:val="00AD3424"/>
    <w:rsid w:val="00AD3E3F"/>
    <w:rsid w:val="00AD4E15"/>
    <w:rsid w:val="00AD4FEF"/>
    <w:rsid w:val="00AD50D1"/>
    <w:rsid w:val="00AD54F4"/>
    <w:rsid w:val="00AD59BB"/>
    <w:rsid w:val="00AD5D68"/>
    <w:rsid w:val="00AD6C73"/>
    <w:rsid w:val="00AD72A6"/>
    <w:rsid w:val="00AD7D49"/>
    <w:rsid w:val="00AE06D0"/>
    <w:rsid w:val="00AE1207"/>
    <w:rsid w:val="00AE1B8A"/>
    <w:rsid w:val="00AE20E2"/>
    <w:rsid w:val="00AE39DC"/>
    <w:rsid w:val="00AE3CDA"/>
    <w:rsid w:val="00AE43C2"/>
    <w:rsid w:val="00AE481D"/>
    <w:rsid w:val="00AE6734"/>
    <w:rsid w:val="00AE76E4"/>
    <w:rsid w:val="00AE7968"/>
    <w:rsid w:val="00AE7B2B"/>
    <w:rsid w:val="00AE7C46"/>
    <w:rsid w:val="00AE7DFF"/>
    <w:rsid w:val="00AF082A"/>
    <w:rsid w:val="00AF0B8E"/>
    <w:rsid w:val="00AF128B"/>
    <w:rsid w:val="00AF1AEA"/>
    <w:rsid w:val="00AF2536"/>
    <w:rsid w:val="00AF2852"/>
    <w:rsid w:val="00AF2B31"/>
    <w:rsid w:val="00AF3225"/>
    <w:rsid w:val="00AF4590"/>
    <w:rsid w:val="00AF4983"/>
    <w:rsid w:val="00AF4FD6"/>
    <w:rsid w:val="00AF518B"/>
    <w:rsid w:val="00AF5275"/>
    <w:rsid w:val="00AF581A"/>
    <w:rsid w:val="00AF5D62"/>
    <w:rsid w:val="00AF6367"/>
    <w:rsid w:val="00AF6684"/>
    <w:rsid w:val="00AF6753"/>
    <w:rsid w:val="00AF6A79"/>
    <w:rsid w:val="00AF724E"/>
    <w:rsid w:val="00AF73A9"/>
    <w:rsid w:val="00B00724"/>
    <w:rsid w:val="00B01436"/>
    <w:rsid w:val="00B019C6"/>
    <w:rsid w:val="00B01C2C"/>
    <w:rsid w:val="00B0231C"/>
    <w:rsid w:val="00B05E75"/>
    <w:rsid w:val="00B07372"/>
    <w:rsid w:val="00B07C2A"/>
    <w:rsid w:val="00B11BEE"/>
    <w:rsid w:val="00B128E5"/>
    <w:rsid w:val="00B12CC1"/>
    <w:rsid w:val="00B13681"/>
    <w:rsid w:val="00B13D32"/>
    <w:rsid w:val="00B153F4"/>
    <w:rsid w:val="00B15DCD"/>
    <w:rsid w:val="00B16F0F"/>
    <w:rsid w:val="00B17E71"/>
    <w:rsid w:val="00B17FDE"/>
    <w:rsid w:val="00B208FC"/>
    <w:rsid w:val="00B209FC"/>
    <w:rsid w:val="00B20C65"/>
    <w:rsid w:val="00B22E17"/>
    <w:rsid w:val="00B243A3"/>
    <w:rsid w:val="00B25567"/>
    <w:rsid w:val="00B266C5"/>
    <w:rsid w:val="00B27293"/>
    <w:rsid w:val="00B278E8"/>
    <w:rsid w:val="00B301BB"/>
    <w:rsid w:val="00B310C4"/>
    <w:rsid w:val="00B321E3"/>
    <w:rsid w:val="00B3229E"/>
    <w:rsid w:val="00B326A9"/>
    <w:rsid w:val="00B32DDB"/>
    <w:rsid w:val="00B337AA"/>
    <w:rsid w:val="00B33D0C"/>
    <w:rsid w:val="00B3447A"/>
    <w:rsid w:val="00B3448C"/>
    <w:rsid w:val="00B34931"/>
    <w:rsid w:val="00B34CCE"/>
    <w:rsid w:val="00B35174"/>
    <w:rsid w:val="00B35BEA"/>
    <w:rsid w:val="00B35F7F"/>
    <w:rsid w:val="00B36817"/>
    <w:rsid w:val="00B37915"/>
    <w:rsid w:val="00B3793D"/>
    <w:rsid w:val="00B41BE6"/>
    <w:rsid w:val="00B42831"/>
    <w:rsid w:val="00B428A4"/>
    <w:rsid w:val="00B42D8A"/>
    <w:rsid w:val="00B4516E"/>
    <w:rsid w:val="00B457E7"/>
    <w:rsid w:val="00B45969"/>
    <w:rsid w:val="00B45D1B"/>
    <w:rsid w:val="00B46D25"/>
    <w:rsid w:val="00B47430"/>
    <w:rsid w:val="00B47AC6"/>
    <w:rsid w:val="00B506BE"/>
    <w:rsid w:val="00B52D2D"/>
    <w:rsid w:val="00B534EF"/>
    <w:rsid w:val="00B53EA6"/>
    <w:rsid w:val="00B54645"/>
    <w:rsid w:val="00B55BA8"/>
    <w:rsid w:val="00B55F15"/>
    <w:rsid w:val="00B561A6"/>
    <w:rsid w:val="00B56FCD"/>
    <w:rsid w:val="00B57CC4"/>
    <w:rsid w:val="00B60062"/>
    <w:rsid w:val="00B62960"/>
    <w:rsid w:val="00B62A47"/>
    <w:rsid w:val="00B63A11"/>
    <w:rsid w:val="00B63FD0"/>
    <w:rsid w:val="00B651EC"/>
    <w:rsid w:val="00B6553E"/>
    <w:rsid w:val="00B65C84"/>
    <w:rsid w:val="00B6608F"/>
    <w:rsid w:val="00B73180"/>
    <w:rsid w:val="00B74317"/>
    <w:rsid w:val="00B74B99"/>
    <w:rsid w:val="00B75700"/>
    <w:rsid w:val="00B75AC6"/>
    <w:rsid w:val="00B760C1"/>
    <w:rsid w:val="00B767DF"/>
    <w:rsid w:val="00B76D1E"/>
    <w:rsid w:val="00B77BC8"/>
    <w:rsid w:val="00B800EB"/>
    <w:rsid w:val="00B80BB5"/>
    <w:rsid w:val="00B822D2"/>
    <w:rsid w:val="00B823F1"/>
    <w:rsid w:val="00B83D46"/>
    <w:rsid w:val="00B84820"/>
    <w:rsid w:val="00B848B8"/>
    <w:rsid w:val="00B84A41"/>
    <w:rsid w:val="00B84D57"/>
    <w:rsid w:val="00B84E5C"/>
    <w:rsid w:val="00B8504B"/>
    <w:rsid w:val="00B853C2"/>
    <w:rsid w:val="00B854A8"/>
    <w:rsid w:val="00B85689"/>
    <w:rsid w:val="00B86748"/>
    <w:rsid w:val="00B907EA"/>
    <w:rsid w:val="00B9167B"/>
    <w:rsid w:val="00B9183E"/>
    <w:rsid w:val="00B91EC9"/>
    <w:rsid w:val="00B924CA"/>
    <w:rsid w:val="00B929A5"/>
    <w:rsid w:val="00B92A4B"/>
    <w:rsid w:val="00B93384"/>
    <w:rsid w:val="00B93616"/>
    <w:rsid w:val="00B9423B"/>
    <w:rsid w:val="00B94417"/>
    <w:rsid w:val="00B95566"/>
    <w:rsid w:val="00B95940"/>
    <w:rsid w:val="00B95EF8"/>
    <w:rsid w:val="00B95F50"/>
    <w:rsid w:val="00B96BD9"/>
    <w:rsid w:val="00B979A0"/>
    <w:rsid w:val="00BA0DED"/>
    <w:rsid w:val="00BA0F99"/>
    <w:rsid w:val="00BB0274"/>
    <w:rsid w:val="00BB0B13"/>
    <w:rsid w:val="00BB1CFD"/>
    <w:rsid w:val="00BB2C53"/>
    <w:rsid w:val="00BB32DA"/>
    <w:rsid w:val="00BB3A54"/>
    <w:rsid w:val="00BB4D26"/>
    <w:rsid w:val="00BB4E21"/>
    <w:rsid w:val="00BB65DD"/>
    <w:rsid w:val="00BB7707"/>
    <w:rsid w:val="00BB7746"/>
    <w:rsid w:val="00BB7AF1"/>
    <w:rsid w:val="00BC00E5"/>
    <w:rsid w:val="00BC1484"/>
    <w:rsid w:val="00BC1D93"/>
    <w:rsid w:val="00BC22EB"/>
    <w:rsid w:val="00BC2E09"/>
    <w:rsid w:val="00BC4B2D"/>
    <w:rsid w:val="00BC4FB2"/>
    <w:rsid w:val="00BC682B"/>
    <w:rsid w:val="00BC68BA"/>
    <w:rsid w:val="00BC6B04"/>
    <w:rsid w:val="00BC6D27"/>
    <w:rsid w:val="00BD059A"/>
    <w:rsid w:val="00BD0BAF"/>
    <w:rsid w:val="00BD0D6D"/>
    <w:rsid w:val="00BD186B"/>
    <w:rsid w:val="00BD1EAC"/>
    <w:rsid w:val="00BD254C"/>
    <w:rsid w:val="00BD2F39"/>
    <w:rsid w:val="00BD3428"/>
    <w:rsid w:val="00BD366B"/>
    <w:rsid w:val="00BD5298"/>
    <w:rsid w:val="00BD534C"/>
    <w:rsid w:val="00BD55A9"/>
    <w:rsid w:val="00BD56BC"/>
    <w:rsid w:val="00BD5BE0"/>
    <w:rsid w:val="00BD5D91"/>
    <w:rsid w:val="00BD6445"/>
    <w:rsid w:val="00BD65BF"/>
    <w:rsid w:val="00BD6615"/>
    <w:rsid w:val="00BD6967"/>
    <w:rsid w:val="00BD6D50"/>
    <w:rsid w:val="00BD7C60"/>
    <w:rsid w:val="00BE0D79"/>
    <w:rsid w:val="00BE0DB0"/>
    <w:rsid w:val="00BE15B9"/>
    <w:rsid w:val="00BE264F"/>
    <w:rsid w:val="00BE2C15"/>
    <w:rsid w:val="00BE3381"/>
    <w:rsid w:val="00BE3F09"/>
    <w:rsid w:val="00BE4A3B"/>
    <w:rsid w:val="00BE670A"/>
    <w:rsid w:val="00BE6906"/>
    <w:rsid w:val="00BE6EA2"/>
    <w:rsid w:val="00BE7AB8"/>
    <w:rsid w:val="00BF18F4"/>
    <w:rsid w:val="00BF1A69"/>
    <w:rsid w:val="00BF3BC8"/>
    <w:rsid w:val="00BF3DF1"/>
    <w:rsid w:val="00BF4BEE"/>
    <w:rsid w:val="00BF4C31"/>
    <w:rsid w:val="00BF4C48"/>
    <w:rsid w:val="00BF4E57"/>
    <w:rsid w:val="00BF53B8"/>
    <w:rsid w:val="00BF786A"/>
    <w:rsid w:val="00BF7CB8"/>
    <w:rsid w:val="00C00831"/>
    <w:rsid w:val="00C00F20"/>
    <w:rsid w:val="00C01354"/>
    <w:rsid w:val="00C01700"/>
    <w:rsid w:val="00C01B84"/>
    <w:rsid w:val="00C034E6"/>
    <w:rsid w:val="00C041FA"/>
    <w:rsid w:val="00C05715"/>
    <w:rsid w:val="00C05926"/>
    <w:rsid w:val="00C05CCD"/>
    <w:rsid w:val="00C0784A"/>
    <w:rsid w:val="00C07DF0"/>
    <w:rsid w:val="00C108CE"/>
    <w:rsid w:val="00C10B28"/>
    <w:rsid w:val="00C10D62"/>
    <w:rsid w:val="00C10EC1"/>
    <w:rsid w:val="00C10FAE"/>
    <w:rsid w:val="00C1135D"/>
    <w:rsid w:val="00C11DAF"/>
    <w:rsid w:val="00C123B4"/>
    <w:rsid w:val="00C12A69"/>
    <w:rsid w:val="00C13150"/>
    <w:rsid w:val="00C132F3"/>
    <w:rsid w:val="00C13737"/>
    <w:rsid w:val="00C13BE8"/>
    <w:rsid w:val="00C14A8D"/>
    <w:rsid w:val="00C14BDD"/>
    <w:rsid w:val="00C150BE"/>
    <w:rsid w:val="00C158B0"/>
    <w:rsid w:val="00C15A0C"/>
    <w:rsid w:val="00C15CEB"/>
    <w:rsid w:val="00C15DCB"/>
    <w:rsid w:val="00C16208"/>
    <w:rsid w:val="00C1711F"/>
    <w:rsid w:val="00C17E38"/>
    <w:rsid w:val="00C20100"/>
    <w:rsid w:val="00C2038A"/>
    <w:rsid w:val="00C20549"/>
    <w:rsid w:val="00C205BF"/>
    <w:rsid w:val="00C20744"/>
    <w:rsid w:val="00C20B1C"/>
    <w:rsid w:val="00C20C4D"/>
    <w:rsid w:val="00C21D46"/>
    <w:rsid w:val="00C21F94"/>
    <w:rsid w:val="00C222A1"/>
    <w:rsid w:val="00C2299F"/>
    <w:rsid w:val="00C22C59"/>
    <w:rsid w:val="00C23371"/>
    <w:rsid w:val="00C23CBD"/>
    <w:rsid w:val="00C23D22"/>
    <w:rsid w:val="00C2463B"/>
    <w:rsid w:val="00C24E77"/>
    <w:rsid w:val="00C250AF"/>
    <w:rsid w:val="00C26D9B"/>
    <w:rsid w:val="00C2732D"/>
    <w:rsid w:val="00C273C6"/>
    <w:rsid w:val="00C27773"/>
    <w:rsid w:val="00C27913"/>
    <w:rsid w:val="00C300C6"/>
    <w:rsid w:val="00C30828"/>
    <w:rsid w:val="00C30924"/>
    <w:rsid w:val="00C31DD8"/>
    <w:rsid w:val="00C3271C"/>
    <w:rsid w:val="00C34E6F"/>
    <w:rsid w:val="00C34FDE"/>
    <w:rsid w:val="00C3543D"/>
    <w:rsid w:val="00C35530"/>
    <w:rsid w:val="00C35C16"/>
    <w:rsid w:val="00C36EA7"/>
    <w:rsid w:val="00C37A94"/>
    <w:rsid w:val="00C40E09"/>
    <w:rsid w:val="00C40F33"/>
    <w:rsid w:val="00C40F81"/>
    <w:rsid w:val="00C41463"/>
    <w:rsid w:val="00C41A72"/>
    <w:rsid w:val="00C4216C"/>
    <w:rsid w:val="00C42714"/>
    <w:rsid w:val="00C42D45"/>
    <w:rsid w:val="00C42F9C"/>
    <w:rsid w:val="00C4341C"/>
    <w:rsid w:val="00C4422D"/>
    <w:rsid w:val="00C44A71"/>
    <w:rsid w:val="00C44B84"/>
    <w:rsid w:val="00C45BA1"/>
    <w:rsid w:val="00C476C5"/>
    <w:rsid w:val="00C4775E"/>
    <w:rsid w:val="00C503B0"/>
    <w:rsid w:val="00C5076B"/>
    <w:rsid w:val="00C511C2"/>
    <w:rsid w:val="00C525A5"/>
    <w:rsid w:val="00C527C6"/>
    <w:rsid w:val="00C53CDB"/>
    <w:rsid w:val="00C53D82"/>
    <w:rsid w:val="00C53EBE"/>
    <w:rsid w:val="00C54748"/>
    <w:rsid w:val="00C55C5D"/>
    <w:rsid w:val="00C564B9"/>
    <w:rsid w:val="00C574CF"/>
    <w:rsid w:val="00C575FB"/>
    <w:rsid w:val="00C60696"/>
    <w:rsid w:val="00C60943"/>
    <w:rsid w:val="00C60EEF"/>
    <w:rsid w:val="00C6121D"/>
    <w:rsid w:val="00C615F1"/>
    <w:rsid w:val="00C61627"/>
    <w:rsid w:val="00C63B1A"/>
    <w:rsid w:val="00C64453"/>
    <w:rsid w:val="00C64E60"/>
    <w:rsid w:val="00C657A4"/>
    <w:rsid w:val="00C66589"/>
    <w:rsid w:val="00C6736C"/>
    <w:rsid w:val="00C70422"/>
    <w:rsid w:val="00C709FD"/>
    <w:rsid w:val="00C7179C"/>
    <w:rsid w:val="00C71A1D"/>
    <w:rsid w:val="00C71EC4"/>
    <w:rsid w:val="00C726EA"/>
    <w:rsid w:val="00C73485"/>
    <w:rsid w:val="00C7410A"/>
    <w:rsid w:val="00C743FD"/>
    <w:rsid w:val="00C74791"/>
    <w:rsid w:val="00C7591E"/>
    <w:rsid w:val="00C75C7E"/>
    <w:rsid w:val="00C75C9B"/>
    <w:rsid w:val="00C75F90"/>
    <w:rsid w:val="00C76D8E"/>
    <w:rsid w:val="00C77833"/>
    <w:rsid w:val="00C77E7B"/>
    <w:rsid w:val="00C80C9B"/>
    <w:rsid w:val="00C81019"/>
    <w:rsid w:val="00C82DEC"/>
    <w:rsid w:val="00C8335E"/>
    <w:rsid w:val="00C83C1A"/>
    <w:rsid w:val="00C83F9C"/>
    <w:rsid w:val="00C84CE3"/>
    <w:rsid w:val="00C85614"/>
    <w:rsid w:val="00C85686"/>
    <w:rsid w:val="00C86127"/>
    <w:rsid w:val="00C9068F"/>
    <w:rsid w:val="00C90975"/>
    <w:rsid w:val="00C90CF4"/>
    <w:rsid w:val="00C91C19"/>
    <w:rsid w:val="00C929A0"/>
    <w:rsid w:val="00C92AE8"/>
    <w:rsid w:val="00C93389"/>
    <w:rsid w:val="00C937DB"/>
    <w:rsid w:val="00C94519"/>
    <w:rsid w:val="00C94847"/>
    <w:rsid w:val="00C94E11"/>
    <w:rsid w:val="00C94E83"/>
    <w:rsid w:val="00C9567E"/>
    <w:rsid w:val="00C97038"/>
    <w:rsid w:val="00C975FC"/>
    <w:rsid w:val="00CA02B2"/>
    <w:rsid w:val="00CA0883"/>
    <w:rsid w:val="00CA1085"/>
    <w:rsid w:val="00CA140F"/>
    <w:rsid w:val="00CA25C2"/>
    <w:rsid w:val="00CA37BB"/>
    <w:rsid w:val="00CA37CA"/>
    <w:rsid w:val="00CA3C24"/>
    <w:rsid w:val="00CA5016"/>
    <w:rsid w:val="00CA5724"/>
    <w:rsid w:val="00CA6508"/>
    <w:rsid w:val="00CA6BA1"/>
    <w:rsid w:val="00CA6CD5"/>
    <w:rsid w:val="00CA6D0B"/>
    <w:rsid w:val="00CA799B"/>
    <w:rsid w:val="00CB09D5"/>
    <w:rsid w:val="00CB0AE1"/>
    <w:rsid w:val="00CB0F6B"/>
    <w:rsid w:val="00CB1910"/>
    <w:rsid w:val="00CB1F9F"/>
    <w:rsid w:val="00CB2150"/>
    <w:rsid w:val="00CB28EE"/>
    <w:rsid w:val="00CB43A7"/>
    <w:rsid w:val="00CB4CD7"/>
    <w:rsid w:val="00CB4DF1"/>
    <w:rsid w:val="00CB55C2"/>
    <w:rsid w:val="00CB5695"/>
    <w:rsid w:val="00CB5996"/>
    <w:rsid w:val="00CB6809"/>
    <w:rsid w:val="00CB6CE5"/>
    <w:rsid w:val="00CB7452"/>
    <w:rsid w:val="00CB76C9"/>
    <w:rsid w:val="00CC0E10"/>
    <w:rsid w:val="00CC1DAF"/>
    <w:rsid w:val="00CC2642"/>
    <w:rsid w:val="00CC2967"/>
    <w:rsid w:val="00CC2A1E"/>
    <w:rsid w:val="00CC2A36"/>
    <w:rsid w:val="00CC2E15"/>
    <w:rsid w:val="00CC3440"/>
    <w:rsid w:val="00CC351B"/>
    <w:rsid w:val="00CC3908"/>
    <w:rsid w:val="00CC41BF"/>
    <w:rsid w:val="00CC44C9"/>
    <w:rsid w:val="00CC4DF5"/>
    <w:rsid w:val="00CC509A"/>
    <w:rsid w:val="00CC62AD"/>
    <w:rsid w:val="00CC67E5"/>
    <w:rsid w:val="00CC6CA2"/>
    <w:rsid w:val="00CC7968"/>
    <w:rsid w:val="00CC7B80"/>
    <w:rsid w:val="00CD2B3C"/>
    <w:rsid w:val="00CD30F6"/>
    <w:rsid w:val="00CD3469"/>
    <w:rsid w:val="00CD4B29"/>
    <w:rsid w:val="00CD5E48"/>
    <w:rsid w:val="00CD67CA"/>
    <w:rsid w:val="00CD6954"/>
    <w:rsid w:val="00CD6DA3"/>
    <w:rsid w:val="00CD6EF1"/>
    <w:rsid w:val="00CD715D"/>
    <w:rsid w:val="00CD7A45"/>
    <w:rsid w:val="00CD7E35"/>
    <w:rsid w:val="00CD7EEE"/>
    <w:rsid w:val="00CE21C7"/>
    <w:rsid w:val="00CE2682"/>
    <w:rsid w:val="00CE2756"/>
    <w:rsid w:val="00CE3F72"/>
    <w:rsid w:val="00CE442A"/>
    <w:rsid w:val="00CE4674"/>
    <w:rsid w:val="00CE57D8"/>
    <w:rsid w:val="00CE5B96"/>
    <w:rsid w:val="00CE5F03"/>
    <w:rsid w:val="00CE617A"/>
    <w:rsid w:val="00CE692E"/>
    <w:rsid w:val="00CE6E3C"/>
    <w:rsid w:val="00CE76A1"/>
    <w:rsid w:val="00CE797F"/>
    <w:rsid w:val="00CF107E"/>
    <w:rsid w:val="00CF15BF"/>
    <w:rsid w:val="00CF25D2"/>
    <w:rsid w:val="00CF28C2"/>
    <w:rsid w:val="00CF294A"/>
    <w:rsid w:val="00CF42BD"/>
    <w:rsid w:val="00CF51EC"/>
    <w:rsid w:val="00CF6A9D"/>
    <w:rsid w:val="00CF6CD7"/>
    <w:rsid w:val="00CF7276"/>
    <w:rsid w:val="00CF75EC"/>
    <w:rsid w:val="00D002DF"/>
    <w:rsid w:val="00D0037A"/>
    <w:rsid w:val="00D0061E"/>
    <w:rsid w:val="00D006AD"/>
    <w:rsid w:val="00D00DAF"/>
    <w:rsid w:val="00D017EC"/>
    <w:rsid w:val="00D01CDA"/>
    <w:rsid w:val="00D020FC"/>
    <w:rsid w:val="00D03866"/>
    <w:rsid w:val="00D040DD"/>
    <w:rsid w:val="00D04E1B"/>
    <w:rsid w:val="00D0547B"/>
    <w:rsid w:val="00D076DB"/>
    <w:rsid w:val="00D07EFF"/>
    <w:rsid w:val="00D1067C"/>
    <w:rsid w:val="00D11329"/>
    <w:rsid w:val="00D11CBB"/>
    <w:rsid w:val="00D136D4"/>
    <w:rsid w:val="00D13830"/>
    <w:rsid w:val="00D13ECF"/>
    <w:rsid w:val="00D141CA"/>
    <w:rsid w:val="00D142E5"/>
    <w:rsid w:val="00D148CD"/>
    <w:rsid w:val="00D1611E"/>
    <w:rsid w:val="00D163CC"/>
    <w:rsid w:val="00D16E69"/>
    <w:rsid w:val="00D177E9"/>
    <w:rsid w:val="00D17F4A"/>
    <w:rsid w:val="00D205A9"/>
    <w:rsid w:val="00D217EE"/>
    <w:rsid w:val="00D24299"/>
    <w:rsid w:val="00D245BA"/>
    <w:rsid w:val="00D25411"/>
    <w:rsid w:val="00D25E9E"/>
    <w:rsid w:val="00D26923"/>
    <w:rsid w:val="00D27856"/>
    <w:rsid w:val="00D27D34"/>
    <w:rsid w:val="00D3006B"/>
    <w:rsid w:val="00D301CA"/>
    <w:rsid w:val="00D30740"/>
    <w:rsid w:val="00D31075"/>
    <w:rsid w:val="00D31445"/>
    <w:rsid w:val="00D31932"/>
    <w:rsid w:val="00D32AE0"/>
    <w:rsid w:val="00D33273"/>
    <w:rsid w:val="00D360DA"/>
    <w:rsid w:val="00D37689"/>
    <w:rsid w:val="00D378CC"/>
    <w:rsid w:val="00D4042C"/>
    <w:rsid w:val="00D40B9E"/>
    <w:rsid w:val="00D41281"/>
    <w:rsid w:val="00D42312"/>
    <w:rsid w:val="00D431F4"/>
    <w:rsid w:val="00D433F5"/>
    <w:rsid w:val="00D43998"/>
    <w:rsid w:val="00D439C2"/>
    <w:rsid w:val="00D451E0"/>
    <w:rsid w:val="00D45A1D"/>
    <w:rsid w:val="00D4615E"/>
    <w:rsid w:val="00D4651F"/>
    <w:rsid w:val="00D478E2"/>
    <w:rsid w:val="00D507A3"/>
    <w:rsid w:val="00D5082E"/>
    <w:rsid w:val="00D50ED8"/>
    <w:rsid w:val="00D5264C"/>
    <w:rsid w:val="00D53987"/>
    <w:rsid w:val="00D547BA"/>
    <w:rsid w:val="00D55626"/>
    <w:rsid w:val="00D556BC"/>
    <w:rsid w:val="00D5626D"/>
    <w:rsid w:val="00D56631"/>
    <w:rsid w:val="00D60277"/>
    <w:rsid w:val="00D60336"/>
    <w:rsid w:val="00D6126B"/>
    <w:rsid w:val="00D61F88"/>
    <w:rsid w:val="00D62688"/>
    <w:rsid w:val="00D62901"/>
    <w:rsid w:val="00D62CB2"/>
    <w:rsid w:val="00D6345E"/>
    <w:rsid w:val="00D6470C"/>
    <w:rsid w:val="00D64853"/>
    <w:rsid w:val="00D64CB5"/>
    <w:rsid w:val="00D66076"/>
    <w:rsid w:val="00D6607C"/>
    <w:rsid w:val="00D661B3"/>
    <w:rsid w:val="00D66D48"/>
    <w:rsid w:val="00D703E1"/>
    <w:rsid w:val="00D7128B"/>
    <w:rsid w:val="00D7162F"/>
    <w:rsid w:val="00D720DB"/>
    <w:rsid w:val="00D72897"/>
    <w:rsid w:val="00D73256"/>
    <w:rsid w:val="00D73A30"/>
    <w:rsid w:val="00D747AA"/>
    <w:rsid w:val="00D74985"/>
    <w:rsid w:val="00D74C65"/>
    <w:rsid w:val="00D74F21"/>
    <w:rsid w:val="00D75240"/>
    <w:rsid w:val="00D756C0"/>
    <w:rsid w:val="00D758D0"/>
    <w:rsid w:val="00D75DC2"/>
    <w:rsid w:val="00D75DC3"/>
    <w:rsid w:val="00D75E60"/>
    <w:rsid w:val="00D75FEA"/>
    <w:rsid w:val="00D766EF"/>
    <w:rsid w:val="00D76C03"/>
    <w:rsid w:val="00D77F8D"/>
    <w:rsid w:val="00D80E07"/>
    <w:rsid w:val="00D8119B"/>
    <w:rsid w:val="00D821BF"/>
    <w:rsid w:val="00D82462"/>
    <w:rsid w:val="00D831C6"/>
    <w:rsid w:val="00D831F5"/>
    <w:rsid w:val="00D83EF3"/>
    <w:rsid w:val="00D85886"/>
    <w:rsid w:val="00D868CE"/>
    <w:rsid w:val="00D86DAE"/>
    <w:rsid w:val="00D87732"/>
    <w:rsid w:val="00D8785B"/>
    <w:rsid w:val="00D90116"/>
    <w:rsid w:val="00D909FE"/>
    <w:rsid w:val="00D90C1E"/>
    <w:rsid w:val="00D91B07"/>
    <w:rsid w:val="00D91BDF"/>
    <w:rsid w:val="00D91F2C"/>
    <w:rsid w:val="00D92527"/>
    <w:rsid w:val="00D92B5A"/>
    <w:rsid w:val="00D93F09"/>
    <w:rsid w:val="00D94859"/>
    <w:rsid w:val="00D954C2"/>
    <w:rsid w:val="00D97BB8"/>
    <w:rsid w:val="00DA1318"/>
    <w:rsid w:val="00DA1382"/>
    <w:rsid w:val="00DA28B7"/>
    <w:rsid w:val="00DA2FE8"/>
    <w:rsid w:val="00DA41E0"/>
    <w:rsid w:val="00DA4AF6"/>
    <w:rsid w:val="00DB016E"/>
    <w:rsid w:val="00DB06E9"/>
    <w:rsid w:val="00DB0BF3"/>
    <w:rsid w:val="00DB19BD"/>
    <w:rsid w:val="00DB1D55"/>
    <w:rsid w:val="00DB2692"/>
    <w:rsid w:val="00DB36D7"/>
    <w:rsid w:val="00DB378E"/>
    <w:rsid w:val="00DB3E9D"/>
    <w:rsid w:val="00DB47B9"/>
    <w:rsid w:val="00DB4FB8"/>
    <w:rsid w:val="00DB51D8"/>
    <w:rsid w:val="00DB53CE"/>
    <w:rsid w:val="00DB549D"/>
    <w:rsid w:val="00DB5792"/>
    <w:rsid w:val="00DB63F2"/>
    <w:rsid w:val="00DB6A88"/>
    <w:rsid w:val="00DB6DA6"/>
    <w:rsid w:val="00DB7431"/>
    <w:rsid w:val="00DB74ED"/>
    <w:rsid w:val="00DB7BA4"/>
    <w:rsid w:val="00DC08D7"/>
    <w:rsid w:val="00DC18B6"/>
    <w:rsid w:val="00DC226A"/>
    <w:rsid w:val="00DC257F"/>
    <w:rsid w:val="00DC2A9F"/>
    <w:rsid w:val="00DC2FA9"/>
    <w:rsid w:val="00DC333E"/>
    <w:rsid w:val="00DC350B"/>
    <w:rsid w:val="00DC3790"/>
    <w:rsid w:val="00DC408A"/>
    <w:rsid w:val="00DC436D"/>
    <w:rsid w:val="00DC519B"/>
    <w:rsid w:val="00DC52F9"/>
    <w:rsid w:val="00DC5B3B"/>
    <w:rsid w:val="00DC5BAA"/>
    <w:rsid w:val="00DC6796"/>
    <w:rsid w:val="00DC6AA2"/>
    <w:rsid w:val="00DC6CC6"/>
    <w:rsid w:val="00DC767B"/>
    <w:rsid w:val="00DC78DF"/>
    <w:rsid w:val="00DC7928"/>
    <w:rsid w:val="00DC7D4C"/>
    <w:rsid w:val="00DD003B"/>
    <w:rsid w:val="00DD0365"/>
    <w:rsid w:val="00DD0821"/>
    <w:rsid w:val="00DD093D"/>
    <w:rsid w:val="00DD0E32"/>
    <w:rsid w:val="00DD10F4"/>
    <w:rsid w:val="00DD1878"/>
    <w:rsid w:val="00DD2872"/>
    <w:rsid w:val="00DD2A62"/>
    <w:rsid w:val="00DD2BD0"/>
    <w:rsid w:val="00DD2BFE"/>
    <w:rsid w:val="00DD373E"/>
    <w:rsid w:val="00DD3867"/>
    <w:rsid w:val="00DD57AD"/>
    <w:rsid w:val="00DD57B7"/>
    <w:rsid w:val="00DD7435"/>
    <w:rsid w:val="00DD7C6D"/>
    <w:rsid w:val="00DE009B"/>
    <w:rsid w:val="00DE08F8"/>
    <w:rsid w:val="00DE0C31"/>
    <w:rsid w:val="00DE27CE"/>
    <w:rsid w:val="00DE2ED9"/>
    <w:rsid w:val="00DE319A"/>
    <w:rsid w:val="00DE37C6"/>
    <w:rsid w:val="00DE5ABD"/>
    <w:rsid w:val="00DF046A"/>
    <w:rsid w:val="00DF0615"/>
    <w:rsid w:val="00DF07CE"/>
    <w:rsid w:val="00DF0833"/>
    <w:rsid w:val="00DF0DC3"/>
    <w:rsid w:val="00DF0E38"/>
    <w:rsid w:val="00DF21FD"/>
    <w:rsid w:val="00DF2847"/>
    <w:rsid w:val="00DF2873"/>
    <w:rsid w:val="00DF293C"/>
    <w:rsid w:val="00DF4C74"/>
    <w:rsid w:val="00DF5578"/>
    <w:rsid w:val="00DF6CF8"/>
    <w:rsid w:val="00DF78DD"/>
    <w:rsid w:val="00DF7FEC"/>
    <w:rsid w:val="00E01C0E"/>
    <w:rsid w:val="00E02086"/>
    <w:rsid w:val="00E023BE"/>
    <w:rsid w:val="00E02740"/>
    <w:rsid w:val="00E03B27"/>
    <w:rsid w:val="00E04694"/>
    <w:rsid w:val="00E049F6"/>
    <w:rsid w:val="00E04CA9"/>
    <w:rsid w:val="00E05B2B"/>
    <w:rsid w:val="00E05EAD"/>
    <w:rsid w:val="00E06A2A"/>
    <w:rsid w:val="00E06D4A"/>
    <w:rsid w:val="00E06EC9"/>
    <w:rsid w:val="00E07F05"/>
    <w:rsid w:val="00E1230E"/>
    <w:rsid w:val="00E127E1"/>
    <w:rsid w:val="00E1291F"/>
    <w:rsid w:val="00E12BCE"/>
    <w:rsid w:val="00E144D2"/>
    <w:rsid w:val="00E144D6"/>
    <w:rsid w:val="00E15346"/>
    <w:rsid w:val="00E15B7D"/>
    <w:rsid w:val="00E17233"/>
    <w:rsid w:val="00E17C5F"/>
    <w:rsid w:val="00E17F8F"/>
    <w:rsid w:val="00E202D6"/>
    <w:rsid w:val="00E2097E"/>
    <w:rsid w:val="00E215EA"/>
    <w:rsid w:val="00E2196F"/>
    <w:rsid w:val="00E21CAB"/>
    <w:rsid w:val="00E221FC"/>
    <w:rsid w:val="00E2245C"/>
    <w:rsid w:val="00E22E78"/>
    <w:rsid w:val="00E23DA4"/>
    <w:rsid w:val="00E24619"/>
    <w:rsid w:val="00E25223"/>
    <w:rsid w:val="00E25999"/>
    <w:rsid w:val="00E263A8"/>
    <w:rsid w:val="00E27B33"/>
    <w:rsid w:val="00E30BEA"/>
    <w:rsid w:val="00E3154D"/>
    <w:rsid w:val="00E3167A"/>
    <w:rsid w:val="00E31764"/>
    <w:rsid w:val="00E3288A"/>
    <w:rsid w:val="00E32BC2"/>
    <w:rsid w:val="00E33C0E"/>
    <w:rsid w:val="00E34985"/>
    <w:rsid w:val="00E34E4A"/>
    <w:rsid w:val="00E365B3"/>
    <w:rsid w:val="00E366BB"/>
    <w:rsid w:val="00E372FD"/>
    <w:rsid w:val="00E37C45"/>
    <w:rsid w:val="00E37E7D"/>
    <w:rsid w:val="00E40AAA"/>
    <w:rsid w:val="00E4152B"/>
    <w:rsid w:val="00E41A59"/>
    <w:rsid w:val="00E42444"/>
    <w:rsid w:val="00E42CB0"/>
    <w:rsid w:val="00E43276"/>
    <w:rsid w:val="00E438CF"/>
    <w:rsid w:val="00E43B06"/>
    <w:rsid w:val="00E43C41"/>
    <w:rsid w:val="00E43F01"/>
    <w:rsid w:val="00E4500E"/>
    <w:rsid w:val="00E450CE"/>
    <w:rsid w:val="00E4517F"/>
    <w:rsid w:val="00E45A00"/>
    <w:rsid w:val="00E45CE7"/>
    <w:rsid w:val="00E4631F"/>
    <w:rsid w:val="00E46A4A"/>
    <w:rsid w:val="00E47CB8"/>
    <w:rsid w:val="00E522BB"/>
    <w:rsid w:val="00E525BD"/>
    <w:rsid w:val="00E527A0"/>
    <w:rsid w:val="00E52A3D"/>
    <w:rsid w:val="00E52A9C"/>
    <w:rsid w:val="00E539E4"/>
    <w:rsid w:val="00E53C14"/>
    <w:rsid w:val="00E54D65"/>
    <w:rsid w:val="00E5515D"/>
    <w:rsid w:val="00E55E84"/>
    <w:rsid w:val="00E569C7"/>
    <w:rsid w:val="00E56D2B"/>
    <w:rsid w:val="00E571F2"/>
    <w:rsid w:val="00E57429"/>
    <w:rsid w:val="00E60FCE"/>
    <w:rsid w:val="00E61C31"/>
    <w:rsid w:val="00E61EA8"/>
    <w:rsid w:val="00E63221"/>
    <w:rsid w:val="00E63EC6"/>
    <w:rsid w:val="00E64AE4"/>
    <w:rsid w:val="00E64CFB"/>
    <w:rsid w:val="00E64CFF"/>
    <w:rsid w:val="00E64EA1"/>
    <w:rsid w:val="00E6582D"/>
    <w:rsid w:val="00E6636D"/>
    <w:rsid w:val="00E669C7"/>
    <w:rsid w:val="00E67611"/>
    <w:rsid w:val="00E70510"/>
    <w:rsid w:val="00E71262"/>
    <w:rsid w:val="00E71A58"/>
    <w:rsid w:val="00E724C6"/>
    <w:rsid w:val="00E737F6"/>
    <w:rsid w:val="00E75545"/>
    <w:rsid w:val="00E7568F"/>
    <w:rsid w:val="00E764AE"/>
    <w:rsid w:val="00E7724B"/>
    <w:rsid w:val="00E77435"/>
    <w:rsid w:val="00E80E31"/>
    <w:rsid w:val="00E81543"/>
    <w:rsid w:val="00E83DAB"/>
    <w:rsid w:val="00E84F21"/>
    <w:rsid w:val="00E8618A"/>
    <w:rsid w:val="00E90A4B"/>
    <w:rsid w:val="00E90D67"/>
    <w:rsid w:val="00E90F73"/>
    <w:rsid w:val="00E910A7"/>
    <w:rsid w:val="00E91607"/>
    <w:rsid w:val="00E921C7"/>
    <w:rsid w:val="00E925D2"/>
    <w:rsid w:val="00E92799"/>
    <w:rsid w:val="00E92995"/>
    <w:rsid w:val="00E9446C"/>
    <w:rsid w:val="00E94612"/>
    <w:rsid w:val="00E95797"/>
    <w:rsid w:val="00E962F3"/>
    <w:rsid w:val="00E9682F"/>
    <w:rsid w:val="00E96A8D"/>
    <w:rsid w:val="00E972BA"/>
    <w:rsid w:val="00E97FA2"/>
    <w:rsid w:val="00EA06CB"/>
    <w:rsid w:val="00EA0AF3"/>
    <w:rsid w:val="00EA0C68"/>
    <w:rsid w:val="00EA19E2"/>
    <w:rsid w:val="00EA2F06"/>
    <w:rsid w:val="00EA3EBE"/>
    <w:rsid w:val="00EA3FAC"/>
    <w:rsid w:val="00EA4153"/>
    <w:rsid w:val="00EA421A"/>
    <w:rsid w:val="00EA5CD6"/>
    <w:rsid w:val="00EA76FD"/>
    <w:rsid w:val="00EA77CA"/>
    <w:rsid w:val="00EA78FE"/>
    <w:rsid w:val="00EA7B7D"/>
    <w:rsid w:val="00EB03D4"/>
    <w:rsid w:val="00EB0555"/>
    <w:rsid w:val="00EB20A0"/>
    <w:rsid w:val="00EB220E"/>
    <w:rsid w:val="00EB30B6"/>
    <w:rsid w:val="00EB4FA4"/>
    <w:rsid w:val="00EB5146"/>
    <w:rsid w:val="00EB522B"/>
    <w:rsid w:val="00EB55E9"/>
    <w:rsid w:val="00EB5641"/>
    <w:rsid w:val="00EB5CA9"/>
    <w:rsid w:val="00EB5ED4"/>
    <w:rsid w:val="00EB6063"/>
    <w:rsid w:val="00EB6537"/>
    <w:rsid w:val="00EB6DD2"/>
    <w:rsid w:val="00EB70E1"/>
    <w:rsid w:val="00EB7EB5"/>
    <w:rsid w:val="00EC0860"/>
    <w:rsid w:val="00EC0C89"/>
    <w:rsid w:val="00EC0EC1"/>
    <w:rsid w:val="00EC4133"/>
    <w:rsid w:val="00EC424C"/>
    <w:rsid w:val="00EC454B"/>
    <w:rsid w:val="00EC4941"/>
    <w:rsid w:val="00EC5626"/>
    <w:rsid w:val="00EC6153"/>
    <w:rsid w:val="00EC7F92"/>
    <w:rsid w:val="00ED00A8"/>
    <w:rsid w:val="00ED0A79"/>
    <w:rsid w:val="00ED229E"/>
    <w:rsid w:val="00ED2989"/>
    <w:rsid w:val="00ED2CA5"/>
    <w:rsid w:val="00ED2D46"/>
    <w:rsid w:val="00ED336F"/>
    <w:rsid w:val="00ED3A94"/>
    <w:rsid w:val="00ED40F0"/>
    <w:rsid w:val="00ED4AC0"/>
    <w:rsid w:val="00ED54D6"/>
    <w:rsid w:val="00ED5726"/>
    <w:rsid w:val="00ED7384"/>
    <w:rsid w:val="00EE0113"/>
    <w:rsid w:val="00EE0298"/>
    <w:rsid w:val="00EE0384"/>
    <w:rsid w:val="00EE043A"/>
    <w:rsid w:val="00EE0473"/>
    <w:rsid w:val="00EE1057"/>
    <w:rsid w:val="00EE10AA"/>
    <w:rsid w:val="00EE1637"/>
    <w:rsid w:val="00EE29C7"/>
    <w:rsid w:val="00EE2A98"/>
    <w:rsid w:val="00EE3547"/>
    <w:rsid w:val="00EE3B7A"/>
    <w:rsid w:val="00EE3E78"/>
    <w:rsid w:val="00EE4534"/>
    <w:rsid w:val="00EE476F"/>
    <w:rsid w:val="00EE495A"/>
    <w:rsid w:val="00EE4E8F"/>
    <w:rsid w:val="00EE5A5A"/>
    <w:rsid w:val="00EE5E02"/>
    <w:rsid w:val="00EE617D"/>
    <w:rsid w:val="00EE61BF"/>
    <w:rsid w:val="00EE6538"/>
    <w:rsid w:val="00EE6748"/>
    <w:rsid w:val="00EE6C6B"/>
    <w:rsid w:val="00EE7B94"/>
    <w:rsid w:val="00EE7C03"/>
    <w:rsid w:val="00EF0E75"/>
    <w:rsid w:val="00EF1DAA"/>
    <w:rsid w:val="00EF1F5A"/>
    <w:rsid w:val="00EF22F6"/>
    <w:rsid w:val="00EF3486"/>
    <w:rsid w:val="00EF4685"/>
    <w:rsid w:val="00EF5397"/>
    <w:rsid w:val="00EF563D"/>
    <w:rsid w:val="00EF6BE3"/>
    <w:rsid w:val="00EF6DDD"/>
    <w:rsid w:val="00EF7B70"/>
    <w:rsid w:val="00F00071"/>
    <w:rsid w:val="00F00D0E"/>
    <w:rsid w:val="00F00D3C"/>
    <w:rsid w:val="00F04811"/>
    <w:rsid w:val="00F0488C"/>
    <w:rsid w:val="00F0496E"/>
    <w:rsid w:val="00F04D10"/>
    <w:rsid w:val="00F053EA"/>
    <w:rsid w:val="00F0625B"/>
    <w:rsid w:val="00F06944"/>
    <w:rsid w:val="00F06C6F"/>
    <w:rsid w:val="00F06C89"/>
    <w:rsid w:val="00F10033"/>
    <w:rsid w:val="00F101FF"/>
    <w:rsid w:val="00F104DF"/>
    <w:rsid w:val="00F10A33"/>
    <w:rsid w:val="00F10B64"/>
    <w:rsid w:val="00F1186C"/>
    <w:rsid w:val="00F11AD5"/>
    <w:rsid w:val="00F126D0"/>
    <w:rsid w:val="00F12A83"/>
    <w:rsid w:val="00F14ACD"/>
    <w:rsid w:val="00F15309"/>
    <w:rsid w:val="00F15BEF"/>
    <w:rsid w:val="00F164A8"/>
    <w:rsid w:val="00F16807"/>
    <w:rsid w:val="00F16C43"/>
    <w:rsid w:val="00F172BE"/>
    <w:rsid w:val="00F1776C"/>
    <w:rsid w:val="00F2037E"/>
    <w:rsid w:val="00F20786"/>
    <w:rsid w:val="00F20D17"/>
    <w:rsid w:val="00F2103E"/>
    <w:rsid w:val="00F214FC"/>
    <w:rsid w:val="00F21C31"/>
    <w:rsid w:val="00F222AD"/>
    <w:rsid w:val="00F23825"/>
    <w:rsid w:val="00F2389A"/>
    <w:rsid w:val="00F23FFF"/>
    <w:rsid w:val="00F2441D"/>
    <w:rsid w:val="00F24467"/>
    <w:rsid w:val="00F24FAA"/>
    <w:rsid w:val="00F25226"/>
    <w:rsid w:val="00F25B99"/>
    <w:rsid w:val="00F26197"/>
    <w:rsid w:val="00F273D4"/>
    <w:rsid w:val="00F27482"/>
    <w:rsid w:val="00F307DD"/>
    <w:rsid w:val="00F30C2E"/>
    <w:rsid w:val="00F30CB4"/>
    <w:rsid w:val="00F318FC"/>
    <w:rsid w:val="00F31D53"/>
    <w:rsid w:val="00F31F76"/>
    <w:rsid w:val="00F325A3"/>
    <w:rsid w:val="00F3364D"/>
    <w:rsid w:val="00F353AE"/>
    <w:rsid w:val="00F35ACD"/>
    <w:rsid w:val="00F36598"/>
    <w:rsid w:val="00F365BF"/>
    <w:rsid w:val="00F36BF8"/>
    <w:rsid w:val="00F36FB3"/>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2AE1"/>
    <w:rsid w:val="00F53243"/>
    <w:rsid w:val="00F53644"/>
    <w:rsid w:val="00F541ED"/>
    <w:rsid w:val="00F54365"/>
    <w:rsid w:val="00F54641"/>
    <w:rsid w:val="00F54B31"/>
    <w:rsid w:val="00F54FD3"/>
    <w:rsid w:val="00F55605"/>
    <w:rsid w:val="00F568C5"/>
    <w:rsid w:val="00F57CD7"/>
    <w:rsid w:val="00F608FF"/>
    <w:rsid w:val="00F61637"/>
    <w:rsid w:val="00F61BFE"/>
    <w:rsid w:val="00F62F02"/>
    <w:rsid w:val="00F6339F"/>
    <w:rsid w:val="00F63DDE"/>
    <w:rsid w:val="00F63FB7"/>
    <w:rsid w:val="00F64460"/>
    <w:rsid w:val="00F64726"/>
    <w:rsid w:val="00F64F44"/>
    <w:rsid w:val="00F6561A"/>
    <w:rsid w:val="00F66243"/>
    <w:rsid w:val="00F67BDA"/>
    <w:rsid w:val="00F70309"/>
    <w:rsid w:val="00F7078A"/>
    <w:rsid w:val="00F70E45"/>
    <w:rsid w:val="00F72638"/>
    <w:rsid w:val="00F727D5"/>
    <w:rsid w:val="00F72F44"/>
    <w:rsid w:val="00F737AB"/>
    <w:rsid w:val="00F73A0C"/>
    <w:rsid w:val="00F759DC"/>
    <w:rsid w:val="00F76563"/>
    <w:rsid w:val="00F7717C"/>
    <w:rsid w:val="00F771A5"/>
    <w:rsid w:val="00F7738B"/>
    <w:rsid w:val="00F77990"/>
    <w:rsid w:val="00F80826"/>
    <w:rsid w:val="00F80D1E"/>
    <w:rsid w:val="00F817A4"/>
    <w:rsid w:val="00F81C3A"/>
    <w:rsid w:val="00F82727"/>
    <w:rsid w:val="00F835E1"/>
    <w:rsid w:val="00F835FC"/>
    <w:rsid w:val="00F8373A"/>
    <w:rsid w:val="00F83E21"/>
    <w:rsid w:val="00F83FA4"/>
    <w:rsid w:val="00F8473C"/>
    <w:rsid w:val="00F84E18"/>
    <w:rsid w:val="00F84F40"/>
    <w:rsid w:val="00F85024"/>
    <w:rsid w:val="00F852E5"/>
    <w:rsid w:val="00F86767"/>
    <w:rsid w:val="00F8750E"/>
    <w:rsid w:val="00F90350"/>
    <w:rsid w:val="00F90987"/>
    <w:rsid w:val="00F92347"/>
    <w:rsid w:val="00F9310A"/>
    <w:rsid w:val="00F94681"/>
    <w:rsid w:val="00F94C3F"/>
    <w:rsid w:val="00F95117"/>
    <w:rsid w:val="00F959AF"/>
    <w:rsid w:val="00F968ED"/>
    <w:rsid w:val="00F97ED2"/>
    <w:rsid w:val="00FA05D7"/>
    <w:rsid w:val="00FA16BD"/>
    <w:rsid w:val="00FA1992"/>
    <w:rsid w:val="00FA1C6C"/>
    <w:rsid w:val="00FA2447"/>
    <w:rsid w:val="00FA2582"/>
    <w:rsid w:val="00FA2A5B"/>
    <w:rsid w:val="00FA2C2A"/>
    <w:rsid w:val="00FA309A"/>
    <w:rsid w:val="00FA6936"/>
    <w:rsid w:val="00FA6B3F"/>
    <w:rsid w:val="00FA7132"/>
    <w:rsid w:val="00FA7644"/>
    <w:rsid w:val="00FB0A9A"/>
    <w:rsid w:val="00FB16AD"/>
    <w:rsid w:val="00FB1746"/>
    <w:rsid w:val="00FB1F21"/>
    <w:rsid w:val="00FB3D72"/>
    <w:rsid w:val="00FB40EE"/>
    <w:rsid w:val="00FB483B"/>
    <w:rsid w:val="00FB56F1"/>
    <w:rsid w:val="00FB5D61"/>
    <w:rsid w:val="00FB5FD4"/>
    <w:rsid w:val="00FB67F3"/>
    <w:rsid w:val="00FB6AF4"/>
    <w:rsid w:val="00FB6D4A"/>
    <w:rsid w:val="00FC0D8A"/>
    <w:rsid w:val="00FC0E5F"/>
    <w:rsid w:val="00FC135D"/>
    <w:rsid w:val="00FC26FB"/>
    <w:rsid w:val="00FC2AEC"/>
    <w:rsid w:val="00FC2CF4"/>
    <w:rsid w:val="00FC3C84"/>
    <w:rsid w:val="00FC4660"/>
    <w:rsid w:val="00FC56DE"/>
    <w:rsid w:val="00FC5E01"/>
    <w:rsid w:val="00FC6140"/>
    <w:rsid w:val="00FD0F51"/>
    <w:rsid w:val="00FD1261"/>
    <w:rsid w:val="00FD1627"/>
    <w:rsid w:val="00FD1BBD"/>
    <w:rsid w:val="00FD2FF9"/>
    <w:rsid w:val="00FD301F"/>
    <w:rsid w:val="00FD38B2"/>
    <w:rsid w:val="00FD419D"/>
    <w:rsid w:val="00FD43A0"/>
    <w:rsid w:val="00FD45DB"/>
    <w:rsid w:val="00FD473D"/>
    <w:rsid w:val="00FD55BA"/>
    <w:rsid w:val="00FD594D"/>
    <w:rsid w:val="00FD61C8"/>
    <w:rsid w:val="00FD63CE"/>
    <w:rsid w:val="00FD7D49"/>
    <w:rsid w:val="00FE1251"/>
    <w:rsid w:val="00FE16E6"/>
    <w:rsid w:val="00FE2F78"/>
    <w:rsid w:val="00FE3510"/>
    <w:rsid w:val="00FE371D"/>
    <w:rsid w:val="00FE375F"/>
    <w:rsid w:val="00FE3D8B"/>
    <w:rsid w:val="00FE42D4"/>
    <w:rsid w:val="00FE4BD3"/>
    <w:rsid w:val="00FE4FCB"/>
    <w:rsid w:val="00FE5BCA"/>
    <w:rsid w:val="00FE688F"/>
    <w:rsid w:val="00FE705E"/>
    <w:rsid w:val="00FF02EB"/>
    <w:rsid w:val="00FF152D"/>
    <w:rsid w:val="00FF1738"/>
    <w:rsid w:val="00FF1D20"/>
    <w:rsid w:val="00FF28E0"/>
    <w:rsid w:val="00FF2FB4"/>
    <w:rsid w:val="00FF30B3"/>
    <w:rsid w:val="00FF3DF3"/>
    <w:rsid w:val="00FF4027"/>
    <w:rsid w:val="00FF45A2"/>
    <w:rsid w:val="00FF5250"/>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A0048-BDA0-4664-9DF6-788346180C60}">
  <ds:schemaRefs>
    <ds:schemaRef ds:uri="http://schemas.openxmlformats.org/officeDocument/2006/bibliography"/>
  </ds:schemaRefs>
</ds:datastoreItem>
</file>

<file path=customXml/itemProps2.xml><?xml version="1.0" encoding="utf-8"?>
<ds:datastoreItem xmlns:ds="http://schemas.openxmlformats.org/officeDocument/2006/customXml" ds:itemID="{1BFFF814-54A9-4E48-BE16-B98EC7EC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2</TotalTime>
  <Pages>3</Pages>
  <Words>1579</Words>
  <Characters>9320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10878</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2017-03-16T10:07:00Z</cp:lastPrinted>
  <dcterms:created xsi:type="dcterms:W3CDTF">2017-04-24T10:14:00Z</dcterms:created>
  <dcterms:modified xsi:type="dcterms:W3CDTF">2017-04-24T10:16:00Z</dcterms:modified>
</cp:coreProperties>
</file>