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1C5F6" w14:textId="77777777" w:rsidR="00863027" w:rsidRDefault="00863027" w:rsidP="008422CE">
      <w:pPr>
        <w:pStyle w:val="Nadpis1"/>
      </w:pPr>
      <w:r>
        <w:t xml:space="preserve">3. </w:t>
      </w:r>
      <w:r w:rsidR="008422CE">
        <w:t xml:space="preserve">Analytická část </w:t>
      </w:r>
      <w:bookmarkStart w:id="0" w:name="_Toc415056893"/>
    </w:p>
    <w:p w14:paraId="50543805" w14:textId="7E77FF24" w:rsidR="00863027" w:rsidRDefault="00863027" w:rsidP="00863027">
      <w:pPr>
        <w:pStyle w:val="Nadpis2"/>
        <w:spacing w:after="120"/>
        <w:jc w:val="both"/>
      </w:pPr>
      <w:r>
        <w:t>3.1</w:t>
      </w:r>
      <w:bookmarkEnd w:id="0"/>
      <w:r>
        <w:t xml:space="preserve"> </w:t>
      </w:r>
      <w:r w:rsidR="00A46ED5">
        <w:t>Úvod</w:t>
      </w:r>
    </w:p>
    <w:p w14:paraId="7E72071A" w14:textId="77777777" w:rsidR="00D07A40" w:rsidRDefault="0081186F" w:rsidP="00F647D8">
      <w:pPr>
        <w:spacing w:after="120"/>
        <w:jc w:val="both"/>
      </w:pPr>
      <w:r>
        <w:t>Intenci po</w:t>
      </w:r>
      <w:r w:rsidR="004641AA">
        <w:t>dniku provádět inovační činnosti</w:t>
      </w:r>
      <w:r>
        <w:t xml:space="preserve"> ovlivňuje řada faktorů</w:t>
      </w:r>
      <w:r w:rsidR="00DD699C">
        <w:t>,</w:t>
      </w:r>
      <w:r>
        <w:t xml:space="preserve"> jako jsou velikost</w:t>
      </w:r>
      <w:r w:rsidR="001B44FF">
        <w:t>,</w:t>
      </w:r>
      <w:r>
        <w:t xml:space="preserve"> vlastnictví </w:t>
      </w:r>
      <w:r w:rsidR="00E53E7A">
        <w:t xml:space="preserve">či </w:t>
      </w:r>
      <w:r>
        <w:t xml:space="preserve">ekonomická činnost </w:t>
      </w:r>
      <w:r w:rsidR="00E53E7A">
        <w:t xml:space="preserve">podniku. Významnou roli hrají i </w:t>
      </w:r>
      <w:r>
        <w:t xml:space="preserve">makroekonomické faktory, mezi které lze zařadit stav ekonomiky ovlivněný hospodářskými cykly a </w:t>
      </w:r>
      <w:proofErr w:type="spellStart"/>
      <w:r>
        <w:t>nepredikovatelnými</w:t>
      </w:r>
      <w:proofErr w:type="spellEnd"/>
      <w:r>
        <w:t xml:space="preserve"> skutečnostmi jako jsou různé krize, pohromy a restrikce negativně ovlivňující volný obchod.</w:t>
      </w:r>
      <w:r w:rsidR="00D07A40">
        <w:t xml:space="preserve"> </w:t>
      </w:r>
      <w:r w:rsidR="00CE7DBD">
        <w:t>Plánovaní inovačních činností a jejích financování není realizováno v krátkodobém horizontu z roku na rok, ale podniky plánují své činnosti v oblasti výzkumu, vývoje a inovací obvykle ve střednědobém</w:t>
      </w:r>
      <w:r w:rsidR="00EF5ED2">
        <w:t>,</w:t>
      </w:r>
      <w:r w:rsidR="00CE7DBD">
        <w:t xml:space="preserve"> či u velkých podniků i v dlouhodobém měřítku. Případné </w:t>
      </w:r>
      <w:proofErr w:type="spellStart"/>
      <w:r w:rsidR="005C53F1">
        <w:t>nepredikovatelné</w:t>
      </w:r>
      <w:proofErr w:type="spellEnd"/>
      <w:r w:rsidR="005C53F1">
        <w:t xml:space="preserve"> skutečnosti</w:t>
      </w:r>
      <w:r w:rsidR="00CE7DBD">
        <w:t xml:space="preserve"> se tak odráží v inovačních činnostech až se zpožděním</w:t>
      </w:r>
      <w:r w:rsidR="005C53F1">
        <w:t>.</w:t>
      </w:r>
      <w:r w:rsidR="00CE7DBD">
        <w:t xml:space="preserve"> </w:t>
      </w:r>
    </w:p>
    <w:p w14:paraId="778760D6" w14:textId="3C603A53" w:rsidR="00CC77B8" w:rsidRDefault="00864B0F" w:rsidP="007D6225">
      <w:pPr>
        <w:jc w:val="both"/>
      </w:pPr>
      <w:r>
        <w:t>Z </w:t>
      </w:r>
      <w:r w:rsidR="00B3020C">
        <w:t>makroekonomického</w:t>
      </w:r>
      <w:r w:rsidR="00B3020C">
        <w:t xml:space="preserve"> </w:t>
      </w:r>
      <w:r>
        <w:t xml:space="preserve">pohledu </w:t>
      </w:r>
      <w:r w:rsidR="00D07A40">
        <w:t>se firmám v</w:t>
      </w:r>
      <w:r w:rsidR="00CC77B8">
        <w:t> </w:t>
      </w:r>
      <w:r w:rsidR="00E53E7A">
        <w:t>Česku</w:t>
      </w:r>
      <w:r w:rsidR="00CC77B8">
        <w:t xml:space="preserve"> až do roku 2019 dařilo velmi dobře. Rok 2020 přinesl zvrat v podobě turbulencí spojených s n</w:t>
      </w:r>
      <w:r w:rsidR="00BC23F7">
        <w:t>ástupem COVID19. Zejména restrikce</w:t>
      </w:r>
      <w:r w:rsidR="00CC77B8">
        <w:t xml:space="preserve"> </w:t>
      </w:r>
      <w:r w:rsidR="00205D52">
        <w:t>v podnikání</w:t>
      </w:r>
      <w:r w:rsidR="00CC77B8">
        <w:t xml:space="preserve"> velmi negativně ovlivnily jak odvětví výroby, tak i služeb. Celkově pak přispěly k</w:t>
      </w:r>
      <w:r w:rsidR="00A64B8E">
        <w:t> reálnému</w:t>
      </w:r>
      <w:r w:rsidR="00CC77B8">
        <w:t> </w:t>
      </w:r>
      <w:r w:rsidR="00A64B8E">
        <w:t xml:space="preserve">meziročnímu </w:t>
      </w:r>
      <w:r w:rsidR="00CC77B8">
        <w:t>pokle</w:t>
      </w:r>
      <w:r w:rsidR="00A64B8E">
        <w:t>su hrubého domácího produktu (HDP) o 5,8</w:t>
      </w:r>
      <w:r w:rsidR="00CC77B8">
        <w:t xml:space="preserve"> procent</w:t>
      </w:r>
      <w:r w:rsidR="00A64B8E">
        <w:t>a</w:t>
      </w:r>
      <w:r w:rsidR="00CC77B8">
        <w:t>.</w:t>
      </w:r>
      <w:r w:rsidR="00A64B8E">
        <w:t xml:space="preserve"> Vůbec nejhorší bylo pro firmy 2. čtvrtletí roku 2020, kdy </w:t>
      </w:r>
      <w:r w:rsidR="00FA2399">
        <w:t>došlo k uzavření téměř většiny obchodů a provozoven</w:t>
      </w:r>
      <w:r w:rsidR="00A64B8E">
        <w:t>. V tomto čtvrtletí HDP meziročně reálně poklesl o 10,9 %.</w:t>
      </w:r>
      <w:r w:rsidR="008B3ABB">
        <w:t xml:space="preserve"> </w:t>
      </w:r>
      <w:r w:rsidR="00487509">
        <w:t>Po z</w:t>
      </w:r>
      <w:r w:rsidR="008B3ABB">
        <w:t xml:space="preserve">bývající čtvrtletí roku 2020 byl meziroční růst HDP </w:t>
      </w:r>
      <w:r w:rsidR="00B53B39">
        <w:t>již pouze záporný</w:t>
      </w:r>
      <w:r w:rsidR="006E496E">
        <w:t xml:space="preserve"> a do kladných hodnot se vrátil</w:t>
      </w:r>
      <w:r w:rsidR="00487509">
        <w:t xml:space="preserve"> až v roce 2021</w:t>
      </w:r>
      <w:r w:rsidR="00B53B39">
        <w:t xml:space="preserve">. </w:t>
      </w:r>
      <w:r w:rsidR="00A64B8E">
        <w:t xml:space="preserve"> </w:t>
      </w:r>
    </w:p>
    <w:p w14:paraId="1F9ADD44" w14:textId="77777777" w:rsidR="00E93554" w:rsidRDefault="00E93554" w:rsidP="00E93554">
      <w:pPr>
        <w:spacing w:before="120" w:after="60"/>
        <w:jc w:val="both"/>
        <w:rPr>
          <w:sz w:val="18"/>
        </w:rPr>
      </w:pPr>
      <w:r w:rsidRPr="00D43524">
        <w:rPr>
          <w:b/>
          <w:sz w:val="18"/>
        </w:rPr>
        <w:t xml:space="preserve">Graf </w:t>
      </w:r>
      <w:r>
        <w:rPr>
          <w:b/>
          <w:sz w:val="18"/>
        </w:rPr>
        <w:t xml:space="preserve">1 </w:t>
      </w:r>
      <w:r w:rsidRPr="00E93554">
        <w:rPr>
          <w:b/>
          <w:sz w:val="18"/>
        </w:rPr>
        <w:t>Hrubý domácí pr</w:t>
      </w:r>
      <w:r>
        <w:rPr>
          <w:b/>
          <w:sz w:val="18"/>
        </w:rPr>
        <w:t xml:space="preserve">odukt a hrubá přidaná hodnota </w:t>
      </w:r>
      <w:r w:rsidRPr="00E93554">
        <w:rPr>
          <w:sz w:val="18"/>
        </w:rPr>
        <w:t>(meziroční reálná změna, sezónně očištěno)</w:t>
      </w:r>
    </w:p>
    <w:p w14:paraId="1327465C" w14:textId="77777777" w:rsidR="00E93554" w:rsidRPr="00E93554" w:rsidRDefault="001D7463" w:rsidP="00E93554">
      <w:pPr>
        <w:spacing w:before="120" w:after="60"/>
        <w:jc w:val="both"/>
        <w:rPr>
          <w:sz w:val="18"/>
        </w:rPr>
      </w:pPr>
      <w:r>
        <w:rPr>
          <w:noProof/>
        </w:rPr>
        <w:drawing>
          <wp:inline distT="0" distB="0" distL="0" distR="0" wp14:anchorId="57083469" wp14:editId="4EC79464">
            <wp:extent cx="6119495" cy="32194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C2E3ED" w14:textId="77777777" w:rsidR="00E93554" w:rsidRPr="00041A46" w:rsidRDefault="00E93554" w:rsidP="00B72636">
      <w:pPr>
        <w:spacing w:before="60" w:after="240"/>
        <w:jc w:val="right"/>
        <w:rPr>
          <w:i/>
          <w:sz w:val="18"/>
        </w:rPr>
      </w:pPr>
      <w:r w:rsidRPr="00041A46">
        <w:rPr>
          <w:i/>
          <w:sz w:val="18"/>
        </w:rPr>
        <w:t>Zdroj: ČSÚ, Statistika národních účtů</w:t>
      </w:r>
    </w:p>
    <w:p w14:paraId="23AEF742" w14:textId="77777777" w:rsidR="002D6B6C" w:rsidRDefault="000F2183" w:rsidP="00FD6AD8">
      <w:pPr>
        <w:spacing w:before="60" w:after="60"/>
        <w:jc w:val="both"/>
      </w:pPr>
      <w:r>
        <w:t>Reálná změna hrubé přidané hodnoty</w:t>
      </w:r>
      <w:r w:rsidR="00DD4BBF">
        <w:t xml:space="preserve"> </w:t>
      </w:r>
      <w:r w:rsidR="00C27733">
        <w:t xml:space="preserve">(HPH) </w:t>
      </w:r>
      <w:r w:rsidR="00DD4BBF">
        <w:t>v</w:t>
      </w:r>
      <w:r>
        <w:t xml:space="preserve"> období 2016 až 2021 de facto kopírovala hodnoty HDP. </w:t>
      </w:r>
      <w:r w:rsidR="0096299C">
        <w:t>V případě 2. </w:t>
      </w:r>
      <w:r w:rsidR="001965D9">
        <w:t xml:space="preserve">čtvrtletí roku 2020 hrubá přidaná hodnota </w:t>
      </w:r>
      <w:r w:rsidR="003D6541">
        <w:t xml:space="preserve">meziročně </w:t>
      </w:r>
      <w:r w:rsidR="001965D9">
        <w:t xml:space="preserve">poklesla o 11,1 %. </w:t>
      </w:r>
      <w:r w:rsidR="003D6541">
        <w:t>Na tomto poklesu se nejvíce podílel zpracovatelský průmysl (pokles o rovných 5 %) a odvětví služeb (pokles o 4,7 %). U zbývajících odvě</w:t>
      </w:r>
      <w:r w:rsidR="0096299C">
        <w:t>tví průmyslu to bylo pouze o jedno procento</w:t>
      </w:r>
      <w:r w:rsidR="003D6541">
        <w:t xml:space="preserve">. </w:t>
      </w:r>
      <w:r w:rsidR="00CD1D13">
        <w:t>Příspěvek odvětví služeb k reálně změně hrubé přidané hodnotě zůstal záporný i ve 3. a 4. čtvrtletí roku 2020. Zpracovatelský průmysl se dokázal ve 4. čtvrtletí roku 2020 již p</w:t>
      </w:r>
      <w:r w:rsidR="0096299C">
        <w:t>řehoupnout do kladných čísel</w:t>
      </w:r>
      <w:r w:rsidR="00CD1D13">
        <w:t>.</w:t>
      </w:r>
      <w:r w:rsidR="002D6B6C">
        <w:t xml:space="preserve"> Blíže viz graf č. 2 na následujíc</w:t>
      </w:r>
      <w:r w:rsidR="0096299C">
        <w:t>í</w:t>
      </w:r>
      <w:r w:rsidR="002D6B6C">
        <w:t xml:space="preserve"> straně.</w:t>
      </w:r>
      <w:r w:rsidR="00CD1D13">
        <w:t xml:space="preserve"> </w:t>
      </w:r>
    </w:p>
    <w:p w14:paraId="0A5051A2" w14:textId="77777777" w:rsidR="00DD4BBF" w:rsidRDefault="00DD4BBF" w:rsidP="00FD6AD8">
      <w:pPr>
        <w:spacing w:before="60" w:after="60"/>
        <w:jc w:val="both"/>
      </w:pPr>
      <w:r>
        <w:t xml:space="preserve">Detailní rozbor stavu ekonomiky Česka </w:t>
      </w:r>
      <w:r w:rsidR="00B809C3">
        <w:t xml:space="preserve">v daném </w:t>
      </w:r>
      <w:r w:rsidR="00A4502C">
        <w:t>obdobích</w:t>
      </w:r>
      <w:r>
        <w:t xml:space="preserve"> je uveden v</w:t>
      </w:r>
      <w:r w:rsidR="00B809C3">
        <w:t>e čtvrtletních</w:t>
      </w:r>
      <w:r>
        <w:t xml:space="preserve"> publikacích ČSÚ </w:t>
      </w:r>
      <w:r w:rsidRPr="005B559C">
        <w:rPr>
          <w:i/>
        </w:rPr>
        <w:t>Vývoj ekonomiky České republiky</w:t>
      </w:r>
      <w:r>
        <w:rPr>
          <w:rStyle w:val="Znakapoznpodarou"/>
        </w:rPr>
        <w:footnoteReference w:id="1"/>
      </w:r>
      <w:r>
        <w:t>.</w:t>
      </w:r>
    </w:p>
    <w:p w14:paraId="46585F3C" w14:textId="5765BEB7" w:rsidR="00676585" w:rsidRPr="00E93554" w:rsidRDefault="00E93554" w:rsidP="00CC0C3D">
      <w:pPr>
        <w:ind w:left="567" w:hanging="567"/>
        <w:jc w:val="both"/>
        <w:rPr>
          <w:sz w:val="18"/>
        </w:rPr>
      </w:pPr>
      <w:r>
        <w:rPr>
          <w:b/>
          <w:sz w:val="18"/>
          <w:szCs w:val="20"/>
        </w:rPr>
        <w:lastRenderedPageBreak/>
        <w:t>Graf 2</w:t>
      </w:r>
      <w:r w:rsidR="00676585" w:rsidRPr="00E93554">
        <w:rPr>
          <w:b/>
          <w:sz w:val="18"/>
          <w:szCs w:val="20"/>
        </w:rPr>
        <w:t xml:space="preserve"> </w:t>
      </w:r>
      <w:r w:rsidR="00676585" w:rsidRPr="00E93554">
        <w:rPr>
          <w:rFonts w:cs="Arial"/>
          <w:b/>
          <w:sz w:val="18"/>
          <w:szCs w:val="20"/>
          <w:lang w:eastAsia="en-US"/>
        </w:rPr>
        <w:t xml:space="preserve">Příspěvky odvětví k reálné změně </w:t>
      </w:r>
      <w:r w:rsidR="00CC0C3D">
        <w:rPr>
          <w:rFonts w:cs="Arial"/>
          <w:b/>
          <w:sz w:val="18"/>
          <w:szCs w:val="20"/>
          <w:lang w:eastAsia="en-US"/>
        </w:rPr>
        <w:t>hrubé přidané hodnoty</w:t>
      </w:r>
      <w:r w:rsidR="00676585" w:rsidRPr="00E93554">
        <w:rPr>
          <w:rFonts w:cs="Arial"/>
          <w:b/>
          <w:sz w:val="18"/>
          <w:szCs w:val="20"/>
          <w:lang w:eastAsia="en-US"/>
        </w:rPr>
        <w:t xml:space="preserve"> </w:t>
      </w:r>
      <w:r w:rsidR="00676585" w:rsidRPr="00E93554">
        <w:rPr>
          <w:rFonts w:cs="Arial"/>
          <w:bCs/>
          <w:sz w:val="18"/>
          <w:szCs w:val="20"/>
          <w:lang w:eastAsia="en-US"/>
        </w:rPr>
        <w:t xml:space="preserve">(objemové indexy, meziroční příspěvky v p. b., </w:t>
      </w:r>
      <w:r w:rsidR="004F02EF">
        <w:rPr>
          <w:rFonts w:cs="Arial"/>
          <w:bCs/>
          <w:sz w:val="18"/>
          <w:szCs w:val="20"/>
          <w:lang w:eastAsia="en-US"/>
        </w:rPr>
        <w:t>hrubá přidaná</w:t>
      </w:r>
      <w:r w:rsidR="00CC0C3D">
        <w:rPr>
          <w:rFonts w:cs="Arial"/>
          <w:bCs/>
          <w:sz w:val="18"/>
          <w:szCs w:val="20"/>
          <w:lang w:eastAsia="en-US"/>
        </w:rPr>
        <w:t xml:space="preserve"> hodnota</w:t>
      </w:r>
      <w:r w:rsidR="00CC0C3D" w:rsidRPr="00E93554">
        <w:rPr>
          <w:rFonts w:cs="Arial"/>
          <w:bCs/>
          <w:sz w:val="18"/>
          <w:szCs w:val="20"/>
          <w:lang w:eastAsia="en-US"/>
        </w:rPr>
        <w:t xml:space="preserve"> </w:t>
      </w:r>
      <w:r w:rsidR="00676585" w:rsidRPr="00E93554">
        <w:rPr>
          <w:rFonts w:cs="Arial"/>
          <w:bCs/>
          <w:sz w:val="18"/>
          <w:szCs w:val="20"/>
          <w:lang w:eastAsia="en-US"/>
        </w:rPr>
        <w:t>v %)</w:t>
      </w:r>
    </w:p>
    <w:p w14:paraId="474A6128" w14:textId="77777777" w:rsidR="00676585" w:rsidRDefault="004131A5" w:rsidP="007D6225">
      <w:pPr>
        <w:jc w:val="both"/>
      </w:pPr>
      <w:r>
        <w:rPr>
          <w:noProof/>
        </w:rPr>
        <w:drawing>
          <wp:inline distT="0" distB="0" distL="0" distR="0" wp14:anchorId="62ACE889" wp14:editId="1E61C064">
            <wp:extent cx="6057900" cy="3429000"/>
            <wp:effectExtent l="0" t="0" r="0" b="0"/>
            <wp:docPr id="37" name="Graf 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7E05A4" w14:textId="77777777" w:rsidR="00D369F8" w:rsidRPr="00466D79" w:rsidRDefault="00D369F8" w:rsidP="00466D79">
      <w:pPr>
        <w:spacing w:before="60" w:after="240"/>
        <w:jc w:val="right"/>
        <w:rPr>
          <w:i/>
          <w:sz w:val="18"/>
        </w:rPr>
      </w:pPr>
      <w:r w:rsidRPr="00466D79">
        <w:rPr>
          <w:i/>
          <w:sz w:val="18"/>
        </w:rPr>
        <w:t xml:space="preserve">Zdroj: </w:t>
      </w:r>
      <w:r w:rsidR="00E344C3" w:rsidRPr="00466D79">
        <w:rPr>
          <w:i/>
          <w:sz w:val="18"/>
        </w:rPr>
        <w:t xml:space="preserve">ČSÚ, </w:t>
      </w:r>
      <w:r w:rsidR="00E93554" w:rsidRPr="00466D79">
        <w:rPr>
          <w:i/>
          <w:sz w:val="18"/>
        </w:rPr>
        <w:t>Vývoj ekonomiky České republiky</w:t>
      </w:r>
    </w:p>
    <w:p w14:paraId="7CAB0A57" w14:textId="76295289" w:rsidR="008763C0" w:rsidRPr="005E169D" w:rsidRDefault="008763C0" w:rsidP="0019508D">
      <w:pPr>
        <w:spacing w:before="60" w:after="60"/>
        <w:jc w:val="both"/>
      </w:pPr>
      <w:r w:rsidRPr="005E169D">
        <w:t xml:space="preserve">Výše uvedené konstatování </w:t>
      </w:r>
      <w:r w:rsidR="005E169D" w:rsidRPr="005E169D">
        <w:t xml:space="preserve">ohledně HDP a hrubé přidané hodnotě se odráží i </w:t>
      </w:r>
      <w:r w:rsidR="00C32332">
        <w:t xml:space="preserve">na </w:t>
      </w:r>
      <w:r w:rsidRPr="005E169D">
        <w:t>kondici tuzemských firem</w:t>
      </w:r>
      <w:r w:rsidR="005E169D" w:rsidRPr="005E169D">
        <w:t xml:space="preserve">, kdy ve sledovaných odvětvích poklesly mezi roky 2018 a 2020 celkově tržby podniků s 10 a více zaměstnanými osobami </w:t>
      </w:r>
      <w:r w:rsidR="0052082F">
        <w:t xml:space="preserve">ve sledovaných odvětvích </w:t>
      </w:r>
      <w:r w:rsidR="005E169D" w:rsidRPr="005E169D">
        <w:t>o 2,9 %, v případě inovujících</w:t>
      </w:r>
      <w:r w:rsidR="0052082F">
        <w:t xml:space="preserve"> firem pak o 2 %</w:t>
      </w:r>
      <w:r w:rsidR="005E169D" w:rsidRPr="005E169D">
        <w:t xml:space="preserve">. U neinovujících podniků byl pokles tržeb třikrát vyšší. Naopak průměrný evidenční počet zaměstnaných osob se </w:t>
      </w:r>
      <w:r w:rsidR="00B3020C">
        <w:t>mezi roky 2018 a 2020 nezměnil.</w:t>
      </w:r>
      <w:r w:rsidR="005E169D" w:rsidRPr="005E169D">
        <w:t xml:space="preserve"> </w:t>
      </w:r>
      <w:r w:rsidR="00E344C3" w:rsidRPr="005E169D">
        <w:t xml:space="preserve">Podrobnější údaje jsou uvedeny v tabulkách </w:t>
      </w:r>
      <w:r w:rsidR="005F09A8" w:rsidRPr="005E169D">
        <w:t>1A a 1B</w:t>
      </w:r>
      <w:r w:rsidR="00E344C3" w:rsidRPr="005E169D">
        <w:t xml:space="preserve"> v</w:t>
      </w:r>
      <w:r w:rsidR="00383276" w:rsidRPr="005E169D">
        <w:t xml:space="preserve"> tabulkové </w:t>
      </w:r>
      <w:r w:rsidR="00E344C3" w:rsidRPr="005E169D">
        <w:t>příloze této publikace.</w:t>
      </w:r>
    </w:p>
    <w:p w14:paraId="48B89A6D" w14:textId="604887FD" w:rsidR="005F09A8" w:rsidRPr="005E169D" w:rsidRDefault="00F5099C" w:rsidP="005E169D">
      <w:pPr>
        <w:spacing w:before="60" w:after="60"/>
        <w:jc w:val="both"/>
      </w:pPr>
      <w:r w:rsidRPr="00D137CB">
        <w:t>Za klíčový</w:t>
      </w:r>
      <w:r w:rsidR="00DD699C" w:rsidRPr="00D137CB">
        <w:t xml:space="preserve"> faktor</w:t>
      </w:r>
      <w:r w:rsidR="00213F1F" w:rsidRPr="00D137CB">
        <w:t xml:space="preserve"> pro inovační činnosti se považuje výzkum a vývoj (</w:t>
      </w:r>
      <w:proofErr w:type="spellStart"/>
      <w:r w:rsidR="00213F1F" w:rsidRPr="00D137CB">
        <w:t>VaV</w:t>
      </w:r>
      <w:proofErr w:type="spellEnd"/>
      <w:r w:rsidR="00213F1F" w:rsidRPr="00D137CB">
        <w:t xml:space="preserve">), který přináší inovace vyšších řádů. </w:t>
      </w:r>
      <w:r w:rsidR="00741584">
        <w:t>V</w:t>
      </w:r>
      <w:r w:rsidR="00774D0C" w:rsidRPr="00D137CB">
        <w:t> období 2018 až 2020</w:t>
      </w:r>
      <w:r w:rsidR="00213F1F" w:rsidRPr="00D137CB">
        <w:t xml:space="preserve"> pokračovaly investice firem do </w:t>
      </w:r>
      <w:proofErr w:type="spellStart"/>
      <w:r w:rsidR="00213F1F" w:rsidRPr="00D137CB">
        <w:t>VaV</w:t>
      </w:r>
      <w:proofErr w:type="spellEnd"/>
      <w:r w:rsidR="00213F1F" w:rsidRPr="00D137CB">
        <w:t xml:space="preserve"> v růstovém trendu</w:t>
      </w:r>
      <w:r w:rsidR="00D137CB" w:rsidRPr="00D137CB">
        <w:t>, průměrně o 4 procenta ročně</w:t>
      </w:r>
      <w:r w:rsidR="00453260" w:rsidRPr="00D137CB">
        <w:t>. Od roku 2010</w:t>
      </w:r>
      <w:r w:rsidR="00F4477E" w:rsidRPr="00D137CB">
        <w:t xml:space="preserve"> se objem finančních prostředků vynaložených na </w:t>
      </w:r>
      <w:proofErr w:type="spellStart"/>
      <w:r w:rsidR="00F4477E" w:rsidRPr="00D137CB">
        <w:t>VaV</w:t>
      </w:r>
      <w:proofErr w:type="spellEnd"/>
      <w:r w:rsidR="00F4477E" w:rsidRPr="00D137CB">
        <w:t xml:space="preserve"> v podnicích </w:t>
      </w:r>
      <w:r w:rsidR="00453260" w:rsidRPr="00D137CB">
        <w:t xml:space="preserve">více </w:t>
      </w:r>
      <w:r w:rsidR="004C4680">
        <w:t>než</w:t>
      </w:r>
      <w:r w:rsidR="004C4680" w:rsidRPr="00D137CB">
        <w:t xml:space="preserve"> </w:t>
      </w:r>
      <w:r w:rsidR="00F4477E" w:rsidRPr="00D137CB">
        <w:t>zdvojn</w:t>
      </w:r>
      <w:r w:rsidR="00453260" w:rsidRPr="00D137CB">
        <w:t>ásobil na 69,1</w:t>
      </w:r>
      <w:r w:rsidR="00333E65">
        <w:t> </w:t>
      </w:r>
      <w:r w:rsidR="00774D0C" w:rsidRPr="00D137CB">
        <w:t>miliard v roce 2020</w:t>
      </w:r>
      <w:r w:rsidR="00F4477E" w:rsidRPr="00D137CB">
        <w:t>.</w:t>
      </w:r>
      <w:r w:rsidR="00741584">
        <w:t xml:space="preserve"> Mezi roky 2019 a 2020 </w:t>
      </w:r>
      <w:r w:rsidR="00EB1B7E">
        <w:t xml:space="preserve">zaznamenaly </w:t>
      </w:r>
      <w:r w:rsidR="00741584">
        <w:t xml:space="preserve">podnikové výdaje na </w:t>
      </w:r>
      <w:proofErr w:type="spellStart"/>
      <w:r w:rsidR="00741584">
        <w:t>VaV</w:t>
      </w:r>
      <w:proofErr w:type="spellEnd"/>
      <w:r w:rsidR="00741584">
        <w:t xml:space="preserve"> </w:t>
      </w:r>
      <w:r w:rsidR="00EB1B7E">
        <w:t>jen nepatrný nárůst</w:t>
      </w:r>
      <w:r w:rsidR="00741584">
        <w:t xml:space="preserve">. </w:t>
      </w:r>
      <w:r w:rsidR="009D042F">
        <w:t xml:space="preserve"> </w:t>
      </w:r>
    </w:p>
    <w:p w14:paraId="6D0913F2" w14:textId="77777777" w:rsidR="00213F1F" w:rsidRPr="00D43524" w:rsidRDefault="005F09A8" w:rsidP="005F09A8">
      <w:pPr>
        <w:spacing w:before="120" w:after="60"/>
        <w:jc w:val="both"/>
        <w:rPr>
          <w:b/>
          <w:sz w:val="18"/>
        </w:rPr>
      </w:pPr>
      <w:r w:rsidRPr="00D43524">
        <w:rPr>
          <w:b/>
          <w:sz w:val="18"/>
        </w:rPr>
        <w:t xml:space="preserve">Graf </w:t>
      </w:r>
      <w:r w:rsidR="007C2691">
        <w:rPr>
          <w:b/>
          <w:sz w:val="18"/>
        </w:rPr>
        <w:t>3</w:t>
      </w:r>
      <w:r>
        <w:rPr>
          <w:b/>
          <w:sz w:val="18"/>
        </w:rPr>
        <w:t xml:space="preserve"> </w:t>
      </w:r>
      <w:r w:rsidR="005E4055" w:rsidRPr="00D43524">
        <w:rPr>
          <w:b/>
          <w:sz w:val="18"/>
        </w:rPr>
        <w:t xml:space="preserve">Výdaje podniků na výzkum </w:t>
      </w:r>
      <w:r w:rsidR="00F5099C">
        <w:rPr>
          <w:b/>
          <w:sz w:val="18"/>
        </w:rPr>
        <w:t>a vývoj podle typu nákladů</w:t>
      </w:r>
      <w:r w:rsidR="005E4055" w:rsidRPr="00D43524">
        <w:rPr>
          <w:b/>
          <w:sz w:val="18"/>
        </w:rPr>
        <w:t xml:space="preserve"> v Česku (mld. Kč)</w:t>
      </w:r>
      <w:r w:rsidR="001B44FF">
        <w:rPr>
          <w:b/>
          <w:sz w:val="18"/>
        </w:rPr>
        <w:t>; 2010</w:t>
      </w:r>
      <w:r w:rsidR="001B44FF" w:rsidRPr="00C701D0">
        <w:rPr>
          <w:b/>
          <w:sz w:val="18"/>
        </w:rPr>
        <w:t>–</w:t>
      </w:r>
      <w:r w:rsidR="00453260">
        <w:rPr>
          <w:b/>
          <w:sz w:val="18"/>
        </w:rPr>
        <w:t>2020</w:t>
      </w:r>
    </w:p>
    <w:p w14:paraId="104F2EA4" w14:textId="77777777" w:rsidR="005E4055" w:rsidRDefault="00EE78B6" w:rsidP="007D6225">
      <w:pPr>
        <w:jc w:val="both"/>
      </w:pPr>
      <w:r>
        <w:rPr>
          <w:noProof/>
        </w:rPr>
        <w:drawing>
          <wp:inline distT="0" distB="0" distL="0" distR="0" wp14:anchorId="271E7008" wp14:editId="55BCA31E">
            <wp:extent cx="6119495" cy="2519680"/>
            <wp:effectExtent l="0" t="0" r="14605" b="1397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8BD09A4" w14:textId="77777777" w:rsidR="006106F2" w:rsidRPr="00CC0C3D" w:rsidRDefault="006106F2" w:rsidP="00CC0C3D">
      <w:pPr>
        <w:spacing w:before="60"/>
        <w:jc w:val="right"/>
        <w:rPr>
          <w:i/>
          <w:sz w:val="18"/>
        </w:rPr>
      </w:pPr>
      <w:r w:rsidRPr="00CC0C3D">
        <w:rPr>
          <w:i/>
          <w:sz w:val="18"/>
        </w:rPr>
        <w:t xml:space="preserve">Zdroj: </w:t>
      </w:r>
      <w:r w:rsidR="00E344C3" w:rsidRPr="00CC0C3D">
        <w:rPr>
          <w:i/>
          <w:sz w:val="18"/>
        </w:rPr>
        <w:t>ČSÚ, Roční zjišťování o výzkumu a vývoji</w:t>
      </w:r>
    </w:p>
    <w:p w14:paraId="1727BE09" w14:textId="77777777" w:rsidR="00E344C3" w:rsidRDefault="00E344C3" w:rsidP="007D6225">
      <w:pPr>
        <w:jc w:val="both"/>
      </w:pPr>
    </w:p>
    <w:p w14:paraId="6AB2107F" w14:textId="77777777" w:rsidR="005E169D" w:rsidRDefault="005E169D" w:rsidP="005E169D">
      <w:pPr>
        <w:spacing w:before="60" w:after="60"/>
        <w:jc w:val="both"/>
      </w:pPr>
      <w:r>
        <w:t xml:space="preserve">Běžné náklady na </w:t>
      </w:r>
      <w:proofErr w:type="spellStart"/>
      <w:r>
        <w:t>VaV</w:t>
      </w:r>
      <w:proofErr w:type="spellEnd"/>
      <w:r>
        <w:t xml:space="preserve"> tvoří dlouhodobě okolo 90 % celkových výdajů na </w:t>
      </w:r>
      <w:proofErr w:type="spellStart"/>
      <w:r>
        <w:t>VaV</w:t>
      </w:r>
      <w:proofErr w:type="spellEnd"/>
      <w:r>
        <w:t xml:space="preserve"> podniků, zbytek připadá na investiční náklady. </w:t>
      </w:r>
      <w:r w:rsidRPr="009D042F">
        <w:t xml:space="preserve">Detailní </w:t>
      </w:r>
      <w:r>
        <w:t>údaje o finančních a lidských zdrojích ve výzkumu a vývoji v Česku v roce 2020</w:t>
      </w:r>
      <w:r w:rsidRPr="009D042F">
        <w:t xml:space="preserve"> </w:t>
      </w:r>
      <w:r>
        <w:t xml:space="preserve">naleznete v publikaci </w:t>
      </w:r>
      <w:r w:rsidRPr="00B46A4D">
        <w:rPr>
          <w:i/>
        </w:rPr>
        <w:t>Ukazatele výzkumu a vývoje za rok 2020</w:t>
      </w:r>
      <w:r>
        <w:rPr>
          <w:rStyle w:val="Znakapoznpodarou"/>
        </w:rPr>
        <w:footnoteReference w:id="2"/>
      </w:r>
      <w:r>
        <w:t>.</w:t>
      </w:r>
    </w:p>
    <w:p w14:paraId="4C2FBEF0" w14:textId="77777777" w:rsidR="00DD2DAD" w:rsidRDefault="00DD2DAD" w:rsidP="005E169D">
      <w:pPr>
        <w:spacing w:before="60" w:after="60"/>
        <w:jc w:val="both"/>
      </w:pPr>
      <w:r>
        <w:t xml:space="preserve">Firmu při inovačních činnostech </w:t>
      </w:r>
      <w:r w:rsidR="007F74E3">
        <w:t>ovlivňuje</w:t>
      </w:r>
      <w:r w:rsidR="005B2CAE">
        <w:t>,</w:t>
      </w:r>
      <w:r w:rsidR="00594944">
        <w:t xml:space="preserve"> kromě </w:t>
      </w:r>
      <w:r w:rsidR="007F74E3">
        <w:t>její velikosti a odvětví</w:t>
      </w:r>
      <w:r w:rsidR="005B2CAE">
        <w:t>,</w:t>
      </w:r>
      <w:r w:rsidR="007F74E3">
        <w:t xml:space="preserve"> i to,</w:t>
      </w:r>
      <w:r>
        <w:t xml:space="preserve"> na jak geograficky velkém trhu působí</w:t>
      </w:r>
      <w:r w:rsidR="005B2CAE">
        <w:t>,</w:t>
      </w:r>
      <w:r>
        <w:t xml:space="preserve"> </w:t>
      </w:r>
      <w:r w:rsidR="005B2CAE">
        <w:t>zda</w:t>
      </w:r>
      <w:r>
        <w:t xml:space="preserve"> je součástí podnikové skupiny a jakou má míru samostatnosti při rozhodování o to</w:t>
      </w:r>
      <w:r w:rsidR="006C05ED">
        <w:t>m</w:t>
      </w:r>
      <w:r>
        <w:t>, jaké produkty, jakým z</w:t>
      </w:r>
      <w:r w:rsidR="006C05ED">
        <w:t xml:space="preserve">ákazníkům a za jakých podmínek </w:t>
      </w:r>
      <w:r>
        <w:t>bude nabízet.</w:t>
      </w:r>
    </w:p>
    <w:p w14:paraId="5EBCDF1E" w14:textId="3EC108B8" w:rsidR="005B2CAE" w:rsidRDefault="005B2CAE" w:rsidP="005E169D">
      <w:pPr>
        <w:spacing w:before="60" w:after="60"/>
        <w:jc w:val="both"/>
      </w:pPr>
      <w:r w:rsidRPr="00543CEB">
        <w:t>Dle podílu tržeb byl pro podniky s inovačními činnostmi nejvýznamnější národní trh na úrovni ČR. Tuto skutečnost uvedla téměř polovina</w:t>
      </w:r>
      <w:r w:rsidR="00FF2E9F" w:rsidRPr="00543CEB">
        <w:t xml:space="preserve"> podniků s 10 a více zaměstnanými osobami</w:t>
      </w:r>
      <w:r w:rsidRPr="00543CEB">
        <w:t xml:space="preserve"> v</w:t>
      </w:r>
      <w:r w:rsidR="001A0043" w:rsidRPr="00543CEB">
        <w:t>e</w:t>
      </w:r>
      <w:r w:rsidRPr="00543CEB">
        <w:t> sledovaných odvětvích. Pro podniky bez inovačních aktivit to byl místní nebo regionální trh</w:t>
      </w:r>
      <w:r w:rsidR="008265C7">
        <w:t xml:space="preserve"> v rámci ČR. V </w:t>
      </w:r>
      <w:r w:rsidRPr="00543CEB">
        <w:t xml:space="preserve">případě </w:t>
      </w:r>
      <w:r w:rsidR="00543CEB" w:rsidRPr="00543CEB">
        <w:t xml:space="preserve">užšího evropského trhu, kam spadají sousední státy Německo, Polsko, Rakousko a Slovensko, tak </w:t>
      </w:r>
      <w:r w:rsidR="00D14B28">
        <w:t xml:space="preserve">i </w:t>
      </w:r>
      <w:r w:rsidRPr="00543CEB">
        <w:t>širšího evrop</w:t>
      </w:r>
      <w:r w:rsidR="00987119" w:rsidRPr="00543CEB">
        <w:t xml:space="preserve">ského trhu </w:t>
      </w:r>
      <w:r w:rsidR="00D14B28">
        <w:t>a</w:t>
      </w:r>
      <w:r w:rsidR="00D14B28" w:rsidRPr="00543CEB">
        <w:t xml:space="preserve"> </w:t>
      </w:r>
      <w:r w:rsidR="00987119" w:rsidRPr="00543CEB">
        <w:t>trhu celosvětového</w:t>
      </w:r>
      <w:r w:rsidRPr="00543CEB">
        <w:t xml:space="preserve">, v podílu tržeb na jejich celkových tržbách, byly tyto trhy důležitější pro podniky s inovačními aktivitami než </w:t>
      </w:r>
      <w:r w:rsidR="00F31536" w:rsidRPr="00543CEB">
        <w:t xml:space="preserve">pro </w:t>
      </w:r>
      <w:r w:rsidRPr="00543CEB">
        <w:t>podniky bez nich.</w:t>
      </w:r>
      <w:r w:rsidRPr="00543CEB">
        <w:rPr>
          <w:rStyle w:val="Znakapoznpodarou"/>
        </w:rPr>
        <w:footnoteReference w:id="3"/>
      </w:r>
    </w:p>
    <w:p w14:paraId="0EC86B40" w14:textId="77777777" w:rsidR="00574467" w:rsidRPr="00D43524" w:rsidRDefault="007C2691" w:rsidP="00194E75">
      <w:pPr>
        <w:spacing w:before="120" w:after="60"/>
        <w:jc w:val="both"/>
        <w:rPr>
          <w:b/>
          <w:sz w:val="18"/>
        </w:rPr>
      </w:pPr>
      <w:r>
        <w:rPr>
          <w:b/>
          <w:sz w:val="18"/>
        </w:rPr>
        <w:t>GRAF 4</w:t>
      </w:r>
      <w:r w:rsidR="00574467" w:rsidRPr="00D43524">
        <w:rPr>
          <w:b/>
          <w:sz w:val="18"/>
        </w:rPr>
        <w:t xml:space="preserve"> </w:t>
      </w:r>
      <w:r w:rsidR="00DC56BB">
        <w:rPr>
          <w:b/>
          <w:sz w:val="18"/>
        </w:rPr>
        <w:t>Nejvýznamnější trh</w:t>
      </w:r>
      <w:r w:rsidR="00462729">
        <w:rPr>
          <w:b/>
          <w:sz w:val="18"/>
        </w:rPr>
        <w:t xml:space="preserve"> </w:t>
      </w:r>
      <w:r w:rsidR="00DC56BB">
        <w:rPr>
          <w:b/>
          <w:sz w:val="18"/>
        </w:rPr>
        <w:t xml:space="preserve">pro inovující a neinovující podniky </w:t>
      </w:r>
      <w:r w:rsidR="001B44FF">
        <w:rPr>
          <w:b/>
          <w:sz w:val="18"/>
        </w:rPr>
        <w:t xml:space="preserve">v Česku </w:t>
      </w:r>
      <w:r w:rsidR="00DC56BB">
        <w:rPr>
          <w:b/>
          <w:sz w:val="18"/>
        </w:rPr>
        <w:t xml:space="preserve">(v %); </w:t>
      </w:r>
      <w:r w:rsidR="00C63C92">
        <w:rPr>
          <w:b/>
          <w:sz w:val="18"/>
        </w:rPr>
        <w:t>2018–2020</w:t>
      </w:r>
    </w:p>
    <w:p w14:paraId="39C73890" w14:textId="77777777" w:rsidR="00574467" w:rsidRPr="00BD15AC" w:rsidRDefault="00A6609E" w:rsidP="007D6225">
      <w:pPr>
        <w:jc w:val="both"/>
      </w:pPr>
      <w:r>
        <w:rPr>
          <w:noProof/>
        </w:rPr>
        <w:drawing>
          <wp:inline distT="0" distB="0" distL="0" distR="0" wp14:anchorId="40CAA94A" wp14:editId="7CA267DA">
            <wp:extent cx="6119495" cy="2520000"/>
            <wp:effectExtent l="0" t="0" r="14605" b="1397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0F21EA" w14:textId="23283509" w:rsidR="00CC0C3D" w:rsidRPr="00CC0C3D" w:rsidRDefault="00CC0C3D" w:rsidP="00CC0C3D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14:paraId="2AD1BCA3" w14:textId="67DA417C" w:rsidR="004C7AA9" w:rsidRDefault="004C7AA9" w:rsidP="00CC0C3D">
      <w:pPr>
        <w:spacing w:before="120" w:after="60"/>
        <w:jc w:val="both"/>
      </w:pPr>
      <w:r>
        <w:t xml:space="preserve">Poměrně výrazné rozdíly z pohledu jejich geografického působení nalezneme mezi podniky z hlediska jejich vlastnictví či velikosti. Tato skutečnost je dokumentovaná na výše uvedeném grafu </w:t>
      </w:r>
      <w:r w:rsidR="00CD2A83">
        <w:t xml:space="preserve">č. </w:t>
      </w:r>
      <w:r>
        <w:t>5 za inovující podniky ve zpracovatelském průmyslu. Podrobnější údaje naleznete v tabulkách 3A</w:t>
      </w:r>
      <w:r w:rsidR="0004423C">
        <w:t xml:space="preserve"> až </w:t>
      </w:r>
      <w:r>
        <w:t>4B v tabulkové příloze.</w:t>
      </w:r>
    </w:p>
    <w:p w14:paraId="4B3E8844" w14:textId="77777777" w:rsidR="004C7AA9" w:rsidRDefault="004C7AA9" w:rsidP="004C7AA9">
      <w:pPr>
        <w:spacing w:before="60" w:after="60"/>
        <w:jc w:val="both"/>
      </w:pPr>
      <w:r>
        <w:t xml:space="preserve">Překvapením zajisté nebude zjištění, že </w:t>
      </w:r>
      <w:r w:rsidR="00950236">
        <w:t xml:space="preserve">inovující </w:t>
      </w:r>
      <w:r>
        <w:t xml:space="preserve">domácí podniky ve zpracovatelském průmyslu se výrazně více orientují na domácí trh než firmy pod zahraniční kontrolou. </w:t>
      </w:r>
    </w:p>
    <w:p w14:paraId="38FE6462" w14:textId="77777777" w:rsidR="004C7AA9" w:rsidRDefault="004C7AA9" w:rsidP="004C7AA9">
      <w:pPr>
        <w:spacing w:before="60" w:after="60"/>
        <w:jc w:val="both"/>
      </w:pPr>
      <w:r>
        <w:t>Pro velké podniky s inovačními činnostmi ve zpracovate</w:t>
      </w:r>
      <w:r w:rsidR="008C6F38">
        <w:t>lském průmyslu byl v období 2018 až 2020</w:t>
      </w:r>
      <w:r>
        <w:t xml:space="preserve"> nejvýznamnějším geografickým trhem evropský trh. Více než polovina z nich (57 %) uvedla, že na něm uplatnila nejvýznamnější část své p</w:t>
      </w:r>
      <w:r w:rsidR="008C6F38">
        <w:t>rodukce z hlediska tržeb. Více než</w:t>
      </w:r>
      <w:r>
        <w:t xml:space="preserve"> třetina </w:t>
      </w:r>
      <w:r w:rsidR="00DF6B13">
        <w:t xml:space="preserve">velkých podniků takto označila </w:t>
      </w:r>
      <w:r>
        <w:t>užší ev</w:t>
      </w:r>
      <w:r w:rsidR="0059722F">
        <w:t xml:space="preserve">ropský trh našich sousedů a </w:t>
      </w:r>
      <w:r w:rsidR="008C6F38">
        <w:t xml:space="preserve">necelá </w:t>
      </w:r>
      <w:r>
        <w:t>čtvrtina širší evropský trh. Celkem 12 % velkých podniků s inovačními činnostmi působícími ve zpracovatelském průmyslu realizovalo nejvyšší část svých tržeb na celosvětovém trhu. I v rámci sledovaných odvětví zpracovatelského průmyslu lze vypozorovat výrazné rozdíly podle trhu, na který jsou podniky v těchto odvět</w:t>
      </w:r>
      <w:r w:rsidR="008C6F38">
        <w:t>vích primárně zaměřeny. Např. 44</w:t>
      </w:r>
      <w:r w:rsidR="0059722F">
        <w:t> % inovujících</w:t>
      </w:r>
      <w:r>
        <w:t xml:space="preserve"> podniků z automobilového průmyslu uvedlo, jako svůj nejvýznamnější trh, sousední státy ČR. V případě výroby ostatních dopravních prostředků, kam spadají firmy z leteckého nebo železničního průmyslu,</w:t>
      </w:r>
      <w:r w:rsidR="008C6F38">
        <w:t xml:space="preserve"> a farmaceutického průmyslu</w:t>
      </w:r>
      <w:r>
        <w:t xml:space="preserve"> hraje významnější roli širší evropský a celosvětový trh.  </w:t>
      </w:r>
    </w:p>
    <w:p w14:paraId="125DC89D" w14:textId="77777777" w:rsidR="004C7AA9" w:rsidRDefault="008C6F38" w:rsidP="004C7AA9">
      <w:pPr>
        <w:spacing w:before="60" w:after="60"/>
        <w:jc w:val="both"/>
      </w:pPr>
      <w:r>
        <w:t>V</w:t>
      </w:r>
      <w:r w:rsidR="004C7AA9">
        <w:t>elké podniky ve zpracovatelském průmyslu, které neprováděly inovační činnosti, byly výrazně více orientovány na užší evrop</w:t>
      </w:r>
      <w:r>
        <w:t>ský trh (uvedlo 55 %) než podniky</w:t>
      </w:r>
      <w:r w:rsidR="004C7AA9">
        <w:t xml:space="preserve"> s inovačními aktivitami. Významnou roli zde může </w:t>
      </w:r>
      <w:r w:rsidR="004C7AA9">
        <w:lastRenderedPageBreak/>
        <w:t xml:space="preserve">hrát náš největší obchodní partner Německo a často realizovaná zakázková výroba polotovarů bez nutnosti inovačních činností. V případě firem bez inovačních aktivit, které jsou pod zahraniční kontrolou, polovina z nich uvedla, že je pro ně nejvýznamnější trh zemí sousedících s naším státem. </w:t>
      </w:r>
    </w:p>
    <w:p w14:paraId="32E5EDAD" w14:textId="77777777" w:rsidR="00462729" w:rsidRPr="00B068FC" w:rsidRDefault="00ED50FC" w:rsidP="008C6F38">
      <w:pPr>
        <w:spacing w:before="120" w:after="60"/>
        <w:jc w:val="both"/>
        <w:rPr>
          <w:b/>
          <w:sz w:val="18"/>
        </w:rPr>
      </w:pPr>
      <w:r w:rsidRPr="00B068FC">
        <w:rPr>
          <w:b/>
          <w:sz w:val="18"/>
        </w:rPr>
        <w:t xml:space="preserve">GRAF </w:t>
      </w:r>
      <w:r w:rsidR="007C2691">
        <w:rPr>
          <w:b/>
          <w:sz w:val="18"/>
        </w:rPr>
        <w:t>5</w:t>
      </w:r>
      <w:r w:rsidR="00462729" w:rsidRPr="00B068FC">
        <w:rPr>
          <w:b/>
          <w:sz w:val="18"/>
        </w:rPr>
        <w:t xml:space="preserve"> </w:t>
      </w:r>
      <w:r w:rsidR="00DC56BB" w:rsidRPr="00B068FC">
        <w:rPr>
          <w:b/>
          <w:sz w:val="18"/>
        </w:rPr>
        <w:t>Nejvýznamnější trh pro inovující podniky ve zprac</w:t>
      </w:r>
      <w:r w:rsidR="00A41ADB">
        <w:rPr>
          <w:b/>
          <w:sz w:val="18"/>
        </w:rPr>
        <w:t>ovatelském průmyslu (v %)*; 2018–2020</w:t>
      </w:r>
    </w:p>
    <w:p w14:paraId="39DBD9FE" w14:textId="77777777" w:rsidR="00BE2CA1" w:rsidRDefault="00D232F8" w:rsidP="004C7AA9">
      <w:pPr>
        <w:spacing w:before="60" w:after="60"/>
        <w:jc w:val="both"/>
      </w:pPr>
      <w:r>
        <w:rPr>
          <w:noProof/>
        </w:rPr>
        <w:drawing>
          <wp:inline distT="0" distB="0" distL="0" distR="0" wp14:anchorId="13CBFDFD" wp14:editId="58D2B5D0">
            <wp:extent cx="6120000" cy="2664000"/>
            <wp:effectExtent l="0" t="0" r="14605" b="3175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46BE70" w14:textId="2443E877" w:rsidR="00DC56BB" w:rsidRDefault="00DC56BB" w:rsidP="00EA684A">
      <w:pPr>
        <w:spacing w:before="60"/>
        <w:jc w:val="both"/>
        <w:rPr>
          <w:i/>
          <w:sz w:val="18"/>
        </w:rPr>
      </w:pPr>
      <w:r w:rsidRPr="00ED50FC">
        <w:rPr>
          <w:i/>
          <w:sz w:val="18"/>
        </w:rPr>
        <w:t>*Podíl podniků v dané skupině, které uvedly, že daný trh je pro ně nejvýznamnější z hlediska výše tržeb, na inovujících podnicích celkem v dané skupině</w:t>
      </w:r>
      <w:r w:rsidR="0059722F">
        <w:rPr>
          <w:i/>
          <w:sz w:val="18"/>
        </w:rPr>
        <w:t>.</w:t>
      </w:r>
    </w:p>
    <w:p w14:paraId="5C39DB7F" w14:textId="41A4650E" w:rsidR="00CC0C3D" w:rsidRPr="00ED50FC" w:rsidRDefault="00CC0C3D" w:rsidP="00CC0C3D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14:paraId="2F04AE5F" w14:textId="0CC932D4" w:rsidR="00B161A8" w:rsidRDefault="008C6F38" w:rsidP="00223AB4">
      <w:pPr>
        <w:spacing w:before="60" w:after="60"/>
        <w:jc w:val="both"/>
      </w:pPr>
      <w:r>
        <w:t xml:space="preserve">Z celkového počtu </w:t>
      </w:r>
      <w:r w:rsidR="00243B70">
        <w:t>23,9</w:t>
      </w:r>
      <w:r>
        <w:t xml:space="preserve"> tis. podniků ve sledovaných od</w:t>
      </w:r>
      <w:r w:rsidR="00243B70">
        <w:t xml:space="preserve">větvích jich </w:t>
      </w:r>
      <w:r w:rsidR="008F3F23">
        <w:t xml:space="preserve">byla v roce 2020 </w:t>
      </w:r>
      <w:r w:rsidR="00243B70">
        <w:t>necelá třetina (</w:t>
      </w:r>
      <w:r w:rsidR="00E62F72">
        <w:t>7</w:t>
      </w:r>
      <w:r w:rsidR="00243B70">
        <w:t xml:space="preserve">,5 tis.) </w:t>
      </w:r>
      <w:r>
        <w:t xml:space="preserve">součástí </w:t>
      </w:r>
      <w:r w:rsidRPr="00ED50FC">
        <w:rPr>
          <w:b/>
        </w:rPr>
        <w:t>skupiny podniků</w:t>
      </w:r>
      <w:r>
        <w:t>. Mezi podniky, které jsou součástí podnikové skupiny, je vyšší podíl těch, které inovují své prod</w:t>
      </w:r>
      <w:r w:rsidR="00243B70">
        <w:t>ukty nebo procesy. V období 2018 až 2020 se mezi nimi nacházelo 73</w:t>
      </w:r>
      <w:r>
        <w:t> % inov</w:t>
      </w:r>
      <w:r w:rsidR="00243B70">
        <w:t>ujících podniků</w:t>
      </w:r>
      <w:r w:rsidR="00CB18B6">
        <w:t>. Oproti tomu, mezi podniky, které do žádné skupiny nepatřily, se nacházelo 50 % inovujících.</w:t>
      </w:r>
      <w:r w:rsidR="00243B70">
        <w:t xml:space="preserve"> </w:t>
      </w:r>
      <w:r>
        <w:t>Platí to pro všechny velikostní kategorie podniků.</w:t>
      </w:r>
      <w:r w:rsidR="00F01279">
        <w:t xml:space="preserve"> Nejvyšší rozdíl v podílu inovujících podniků je v případě malých podniků, kdy malé podniky, které byly součástí podnikové skupiny, inovovaly o rovných 20 procentních bodů více než ty, které nepatřily do žádné podnikové skupiny. </w:t>
      </w:r>
    </w:p>
    <w:p w14:paraId="61A24AA0" w14:textId="77777777" w:rsidR="00223AB4" w:rsidRPr="008C6F38" w:rsidRDefault="00223AB4" w:rsidP="009C4AB8">
      <w:pPr>
        <w:spacing w:before="60" w:after="120"/>
        <w:jc w:val="both"/>
      </w:pPr>
      <w:r>
        <w:t xml:space="preserve">V případě podnikové skupiny rozhoduje i země ústředí podnikové skupiny. Například podniky, které mají své ústředí v Česku, inovují více (73 % podniků) než podniky s ústředím v Německu (68 %). </w:t>
      </w:r>
      <w:r w:rsidR="00772250">
        <w:t xml:space="preserve">Podniky s ústředím ve Spojených státech naopak inovují </w:t>
      </w:r>
      <w:r w:rsidR="00EE458E">
        <w:t xml:space="preserve">ještě </w:t>
      </w:r>
      <w:r w:rsidR="00772250">
        <w:t>více (82 %)</w:t>
      </w:r>
      <w:r w:rsidR="00EE458E">
        <w:t xml:space="preserve"> než ty české</w:t>
      </w:r>
      <w:r w:rsidR="00772250">
        <w:t xml:space="preserve">. </w:t>
      </w:r>
    </w:p>
    <w:p w14:paraId="2A15CD58" w14:textId="48ADC6FE" w:rsidR="00F01279" w:rsidRDefault="009C4AB8" w:rsidP="00F01279">
      <w:pPr>
        <w:spacing w:after="120" w:line="240" w:lineRule="auto"/>
        <w:rPr>
          <w:b/>
          <w:sz w:val="18"/>
        </w:rPr>
      </w:pPr>
      <w:r w:rsidRPr="00B068FC">
        <w:rPr>
          <w:b/>
          <w:sz w:val="18"/>
        </w:rPr>
        <w:t xml:space="preserve">GRAF </w:t>
      </w:r>
      <w:r>
        <w:rPr>
          <w:b/>
          <w:sz w:val="18"/>
        </w:rPr>
        <w:t>6</w:t>
      </w:r>
      <w:r w:rsidRPr="00B068FC">
        <w:rPr>
          <w:b/>
          <w:sz w:val="18"/>
        </w:rPr>
        <w:t xml:space="preserve"> </w:t>
      </w:r>
      <w:r>
        <w:rPr>
          <w:b/>
          <w:sz w:val="18"/>
        </w:rPr>
        <w:t>Podíl inovujících podniků podle toho, zda byly součástí</w:t>
      </w:r>
      <w:r w:rsidR="00EB24EA">
        <w:rPr>
          <w:b/>
          <w:sz w:val="18"/>
        </w:rPr>
        <w:t xml:space="preserve"> podnikové skupiny (v %)</w:t>
      </w:r>
      <w:bookmarkStart w:id="1" w:name="_GoBack"/>
      <w:bookmarkEnd w:id="1"/>
      <w:r>
        <w:rPr>
          <w:b/>
          <w:sz w:val="18"/>
        </w:rPr>
        <w:t>; 2020</w:t>
      </w:r>
    </w:p>
    <w:p w14:paraId="2F359940" w14:textId="77777777" w:rsidR="00CC0C3D" w:rsidRDefault="00AA78D2">
      <w:pPr>
        <w:spacing w:line="240" w:lineRule="auto"/>
        <w:rPr>
          <w:rStyle w:val="st"/>
        </w:rPr>
      </w:pPr>
      <w:r>
        <w:rPr>
          <w:noProof/>
        </w:rPr>
        <w:drawing>
          <wp:inline distT="0" distB="0" distL="0" distR="0" wp14:anchorId="67E793D3" wp14:editId="7FD0D69B">
            <wp:extent cx="6120000" cy="2592000"/>
            <wp:effectExtent l="0" t="0" r="14605" b="18415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0C899E" w14:textId="0455AA55" w:rsidR="006427F8" w:rsidRPr="002E415C" w:rsidRDefault="00CC0C3D" w:rsidP="00EA684A">
      <w:pPr>
        <w:spacing w:before="60" w:after="60"/>
        <w:jc w:val="right"/>
      </w:pPr>
      <w:r w:rsidRPr="00B2746E">
        <w:rPr>
          <w:i/>
          <w:sz w:val="18"/>
        </w:rPr>
        <w:t>Zdroj: ČSÚ, Šetření o inovačních aktivitách podniků</w:t>
      </w:r>
    </w:p>
    <w:sectPr w:rsidR="006427F8" w:rsidRPr="002E415C" w:rsidSect="003C2A63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FBF8A" w14:textId="77777777" w:rsidR="00E36C7E" w:rsidRDefault="00E36C7E" w:rsidP="00E71A58">
      <w:r>
        <w:separator/>
      </w:r>
    </w:p>
  </w:endnote>
  <w:endnote w:type="continuationSeparator" w:id="0">
    <w:p w14:paraId="016D9B57" w14:textId="77777777" w:rsidR="00E36C7E" w:rsidRDefault="00E36C7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5C65" w14:textId="4B900AFD" w:rsidR="00EF5ED2" w:rsidRDefault="00EF5ED2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E32640" wp14:editId="153F33C7">
          <wp:simplePos x="0" y="0"/>
          <wp:positionH relativeFrom="column">
            <wp:posOffset>5703824</wp:posOffset>
          </wp:positionH>
          <wp:positionV relativeFrom="paragraph">
            <wp:posOffset>6350</wp:posOffset>
          </wp:positionV>
          <wp:extent cx="466725" cy="219075"/>
          <wp:effectExtent l="0" t="0" r="9525" b="9525"/>
          <wp:wrapNone/>
          <wp:docPr id="48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EB24EA">
      <w:rPr>
        <w:rFonts w:ascii="Arial" w:hAnsi="Arial" w:cs="Arial"/>
        <w:noProof/>
        <w:sz w:val="16"/>
        <w:szCs w:val="16"/>
      </w:rPr>
      <w:t>4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2018–2020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2BB4" w14:textId="77777777" w:rsidR="00EF5ED2" w:rsidRDefault="00EF5ED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4B21A8E" wp14:editId="2FB19B72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49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14:paraId="10C580EB" w14:textId="0535E121" w:rsidR="00EF5ED2" w:rsidRDefault="00EF5ED2" w:rsidP="00F9242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356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2018–2020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EB24EA">
      <w:rPr>
        <w:rFonts w:ascii="Arial" w:hAnsi="Arial" w:cs="Arial"/>
        <w:noProof/>
        <w:sz w:val="16"/>
        <w:szCs w:val="16"/>
      </w:rPr>
      <w:t>3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9C3C5" w14:textId="77777777" w:rsidR="00E36C7E" w:rsidRDefault="00E36C7E" w:rsidP="00E71A58">
      <w:r>
        <w:separator/>
      </w:r>
    </w:p>
  </w:footnote>
  <w:footnote w:type="continuationSeparator" w:id="0">
    <w:p w14:paraId="5F8BE458" w14:textId="77777777" w:rsidR="00E36C7E" w:rsidRDefault="00E36C7E" w:rsidP="00E71A58">
      <w:r>
        <w:continuationSeparator/>
      </w:r>
    </w:p>
  </w:footnote>
  <w:footnote w:id="1">
    <w:p w14:paraId="4BA5206E" w14:textId="77777777" w:rsidR="00EF5ED2" w:rsidRPr="003F16B5" w:rsidRDefault="00EF5ED2" w:rsidP="00DD4BBF">
      <w:pPr>
        <w:pStyle w:val="Textpoznpodarou"/>
        <w:rPr>
          <w:sz w:val="18"/>
          <w:szCs w:val="18"/>
        </w:rPr>
      </w:pPr>
      <w:r w:rsidRPr="003F16B5">
        <w:rPr>
          <w:rStyle w:val="Znakapoznpodarou"/>
          <w:sz w:val="18"/>
          <w:szCs w:val="18"/>
        </w:rPr>
        <w:footnoteRef/>
      </w:r>
      <w:r w:rsidRPr="003F16B5">
        <w:rPr>
          <w:sz w:val="18"/>
          <w:szCs w:val="18"/>
        </w:rPr>
        <w:t xml:space="preserve"> </w:t>
      </w:r>
      <w:hyperlink r:id="rId1" w:history="1">
        <w:r w:rsidRPr="003F16B5">
          <w:rPr>
            <w:rStyle w:val="Hypertextovodkaz"/>
            <w:sz w:val="18"/>
            <w:szCs w:val="18"/>
          </w:rPr>
          <w:t>https://www.czso.cz/csu/czso/vyvoj-ekonomiky-ceske-republiky-4-ctvrtleti-2021</w:t>
        </w:r>
      </w:hyperlink>
      <w:r w:rsidRPr="003F16B5">
        <w:rPr>
          <w:sz w:val="18"/>
          <w:szCs w:val="18"/>
        </w:rPr>
        <w:t xml:space="preserve"> </w:t>
      </w:r>
    </w:p>
  </w:footnote>
  <w:footnote w:id="2">
    <w:p w14:paraId="18DA08C2" w14:textId="77777777" w:rsidR="00EF5ED2" w:rsidRDefault="00EF5ED2" w:rsidP="005E169D">
      <w:pPr>
        <w:pStyle w:val="Textpoznpodarou"/>
      </w:pPr>
      <w:r w:rsidRPr="00453260">
        <w:rPr>
          <w:rStyle w:val="Znakapoznpodarou"/>
          <w:sz w:val="18"/>
        </w:rPr>
        <w:footnoteRef/>
      </w:r>
      <w:r w:rsidRPr="00453260">
        <w:rPr>
          <w:sz w:val="18"/>
        </w:rPr>
        <w:t xml:space="preserve"> </w:t>
      </w:r>
      <w:hyperlink r:id="rId2" w:history="1">
        <w:r w:rsidRPr="00453260">
          <w:rPr>
            <w:rStyle w:val="Hypertextovodkaz"/>
            <w:sz w:val="18"/>
          </w:rPr>
          <w:t>https://www.czso.cz/csu/czso/ukazatele-vyzkumu-a-vyvoje-2020</w:t>
        </w:r>
      </w:hyperlink>
      <w:r w:rsidRPr="00453260">
        <w:rPr>
          <w:sz w:val="18"/>
        </w:rPr>
        <w:t xml:space="preserve"> </w:t>
      </w:r>
    </w:p>
  </w:footnote>
  <w:footnote w:id="3">
    <w:p w14:paraId="7F8ECA6C" w14:textId="77777777" w:rsidR="00EF5ED2" w:rsidRPr="00483D06" w:rsidRDefault="00EF5ED2" w:rsidP="005B2CAE">
      <w:pPr>
        <w:pStyle w:val="Textpoznpodarou"/>
        <w:rPr>
          <w:sz w:val="18"/>
        </w:rPr>
      </w:pPr>
      <w:r w:rsidRPr="00483D06">
        <w:rPr>
          <w:rStyle w:val="Znakapoznpodarou"/>
          <w:sz w:val="18"/>
        </w:rPr>
        <w:footnoteRef/>
      </w:r>
      <w:r w:rsidRPr="00483D06">
        <w:rPr>
          <w:sz w:val="18"/>
        </w:rPr>
        <w:t xml:space="preserve"> </w:t>
      </w:r>
      <w:r>
        <w:rPr>
          <w:sz w:val="18"/>
        </w:rPr>
        <w:t>Blíže viz tabulky 3A/B a 4A/B v tabulkové příloze.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92C3" w14:textId="77777777" w:rsidR="00EF5ED2" w:rsidRPr="00AD306C" w:rsidRDefault="00EF5ED2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884C" w14:textId="77777777" w:rsidR="00EF5ED2" w:rsidRPr="00AD306C" w:rsidRDefault="00EF5ED2" w:rsidP="008A3EFD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  <w:p w14:paraId="5D7192CA" w14:textId="77777777" w:rsidR="00EF5ED2" w:rsidRPr="00DC5B3B" w:rsidRDefault="00EF5ED2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2C7"/>
    <w:multiLevelType w:val="hybridMultilevel"/>
    <w:tmpl w:val="9C1C7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E5"/>
    <w:multiLevelType w:val="multilevel"/>
    <w:tmpl w:val="F3EE7B8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E32AD"/>
    <w:multiLevelType w:val="hybridMultilevel"/>
    <w:tmpl w:val="9DA2D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9901EF"/>
    <w:multiLevelType w:val="hybridMultilevel"/>
    <w:tmpl w:val="D81A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D3A"/>
    <w:multiLevelType w:val="hybridMultilevel"/>
    <w:tmpl w:val="6E38D0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6CBE"/>
    <w:multiLevelType w:val="hybridMultilevel"/>
    <w:tmpl w:val="FB4645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4349"/>
    <w:multiLevelType w:val="hybridMultilevel"/>
    <w:tmpl w:val="F7B0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2" w15:restartNumberingAfterBreak="0">
    <w:nsid w:val="1D171F8B"/>
    <w:multiLevelType w:val="hybridMultilevel"/>
    <w:tmpl w:val="BE90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2399"/>
    <w:multiLevelType w:val="hybridMultilevel"/>
    <w:tmpl w:val="C6983A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4" w15:restartNumberingAfterBreak="0">
    <w:nsid w:val="22B81503"/>
    <w:multiLevelType w:val="hybridMultilevel"/>
    <w:tmpl w:val="873A4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B2BDB"/>
    <w:multiLevelType w:val="hybridMultilevel"/>
    <w:tmpl w:val="4652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0C95"/>
    <w:multiLevelType w:val="hybridMultilevel"/>
    <w:tmpl w:val="C9101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B582B"/>
    <w:multiLevelType w:val="hybridMultilevel"/>
    <w:tmpl w:val="7E446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D391D"/>
    <w:multiLevelType w:val="hybridMultilevel"/>
    <w:tmpl w:val="892278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33A3A"/>
    <w:multiLevelType w:val="hybridMultilevel"/>
    <w:tmpl w:val="E6C82A78"/>
    <w:lvl w:ilvl="0" w:tplc="B8F40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B1C6B"/>
    <w:multiLevelType w:val="hybridMultilevel"/>
    <w:tmpl w:val="CA7CAD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307244"/>
    <w:multiLevelType w:val="hybridMultilevel"/>
    <w:tmpl w:val="F3D6F1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07008"/>
    <w:multiLevelType w:val="hybridMultilevel"/>
    <w:tmpl w:val="513601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526F3"/>
    <w:multiLevelType w:val="hybridMultilevel"/>
    <w:tmpl w:val="F31863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61BD8"/>
    <w:multiLevelType w:val="hybridMultilevel"/>
    <w:tmpl w:val="CE508D6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39" w15:restartNumberingAfterBreak="0">
    <w:nsid w:val="748C79F5"/>
    <w:multiLevelType w:val="hybridMultilevel"/>
    <w:tmpl w:val="7EF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A3213"/>
    <w:multiLevelType w:val="hybridMultilevel"/>
    <w:tmpl w:val="8620F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A368D"/>
    <w:multiLevelType w:val="hybridMultilevel"/>
    <w:tmpl w:val="FB909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84570"/>
    <w:multiLevelType w:val="hybridMultilevel"/>
    <w:tmpl w:val="573AD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26142"/>
    <w:multiLevelType w:val="hybridMultilevel"/>
    <w:tmpl w:val="DD083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37"/>
  </w:num>
  <w:num w:numId="5">
    <w:abstractNumId w:val="25"/>
  </w:num>
  <w:num w:numId="6">
    <w:abstractNumId w:val="11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22"/>
  </w:num>
  <w:num w:numId="12">
    <w:abstractNumId w:val="24"/>
  </w:num>
  <w:num w:numId="13">
    <w:abstractNumId w:val="30"/>
  </w:num>
  <w:num w:numId="14">
    <w:abstractNumId w:val="6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33"/>
  </w:num>
  <w:num w:numId="17">
    <w:abstractNumId w:val="23"/>
  </w:num>
  <w:num w:numId="18">
    <w:abstractNumId w:val="20"/>
  </w:num>
  <w:num w:numId="19">
    <w:abstractNumId w:val="19"/>
  </w:num>
  <w:num w:numId="20">
    <w:abstractNumId w:val="41"/>
  </w:num>
  <w:num w:numId="21">
    <w:abstractNumId w:val="15"/>
  </w:num>
  <w:num w:numId="22">
    <w:abstractNumId w:val="2"/>
  </w:num>
  <w:num w:numId="23">
    <w:abstractNumId w:val="43"/>
  </w:num>
  <w:num w:numId="24">
    <w:abstractNumId w:val="1"/>
  </w:num>
  <w:num w:numId="25">
    <w:abstractNumId w:val="39"/>
  </w:num>
  <w:num w:numId="26">
    <w:abstractNumId w:val="12"/>
  </w:num>
  <w:num w:numId="27">
    <w:abstractNumId w:val="16"/>
  </w:num>
  <w:num w:numId="28">
    <w:abstractNumId w:val="5"/>
  </w:num>
  <w:num w:numId="29">
    <w:abstractNumId w:val="32"/>
  </w:num>
  <w:num w:numId="30">
    <w:abstractNumId w:val="14"/>
  </w:num>
  <w:num w:numId="31">
    <w:abstractNumId w:val="35"/>
  </w:num>
  <w:num w:numId="32">
    <w:abstractNumId w:val="34"/>
  </w:num>
  <w:num w:numId="33">
    <w:abstractNumId w:val="44"/>
  </w:num>
  <w:num w:numId="34">
    <w:abstractNumId w:val="29"/>
  </w:num>
  <w:num w:numId="35">
    <w:abstractNumId w:val="0"/>
  </w:num>
  <w:num w:numId="36">
    <w:abstractNumId w:val="36"/>
  </w:num>
  <w:num w:numId="37">
    <w:abstractNumId w:val="42"/>
  </w:num>
  <w:num w:numId="38">
    <w:abstractNumId w:val="4"/>
  </w:num>
  <w:num w:numId="39">
    <w:abstractNumId w:val="17"/>
  </w:num>
  <w:num w:numId="40">
    <w:abstractNumId w:val="27"/>
  </w:num>
  <w:num w:numId="41">
    <w:abstractNumId w:val="8"/>
  </w:num>
  <w:num w:numId="42">
    <w:abstractNumId w:val="40"/>
  </w:num>
  <w:num w:numId="43">
    <w:abstractNumId w:val="13"/>
  </w:num>
  <w:num w:numId="44">
    <w:abstractNumId w:val="38"/>
  </w:num>
  <w:num w:numId="45">
    <w:abstractNumId w:val="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0BB8"/>
    <w:rsid w:val="0000174D"/>
    <w:rsid w:val="000017DB"/>
    <w:rsid w:val="00003277"/>
    <w:rsid w:val="000032BB"/>
    <w:rsid w:val="000049B0"/>
    <w:rsid w:val="00004DC1"/>
    <w:rsid w:val="00006064"/>
    <w:rsid w:val="00007143"/>
    <w:rsid w:val="0000767A"/>
    <w:rsid w:val="00007A5A"/>
    <w:rsid w:val="000103D7"/>
    <w:rsid w:val="00010702"/>
    <w:rsid w:val="00011387"/>
    <w:rsid w:val="00011EA6"/>
    <w:rsid w:val="0001270A"/>
    <w:rsid w:val="00012B8C"/>
    <w:rsid w:val="0001372E"/>
    <w:rsid w:val="00014413"/>
    <w:rsid w:val="000158B9"/>
    <w:rsid w:val="00015F2F"/>
    <w:rsid w:val="00016CCE"/>
    <w:rsid w:val="00017938"/>
    <w:rsid w:val="00020738"/>
    <w:rsid w:val="00020855"/>
    <w:rsid w:val="00020F0B"/>
    <w:rsid w:val="000216A8"/>
    <w:rsid w:val="00021CA2"/>
    <w:rsid w:val="000227CF"/>
    <w:rsid w:val="00023A06"/>
    <w:rsid w:val="00023DB5"/>
    <w:rsid w:val="000241E9"/>
    <w:rsid w:val="00024229"/>
    <w:rsid w:val="000254E7"/>
    <w:rsid w:val="00025F04"/>
    <w:rsid w:val="00026BB4"/>
    <w:rsid w:val="00030C06"/>
    <w:rsid w:val="00031A9F"/>
    <w:rsid w:val="00032C1B"/>
    <w:rsid w:val="000335DE"/>
    <w:rsid w:val="00033BC0"/>
    <w:rsid w:val="00033D16"/>
    <w:rsid w:val="00033E68"/>
    <w:rsid w:val="000350E5"/>
    <w:rsid w:val="00035ABC"/>
    <w:rsid w:val="00036694"/>
    <w:rsid w:val="000368A7"/>
    <w:rsid w:val="00037051"/>
    <w:rsid w:val="00041336"/>
    <w:rsid w:val="000415AA"/>
    <w:rsid w:val="00041A46"/>
    <w:rsid w:val="00042BEA"/>
    <w:rsid w:val="000435CC"/>
    <w:rsid w:val="00043E0B"/>
    <w:rsid w:val="0004423C"/>
    <w:rsid w:val="00045F6E"/>
    <w:rsid w:val="0004645B"/>
    <w:rsid w:val="0004694F"/>
    <w:rsid w:val="00046976"/>
    <w:rsid w:val="00046DAC"/>
    <w:rsid w:val="00047444"/>
    <w:rsid w:val="00047927"/>
    <w:rsid w:val="00047A62"/>
    <w:rsid w:val="00047ABF"/>
    <w:rsid w:val="00047F45"/>
    <w:rsid w:val="0005037C"/>
    <w:rsid w:val="00051C4D"/>
    <w:rsid w:val="0005235F"/>
    <w:rsid w:val="00052B2A"/>
    <w:rsid w:val="0005325B"/>
    <w:rsid w:val="00054477"/>
    <w:rsid w:val="00054847"/>
    <w:rsid w:val="00054A5A"/>
    <w:rsid w:val="00055AB9"/>
    <w:rsid w:val="00055FEF"/>
    <w:rsid w:val="0005739C"/>
    <w:rsid w:val="00057709"/>
    <w:rsid w:val="00057D73"/>
    <w:rsid w:val="0006102A"/>
    <w:rsid w:val="00062A19"/>
    <w:rsid w:val="00062EC5"/>
    <w:rsid w:val="000639A6"/>
    <w:rsid w:val="00063CB7"/>
    <w:rsid w:val="00063E83"/>
    <w:rsid w:val="00064171"/>
    <w:rsid w:val="000643D1"/>
    <w:rsid w:val="000649F4"/>
    <w:rsid w:val="00071D51"/>
    <w:rsid w:val="00071FA1"/>
    <w:rsid w:val="0007243A"/>
    <w:rsid w:val="00072D21"/>
    <w:rsid w:val="0007392B"/>
    <w:rsid w:val="00074904"/>
    <w:rsid w:val="00075D07"/>
    <w:rsid w:val="0008072A"/>
    <w:rsid w:val="00080B27"/>
    <w:rsid w:val="00080E37"/>
    <w:rsid w:val="000811D2"/>
    <w:rsid w:val="0008174F"/>
    <w:rsid w:val="000818DC"/>
    <w:rsid w:val="000819B6"/>
    <w:rsid w:val="00081AAC"/>
    <w:rsid w:val="00081E4D"/>
    <w:rsid w:val="00082212"/>
    <w:rsid w:val="00082307"/>
    <w:rsid w:val="00083CC3"/>
    <w:rsid w:val="000854BB"/>
    <w:rsid w:val="00085870"/>
    <w:rsid w:val="00085C23"/>
    <w:rsid w:val="0008649D"/>
    <w:rsid w:val="00087634"/>
    <w:rsid w:val="00087A0A"/>
    <w:rsid w:val="00090840"/>
    <w:rsid w:val="000912D2"/>
    <w:rsid w:val="00091BF2"/>
    <w:rsid w:val="00092214"/>
    <w:rsid w:val="000932E5"/>
    <w:rsid w:val="00093B40"/>
    <w:rsid w:val="000946D6"/>
    <w:rsid w:val="00096191"/>
    <w:rsid w:val="000972D2"/>
    <w:rsid w:val="00097BCC"/>
    <w:rsid w:val="00097C41"/>
    <w:rsid w:val="00097DF0"/>
    <w:rsid w:val="00097E4E"/>
    <w:rsid w:val="000A03DC"/>
    <w:rsid w:val="000A0811"/>
    <w:rsid w:val="000A0991"/>
    <w:rsid w:val="000A1183"/>
    <w:rsid w:val="000A165A"/>
    <w:rsid w:val="000A26A6"/>
    <w:rsid w:val="000A3B9D"/>
    <w:rsid w:val="000A3C67"/>
    <w:rsid w:val="000A4136"/>
    <w:rsid w:val="000A7D1E"/>
    <w:rsid w:val="000B0063"/>
    <w:rsid w:val="000B00E2"/>
    <w:rsid w:val="000B064B"/>
    <w:rsid w:val="000B0777"/>
    <w:rsid w:val="000B1406"/>
    <w:rsid w:val="000B1CB5"/>
    <w:rsid w:val="000B1F4E"/>
    <w:rsid w:val="000B64CF"/>
    <w:rsid w:val="000B713C"/>
    <w:rsid w:val="000C1011"/>
    <w:rsid w:val="000C1883"/>
    <w:rsid w:val="000C30BD"/>
    <w:rsid w:val="000C3408"/>
    <w:rsid w:val="000C4AAA"/>
    <w:rsid w:val="000C4ABE"/>
    <w:rsid w:val="000C52AF"/>
    <w:rsid w:val="000C5553"/>
    <w:rsid w:val="000C5FBB"/>
    <w:rsid w:val="000C6061"/>
    <w:rsid w:val="000C68B7"/>
    <w:rsid w:val="000C778A"/>
    <w:rsid w:val="000D0345"/>
    <w:rsid w:val="000D0919"/>
    <w:rsid w:val="000D09E8"/>
    <w:rsid w:val="000D0EBF"/>
    <w:rsid w:val="000D1504"/>
    <w:rsid w:val="000D15B4"/>
    <w:rsid w:val="000D1A55"/>
    <w:rsid w:val="000D25A1"/>
    <w:rsid w:val="000D441E"/>
    <w:rsid w:val="000D4ED6"/>
    <w:rsid w:val="000D5146"/>
    <w:rsid w:val="000D57B2"/>
    <w:rsid w:val="000D6912"/>
    <w:rsid w:val="000E10FB"/>
    <w:rsid w:val="000E1F26"/>
    <w:rsid w:val="000E276F"/>
    <w:rsid w:val="000E3755"/>
    <w:rsid w:val="000E39FA"/>
    <w:rsid w:val="000E638A"/>
    <w:rsid w:val="000E63E0"/>
    <w:rsid w:val="000E7F32"/>
    <w:rsid w:val="000F07F3"/>
    <w:rsid w:val="000F0B7C"/>
    <w:rsid w:val="000F0F6F"/>
    <w:rsid w:val="000F13FC"/>
    <w:rsid w:val="000F1E62"/>
    <w:rsid w:val="000F2183"/>
    <w:rsid w:val="000F2B1D"/>
    <w:rsid w:val="000F3AF6"/>
    <w:rsid w:val="000F41F1"/>
    <w:rsid w:val="000F5011"/>
    <w:rsid w:val="000F5FCB"/>
    <w:rsid w:val="000F6A39"/>
    <w:rsid w:val="000F6F58"/>
    <w:rsid w:val="000F7528"/>
    <w:rsid w:val="001001FC"/>
    <w:rsid w:val="001014C8"/>
    <w:rsid w:val="00101518"/>
    <w:rsid w:val="0010326D"/>
    <w:rsid w:val="00105C1A"/>
    <w:rsid w:val="0010669F"/>
    <w:rsid w:val="00106FEF"/>
    <w:rsid w:val="001074BC"/>
    <w:rsid w:val="001103C6"/>
    <w:rsid w:val="00110458"/>
    <w:rsid w:val="00110C4F"/>
    <w:rsid w:val="001111B2"/>
    <w:rsid w:val="00111AE4"/>
    <w:rsid w:val="00112CE6"/>
    <w:rsid w:val="00113BFE"/>
    <w:rsid w:val="00114BEA"/>
    <w:rsid w:val="00115241"/>
    <w:rsid w:val="00115759"/>
    <w:rsid w:val="0011629F"/>
    <w:rsid w:val="00117F8A"/>
    <w:rsid w:val="00120041"/>
    <w:rsid w:val="00120443"/>
    <w:rsid w:val="00120D6D"/>
    <w:rsid w:val="00121A92"/>
    <w:rsid w:val="00123446"/>
    <w:rsid w:val="00123452"/>
    <w:rsid w:val="0012408F"/>
    <w:rsid w:val="00124165"/>
    <w:rsid w:val="00125C99"/>
    <w:rsid w:val="00125E0A"/>
    <w:rsid w:val="00125E45"/>
    <w:rsid w:val="00126365"/>
    <w:rsid w:val="0012658C"/>
    <w:rsid w:val="001278F2"/>
    <w:rsid w:val="00127940"/>
    <w:rsid w:val="00131CEA"/>
    <w:rsid w:val="00132B06"/>
    <w:rsid w:val="00133ACF"/>
    <w:rsid w:val="00134C6A"/>
    <w:rsid w:val="0013621C"/>
    <w:rsid w:val="001362A9"/>
    <w:rsid w:val="001365B7"/>
    <w:rsid w:val="00140073"/>
    <w:rsid w:val="001405FA"/>
    <w:rsid w:val="00140A1B"/>
    <w:rsid w:val="00141B7E"/>
    <w:rsid w:val="001420C7"/>
    <w:rsid w:val="001425C3"/>
    <w:rsid w:val="00142C3A"/>
    <w:rsid w:val="00142C51"/>
    <w:rsid w:val="00143451"/>
    <w:rsid w:val="00143453"/>
    <w:rsid w:val="00143B97"/>
    <w:rsid w:val="00143DE1"/>
    <w:rsid w:val="00145632"/>
    <w:rsid w:val="00146553"/>
    <w:rsid w:val="00146CF7"/>
    <w:rsid w:val="00147506"/>
    <w:rsid w:val="001475F6"/>
    <w:rsid w:val="00147E09"/>
    <w:rsid w:val="00147F55"/>
    <w:rsid w:val="00152543"/>
    <w:rsid w:val="00152689"/>
    <w:rsid w:val="00154273"/>
    <w:rsid w:val="001544C2"/>
    <w:rsid w:val="00154DA6"/>
    <w:rsid w:val="00155181"/>
    <w:rsid w:val="00156A62"/>
    <w:rsid w:val="0015700C"/>
    <w:rsid w:val="001571FD"/>
    <w:rsid w:val="00157473"/>
    <w:rsid w:val="001576B5"/>
    <w:rsid w:val="00160D8D"/>
    <w:rsid w:val="00160DF9"/>
    <w:rsid w:val="001611FD"/>
    <w:rsid w:val="00161B57"/>
    <w:rsid w:val="0016249A"/>
    <w:rsid w:val="00163793"/>
    <w:rsid w:val="00164279"/>
    <w:rsid w:val="00164B18"/>
    <w:rsid w:val="00164BD7"/>
    <w:rsid w:val="0016532F"/>
    <w:rsid w:val="00165D9D"/>
    <w:rsid w:val="00165F51"/>
    <w:rsid w:val="0016649C"/>
    <w:rsid w:val="00166909"/>
    <w:rsid w:val="00170ABD"/>
    <w:rsid w:val="00171425"/>
    <w:rsid w:val="001714F2"/>
    <w:rsid w:val="00171E58"/>
    <w:rsid w:val="001728EE"/>
    <w:rsid w:val="00173A87"/>
    <w:rsid w:val="00174642"/>
    <w:rsid w:val="0017466E"/>
    <w:rsid w:val="00174C25"/>
    <w:rsid w:val="00174C78"/>
    <w:rsid w:val="00175098"/>
    <w:rsid w:val="0017583E"/>
    <w:rsid w:val="001758CB"/>
    <w:rsid w:val="00175F3E"/>
    <w:rsid w:val="00176EDF"/>
    <w:rsid w:val="001808AF"/>
    <w:rsid w:val="00180C11"/>
    <w:rsid w:val="00180CCC"/>
    <w:rsid w:val="001817AB"/>
    <w:rsid w:val="00181B9B"/>
    <w:rsid w:val="00181D4D"/>
    <w:rsid w:val="001820FF"/>
    <w:rsid w:val="00182A92"/>
    <w:rsid w:val="00184602"/>
    <w:rsid w:val="00184689"/>
    <w:rsid w:val="00184A37"/>
    <w:rsid w:val="00185010"/>
    <w:rsid w:val="00186837"/>
    <w:rsid w:val="001871C3"/>
    <w:rsid w:val="00190354"/>
    <w:rsid w:val="00190695"/>
    <w:rsid w:val="00190CD5"/>
    <w:rsid w:val="001914E1"/>
    <w:rsid w:val="00192903"/>
    <w:rsid w:val="00192B1A"/>
    <w:rsid w:val="00193143"/>
    <w:rsid w:val="00193262"/>
    <w:rsid w:val="00193481"/>
    <w:rsid w:val="001938F0"/>
    <w:rsid w:val="00193D4D"/>
    <w:rsid w:val="00194E75"/>
    <w:rsid w:val="0019508D"/>
    <w:rsid w:val="0019608F"/>
    <w:rsid w:val="0019637A"/>
    <w:rsid w:val="001965D9"/>
    <w:rsid w:val="00196712"/>
    <w:rsid w:val="001970B2"/>
    <w:rsid w:val="00197965"/>
    <w:rsid w:val="00197ACF"/>
    <w:rsid w:val="001A0043"/>
    <w:rsid w:val="001A1435"/>
    <w:rsid w:val="001A1ABA"/>
    <w:rsid w:val="001A26ED"/>
    <w:rsid w:val="001A30E6"/>
    <w:rsid w:val="001A3161"/>
    <w:rsid w:val="001A432E"/>
    <w:rsid w:val="001A44D9"/>
    <w:rsid w:val="001A51D6"/>
    <w:rsid w:val="001A552F"/>
    <w:rsid w:val="001A5D36"/>
    <w:rsid w:val="001A6373"/>
    <w:rsid w:val="001A7A25"/>
    <w:rsid w:val="001A7DC2"/>
    <w:rsid w:val="001B07F6"/>
    <w:rsid w:val="001B0AFE"/>
    <w:rsid w:val="001B202B"/>
    <w:rsid w:val="001B3110"/>
    <w:rsid w:val="001B3511"/>
    <w:rsid w:val="001B3A0E"/>
    <w:rsid w:val="001B44FF"/>
    <w:rsid w:val="001B4EE4"/>
    <w:rsid w:val="001B56B7"/>
    <w:rsid w:val="001B6778"/>
    <w:rsid w:val="001B7225"/>
    <w:rsid w:val="001B74DA"/>
    <w:rsid w:val="001B75ED"/>
    <w:rsid w:val="001B7941"/>
    <w:rsid w:val="001C090A"/>
    <w:rsid w:val="001C0D60"/>
    <w:rsid w:val="001C0F83"/>
    <w:rsid w:val="001C3034"/>
    <w:rsid w:val="001C48A8"/>
    <w:rsid w:val="001C504B"/>
    <w:rsid w:val="001C510E"/>
    <w:rsid w:val="001C522E"/>
    <w:rsid w:val="001C795C"/>
    <w:rsid w:val="001D1415"/>
    <w:rsid w:val="001D1859"/>
    <w:rsid w:val="001D23C7"/>
    <w:rsid w:val="001D275F"/>
    <w:rsid w:val="001D28A1"/>
    <w:rsid w:val="001D2A50"/>
    <w:rsid w:val="001D2E72"/>
    <w:rsid w:val="001D353E"/>
    <w:rsid w:val="001D4327"/>
    <w:rsid w:val="001D5485"/>
    <w:rsid w:val="001D55C1"/>
    <w:rsid w:val="001D5DE7"/>
    <w:rsid w:val="001D63F4"/>
    <w:rsid w:val="001D67F1"/>
    <w:rsid w:val="001D6CB9"/>
    <w:rsid w:val="001D7463"/>
    <w:rsid w:val="001D7D8E"/>
    <w:rsid w:val="001E0E7C"/>
    <w:rsid w:val="001E176E"/>
    <w:rsid w:val="001E2E1C"/>
    <w:rsid w:val="001E47B2"/>
    <w:rsid w:val="001E5CBD"/>
    <w:rsid w:val="001E683C"/>
    <w:rsid w:val="001E6A8D"/>
    <w:rsid w:val="001E6B1B"/>
    <w:rsid w:val="001E7698"/>
    <w:rsid w:val="001F09DA"/>
    <w:rsid w:val="001F0F4F"/>
    <w:rsid w:val="001F13E6"/>
    <w:rsid w:val="001F199C"/>
    <w:rsid w:val="001F235C"/>
    <w:rsid w:val="001F237D"/>
    <w:rsid w:val="001F2810"/>
    <w:rsid w:val="001F2C44"/>
    <w:rsid w:val="001F2E21"/>
    <w:rsid w:val="001F4597"/>
    <w:rsid w:val="001F4E4F"/>
    <w:rsid w:val="001F5608"/>
    <w:rsid w:val="001F6D50"/>
    <w:rsid w:val="001F75EB"/>
    <w:rsid w:val="00200FDE"/>
    <w:rsid w:val="00201371"/>
    <w:rsid w:val="0020344B"/>
    <w:rsid w:val="00203CB8"/>
    <w:rsid w:val="00204888"/>
    <w:rsid w:val="00204C88"/>
    <w:rsid w:val="0020532C"/>
    <w:rsid w:val="00205612"/>
    <w:rsid w:val="00205D52"/>
    <w:rsid w:val="0020602B"/>
    <w:rsid w:val="0020650B"/>
    <w:rsid w:val="00206913"/>
    <w:rsid w:val="00207A19"/>
    <w:rsid w:val="00207F13"/>
    <w:rsid w:val="00210640"/>
    <w:rsid w:val="00210E65"/>
    <w:rsid w:val="00211943"/>
    <w:rsid w:val="00211B47"/>
    <w:rsid w:val="00211FE6"/>
    <w:rsid w:val="002130BB"/>
    <w:rsid w:val="00213EC5"/>
    <w:rsid w:val="00213F1F"/>
    <w:rsid w:val="002146CD"/>
    <w:rsid w:val="00214B91"/>
    <w:rsid w:val="00214EBD"/>
    <w:rsid w:val="00215CDE"/>
    <w:rsid w:val="00216EB6"/>
    <w:rsid w:val="00217508"/>
    <w:rsid w:val="002177EA"/>
    <w:rsid w:val="00217927"/>
    <w:rsid w:val="00217941"/>
    <w:rsid w:val="002179FE"/>
    <w:rsid w:val="00217ED9"/>
    <w:rsid w:val="00220219"/>
    <w:rsid w:val="00220971"/>
    <w:rsid w:val="00220B6B"/>
    <w:rsid w:val="00221277"/>
    <w:rsid w:val="00221300"/>
    <w:rsid w:val="0022139E"/>
    <w:rsid w:val="002216F1"/>
    <w:rsid w:val="002217E7"/>
    <w:rsid w:val="00222EDB"/>
    <w:rsid w:val="00223A34"/>
    <w:rsid w:val="00223AB4"/>
    <w:rsid w:val="002245E7"/>
    <w:rsid w:val="00224706"/>
    <w:rsid w:val="002252E0"/>
    <w:rsid w:val="002255F6"/>
    <w:rsid w:val="0022674A"/>
    <w:rsid w:val="00226958"/>
    <w:rsid w:val="0023004F"/>
    <w:rsid w:val="00230A72"/>
    <w:rsid w:val="00230B35"/>
    <w:rsid w:val="002320A5"/>
    <w:rsid w:val="0023214C"/>
    <w:rsid w:val="00232D16"/>
    <w:rsid w:val="002346F8"/>
    <w:rsid w:val="00236443"/>
    <w:rsid w:val="00236678"/>
    <w:rsid w:val="00236AA1"/>
    <w:rsid w:val="00237227"/>
    <w:rsid w:val="00237A78"/>
    <w:rsid w:val="00240B34"/>
    <w:rsid w:val="0024246D"/>
    <w:rsid w:val="00242B9B"/>
    <w:rsid w:val="002436BA"/>
    <w:rsid w:val="00243B70"/>
    <w:rsid w:val="00243F74"/>
    <w:rsid w:val="00243F77"/>
    <w:rsid w:val="00244A15"/>
    <w:rsid w:val="00245DAE"/>
    <w:rsid w:val="00245E86"/>
    <w:rsid w:val="00246693"/>
    <w:rsid w:val="0024799E"/>
    <w:rsid w:val="00247C43"/>
    <w:rsid w:val="002503D9"/>
    <w:rsid w:val="0025064A"/>
    <w:rsid w:val="00250932"/>
    <w:rsid w:val="0025183D"/>
    <w:rsid w:val="002524DD"/>
    <w:rsid w:val="002530C7"/>
    <w:rsid w:val="00253360"/>
    <w:rsid w:val="0025402D"/>
    <w:rsid w:val="00254077"/>
    <w:rsid w:val="002545BF"/>
    <w:rsid w:val="00255E70"/>
    <w:rsid w:val="002561A8"/>
    <w:rsid w:val="0025630A"/>
    <w:rsid w:val="00257229"/>
    <w:rsid w:val="0025762A"/>
    <w:rsid w:val="002620B2"/>
    <w:rsid w:val="00262367"/>
    <w:rsid w:val="002623DB"/>
    <w:rsid w:val="00262DE2"/>
    <w:rsid w:val="00263056"/>
    <w:rsid w:val="00264214"/>
    <w:rsid w:val="00264588"/>
    <w:rsid w:val="00264BA9"/>
    <w:rsid w:val="00264EFE"/>
    <w:rsid w:val="002662F1"/>
    <w:rsid w:val="0026786F"/>
    <w:rsid w:val="002702CD"/>
    <w:rsid w:val="002704E6"/>
    <w:rsid w:val="00270711"/>
    <w:rsid w:val="00271102"/>
    <w:rsid w:val="00272CB1"/>
    <w:rsid w:val="002731CD"/>
    <w:rsid w:val="002734B4"/>
    <w:rsid w:val="002741F8"/>
    <w:rsid w:val="00274DB5"/>
    <w:rsid w:val="002760D2"/>
    <w:rsid w:val="00276B63"/>
    <w:rsid w:val="0027795A"/>
    <w:rsid w:val="00277B21"/>
    <w:rsid w:val="002817BF"/>
    <w:rsid w:val="00281CA1"/>
    <w:rsid w:val="00282111"/>
    <w:rsid w:val="002822A5"/>
    <w:rsid w:val="002829BA"/>
    <w:rsid w:val="00282B15"/>
    <w:rsid w:val="00283092"/>
    <w:rsid w:val="00283437"/>
    <w:rsid w:val="00284657"/>
    <w:rsid w:val="00284703"/>
    <w:rsid w:val="00284D4D"/>
    <w:rsid w:val="002856FF"/>
    <w:rsid w:val="00285D88"/>
    <w:rsid w:val="002864D7"/>
    <w:rsid w:val="00286723"/>
    <w:rsid w:val="00286B25"/>
    <w:rsid w:val="00286DD7"/>
    <w:rsid w:val="00290410"/>
    <w:rsid w:val="00290C0F"/>
    <w:rsid w:val="00291229"/>
    <w:rsid w:val="00291B51"/>
    <w:rsid w:val="00292130"/>
    <w:rsid w:val="00292E6B"/>
    <w:rsid w:val="00293EA3"/>
    <w:rsid w:val="00293EC4"/>
    <w:rsid w:val="002941F0"/>
    <w:rsid w:val="00294C66"/>
    <w:rsid w:val="00294ECE"/>
    <w:rsid w:val="002952B7"/>
    <w:rsid w:val="00295694"/>
    <w:rsid w:val="0029633E"/>
    <w:rsid w:val="00296571"/>
    <w:rsid w:val="002965A8"/>
    <w:rsid w:val="00296B91"/>
    <w:rsid w:val="002972DA"/>
    <w:rsid w:val="00297817"/>
    <w:rsid w:val="00297EE8"/>
    <w:rsid w:val="002A0975"/>
    <w:rsid w:val="002A0EC4"/>
    <w:rsid w:val="002A0F0E"/>
    <w:rsid w:val="002A1858"/>
    <w:rsid w:val="002A1E1B"/>
    <w:rsid w:val="002A20B8"/>
    <w:rsid w:val="002A2283"/>
    <w:rsid w:val="002A246D"/>
    <w:rsid w:val="002A28B1"/>
    <w:rsid w:val="002A30A5"/>
    <w:rsid w:val="002A31EB"/>
    <w:rsid w:val="002A3C20"/>
    <w:rsid w:val="002A439C"/>
    <w:rsid w:val="002A4E39"/>
    <w:rsid w:val="002A4F13"/>
    <w:rsid w:val="002A63D7"/>
    <w:rsid w:val="002A7417"/>
    <w:rsid w:val="002A7E18"/>
    <w:rsid w:val="002A7EF5"/>
    <w:rsid w:val="002B08C4"/>
    <w:rsid w:val="002B0B7D"/>
    <w:rsid w:val="002B0C26"/>
    <w:rsid w:val="002B2AA3"/>
    <w:rsid w:val="002B3582"/>
    <w:rsid w:val="002B394B"/>
    <w:rsid w:val="002B4157"/>
    <w:rsid w:val="002B57FF"/>
    <w:rsid w:val="002B5CCA"/>
    <w:rsid w:val="002B5FCC"/>
    <w:rsid w:val="002B7E2D"/>
    <w:rsid w:val="002C077E"/>
    <w:rsid w:val="002C31D3"/>
    <w:rsid w:val="002C3789"/>
    <w:rsid w:val="002C43BD"/>
    <w:rsid w:val="002C4625"/>
    <w:rsid w:val="002C5037"/>
    <w:rsid w:val="002C5EA5"/>
    <w:rsid w:val="002C6DE2"/>
    <w:rsid w:val="002C7782"/>
    <w:rsid w:val="002D0891"/>
    <w:rsid w:val="002D15F5"/>
    <w:rsid w:val="002D176C"/>
    <w:rsid w:val="002D1F51"/>
    <w:rsid w:val="002D212C"/>
    <w:rsid w:val="002D2D6D"/>
    <w:rsid w:val="002D3AE2"/>
    <w:rsid w:val="002D3DF2"/>
    <w:rsid w:val="002D4653"/>
    <w:rsid w:val="002D47D8"/>
    <w:rsid w:val="002D4C3F"/>
    <w:rsid w:val="002D526C"/>
    <w:rsid w:val="002D5E15"/>
    <w:rsid w:val="002D6B6C"/>
    <w:rsid w:val="002D6D37"/>
    <w:rsid w:val="002E0064"/>
    <w:rsid w:val="002E02A1"/>
    <w:rsid w:val="002E1344"/>
    <w:rsid w:val="002E1696"/>
    <w:rsid w:val="002E1B16"/>
    <w:rsid w:val="002E2D2E"/>
    <w:rsid w:val="002E378A"/>
    <w:rsid w:val="002E415C"/>
    <w:rsid w:val="002E4175"/>
    <w:rsid w:val="002E54BA"/>
    <w:rsid w:val="002E56EA"/>
    <w:rsid w:val="002E60FD"/>
    <w:rsid w:val="002E738D"/>
    <w:rsid w:val="002E7632"/>
    <w:rsid w:val="002E7966"/>
    <w:rsid w:val="002E7A62"/>
    <w:rsid w:val="002F075D"/>
    <w:rsid w:val="002F0E82"/>
    <w:rsid w:val="002F13A6"/>
    <w:rsid w:val="002F1C8F"/>
    <w:rsid w:val="002F2B14"/>
    <w:rsid w:val="002F31A2"/>
    <w:rsid w:val="002F3763"/>
    <w:rsid w:val="002F383B"/>
    <w:rsid w:val="002F4610"/>
    <w:rsid w:val="002F473A"/>
    <w:rsid w:val="002F4840"/>
    <w:rsid w:val="002F536B"/>
    <w:rsid w:val="002F77B1"/>
    <w:rsid w:val="002F7835"/>
    <w:rsid w:val="002F7B2D"/>
    <w:rsid w:val="00300C5E"/>
    <w:rsid w:val="0030115C"/>
    <w:rsid w:val="00301C0F"/>
    <w:rsid w:val="0030273D"/>
    <w:rsid w:val="003029B7"/>
    <w:rsid w:val="00303628"/>
    <w:rsid w:val="00304771"/>
    <w:rsid w:val="003060E9"/>
    <w:rsid w:val="0030627B"/>
    <w:rsid w:val="003064BE"/>
    <w:rsid w:val="00306C5B"/>
    <w:rsid w:val="003070A1"/>
    <w:rsid w:val="00307588"/>
    <w:rsid w:val="003103E0"/>
    <w:rsid w:val="00310D3B"/>
    <w:rsid w:val="00311DC4"/>
    <w:rsid w:val="00312184"/>
    <w:rsid w:val="003121CB"/>
    <w:rsid w:val="003123E5"/>
    <w:rsid w:val="00312A86"/>
    <w:rsid w:val="00313226"/>
    <w:rsid w:val="003132A5"/>
    <w:rsid w:val="003136F4"/>
    <w:rsid w:val="003138D5"/>
    <w:rsid w:val="00313C1A"/>
    <w:rsid w:val="00313E77"/>
    <w:rsid w:val="0031517D"/>
    <w:rsid w:val="00315574"/>
    <w:rsid w:val="003156E7"/>
    <w:rsid w:val="00315836"/>
    <w:rsid w:val="0031659B"/>
    <w:rsid w:val="00317C0E"/>
    <w:rsid w:val="00317EEE"/>
    <w:rsid w:val="003209D6"/>
    <w:rsid w:val="00320BE7"/>
    <w:rsid w:val="00321F4E"/>
    <w:rsid w:val="0032237D"/>
    <w:rsid w:val="00322C43"/>
    <w:rsid w:val="00325432"/>
    <w:rsid w:val="003257F5"/>
    <w:rsid w:val="00325DD0"/>
    <w:rsid w:val="0032720A"/>
    <w:rsid w:val="00327D6C"/>
    <w:rsid w:val="00330B08"/>
    <w:rsid w:val="0033205F"/>
    <w:rsid w:val="00332CDF"/>
    <w:rsid w:val="0033328F"/>
    <w:rsid w:val="00333E65"/>
    <w:rsid w:val="00334173"/>
    <w:rsid w:val="00336397"/>
    <w:rsid w:val="0033669D"/>
    <w:rsid w:val="00336DF1"/>
    <w:rsid w:val="0033719B"/>
    <w:rsid w:val="00337388"/>
    <w:rsid w:val="003406D8"/>
    <w:rsid w:val="003407BD"/>
    <w:rsid w:val="003409C6"/>
    <w:rsid w:val="00341ECF"/>
    <w:rsid w:val="00342B2F"/>
    <w:rsid w:val="00342CAF"/>
    <w:rsid w:val="00342D7F"/>
    <w:rsid w:val="003441BE"/>
    <w:rsid w:val="003446EA"/>
    <w:rsid w:val="00345A98"/>
    <w:rsid w:val="00345C77"/>
    <w:rsid w:val="00346D5F"/>
    <w:rsid w:val="003514E7"/>
    <w:rsid w:val="00351E54"/>
    <w:rsid w:val="00352A02"/>
    <w:rsid w:val="00352CBA"/>
    <w:rsid w:val="00354F8F"/>
    <w:rsid w:val="00355169"/>
    <w:rsid w:val="0035559D"/>
    <w:rsid w:val="0035597D"/>
    <w:rsid w:val="00356188"/>
    <w:rsid w:val="003562A5"/>
    <w:rsid w:val="0035678F"/>
    <w:rsid w:val="0035680A"/>
    <w:rsid w:val="00356A61"/>
    <w:rsid w:val="00356ABD"/>
    <w:rsid w:val="00356B55"/>
    <w:rsid w:val="00356D35"/>
    <w:rsid w:val="0035700E"/>
    <w:rsid w:val="00357655"/>
    <w:rsid w:val="003576D0"/>
    <w:rsid w:val="00357CC8"/>
    <w:rsid w:val="00360828"/>
    <w:rsid w:val="00360E7E"/>
    <w:rsid w:val="00361836"/>
    <w:rsid w:val="00361C6F"/>
    <w:rsid w:val="00364AA8"/>
    <w:rsid w:val="00364E4D"/>
    <w:rsid w:val="003657F3"/>
    <w:rsid w:val="0036766A"/>
    <w:rsid w:val="00367752"/>
    <w:rsid w:val="003678FD"/>
    <w:rsid w:val="00367BB0"/>
    <w:rsid w:val="00370E72"/>
    <w:rsid w:val="0037145A"/>
    <w:rsid w:val="003719DA"/>
    <w:rsid w:val="00371D3C"/>
    <w:rsid w:val="003740E9"/>
    <w:rsid w:val="0037506F"/>
    <w:rsid w:val="00377E3B"/>
    <w:rsid w:val="0038020A"/>
    <w:rsid w:val="003808B1"/>
    <w:rsid w:val="00380CC2"/>
    <w:rsid w:val="003810B7"/>
    <w:rsid w:val="0038135B"/>
    <w:rsid w:val="00381C35"/>
    <w:rsid w:val="00381F09"/>
    <w:rsid w:val="003822AB"/>
    <w:rsid w:val="00382A59"/>
    <w:rsid w:val="00382C33"/>
    <w:rsid w:val="00383276"/>
    <w:rsid w:val="00383513"/>
    <w:rsid w:val="00385D98"/>
    <w:rsid w:val="00386DF2"/>
    <w:rsid w:val="00386F3B"/>
    <w:rsid w:val="00387C68"/>
    <w:rsid w:val="00391AA7"/>
    <w:rsid w:val="0039310B"/>
    <w:rsid w:val="00393347"/>
    <w:rsid w:val="0039379F"/>
    <w:rsid w:val="00393C21"/>
    <w:rsid w:val="00394912"/>
    <w:rsid w:val="003950FA"/>
    <w:rsid w:val="00395150"/>
    <w:rsid w:val="003951A0"/>
    <w:rsid w:val="00395620"/>
    <w:rsid w:val="00395CCB"/>
    <w:rsid w:val="00396CCA"/>
    <w:rsid w:val="00396CEE"/>
    <w:rsid w:val="003A063A"/>
    <w:rsid w:val="003A0D1B"/>
    <w:rsid w:val="003A17BA"/>
    <w:rsid w:val="003A221E"/>
    <w:rsid w:val="003A23ED"/>
    <w:rsid w:val="003A25FF"/>
    <w:rsid w:val="003A2B4D"/>
    <w:rsid w:val="003A2BD0"/>
    <w:rsid w:val="003A35E8"/>
    <w:rsid w:val="003A3E76"/>
    <w:rsid w:val="003A4439"/>
    <w:rsid w:val="003A478C"/>
    <w:rsid w:val="003A4D4F"/>
    <w:rsid w:val="003A51EA"/>
    <w:rsid w:val="003A5525"/>
    <w:rsid w:val="003A557C"/>
    <w:rsid w:val="003A6051"/>
    <w:rsid w:val="003A678B"/>
    <w:rsid w:val="003A6B38"/>
    <w:rsid w:val="003B0413"/>
    <w:rsid w:val="003B07C1"/>
    <w:rsid w:val="003B186E"/>
    <w:rsid w:val="003B2BAD"/>
    <w:rsid w:val="003B2C71"/>
    <w:rsid w:val="003B3FE2"/>
    <w:rsid w:val="003B4110"/>
    <w:rsid w:val="003B4725"/>
    <w:rsid w:val="003B49A8"/>
    <w:rsid w:val="003B4B1C"/>
    <w:rsid w:val="003B5A32"/>
    <w:rsid w:val="003B5C46"/>
    <w:rsid w:val="003B5CC3"/>
    <w:rsid w:val="003B658C"/>
    <w:rsid w:val="003B6754"/>
    <w:rsid w:val="003B7140"/>
    <w:rsid w:val="003B7401"/>
    <w:rsid w:val="003B771D"/>
    <w:rsid w:val="003B77FC"/>
    <w:rsid w:val="003C064D"/>
    <w:rsid w:val="003C0B1A"/>
    <w:rsid w:val="003C0B2C"/>
    <w:rsid w:val="003C1606"/>
    <w:rsid w:val="003C1989"/>
    <w:rsid w:val="003C2615"/>
    <w:rsid w:val="003C2A63"/>
    <w:rsid w:val="003C2F6F"/>
    <w:rsid w:val="003C3F7D"/>
    <w:rsid w:val="003C48BB"/>
    <w:rsid w:val="003C575A"/>
    <w:rsid w:val="003C59A0"/>
    <w:rsid w:val="003C5D6B"/>
    <w:rsid w:val="003C63D9"/>
    <w:rsid w:val="003C6D14"/>
    <w:rsid w:val="003C7713"/>
    <w:rsid w:val="003D1EAD"/>
    <w:rsid w:val="003D3D33"/>
    <w:rsid w:val="003D3DB2"/>
    <w:rsid w:val="003D3EC5"/>
    <w:rsid w:val="003D487D"/>
    <w:rsid w:val="003D5F99"/>
    <w:rsid w:val="003D6541"/>
    <w:rsid w:val="003D70EC"/>
    <w:rsid w:val="003D7C56"/>
    <w:rsid w:val="003E126A"/>
    <w:rsid w:val="003E1540"/>
    <w:rsid w:val="003E2046"/>
    <w:rsid w:val="003E29CB"/>
    <w:rsid w:val="003E2BEE"/>
    <w:rsid w:val="003E2E12"/>
    <w:rsid w:val="003E40BE"/>
    <w:rsid w:val="003E5375"/>
    <w:rsid w:val="003E542D"/>
    <w:rsid w:val="003E5F6B"/>
    <w:rsid w:val="003E659E"/>
    <w:rsid w:val="003E79D0"/>
    <w:rsid w:val="003F05BE"/>
    <w:rsid w:val="003F0699"/>
    <w:rsid w:val="003F10C4"/>
    <w:rsid w:val="003F16B5"/>
    <w:rsid w:val="003F1C9D"/>
    <w:rsid w:val="003F1E27"/>
    <w:rsid w:val="003F279F"/>
    <w:rsid w:val="003F2841"/>
    <w:rsid w:val="003F313C"/>
    <w:rsid w:val="003F3E61"/>
    <w:rsid w:val="003F6140"/>
    <w:rsid w:val="003F62AA"/>
    <w:rsid w:val="00400042"/>
    <w:rsid w:val="00400045"/>
    <w:rsid w:val="0040160E"/>
    <w:rsid w:val="00401DEB"/>
    <w:rsid w:val="004031C8"/>
    <w:rsid w:val="00406CBE"/>
    <w:rsid w:val="004070A8"/>
    <w:rsid w:val="004076FC"/>
    <w:rsid w:val="00407952"/>
    <w:rsid w:val="00407CEF"/>
    <w:rsid w:val="00410D5F"/>
    <w:rsid w:val="00410D77"/>
    <w:rsid w:val="004116AB"/>
    <w:rsid w:val="004116C5"/>
    <w:rsid w:val="004123F8"/>
    <w:rsid w:val="00412853"/>
    <w:rsid w:val="004131A5"/>
    <w:rsid w:val="00413387"/>
    <w:rsid w:val="00414240"/>
    <w:rsid w:val="004159BE"/>
    <w:rsid w:val="004202E5"/>
    <w:rsid w:val="0042093A"/>
    <w:rsid w:val="00421D72"/>
    <w:rsid w:val="00422315"/>
    <w:rsid w:val="00422D29"/>
    <w:rsid w:val="00423516"/>
    <w:rsid w:val="004236B3"/>
    <w:rsid w:val="004251DA"/>
    <w:rsid w:val="00427031"/>
    <w:rsid w:val="00427185"/>
    <w:rsid w:val="00427765"/>
    <w:rsid w:val="004309FF"/>
    <w:rsid w:val="00430F18"/>
    <w:rsid w:val="0043194A"/>
    <w:rsid w:val="00431B48"/>
    <w:rsid w:val="00431B5D"/>
    <w:rsid w:val="00431F9F"/>
    <w:rsid w:val="00432A69"/>
    <w:rsid w:val="00433C4C"/>
    <w:rsid w:val="00433F56"/>
    <w:rsid w:val="00435439"/>
    <w:rsid w:val="00436048"/>
    <w:rsid w:val="004362C3"/>
    <w:rsid w:val="004366E9"/>
    <w:rsid w:val="0043746B"/>
    <w:rsid w:val="00437CD7"/>
    <w:rsid w:val="0044116D"/>
    <w:rsid w:val="004423DA"/>
    <w:rsid w:val="00442AFE"/>
    <w:rsid w:val="00442F8D"/>
    <w:rsid w:val="004434A7"/>
    <w:rsid w:val="00446BDF"/>
    <w:rsid w:val="004479AD"/>
    <w:rsid w:val="0045122A"/>
    <w:rsid w:val="00452B89"/>
    <w:rsid w:val="00453260"/>
    <w:rsid w:val="00453D53"/>
    <w:rsid w:val="00455781"/>
    <w:rsid w:val="00455B9C"/>
    <w:rsid w:val="00455C0E"/>
    <w:rsid w:val="00455CA7"/>
    <w:rsid w:val="004563DC"/>
    <w:rsid w:val="0045641C"/>
    <w:rsid w:val="00456EBB"/>
    <w:rsid w:val="004601EC"/>
    <w:rsid w:val="00460471"/>
    <w:rsid w:val="00462729"/>
    <w:rsid w:val="00463478"/>
    <w:rsid w:val="004641AA"/>
    <w:rsid w:val="00464380"/>
    <w:rsid w:val="00464A1B"/>
    <w:rsid w:val="00465311"/>
    <w:rsid w:val="00466856"/>
    <w:rsid w:val="00466D51"/>
    <w:rsid w:val="00466D79"/>
    <w:rsid w:val="00470603"/>
    <w:rsid w:val="00470CEE"/>
    <w:rsid w:val="0047128A"/>
    <w:rsid w:val="004721FE"/>
    <w:rsid w:val="00472688"/>
    <w:rsid w:val="00473C7D"/>
    <w:rsid w:val="00473FDD"/>
    <w:rsid w:val="004741CD"/>
    <w:rsid w:val="0047685A"/>
    <w:rsid w:val="00477806"/>
    <w:rsid w:val="0048077D"/>
    <w:rsid w:val="0048139F"/>
    <w:rsid w:val="00481B3C"/>
    <w:rsid w:val="00481FEA"/>
    <w:rsid w:val="00482A95"/>
    <w:rsid w:val="00483CCC"/>
    <w:rsid w:val="00483D06"/>
    <w:rsid w:val="00484D2D"/>
    <w:rsid w:val="00485020"/>
    <w:rsid w:val="0048672E"/>
    <w:rsid w:val="00487509"/>
    <w:rsid w:val="00487D59"/>
    <w:rsid w:val="00491701"/>
    <w:rsid w:val="004935F8"/>
    <w:rsid w:val="00493A9C"/>
    <w:rsid w:val="004941D8"/>
    <w:rsid w:val="00495130"/>
    <w:rsid w:val="0049557D"/>
    <w:rsid w:val="00495BF2"/>
    <w:rsid w:val="004964E6"/>
    <w:rsid w:val="0049706C"/>
    <w:rsid w:val="004971B6"/>
    <w:rsid w:val="00497328"/>
    <w:rsid w:val="004A1343"/>
    <w:rsid w:val="004A25C3"/>
    <w:rsid w:val="004A25D5"/>
    <w:rsid w:val="004A29D3"/>
    <w:rsid w:val="004A3DC9"/>
    <w:rsid w:val="004A3E53"/>
    <w:rsid w:val="004A468E"/>
    <w:rsid w:val="004A51C4"/>
    <w:rsid w:val="004A77A8"/>
    <w:rsid w:val="004A77DF"/>
    <w:rsid w:val="004B12F7"/>
    <w:rsid w:val="004B1B5A"/>
    <w:rsid w:val="004B2E20"/>
    <w:rsid w:val="004B2E8D"/>
    <w:rsid w:val="004B355A"/>
    <w:rsid w:val="004B55B7"/>
    <w:rsid w:val="004B793A"/>
    <w:rsid w:val="004C16AD"/>
    <w:rsid w:val="004C1966"/>
    <w:rsid w:val="004C1C5E"/>
    <w:rsid w:val="004C2E6C"/>
    <w:rsid w:val="004C3867"/>
    <w:rsid w:val="004C3FE7"/>
    <w:rsid w:val="004C4680"/>
    <w:rsid w:val="004C4813"/>
    <w:rsid w:val="004C4CD0"/>
    <w:rsid w:val="004C5519"/>
    <w:rsid w:val="004C678A"/>
    <w:rsid w:val="004C70DC"/>
    <w:rsid w:val="004C7AA9"/>
    <w:rsid w:val="004D0211"/>
    <w:rsid w:val="004D042F"/>
    <w:rsid w:val="004D0A65"/>
    <w:rsid w:val="004D1E50"/>
    <w:rsid w:val="004D2A08"/>
    <w:rsid w:val="004D2A4B"/>
    <w:rsid w:val="004D2C8B"/>
    <w:rsid w:val="004D3701"/>
    <w:rsid w:val="004D5F45"/>
    <w:rsid w:val="004D61D4"/>
    <w:rsid w:val="004D61D5"/>
    <w:rsid w:val="004D6318"/>
    <w:rsid w:val="004D66D6"/>
    <w:rsid w:val="004D6A27"/>
    <w:rsid w:val="004D70A4"/>
    <w:rsid w:val="004E09AB"/>
    <w:rsid w:val="004E0A21"/>
    <w:rsid w:val="004E0ABB"/>
    <w:rsid w:val="004E11C1"/>
    <w:rsid w:val="004E11E1"/>
    <w:rsid w:val="004E1E4B"/>
    <w:rsid w:val="004E22ED"/>
    <w:rsid w:val="004E2C66"/>
    <w:rsid w:val="004E3005"/>
    <w:rsid w:val="004E3936"/>
    <w:rsid w:val="004E41D9"/>
    <w:rsid w:val="004E45CC"/>
    <w:rsid w:val="004E46DF"/>
    <w:rsid w:val="004E4DD2"/>
    <w:rsid w:val="004E511E"/>
    <w:rsid w:val="004E5851"/>
    <w:rsid w:val="004E591D"/>
    <w:rsid w:val="004E5A72"/>
    <w:rsid w:val="004E5C31"/>
    <w:rsid w:val="004E7AE1"/>
    <w:rsid w:val="004F02EF"/>
    <w:rsid w:val="004F0354"/>
    <w:rsid w:val="004F06F5"/>
    <w:rsid w:val="004F15EE"/>
    <w:rsid w:val="004F16EE"/>
    <w:rsid w:val="004F1ECB"/>
    <w:rsid w:val="004F1F5F"/>
    <w:rsid w:val="004F2C2E"/>
    <w:rsid w:val="004F3087"/>
    <w:rsid w:val="004F33A0"/>
    <w:rsid w:val="004F3C0D"/>
    <w:rsid w:val="004F4E78"/>
    <w:rsid w:val="004F565F"/>
    <w:rsid w:val="004F5FC4"/>
    <w:rsid w:val="004F6276"/>
    <w:rsid w:val="004F72DA"/>
    <w:rsid w:val="004F7430"/>
    <w:rsid w:val="004F7E2C"/>
    <w:rsid w:val="00502D0B"/>
    <w:rsid w:val="00503A24"/>
    <w:rsid w:val="00503ACA"/>
    <w:rsid w:val="00504084"/>
    <w:rsid w:val="00504AF2"/>
    <w:rsid w:val="00505549"/>
    <w:rsid w:val="00506563"/>
    <w:rsid w:val="005072E8"/>
    <w:rsid w:val="005077B3"/>
    <w:rsid w:val="005108C0"/>
    <w:rsid w:val="00510F11"/>
    <w:rsid w:val="0051105A"/>
    <w:rsid w:val="005116AE"/>
    <w:rsid w:val="00511873"/>
    <w:rsid w:val="005124A8"/>
    <w:rsid w:val="00512880"/>
    <w:rsid w:val="00512DE2"/>
    <w:rsid w:val="00513211"/>
    <w:rsid w:val="00513B7E"/>
    <w:rsid w:val="00513F1A"/>
    <w:rsid w:val="0051439D"/>
    <w:rsid w:val="005161B9"/>
    <w:rsid w:val="00516C32"/>
    <w:rsid w:val="005170FE"/>
    <w:rsid w:val="00517199"/>
    <w:rsid w:val="00517262"/>
    <w:rsid w:val="0051743B"/>
    <w:rsid w:val="0051750C"/>
    <w:rsid w:val="0051782B"/>
    <w:rsid w:val="00517B67"/>
    <w:rsid w:val="0052082F"/>
    <w:rsid w:val="00520D35"/>
    <w:rsid w:val="00520DE9"/>
    <w:rsid w:val="00521358"/>
    <w:rsid w:val="0052170D"/>
    <w:rsid w:val="00521D11"/>
    <w:rsid w:val="00521D61"/>
    <w:rsid w:val="00521FEE"/>
    <w:rsid w:val="005227FD"/>
    <w:rsid w:val="00524172"/>
    <w:rsid w:val="00525137"/>
    <w:rsid w:val="005251DD"/>
    <w:rsid w:val="00526F7C"/>
    <w:rsid w:val="00527020"/>
    <w:rsid w:val="00527B11"/>
    <w:rsid w:val="005302AA"/>
    <w:rsid w:val="00530DA1"/>
    <w:rsid w:val="0053109F"/>
    <w:rsid w:val="005325E6"/>
    <w:rsid w:val="0053295E"/>
    <w:rsid w:val="0053309F"/>
    <w:rsid w:val="00533186"/>
    <w:rsid w:val="005333E4"/>
    <w:rsid w:val="00533F4C"/>
    <w:rsid w:val="005342AF"/>
    <w:rsid w:val="005352AF"/>
    <w:rsid w:val="00535D03"/>
    <w:rsid w:val="00535D2B"/>
    <w:rsid w:val="005362C2"/>
    <w:rsid w:val="00536B55"/>
    <w:rsid w:val="005378E7"/>
    <w:rsid w:val="005426BE"/>
    <w:rsid w:val="00543AB1"/>
    <w:rsid w:val="00543CEB"/>
    <w:rsid w:val="00544E06"/>
    <w:rsid w:val="00544F4C"/>
    <w:rsid w:val="0054507C"/>
    <w:rsid w:val="00545AFD"/>
    <w:rsid w:val="0054688A"/>
    <w:rsid w:val="00547A35"/>
    <w:rsid w:val="00547EAB"/>
    <w:rsid w:val="0055195E"/>
    <w:rsid w:val="00552CA7"/>
    <w:rsid w:val="00553A7D"/>
    <w:rsid w:val="00553D10"/>
    <w:rsid w:val="00553ECF"/>
    <w:rsid w:val="005559F0"/>
    <w:rsid w:val="005565F2"/>
    <w:rsid w:val="00557735"/>
    <w:rsid w:val="0056078B"/>
    <w:rsid w:val="0056103D"/>
    <w:rsid w:val="00562058"/>
    <w:rsid w:val="0056261D"/>
    <w:rsid w:val="005628B1"/>
    <w:rsid w:val="00562FEE"/>
    <w:rsid w:val="00565CC6"/>
    <w:rsid w:val="00565EF7"/>
    <w:rsid w:val="00566023"/>
    <w:rsid w:val="005660C3"/>
    <w:rsid w:val="005662B0"/>
    <w:rsid w:val="00567035"/>
    <w:rsid w:val="00567F78"/>
    <w:rsid w:val="00570286"/>
    <w:rsid w:val="0057043F"/>
    <w:rsid w:val="00571628"/>
    <w:rsid w:val="00571A83"/>
    <w:rsid w:val="00571D0D"/>
    <w:rsid w:val="00571D93"/>
    <w:rsid w:val="005734A4"/>
    <w:rsid w:val="005739C6"/>
    <w:rsid w:val="00574467"/>
    <w:rsid w:val="005752A6"/>
    <w:rsid w:val="0057578A"/>
    <w:rsid w:val="00575C23"/>
    <w:rsid w:val="005762E7"/>
    <w:rsid w:val="00576FE4"/>
    <w:rsid w:val="00580982"/>
    <w:rsid w:val="00582D33"/>
    <w:rsid w:val="005832D2"/>
    <w:rsid w:val="00583F8C"/>
    <w:rsid w:val="00583FFD"/>
    <w:rsid w:val="00585530"/>
    <w:rsid w:val="00585C1E"/>
    <w:rsid w:val="0058631E"/>
    <w:rsid w:val="0058632D"/>
    <w:rsid w:val="00586591"/>
    <w:rsid w:val="00586B52"/>
    <w:rsid w:val="005872D8"/>
    <w:rsid w:val="00587530"/>
    <w:rsid w:val="00591242"/>
    <w:rsid w:val="00591B72"/>
    <w:rsid w:val="00592078"/>
    <w:rsid w:val="005926DF"/>
    <w:rsid w:val="00593152"/>
    <w:rsid w:val="00593360"/>
    <w:rsid w:val="00593616"/>
    <w:rsid w:val="00593FEE"/>
    <w:rsid w:val="00594944"/>
    <w:rsid w:val="00594BC9"/>
    <w:rsid w:val="00594FB0"/>
    <w:rsid w:val="00595DC7"/>
    <w:rsid w:val="00597054"/>
    <w:rsid w:val="0059708A"/>
    <w:rsid w:val="0059722F"/>
    <w:rsid w:val="005972BB"/>
    <w:rsid w:val="005977E9"/>
    <w:rsid w:val="00597CF4"/>
    <w:rsid w:val="005A1494"/>
    <w:rsid w:val="005A21E0"/>
    <w:rsid w:val="005A241E"/>
    <w:rsid w:val="005A3E04"/>
    <w:rsid w:val="005A3EA6"/>
    <w:rsid w:val="005A4679"/>
    <w:rsid w:val="005A5899"/>
    <w:rsid w:val="005A670A"/>
    <w:rsid w:val="005A6E20"/>
    <w:rsid w:val="005A7382"/>
    <w:rsid w:val="005A7EA7"/>
    <w:rsid w:val="005B15FE"/>
    <w:rsid w:val="005B1853"/>
    <w:rsid w:val="005B2CAE"/>
    <w:rsid w:val="005B3B88"/>
    <w:rsid w:val="005B4204"/>
    <w:rsid w:val="005B4A87"/>
    <w:rsid w:val="005B4C9B"/>
    <w:rsid w:val="005B4DAD"/>
    <w:rsid w:val="005B559C"/>
    <w:rsid w:val="005B6781"/>
    <w:rsid w:val="005B67D0"/>
    <w:rsid w:val="005B6F35"/>
    <w:rsid w:val="005B7A7A"/>
    <w:rsid w:val="005B7D48"/>
    <w:rsid w:val="005C13AD"/>
    <w:rsid w:val="005C2198"/>
    <w:rsid w:val="005C2C4B"/>
    <w:rsid w:val="005C42D5"/>
    <w:rsid w:val="005C53F1"/>
    <w:rsid w:val="005C665F"/>
    <w:rsid w:val="005C6CD5"/>
    <w:rsid w:val="005C7488"/>
    <w:rsid w:val="005D014E"/>
    <w:rsid w:val="005D14B9"/>
    <w:rsid w:val="005D1D2F"/>
    <w:rsid w:val="005D247D"/>
    <w:rsid w:val="005D2D1C"/>
    <w:rsid w:val="005D3C2C"/>
    <w:rsid w:val="005D44A6"/>
    <w:rsid w:val="005D54BB"/>
    <w:rsid w:val="005D5802"/>
    <w:rsid w:val="005D5C56"/>
    <w:rsid w:val="005D5E5F"/>
    <w:rsid w:val="005D5E79"/>
    <w:rsid w:val="005D63F7"/>
    <w:rsid w:val="005D70D8"/>
    <w:rsid w:val="005D77CC"/>
    <w:rsid w:val="005E0F32"/>
    <w:rsid w:val="005E169D"/>
    <w:rsid w:val="005E229F"/>
    <w:rsid w:val="005E2304"/>
    <w:rsid w:val="005E29BF"/>
    <w:rsid w:val="005E2A43"/>
    <w:rsid w:val="005E2F1E"/>
    <w:rsid w:val="005E35DF"/>
    <w:rsid w:val="005E3777"/>
    <w:rsid w:val="005E379C"/>
    <w:rsid w:val="005E3C06"/>
    <w:rsid w:val="005E4055"/>
    <w:rsid w:val="005E50D6"/>
    <w:rsid w:val="005E5841"/>
    <w:rsid w:val="005E716F"/>
    <w:rsid w:val="005E763D"/>
    <w:rsid w:val="005F09A8"/>
    <w:rsid w:val="005F172F"/>
    <w:rsid w:val="005F1D78"/>
    <w:rsid w:val="005F3B4D"/>
    <w:rsid w:val="005F5310"/>
    <w:rsid w:val="005F547B"/>
    <w:rsid w:val="005F547C"/>
    <w:rsid w:val="005F6917"/>
    <w:rsid w:val="005F6F7C"/>
    <w:rsid w:val="005F75FF"/>
    <w:rsid w:val="00601818"/>
    <w:rsid w:val="006022F3"/>
    <w:rsid w:val="00602327"/>
    <w:rsid w:val="00602C17"/>
    <w:rsid w:val="00602C19"/>
    <w:rsid w:val="00602F57"/>
    <w:rsid w:val="0060342E"/>
    <w:rsid w:val="00604307"/>
    <w:rsid w:val="0060487F"/>
    <w:rsid w:val="00605309"/>
    <w:rsid w:val="00606057"/>
    <w:rsid w:val="00606227"/>
    <w:rsid w:val="00606465"/>
    <w:rsid w:val="00607283"/>
    <w:rsid w:val="006106F2"/>
    <w:rsid w:val="00610EDF"/>
    <w:rsid w:val="00615A40"/>
    <w:rsid w:val="00615C91"/>
    <w:rsid w:val="006179E9"/>
    <w:rsid w:val="00617A29"/>
    <w:rsid w:val="00620647"/>
    <w:rsid w:val="00620E4A"/>
    <w:rsid w:val="00624093"/>
    <w:rsid w:val="00625011"/>
    <w:rsid w:val="006257D8"/>
    <w:rsid w:val="0062597D"/>
    <w:rsid w:val="0062615A"/>
    <w:rsid w:val="0062697B"/>
    <w:rsid w:val="00627984"/>
    <w:rsid w:val="0063009F"/>
    <w:rsid w:val="00631432"/>
    <w:rsid w:val="00631640"/>
    <w:rsid w:val="00633681"/>
    <w:rsid w:val="006343AA"/>
    <w:rsid w:val="0063441F"/>
    <w:rsid w:val="0063445D"/>
    <w:rsid w:val="00635A64"/>
    <w:rsid w:val="00635B61"/>
    <w:rsid w:val="00635B9F"/>
    <w:rsid w:val="00636B4D"/>
    <w:rsid w:val="00640010"/>
    <w:rsid w:val="006402CC"/>
    <w:rsid w:val="006404A7"/>
    <w:rsid w:val="00640655"/>
    <w:rsid w:val="00641532"/>
    <w:rsid w:val="00641F40"/>
    <w:rsid w:val="006427F8"/>
    <w:rsid w:val="00642EFA"/>
    <w:rsid w:val="006434C5"/>
    <w:rsid w:val="00643743"/>
    <w:rsid w:val="00643EF0"/>
    <w:rsid w:val="006451E4"/>
    <w:rsid w:val="006451F0"/>
    <w:rsid w:val="006452D0"/>
    <w:rsid w:val="00645BE1"/>
    <w:rsid w:val="0064634C"/>
    <w:rsid w:val="006469C0"/>
    <w:rsid w:val="00646BC3"/>
    <w:rsid w:val="00647654"/>
    <w:rsid w:val="006501C7"/>
    <w:rsid w:val="00651A62"/>
    <w:rsid w:val="00651FE8"/>
    <w:rsid w:val="006566C6"/>
    <w:rsid w:val="006571A0"/>
    <w:rsid w:val="00657290"/>
    <w:rsid w:val="00657E87"/>
    <w:rsid w:val="0066031F"/>
    <w:rsid w:val="0066042C"/>
    <w:rsid w:val="00662212"/>
    <w:rsid w:val="0066241C"/>
    <w:rsid w:val="00662635"/>
    <w:rsid w:val="00662983"/>
    <w:rsid w:val="00662987"/>
    <w:rsid w:val="00662BF9"/>
    <w:rsid w:val="00662E57"/>
    <w:rsid w:val="00663965"/>
    <w:rsid w:val="00663FA5"/>
    <w:rsid w:val="00664108"/>
    <w:rsid w:val="006649E8"/>
    <w:rsid w:val="00664E65"/>
    <w:rsid w:val="00665D01"/>
    <w:rsid w:val="00666AF3"/>
    <w:rsid w:val="0066749B"/>
    <w:rsid w:val="0066780B"/>
    <w:rsid w:val="0067002B"/>
    <w:rsid w:val="00670257"/>
    <w:rsid w:val="00670ACF"/>
    <w:rsid w:val="00670DB2"/>
    <w:rsid w:val="006710C9"/>
    <w:rsid w:val="00671F3E"/>
    <w:rsid w:val="00673310"/>
    <w:rsid w:val="00673CD6"/>
    <w:rsid w:val="00674219"/>
    <w:rsid w:val="00674A25"/>
    <w:rsid w:val="00675852"/>
    <w:rsid w:val="00675902"/>
    <w:rsid w:val="00675E37"/>
    <w:rsid w:val="00675FEA"/>
    <w:rsid w:val="00676585"/>
    <w:rsid w:val="00677B2E"/>
    <w:rsid w:val="00680988"/>
    <w:rsid w:val="00680E1C"/>
    <w:rsid w:val="0068117C"/>
    <w:rsid w:val="006812AA"/>
    <w:rsid w:val="006819BD"/>
    <w:rsid w:val="00681C45"/>
    <w:rsid w:val="00681D98"/>
    <w:rsid w:val="00681E2C"/>
    <w:rsid w:val="00681EC9"/>
    <w:rsid w:val="0068260E"/>
    <w:rsid w:val="006828B0"/>
    <w:rsid w:val="00685EA0"/>
    <w:rsid w:val="0068647B"/>
    <w:rsid w:val="006869F2"/>
    <w:rsid w:val="00687116"/>
    <w:rsid w:val="00687495"/>
    <w:rsid w:val="00691EF4"/>
    <w:rsid w:val="006927DD"/>
    <w:rsid w:val="00693C50"/>
    <w:rsid w:val="006944AA"/>
    <w:rsid w:val="006945E6"/>
    <w:rsid w:val="00694EC8"/>
    <w:rsid w:val="00695112"/>
    <w:rsid w:val="00695276"/>
    <w:rsid w:val="0069580A"/>
    <w:rsid w:val="00695AEB"/>
    <w:rsid w:val="00695BEF"/>
    <w:rsid w:val="00695E31"/>
    <w:rsid w:val="0069634D"/>
    <w:rsid w:val="0069662F"/>
    <w:rsid w:val="00696EF5"/>
    <w:rsid w:val="00697064"/>
    <w:rsid w:val="006971A0"/>
    <w:rsid w:val="00697444"/>
    <w:rsid w:val="0069751E"/>
    <w:rsid w:val="00697607"/>
    <w:rsid w:val="006977F6"/>
    <w:rsid w:val="00697A13"/>
    <w:rsid w:val="006A109C"/>
    <w:rsid w:val="006A117B"/>
    <w:rsid w:val="006A133A"/>
    <w:rsid w:val="006A1571"/>
    <w:rsid w:val="006A1B54"/>
    <w:rsid w:val="006A33D7"/>
    <w:rsid w:val="006A4411"/>
    <w:rsid w:val="006A4AB4"/>
    <w:rsid w:val="006A523D"/>
    <w:rsid w:val="006A5597"/>
    <w:rsid w:val="006A5BB9"/>
    <w:rsid w:val="006A65A1"/>
    <w:rsid w:val="006A6843"/>
    <w:rsid w:val="006A7DE1"/>
    <w:rsid w:val="006A7DEE"/>
    <w:rsid w:val="006B0CEA"/>
    <w:rsid w:val="006B1C05"/>
    <w:rsid w:val="006B320D"/>
    <w:rsid w:val="006B3317"/>
    <w:rsid w:val="006B39B8"/>
    <w:rsid w:val="006B4BB0"/>
    <w:rsid w:val="006B526B"/>
    <w:rsid w:val="006B544A"/>
    <w:rsid w:val="006B5CFF"/>
    <w:rsid w:val="006B6969"/>
    <w:rsid w:val="006B7357"/>
    <w:rsid w:val="006B7832"/>
    <w:rsid w:val="006B78D8"/>
    <w:rsid w:val="006B79DE"/>
    <w:rsid w:val="006C05ED"/>
    <w:rsid w:val="006C094F"/>
    <w:rsid w:val="006C113F"/>
    <w:rsid w:val="006C2FAF"/>
    <w:rsid w:val="006C3C9F"/>
    <w:rsid w:val="006C588F"/>
    <w:rsid w:val="006C5A31"/>
    <w:rsid w:val="006C60B2"/>
    <w:rsid w:val="006C6B8A"/>
    <w:rsid w:val="006C71C9"/>
    <w:rsid w:val="006C738C"/>
    <w:rsid w:val="006D06AF"/>
    <w:rsid w:val="006D0D80"/>
    <w:rsid w:val="006D1920"/>
    <w:rsid w:val="006D1CB5"/>
    <w:rsid w:val="006D4ED0"/>
    <w:rsid w:val="006D566D"/>
    <w:rsid w:val="006D57D2"/>
    <w:rsid w:val="006D5CE5"/>
    <w:rsid w:val="006D61F6"/>
    <w:rsid w:val="006D650C"/>
    <w:rsid w:val="006D6684"/>
    <w:rsid w:val="006D6DE4"/>
    <w:rsid w:val="006D7F8A"/>
    <w:rsid w:val="006E09EC"/>
    <w:rsid w:val="006E2569"/>
    <w:rsid w:val="006E279A"/>
    <w:rsid w:val="006E2F59"/>
    <w:rsid w:val="006E313B"/>
    <w:rsid w:val="006E31D5"/>
    <w:rsid w:val="006E374E"/>
    <w:rsid w:val="006E37B6"/>
    <w:rsid w:val="006E496E"/>
    <w:rsid w:val="006E4FB0"/>
    <w:rsid w:val="006E6595"/>
    <w:rsid w:val="006E6AA9"/>
    <w:rsid w:val="006E6ED3"/>
    <w:rsid w:val="006F05FB"/>
    <w:rsid w:val="006F1715"/>
    <w:rsid w:val="006F18A3"/>
    <w:rsid w:val="006F1D47"/>
    <w:rsid w:val="006F1D69"/>
    <w:rsid w:val="006F31E2"/>
    <w:rsid w:val="006F48C3"/>
    <w:rsid w:val="006F4B7D"/>
    <w:rsid w:val="006F4C74"/>
    <w:rsid w:val="006F5504"/>
    <w:rsid w:val="006F5D6F"/>
    <w:rsid w:val="006F696D"/>
    <w:rsid w:val="006F7318"/>
    <w:rsid w:val="006F799D"/>
    <w:rsid w:val="006F7AEC"/>
    <w:rsid w:val="00700361"/>
    <w:rsid w:val="00700F86"/>
    <w:rsid w:val="00702B39"/>
    <w:rsid w:val="007033D3"/>
    <w:rsid w:val="00704AFC"/>
    <w:rsid w:val="00704F00"/>
    <w:rsid w:val="00707ACC"/>
    <w:rsid w:val="00707D68"/>
    <w:rsid w:val="00710016"/>
    <w:rsid w:val="007101C0"/>
    <w:rsid w:val="00710834"/>
    <w:rsid w:val="00710A84"/>
    <w:rsid w:val="00711097"/>
    <w:rsid w:val="00711D64"/>
    <w:rsid w:val="00711D95"/>
    <w:rsid w:val="00712112"/>
    <w:rsid w:val="00712917"/>
    <w:rsid w:val="007131D0"/>
    <w:rsid w:val="00713360"/>
    <w:rsid w:val="0071349D"/>
    <w:rsid w:val="0071369B"/>
    <w:rsid w:val="00713F10"/>
    <w:rsid w:val="007151FF"/>
    <w:rsid w:val="0071532B"/>
    <w:rsid w:val="007154E1"/>
    <w:rsid w:val="0071720B"/>
    <w:rsid w:val="00717E88"/>
    <w:rsid w:val="0072077E"/>
    <w:rsid w:val="007211F5"/>
    <w:rsid w:val="00721390"/>
    <w:rsid w:val="00721A73"/>
    <w:rsid w:val="00721CC4"/>
    <w:rsid w:val="007220C5"/>
    <w:rsid w:val="00722F19"/>
    <w:rsid w:val="00723F05"/>
    <w:rsid w:val="007249CD"/>
    <w:rsid w:val="0072567E"/>
    <w:rsid w:val="007266EC"/>
    <w:rsid w:val="007305E3"/>
    <w:rsid w:val="00730645"/>
    <w:rsid w:val="00730AE8"/>
    <w:rsid w:val="00730BCD"/>
    <w:rsid w:val="0073232E"/>
    <w:rsid w:val="007325E4"/>
    <w:rsid w:val="00732BFC"/>
    <w:rsid w:val="00733287"/>
    <w:rsid w:val="0073359E"/>
    <w:rsid w:val="00733953"/>
    <w:rsid w:val="007347B8"/>
    <w:rsid w:val="00735172"/>
    <w:rsid w:val="007351A8"/>
    <w:rsid w:val="007361E0"/>
    <w:rsid w:val="0073646A"/>
    <w:rsid w:val="0073738A"/>
    <w:rsid w:val="00737392"/>
    <w:rsid w:val="007412C7"/>
    <w:rsid w:val="00741493"/>
    <w:rsid w:val="00741584"/>
    <w:rsid w:val="00742E47"/>
    <w:rsid w:val="0074547C"/>
    <w:rsid w:val="0074794F"/>
    <w:rsid w:val="00747C68"/>
    <w:rsid w:val="0075000B"/>
    <w:rsid w:val="00750487"/>
    <w:rsid w:val="00751040"/>
    <w:rsid w:val="00751B88"/>
    <w:rsid w:val="0075203E"/>
    <w:rsid w:val="00752180"/>
    <w:rsid w:val="0075342A"/>
    <w:rsid w:val="0075351C"/>
    <w:rsid w:val="00753A91"/>
    <w:rsid w:val="0075536F"/>
    <w:rsid w:val="00755AFC"/>
    <w:rsid w:val="00755D3A"/>
    <w:rsid w:val="007565BB"/>
    <w:rsid w:val="00757FAD"/>
    <w:rsid w:val="0076065B"/>
    <w:rsid w:val="007609C6"/>
    <w:rsid w:val="00760D47"/>
    <w:rsid w:val="00761B3D"/>
    <w:rsid w:val="007620CA"/>
    <w:rsid w:val="00764482"/>
    <w:rsid w:val="007649C1"/>
    <w:rsid w:val="0076517F"/>
    <w:rsid w:val="00765317"/>
    <w:rsid w:val="007702E9"/>
    <w:rsid w:val="007707DD"/>
    <w:rsid w:val="00772250"/>
    <w:rsid w:val="007742A8"/>
    <w:rsid w:val="00774D0C"/>
    <w:rsid w:val="00774DEB"/>
    <w:rsid w:val="007756E5"/>
    <w:rsid w:val="00776137"/>
    <w:rsid w:val="00776527"/>
    <w:rsid w:val="00776719"/>
    <w:rsid w:val="00776859"/>
    <w:rsid w:val="00776FE1"/>
    <w:rsid w:val="00777823"/>
    <w:rsid w:val="0077790B"/>
    <w:rsid w:val="00777D0D"/>
    <w:rsid w:val="0078048D"/>
    <w:rsid w:val="007806D6"/>
    <w:rsid w:val="007844CC"/>
    <w:rsid w:val="00784E80"/>
    <w:rsid w:val="007870B4"/>
    <w:rsid w:val="00787C00"/>
    <w:rsid w:val="007903AF"/>
    <w:rsid w:val="0079069E"/>
    <w:rsid w:val="00790FA4"/>
    <w:rsid w:val="0079114F"/>
    <w:rsid w:val="007921E8"/>
    <w:rsid w:val="00792227"/>
    <w:rsid w:val="0079384B"/>
    <w:rsid w:val="00793EC8"/>
    <w:rsid w:val="00793F60"/>
    <w:rsid w:val="007941FC"/>
    <w:rsid w:val="00794363"/>
    <w:rsid w:val="00796369"/>
    <w:rsid w:val="00796584"/>
    <w:rsid w:val="0079685C"/>
    <w:rsid w:val="00796E9B"/>
    <w:rsid w:val="00797F5F"/>
    <w:rsid w:val="007A024F"/>
    <w:rsid w:val="007A04D5"/>
    <w:rsid w:val="007A0CD9"/>
    <w:rsid w:val="007A0F2E"/>
    <w:rsid w:val="007A1D16"/>
    <w:rsid w:val="007A2925"/>
    <w:rsid w:val="007A4879"/>
    <w:rsid w:val="007A4BF3"/>
    <w:rsid w:val="007A6B30"/>
    <w:rsid w:val="007A7532"/>
    <w:rsid w:val="007A76A8"/>
    <w:rsid w:val="007A77B1"/>
    <w:rsid w:val="007B06EC"/>
    <w:rsid w:val="007B100F"/>
    <w:rsid w:val="007B185F"/>
    <w:rsid w:val="007B19B2"/>
    <w:rsid w:val="007B2217"/>
    <w:rsid w:val="007B3059"/>
    <w:rsid w:val="007B6CD3"/>
    <w:rsid w:val="007B7003"/>
    <w:rsid w:val="007B7C9D"/>
    <w:rsid w:val="007C167E"/>
    <w:rsid w:val="007C1911"/>
    <w:rsid w:val="007C2691"/>
    <w:rsid w:val="007C274A"/>
    <w:rsid w:val="007C330F"/>
    <w:rsid w:val="007C358A"/>
    <w:rsid w:val="007C3C87"/>
    <w:rsid w:val="007C3F6A"/>
    <w:rsid w:val="007C4CB8"/>
    <w:rsid w:val="007C4F26"/>
    <w:rsid w:val="007C500D"/>
    <w:rsid w:val="007C5565"/>
    <w:rsid w:val="007C6577"/>
    <w:rsid w:val="007C69D1"/>
    <w:rsid w:val="007D0F50"/>
    <w:rsid w:val="007D106C"/>
    <w:rsid w:val="007D10AF"/>
    <w:rsid w:val="007D1177"/>
    <w:rsid w:val="007D1312"/>
    <w:rsid w:val="007D136A"/>
    <w:rsid w:val="007D1490"/>
    <w:rsid w:val="007D1FB5"/>
    <w:rsid w:val="007D28A7"/>
    <w:rsid w:val="007D298D"/>
    <w:rsid w:val="007D34AF"/>
    <w:rsid w:val="007D4256"/>
    <w:rsid w:val="007D4A69"/>
    <w:rsid w:val="007D55CB"/>
    <w:rsid w:val="007D568F"/>
    <w:rsid w:val="007D6225"/>
    <w:rsid w:val="007D7163"/>
    <w:rsid w:val="007D78DF"/>
    <w:rsid w:val="007E096B"/>
    <w:rsid w:val="007E0E09"/>
    <w:rsid w:val="007E1172"/>
    <w:rsid w:val="007E17BA"/>
    <w:rsid w:val="007E1850"/>
    <w:rsid w:val="007E25A9"/>
    <w:rsid w:val="007E29F8"/>
    <w:rsid w:val="007E2CCC"/>
    <w:rsid w:val="007E3837"/>
    <w:rsid w:val="007E398B"/>
    <w:rsid w:val="007E3B4A"/>
    <w:rsid w:val="007E3C23"/>
    <w:rsid w:val="007E43C4"/>
    <w:rsid w:val="007E45F6"/>
    <w:rsid w:val="007E48C9"/>
    <w:rsid w:val="007E632F"/>
    <w:rsid w:val="007E6ACF"/>
    <w:rsid w:val="007E7E61"/>
    <w:rsid w:val="007F0398"/>
    <w:rsid w:val="007F0845"/>
    <w:rsid w:val="007F146E"/>
    <w:rsid w:val="007F16B1"/>
    <w:rsid w:val="007F283F"/>
    <w:rsid w:val="007F2B39"/>
    <w:rsid w:val="007F2EC9"/>
    <w:rsid w:val="007F334C"/>
    <w:rsid w:val="007F39BE"/>
    <w:rsid w:val="007F4CF2"/>
    <w:rsid w:val="007F4F70"/>
    <w:rsid w:val="007F5A1B"/>
    <w:rsid w:val="007F5F47"/>
    <w:rsid w:val="007F5F9B"/>
    <w:rsid w:val="007F74E3"/>
    <w:rsid w:val="007F7CD2"/>
    <w:rsid w:val="0080002C"/>
    <w:rsid w:val="00800BDE"/>
    <w:rsid w:val="00801664"/>
    <w:rsid w:val="0080185D"/>
    <w:rsid w:val="00801E1D"/>
    <w:rsid w:val="008020DE"/>
    <w:rsid w:val="008022F7"/>
    <w:rsid w:val="00802670"/>
    <w:rsid w:val="00802F88"/>
    <w:rsid w:val="00802F8A"/>
    <w:rsid w:val="008035E4"/>
    <w:rsid w:val="0080388E"/>
    <w:rsid w:val="00804D39"/>
    <w:rsid w:val="0080521C"/>
    <w:rsid w:val="008058BF"/>
    <w:rsid w:val="0080593D"/>
    <w:rsid w:val="00805CA0"/>
    <w:rsid w:val="00805E10"/>
    <w:rsid w:val="0080605A"/>
    <w:rsid w:val="00806D99"/>
    <w:rsid w:val="00807185"/>
    <w:rsid w:val="0080793D"/>
    <w:rsid w:val="00807FB8"/>
    <w:rsid w:val="0081186F"/>
    <w:rsid w:val="008118E4"/>
    <w:rsid w:val="00811FAF"/>
    <w:rsid w:val="0081282B"/>
    <w:rsid w:val="0081296A"/>
    <w:rsid w:val="00813EAF"/>
    <w:rsid w:val="00815862"/>
    <w:rsid w:val="00816405"/>
    <w:rsid w:val="00816DD3"/>
    <w:rsid w:val="00817267"/>
    <w:rsid w:val="00820863"/>
    <w:rsid w:val="00821FF6"/>
    <w:rsid w:val="008220EF"/>
    <w:rsid w:val="008229A3"/>
    <w:rsid w:val="00824169"/>
    <w:rsid w:val="00824458"/>
    <w:rsid w:val="008265C7"/>
    <w:rsid w:val="00827A65"/>
    <w:rsid w:val="00830465"/>
    <w:rsid w:val="00830A99"/>
    <w:rsid w:val="0083143E"/>
    <w:rsid w:val="0083159F"/>
    <w:rsid w:val="00831B50"/>
    <w:rsid w:val="00831D24"/>
    <w:rsid w:val="00831FB0"/>
    <w:rsid w:val="00832F3D"/>
    <w:rsid w:val="00833802"/>
    <w:rsid w:val="008339DD"/>
    <w:rsid w:val="00834843"/>
    <w:rsid w:val="00834FAA"/>
    <w:rsid w:val="008352FC"/>
    <w:rsid w:val="00835A6F"/>
    <w:rsid w:val="00836086"/>
    <w:rsid w:val="00837C72"/>
    <w:rsid w:val="00841063"/>
    <w:rsid w:val="008422CE"/>
    <w:rsid w:val="00842C47"/>
    <w:rsid w:val="00842E41"/>
    <w:rsid w:val="00842ED2"/>
    <w:rsid w:val="008433B4"/>
    <w:rsid w:val="008435A5"/>
    <w:rsid w:val="00843B29"/>
    <w:rsid w:val="0084560E"/>
    <w:rsid w:val="008461CD"/>
    <w:rsid w:val="008467F2"/>
    <w:rsid w:val="00846D3D"/>
    <w:rsid w:val="00847287"/>
    <w:rsid w:val="00847863"/>
    <w:rsid w:val="00847B1D"/>
    <w:rsid w:val="0085001C"/>
    <w:rsid w:val="00850C25"/>
    <w:rsid w:val="008511B6"/>
    <w:rsid w:val="008523E1"/>
    <w:rsid w:val="00852A9B"/>
    <w:rsid w:val="00854ECB"/>
    <w:rsid w:val="00854F13"/>
    <w:rsid w:val="008552CF"/>
    <w:rsid w:val="008565D1"/>
    <w:rsid w:val="00856B1E"/>
    <w:rsid w:val="00856DDF"/>
    <w:rsid w:val="00856EE2"/>
    <w:rsid w:val="00860388"/>
    <w:rsid w:val="00860EAB"/>
    <w:rsid w:val="008616C8"/>
    <w:rsid w:val="00862E91"/>
    <w:rsid w:val="00862E95"/>
    <w:rsid w:val="00862EA2"/>
    <w:rsid w:val="00863027"/>
    <w:rsid w:val="008632D8"/>
    <w:rsid w:val="00863392"/>
    <w:rsid w:val="008639C0"/>
    <w:rsid w:val="00863D57"/>
    <w:rsid w:val="00864A1E"/>
    <w:rsid w:val="00864B0F"/>
    <w:rsid w:val="008657E2"/>
    <w:rsid w:val="008667B3"/>
    <w:rsid w:val="008669D4"/>
    <w:rsid w:val="00867B97"/>
    <w:rsid w:val="00870703"/>
    <w:rsid w:val="008723CF"/>
    <w:rsid w:val="00874492"/>
    <w:rsid w:val="008750BD"/>
    <w:rsid w:val="008753E0"/>
    <w:rsid w:val="00876086"/>
    <w:rsid w:val="008763C0"/>
    <w:rsid w:val="00877604"/>
    <w:rsid w:val="00877B53"/>
    <w:rsid w:val="00881296"/>
    <w:rsid w:val="008828AA"/>
    <w:rsid w:val="00882959"/>
    <w:rsid w:val="00882AA5"/>
    <w:rsid w:val="00882CD6"/>
    <w:rsid w:val="00882DCF"/>
    <w:rsid w:val="00884327"/>
    <w:rsid w:val="00885A9B"/>
    <w:rsid w:val="00886218"/>
    <w:rsid w:val="00886B1D"/>
    <w:rsid w:val="008871D7"/>
    <w:rsid w:val="008877F9"/>
    <w:rsid w:val="00887E02"/>
    <w:rsid w:val="00890030"/>
    <w:rsid w:val="008901B4"/>
    <w:rsid w:val="0089026B"/>
    <w:rsid w:val="00890CE9"/>
    <w:rsid w:val="00891DE9"/>
    <w:rsid w:val="00892973"/>
    <w:rsid w:val="00892E66"/>
    <w:rsid w:val="008937CB"/>
    <w:rsid w:val="0089503D"/>
    <w:rsid w:val="00895CA2"/>
    <w:rsid w:val="008965E8"/>
    <w:rsid w:val="008A1CCF"/>
    <w:rsid w:val="008A1D33"/>
    <w:rsid w:val="008A25BC"/>
    <w:rsid w:val="008A31DC"/>
    <w:rsid w:val="008A3419"/>
    <w:rsid w:val="008A364A"/>
    <w:rsid w:val="008A3EFD"/>
    <w:rsid w:val="008A4657"/>
    <w:rsid w:val="008A5856"/>
    <w:rsid w:val="008A5A4E"/>
    <w:rsid w:val="008A5BFC"/>
    <w:rsid w:val="008A63AD"/>
    <w:rsid w:val="008A67AC"/>
    <w:rsid w:val="008A75CD"/>
    <w:rsid w:val="008B008C"/>
    <w:rsid w:val="008B07CC"/>
    <w:rsid w:val="008B1F26"/>
    <w:rsid w:val="008B249E"/>
    <w:rsid w:val="008B2742"/>
    <w:rsid w:val="008B3316"/>
    <w:rsid w:val="008B366F"/>
    <w:rsid w:val="008B38F4"/>
    <w:rsid w:val="008B3ABB"/>
    <w:rsid w:val="008B4F9F"/>
    <w:rsid w:val="008B5BB7"/>
    <w:rsid w:val="008B68EE"/>
    <w:rsid w:val="008B6F75"/>
    <w:rsid w:val="008B7C02"/>
    <w:rsid w:val="008C0003"/>
    <w:rsid w:val="008C05E0"/>
    <w:rsid w:val="008C0BAC"/>
    <w:rsid w:val="008C0E88"/>
    <w:rsid w:val="008C1A57"/>
    <w:rsid w:val="008C2515"/>
    <w:rsid w:val="008C295A"/>
    <w:rsid w:val="008C2AA5"/>
    <w:rsid w:val="008C3B0F"/>
    <w:rsid w:val="008C4226"/>
    <w:rsid w:val="008C604C"/>
    <w:rsid w:val="008C6F38"/>
    <w:rsid w:val="008C7517"/>
    <w:rsid w:val="008D0B8A"/>
    <w:rsid w:val="008D1AF4"/>
    <w:rsid w:val="008D2A16"/>
    <w:rsid w:val="008D3C4A"/>
    <w:rsid w:val="008D5145"/>
    <w:rsid w:val="008D59DE"/>
    <w:rsid w:val="008D5EF6"/>
    <w:rsid w:val="008D5F34"/>
    <w:rsid w:val="008D6196"/>
    <w:rsid w:val="008D752A"/>
    <w:rsid w:val="008D77FF"/>
    <w:rsid w:val="008E08A4"/>
    <w:rsid w:val="008E1420"/>
    <w:rsid w:val="008E14DD"/>
    <w:rsid w:val="008E1EFB"/>
    <w:rsid w:val="008E2015"/>
    <w:rsid w:val="008E27DA"/>
    <w:rsid w:val="008E31FF"/>
    <w:rsid w:val="008E3273"/>
    <w:rsid w:val="008E3682"/>
    <w:rsid w:val="008E419D"/>
    <w:rsid w:val="008E4516"/>
    <w:rsid w:val="008E5356"/>
    <w:rsid w:val="008E5E50"/>
    <w:rsid w:val="008E6055"/>
    <w:rsid w:val="008E632A"/>
    <w:rsid w:val="008E6828"/>
    <w:rsid w:val="008E6ABB"/>
    <w:rsid w:val="008E6FF6"/>
    <w:rsid w:val="008E7A02"/>
    <w:rsid w:val="008E7B80"/>
    <w:rsid w:val="008F0272"/>
    <w:rsid w:val="008F0ED5"/>
    <w:rsid w:val="008F0FD2"/>
    <w:rsid w:val="008F2174"/>
    <w:rsid w:val="008F23E4"/>
    <w:rsid w:val="008F2AC5"/>
    <w:rsid w:val="008F3892"/>
    <w:rsid w:val="008F3F23"/>
    <w:rsid w:val="008F414A"/>
    <w:rsid w:val="008F4D46"/>
    <w:rsid w:val="008F5169"/>
    <w:rsid w:val="008F6FCE"/>
    <w:rsid w:val="008F79C3"/>
    <w:rsid w:val="009003A8"/>
    <w:rsid w:val="0090143F"/>
    <w:rsid w:val="00901EE1"/>
    <w:rsid w:val="00902EFF"/>
    <w:rsid w:val="00903369"/>
    <w:rsid w:val="009052AE"/>
    <w:rsid w:val="00905716"/>
    <w:rsid w:val="00905BBE"/>
    <w:rsid w:val="00906960"/>
    <w:rsid w:val="00907228"/>
    <w:rsid w:val="009076A9"/>
    <w:rsid w:val="009100D5"/>
    <w:rsid w:val="009101FB"/>
    <w:rsid w:val="009106C2"/>
    <w:rsid w:val="009108CF"/>
    <w:rsid w:val="00910BD4"/>
    <w:rsid w:val="00911C72"/>
    <w:rsid w:val="00913CF5"/>
    <w:rsid w:val="00914F83"/>
    <w:rsid w:val="00915220"/>
    <w:rsid w:val="00916CBF"/>
    <w:rsid w:val="009170F3"/>
    <w:rsid w:val="00917698"/>
    <w:rsid w:val="00920522"/>
    <w:rsid w:val="009207F9"/>
    <w:rsid w:val="00920B7D"/>
    <w:rsid w:val="00920EF8"/>
    <w:rsid w:val="00921A5C"/>
    <w:rsid w:val="00921C0A"/>
    <w:rsid w:val="00921F14"/>
    <w:rsid w:val="00922FB6"/>
    <w:rsid w:val="0092406F"/>
    <w:rsid w:val="009247C8"/>
    <w:rsid w:val="00924FA8"/>
    <w:rsid w:val="00925126"/>
    <w:rsid w:val="00930123"/>
    <w:rsid w:val="00930829"/>
    <w:rsid w:val="00930A66"/>
    <w:rsid w:val="00930B50"/>
    <w:rsid w:val="00930D79"/>
    <w:rsid w:val="00931A20"/>
    <w:rsid w:val="00931B68"/>
    <w:rsid w:val="00931EB0"/>
    <w:rsid w:val="009320A3"/>
    <w:rsid w:val="00932780"/>
    <w:rsid w:val="00932F72"/>
    <w:rsid w:val="0093340A"/>
    <w:rsid w:val="009338E5"/>
    <w:rsid w:val="00933949"/>
    <w:rsid w:val="00934228"/>
    <w:rsid w:val="00936618"/>
    <w:rsid w:val="00936898"/>
    <w:rsid w:val="0093753B"/>
    <w:rsid w:val="009376CF"/>
    <w:rsid w:val="009379E5"/>
    <w:rsid w:val="00937BE4"/>
    <w:rsid w:val="0094032B"/>
    <w:rsid w:val="0094118A"/>
    <w:rsid w:val="00941770"/>
    <w:rsid w:val="00941DD2"/>
    <w:rsid w:val="00941E09"/>
    <w:rsid w:val="009421FA"/>
    <w:rsid w:val="00942F08"/>
    <w:rsid w:val="00943283"/>
    <w:rsid w:val="0094427A"/>
    <w:rsid w:val="00944BBE"/>
    <w:rsid w:val="00946123"/>
    <w:rsid w:val="00946C40"/>
    <w:rsid w:val="00950236"/>
    <w:rsid w:val="00950A97"/>
    <w:rsid w:val="0095130F"/>
    <w:rsid w:val="00951539"/>
    <w:rsid w:val="009519E2"/>
    <w:rsid w:val="00952900"/>
    <w:rsid w:val="00952983"/>
    <w:rsid w:val="0095381B"/>
    <w:rsid w:val="00953AA1"/>
    <w:rsid w:val="00954B06"/>
    <w:rsid w:val="00954BAA"/>
    <w:rsid w:val="00955555"/>
    <w:rsid w:val="00955AF6"/>
    <w:rsid w:val="00955B8B"/>
    <w:rsid w:val="00956574"/>
    <w:rsid w:val="00960870"/>
    <w:rsid w:val="0096108D"/>
    <w:rsid w:val="00961B2B"/>
    <w:rsid w:val="00962503"/>
    <w:rsid w:val="0096299C"/>
    <w:rsid w:val="00963F00"/>
    <w:rsid w:val="0096430A"/>
    <w:rsid w:val="00966346"/>
    <w:rsid w:val="009665BE"/>
    <w:rsid w:val="009667FE"/>
    <w:rsid w:val="0096694B"/>
    <w:rsid w:val="009671D9"/>
    <w:rsid w:val="009700FD"/>
    <w:rsid w:val="00970A90"/>
    <w:rsid w:val="00970B58"/>
    <w:rsid w:val="00970CC2"/>
    <w:rsid w:val="00971B3F"/>
    <w:rsid w:val="00972F89"/>
    <w:rsid w:val="00973235"/>
    <w:rsid w:val="00974111"/>
    <w:rsid w:val="00974923"/>
    <w:rsid w:val="00975433"/>
    <w:rsid w:val="00975F10"/>
    <w:rsid w:val="0097688D"/>
    <w:rsid w:val="00980277"/>
    <w:rsid w:val="00980A92"/>
    <w:rsid w:val="00981B2B"/>
    <w:rsid w:val="009821D9"/>
    <w:rsid w:val="00982C5C"/>
    <w:rsid w:val="00983089"/>
    <w:rsid w:val="00984DF6"/>
    <w:rsid w:val="009869A7"/>
    <w:rsid w:val="00986FC2"/>
    <w:rsid w:val="00987119"/>
    <w:rsid w:val="00987E97"/>
    <w:rsid w:val="009908AC"/>
    <w:rsid w:val="009935B9"/>
    <w:rsid w:val="009942B9"/>
    <w:rsid w:val="00997901"/>
    <w:rsid w:val="009A0274"/>
    <w:rsid w:val="009A07C2"/>
    <w:rsid w:val="009A195A"/>
    <w:rsid w:val="009A2130"/>
    <w:rsid w:val="009A282B"/>
    <w:rsid w:val="009A28D4"/>
    <w:rsid w:val="009A2F7D"/>
    <w:rsid w:val="009A30F8"/>
    <w:rsid w:val="009A31B6"/>
    <w:rsid w:val="009A49BF"/>
    <w:rsid w:val="009A4FBD"/>
    <w:rsid w:val="009A53A8"/>
    <w:rsid w:val="009A5806"/>
    <w:rsid w:val="009A5CC8"/>
    <w:rsid w:val="009A7070"/>
    <w:rsid w:val="009A75C8"/>
    <w:rsid w:val="009A76E0"/>
    <w:rsid w:val="009A7C40"/>
    <w:rsid w:val="009B004A"/>
    <w:rsid w:val="009B0655"/>
    <w:rsid w:val="009B065C"/>
    <w:rsid w:val="009B13A7"/>
    <w:rsid w:val="009B1B72"/>
    <w:rsid w:val="009B2251"/>
    <w:rsid w:val="009B2457"/>
    <w:rsid w:val="009B2CC9"/>
    <w:rsid w:val="009B3AFF"/>
    <w:rsid w:val="009B3FE8"/>
    <w:rsid w:val="009B4A2C"/>
    <w:rsid w:val="009B6CC5"/>
    <w:rsid w:val="009B6F85"/>
    <w:rsid w:val="009B6FD3"/>
    <w:rsid w:val="009B74C0"/>
    <w:rsid w:val="009C3A34"/>
    <w:rsid w:val="009C3B7E"/>
    <w:rsid w:val="009C44B2"/>
    <w:rsid w:val="009C4AB8"/>
    <w:rsid w:val="009C57E7"/>
    <w:rsid w:val="009C60A7"/>
    <w:rsid w:val="009C6195"/>
    <w:rsid w:val="009C6A78"/>
    <w:rsid w:val="009D0309"/>
    <w:rsid w:val="009D042F"/>
    <w:rsid w:val="009D0D85"/>
    <w:rsid w:val="009D0FE4"/>
    <w:rsid w:val="009D2799"/>
    <w:rsid w:val="009D2A20"/>
    <w:rsid w:val="009D2BBA"/>
    <w:rsid w:val="009D2EC4"/>
    <w:rsid w:val="009D3197"/>
    <w:rsid w:val="009D39E6"/>
    <w:rsid w:val="009D3D37"/>
    <w:rsid w:val="009D41D5"/>
    <w:rsid w:val="009D49EB"/>
    <w:rsid w:val="009D4A2E"/>
    <w:rsid w:val="009D4AED"/>
    <w:rsid w:val="009D5043"/>
    <w:rsid w:val="009D5A38"/>
    <w:rsid w:val="009E005C"/>
    <w:rsid w:val="009E0A02"/>
    <w:rsid w:val="009E0B3D"/>
    <w:rsid w:val="009E0B7F"/>
    <w:rsid w:val="009E16D6"/>
    <w:rsid w:val="009E1755"/>
    <w:rsid w:val="009E1DBB"/>
    <w:rsid w:val="009E1F24"/>
    <w:rsid w:val="009E285D"/>
    <w:rsid w:val="009E37BB"/>
    <w:rsid w:val="009E3A77"/>
    <w:rsid w:val="009E3D29"/>
    <w:rsid w:val="009E3D44"/>
    <w:rsid w:val="009E47AD"/>
    <w:rsid w:val="009E4C49"/>
    <w:rsid w:val="009E4EA8"/>
    <w:rsid w:val="009E535A"/>
    <w:rsid w:val="009E57A8"/>
    <w:rsid w:val="009E65B8"/>
    <w:rsid w:val="009E6615"/>
    <w:rsid w:val="009E7AB7"/>
    <w:rsid w:val="009F101B"/>
    <w:rsid w:val="009F1DF1"/>
    <w:rsid w:val="009F3A29"/>
    <w:rsid w:val="009F3C37"/>
    <w:rsid w:val="009F5488"/>
    <w:rsid w:val="009F7270"/>
    <w:rsid w:val="009F7AED"/>
    <w:rsid w:val="00A0050D"/>
    <w:rsid w:val="00A04CFC"/>
    <w:rsid w:val="00A04D8D"/>
    <w:rsid w:val="00A06DD9"/>
    <w:rsid w:val="00A07257"/>
    <w:rsid w:val="00A07545"/>
    <w:rsid w:val="00A077AB"/>
    <w:rsid w:val="00A07C0B"/>
    <w:rsid w:val="00A10D66"/>
    <w:rsid w:val="00A1259E"/>
    <w:rsid w:val="00A1290F"/>
    <w:rsid w:val="00A12C92"/>
    <w:rsid w:val="00A1335A"/>
    <w:rsid w:val="00A16C4D"/>
    <w:rsid w:val="00A1722A"/>
    <w:rsid w:val="00A17494"/>
    <w:rsid w:val="00A17BF6"/>
    <w:rsid w:val="00A20A0D"/>
    <w:rsid w:val="00A20FE2"/>
    <w:rsid w:val="00A219FB"/>
    <w:rsid w:val="00A21A2E"/>
    <w:rsid w:val="00A21AC9"/>
    <w:rsid w:val="00A221CE"/>
    <w:rsid w:val="00A22D2E"/>
    <w:rsid w:val="00A23CD1"/>
    <w:rsid w:val="00A23E43"/>
    <w:rsid w:val="00A256C3"/>
    <w:rsid w:val="00A262CE"/>
    <w:rsid w:val="00A265D4"/>
    <w:rsid w:val="00A26DF0"/>
    <w:rsid w:val="00A278CE"/>
    <w:rsid w:val="00A31239"/>
    <w:rsid w:val="00A31896"/>
    <w:rsid w:val="00A31C0B"/>
    <w:rsid w:val="00A32F7F"/>
    <w:rsid w:val="00A33820"/>
    <w:rsid w:val="00A33BB6"/>
    <w:rsid w:val="00A35626"/>
    <w:rsid w:val="00A3686F"/>
    <w:rsid w:val="00A36BD7"/>
    <w:rsid w:val="00A40086"/>
    <w:rsid w:val="00A4170C"/>
    <w:rsid w:val="00A41ADB"/>
    <w:rsid w:val="00A41EB4"/>
    <w:rsid w:val="00A43A9C"/>
    <w:rsid w:val="00A44F9C"/>
    <w:rsid w:val="00A4502C"/>
    <w:rsid w:val="00A45241"/>
    <w:rsid w:val="00A459EC"/>
    <w:rsid w:val="00A46030"/>
    <w:rsid w:val="00A46613"/>
    <w:rsid w:val="00A46DE0"/>
    <w:rsid w:val="00A46ED5"/>
    <w:rsid w:val="00A46FE5"/>
    <w:rsid w:val="00A471A5"/>
    <w:rsid w:val="00A47424"/>
    <w:rsid w:val="00A50233"/>
    <w:rsid w:val="00A5027A"/>
    <w:rsid w:val="00A5287C"/>
    <w:rsid w:val="00A52DE7"/>
    <w:rsid w:val="00A52E95"/>
    <w:rsid w:val="00A53830"/>
    <w:rsid w:val="00A53A7B"/>
    <w:rsid w:val="00A5448E"/>
    <w:rsid w:val="00A54A05"/>
    <w:rsid w:val="00A54A61"/>
    <w:rsid w:val="00A54E85"/>
    <w:rsid w:val="00A54F1A"/>
    <w:rsid w:val="00A55489"/>
    <w:rsid w:val="00A55FAB"/>
    <w:rsid w:val="00A56914"/>
    <w:rsid w:val="00A57C36"/>
    <w:rsid w:val="00A57DEF"/>
    <w:rsid w:val="00A57EF1"/>
    <w:rsid w:val="00A61045"/>
    <w:rsid w:val="00A61D03"/>
    <w:rsid w:val="00A622AA"/>
    <w:rsid w:val="00A62470"/>
    <w:rsid w:val="00A625A5"/>
    <w:rsid w:val="00A62A8D"/>
    <w:rsid w:val="00A62CE1"/>
    <w:rsid w:val="00A63804"/>
    <w:rsid w:val="00A63991"/>
    <w:rsid w:val="00A64B8E"/>
    <w:rsid w:val="00A64E73"/>
    <w:rsid w:val="00A6609E"/>
    <w:rsid w:val="00A67433"/>
    <w:rsid w:val="00A6782A"/>
    <w:rsid w:val="00A67964"/>
    <w:rsid w:val="00A701BB"/>
    <w:rsid w:val="00A703EB"/>
    <w:rsid w:val="00A71E3A"/>
    <w:rsid w:val="00A72BFE"/>
    <w:rsid w:val="00A734A0"/>
    <w:rsid w:val="00A734BA"/>
    <w:rsid w:val="00A73651"/>
    <w:rsid w:val="00A7487A"/>
    <w:rsid w:val="00A75964"/>
    <w:rsid w:val="00A75E40"/>
    <w:rsid w:val="00A77B0F"/>
    <w:rsid w:val="00A77CC5"/>
    <w:rsid w:val="00A80BA4"/>
    <w:rsid w:val="00A81BA5"/>
    <w:rsid w:val="00A8271B"/>
    <w:rsid w:val="00A82ECF"/>
    <w:rsid w:val="00A8313F"/>
    <w:rsid w:val="00A8316D"/>
    <w:rsid w:val="00A8323F"/>
    <w:rsid w:val="00A83B0D"/>
    <w:rsid w:val="00A83D6C"/>
    <w:rsid w:val="00A847A0"/>
    <w:rsid w:val="00A857C0"/>
    <w:rsid w:val="00A8587E"/>
    <w:rsid w:val="00A868F2"/>
    <w:rsid w:val="00A87C69"/>
    <w:rsid w:val="00A9159A"/>
    <w:rsid w:val="00A92D9D"/>
    <w:rsid w:val="00A935D1"/>
    <w:rsid w:val="00A93CBD"/>
    <w:rsid w:val="00A9414B"/>
    <w:rsid w:val="00A9460A"/>
    <w:rsid w:val="00A94E20"/>
    <w:rsid w:val="00A961C9"/>
    <w:rsid w:val="00A9709C"/>
    <w:rsid w:val="00A97646"/>
    <w:rsid w:val="00A97C04"/>
    <w:rsid w:val="00AA15FF"/>
    <w:rsid w:val="00AA1B41"/>
    <w:rsid w:val="00AA2060"/>
    <w:rsid w:val="00AA206C"/>
    <w:rsid w:val="00AA217B"/>
    <w:rsid w:val="00AA252C"/>
    <w:rsid w:val="00AA3007"/>
    <w:rsid w:val="00AA4641"/>
    <w:rsid w:val="00AA46E0"/>
    <w:rsid w:val="00AA472B"/>
    <w:rsid w:val="00AA559A"/>
    <w:rsid w:val="00AA59E3"/>
    <w:rsid w:val="00AA5DB9"/>
    <w:rsid w:val="00AA637E"/>
    <w:rsid w:val="00AA6D36"/>
    <w:rsid w:val="00AA78D2"/>
    <w:rsid w:val="00AA7A99"/>
    <w:rsid w:val="00AB1A30"/>
    <w:rsid w:val="00AB2AF1"/>
    <w:rsid w:val="00AB2E43"/>
    <w:rsid w:val="00AB33AE"/>
    <w:rsid w:val="00AB358F"/>
    <w:rsid w:val="00AB389B"/>
    <w:rsid w:val="00AB41DE"/>
    <w:rsid w:val="00AB5405"/>
    <w:rsid w:val="00AB59D3"/>
    <w:rsid w:val="00AB6F86"/>
    <w:rsid w:val="00AB7318"/>
    <w:rsid w:val="00AB78C5"/>
    <w:rsid w:val="00AC05DB"/>
    <w:rsid w:val="00AC1176"/>
    <w:rsid w:val="00AC3FD1"/>
    <w:rsid w:val="00AC435B"/>
    <w:rsid w:val="00AC4508"/>
    <w:rsid w:val="00AC4851"/>
    <w:rsid w:val="00AC62CF"/>
    <w:rsid w:val="00AC65C0"/>
    <w:rsid w:val="00AC6691"/>
    <w:rsid w:val="00AC7F36"/>
    <w:rsid w:val="00AD1CF2"/>
    <w:rsid w:val="00AD2E76"/>
    <w:rsid w:val="00AD306C"/>
    <w:rsid w:val="00AD30CE"/>
    <w:rsid w:val="00AD3CE8"/>
    <w:rsid w:val="00AD5118"/>
    <w:rsid w:val="00AD52A8"/>
    <w:rsid w:val="00AD5A9E"/>
    <w:rsid w:val="00AD633B"/>
    <w:rsid w:val="00AD6453"/>
    <w:rsid w:val="00AD7B11"/>
    <w:rsid w:val="00AE01E3"/>
    <w:rsid w:val="00AE0B0B"/>
    <w:rsid w:val="00AE0F4A"/>
    <w:rsid w:val="00AE1124"/>
    <w:rsid w:val="00AE119F"/>
    <w:rsid w:val="00AE15F8"/>
    <w:rsid w:val="00AE207C"/>
    <w:rsid w:val="00AE29DE"/>
    <w:rsid w:val="00AE3A2E"/>
    <w:rsid w:val="00AE3DD8"/>
    <w:rsid w:val="00AE5A90"/>
    <w:rsid w:val="00AE6027"/>
    <w:rsid w:val="00AF1ADE"/>
    <w:rsid w:val="00AF21BD"/>
    <w:rsid w:val="00AF2EC9"/>
    <w:rsid w:val="00AF44AA"/>
    <w:rsid w:val="00AF4542"/>
    <w:rsid w:val="00AF622E"/>
    <w:rsid w:val="00AF7161"/>
    <w:rsid w:val="00AF71E8"/>
    <w:rsid w:val="00AF7CC8"/>
    <w:rsid w:val="00AF7D12"/>
    <w:rsid w:val="00B0046C"/>
    <w:rsid w:val="00B00E2A"/>
    <w:rsid w:val="00B00E5C"/>
    <w:rsid w:val="00B01A65"/>
    <w:rsid w:val="00B021DC"/>
    <w:rsid w:val="00B0293A"/>
    <w:rsid w:val="00B02E0D"/>
    <w:rsid w:val="00B031D4"/>
    <w:rsid w:val="00B04C40"/>
    <w:rsid w:val="00B054ED"/>
    <w:rsid w:val="00B05722"/>
    <w:rsid w:val="00B0580A"/>
    <w:rsid w:val="00B063D8"/>
    <w:rsid w:val="00B068FC"/>
    <w:rsid w:val="00B0692D"/>
    <w:rsid w:val="00B10157"/>
    <w:rsid w:val="00B12102"/>
    <w:rsid w:val="00B12489"/>
    <w:rsid w:val="00B12632"/>
    <w:rsid w:val="00B127A9"/>
    <w:rsid w:val="00B129F4"/>
    <w:rsid w:val="00B12D59"/>
    <w:rsid w:val="00B13282"/>
    <w:rsid w:val="00B161A8"/>
    <w:rsid w:val="00B16950"/>
    <w:rsid w:val="00B17E71"/>
    <w:rsid w:val="00B17FDE"/>
    <w:rsid w:val="00B21B8C"/>
    <w:rsid w:val="00B247D8"/>
    <w:rsid w:val="00B24C45"/>
    <w:rsid w:val="00B25F29"/>
    <w:rsid w:val="00B27879"/>
    <w:rsid w:val="00B27CC2"/>
    <w:rsid w:val="00B30132"/>
    <w:rsid w:val="00B3020C"/>
    <w:rsid w:val="00B3057F"/>
    <w:rsid w:val="00B30640"/>
    <w:rsid w:val="00B31DB7"/>
    <w:rsid w:val="00B32B8B"/>
    <w:rsid w:val="00B32DDB"/>
    <w:rsid w:val="00B33853"/>
    <w:rsid w:val="00B33C76"/>
    <w:rsid w:val="00B33FEC"/>
    <w:rsid w:val="00B34DAB"/>
    <w:rsid w:val="00B35131"/>
    <w:rsid w:val="00B35919"/>
    <w:rsid w:val="00B360DE"/>
    <w:rsid w:val="00B36297"/>
    <w:rsid w:val="00B36B2F"/>
    <w:rsid w:val="00B4079B"/>
    <w:rsid w:val="00B40DC8"/>
    <w:rsid w:val="00B41A0A"/>
    <w:rsid w:val="00B42254"/>
    <w:rsid w:val="00B42534"/>
    <w:rsid w:val="00B425EB"/>
    <w:rsid w:val="00B43764"/>
    <w:rsid w:val="00B437AD"/>
    <w:rsid w:val="00B4439F"/>
    <w:rsid w:val="00B4480E"/>
    <w:rsid w:val="00B449C1"/>
    <w:rsid w:val="00B45197"/>
    <w:rsid w:val="00B45667"/>
    <w:rsid w:val="00B46A4D"/>
    <w:rsid w:val="00B46DC2"/>
    <w:rsid w:val="00B479AF"/>
    <w:rsid w:val="00B5004C"/>
    <w:rsid w:val="00B508DA"/>
    <w:rsid w:val="00B50C8B"/>
    <w:rsid w:val="00B515C6"/>
    <w:rsid w:val="00B51944"/>
    <w:rsid w:val="00B52135"/>
    <w:rsid w:val="00B52573"/>
    <w:rsid w:val="00B52757"/>
    <w:rsid w:val="00B537E2"/>
    <w:rsid w:val="00B53B39"/>
    <w:rsid w:val="00B55082"/>
    <w:rsid w:val="00B55C66"/>
    <w:rsid w:val="00B561B9"/>
    <w:rsid w:val="00B609BE"/>
    <w:rsid w:val="00B60ECF"/>
    <w:rsid w:val="00B6147E"/>
    <w:rsid w:val="00B6186C"/>
    <w:rsid w:val="00B624AB"/>
    <w:rsid w:val="00B626F7"/>
    <w:rsid w:val="00B62D55"/>
    <w:rsid w:val="00B64260"/>
    <w:rsid w:val="00B65838"/>
    <w:rsid w:val="00B65DB6"/>
    <w:rsid w:val="00B6608F"/>
    <w:rsid w:val="00B6725C"/>
    <w:rsid w:val="00B67D22"/>
    <w:rsid w:val="00B702B7"/>
    <w:rsid w:val="00B71822"/>
    <w:rsid w:val="00B71987"/>
    <w:rsid w:val="00B719B0"/>
    <w:rsid w:val="00B72398"/>
    <w:rsid w:val="00B72636"/>
    <w:rsid w:val="00B737B5"/>
    <w:rsid w:val="00B745E6"/>
    <w:rsid w:val="00B747C8"/>
    <w:rsid w:val="00B75310"/>
    <w:rsid w:val="00B765A7"/>
    <w:rsid w:val="00B76D1E"/>
    <w:rsid w:val="00B804F8"/>
    <w:rsid w:val="00B809C3"/>
    <w:rsid w:val="00B82631"/>
    <w:rsid w:val="00B832C0"/>
    <w:rsid w:val="00B8395F"/>
    <w:rsid w:val="00B84108"/>
    <w:rsid w:val="00B849FD"/>
    <w:rsid w:val="00B853CF"/>
    <w:rsid w:val="00B858DD"/>
    <w:rsid w:val="00B868BF"/>
    <w:rsid w:val="00B86A43"/>
    <w:rsid w:val="00B91E6C"/>
    <w:rsid w:val="00B933B1"/>
    <w:rsid w:val="00B938C2"/>
    <w:rsid w:val="00B94C93"/>
    <w:rsid w:val="00B95276"/>
    <w:rsid w:val="00B95940"/>
    <w:rsid w:val="00B95FD1"/>
    <w:rsid w:val="00B962C8"/>
    <w:rsid w:val="00B96320"/>
    <w:rsid w:val="00B96887"/>
    <w:rsid w:val="00B96E42"/>
    <w:rsid w:val="00B96F8B"/>
    <w:rsid w:val="00B9769B"/>
    <w:rsid w:val="00B977AC"/>
    <w:rsid w:val="00BA000A"/>
    <w:rsid w:val="00BA0710"/>
    <w:rsid w:val="00BA0AA3"/>
    <w:rsid w:val="00BA0F35"/>
    <w:rsid w:val="00BA1262"/>
    <w:rsid w:val="00BA1C37"/>
    <w:rsid w:val="00BA1FE0"/>
    <w:rsid w:val="00BA2164"/>
    <w:rsid w:val="00BA2CDF"/>
    <w:rsid w:val="00BA3499"/>
    <w:rsid w:val="00BA3657"/>
    <w:rsid w:val="00BA399C"/>
    <w:rsid w:val="00BA3F7D"/>
    <w:rsid w:val="00BA435C"/>
    <w:rsid w:val="00BA437A"/>
    <w:rsid w:val="00BA43A1"/>
    <w:rsid w:val="00BA43D0"/>
    <w:rsid w:val="00BA44C3"/>
    <w:rsid w:val="00BA486D"/>
    <w:rsid w:val="00BA4FCB"/>
    <w:rsid w:val="00BA5329"/>
    <w:rsid w:val="00BA54F8"/>
    <w:rsid w:val="00BA5B40"/>
    <w:rsid w:val="00BA5C78"/>
    <w:rsid w:val="00BA7341"/>
    <w:rsid w:val="00BA7A16"/>
    <w:rsid w:val="00BB1CB8"/>
    <w:rsid w:val="00BB1D98"/>
    <w:rsid w:val="00BB1DB3"/>
    <w:rsid w:val="00BB1E2D"/>
    <w:rsid w:val="00BB375C"/>
    <w:rsid w:val="00BB3AC8"/>
    <w:rsid w:val="00BB4E67"/>
    <w:rsid w:val="00BB51A2"/>
    <w:rsid w:val="00BB52C7"/>
    <w:rsid w:val="00BB5926"/>
    <w:rsid w:val="00BB6777"/>
    <w:rsid w:val="00BB6799"/>
    <w:rsid w:val="00BC0276"/>
    <w:rsid w:val="00BC05DF"/>
    <w:rsid w:val="00BC23F7"/>
    <w:rsid w:val="00BC31D2"/>
    <w:rsid w:val="00BC5B5C"/>
    <w:rsid w:val="00BC6A26"/>
    <w:rsid w:val="00BC6AC1"/>
    <w:rsid w:val="00BC7245"/>
    <w:rsid w:val="00BC74B1"/>
    <w:rsid w:val="00BC7B1E"/>
    <w:rsid w:val="00BC7B72"/>
    <w:rsid w:val="00BD0645"/>
    <w:rsid w:val="00BD15AC"/>
    <w:rsid w:val="00BD2D19"/>
    <w:rsid w:val="00BD366B"/>
    <w:rsid w:val="00BD3A15"/>
    <w:rsid w:val="00BD3E29"/>
    <w:rsid w:val="00BD47C9"/>
    <w:rsid w:val="00BD5326"/>
    <w:rsid w:val="00BD6D50"/>
    <w:rsid w:val="00BD713B"/>
    <w:rsid w:val="00BD7E0B"/>
    <w:rsid w:val="00BE0470"/>
    <w:rsid w:val="00BE0AC1"/>
    <w:rsid w:val="00BE28F1"/>
    <w:rsid w:val="00BE2CA1"/>
    <w:rsid w:val="00BE2E1E"/>
    <w:rsid w:val="00BE2FB5"/>
    <w:rsid w:val="00BE4815"/>
    <w:rsid w:val="00BE5F85"/>
    <w:rsid w:val="00BE67A9"/>
    <w:rsid w:val="00BE7298"/>
    <w:rsid w:val="00BE73BB"/>
    <w:rsid w:val="00BE7F40"/>
    <w:rsid w:val="00BF09A3"/>
    <w:rsid w:val="00BF1395"/>
    <w:rsid w:val="00BF2796"/>
    <w:rsid w:val="00BF2DC9"/>
    <w:rsid w:val="00BF4984"/>
    <w:rsid w:val="00BF51D7"/>
    <w:rsid w:val="00BF5985"/>
    <w:rsid w:val="00BF5D73"/>
    <w:rsid w:val="00BF6041"/>
    <w:rsid w:val="00BF7673"/>
    <w:rsid w:val="00C01BB8"/>
    <w:rsid w:val="00C04182"/>
    <w:rsid w:val="00C04563"/>
    <w:rsid w:val="00C04C70"/>
    <w:rsid w:val="00C0501A"/>
    <w:rsid w:val="00C058F6"/>
    <w:rsid w:val="00C05D9B"/>
    <w:rsid w:val="00C05EE7"/>
    <w:rsid w:val="00C061EF"/>
    <w:rsid w:val="00C06587"/>
    <w:rsid w:val="00C06C03"/>
    <w:rsid w:val="00C104E5"/>
    <w:rsid w:val="00C12BB5"/>
    <w:rsid w:val="00C13AA4"/>
    <w:rsid w:val="00C14BF0"/>
    <w:rsid w:val="00C15BF2"/>
    <w:rsid w:val="00C15C15"/>
    <w:rsid w:val="00C21823"/>
    <w:rsid w:val="00C21F94"/>
    <w:rsid w:val="00C238D3"/>
    <w:rsid w:val="00C23A76"/>
    <w:rsid w:val="00C23AD0"/>
    <w:rsid w:val="00C23DBA"/>
    <w:rsid w:val="00C25199"/>
    <w:rsid w:val="00C2528A"/>
    <w:rsid w:val="00C260B7"/>
    <w:rsid w:val="00C265D2"/>
    <w:rsid w:val="00C26612"/>
    <w:rsid w:val="00C27733"/>
    <w:rsid w:val="00C31499"/>
    <w:rsid w:val="00C32332"/>
    <w:rsid w:val="00C32936"/>
    <w:rsid w:val="00C32C17"/>
    <w:rsid w:val="00C32C99"/>
    <w:rsid w:val="00C32CF5"/>
    <w:rsid w:val="00C3398D"/>
    <w:rsid w:val="00C3509F"/>
    <w:rsid w:val="00C354FF"/>
    <w:rsid w:val="00C356EE"/>
    <w:rsid w:val="00C358EB"/>
    <w:rsid w:val="00C363FA"/>
    <w:rsid w:val="00C364B9"/>
    <w:rsid w:val="00C36C5C"/>
    <w:rsid w:val="00C37461"/>
    <w:rsid w:val="00C37613"/>
    <w:rsid w:val="00C44980"/>
    <w:rsid w:val="00C45446"/>
    <w:rsid w:val="00C463A9"/>
    <w:rsid w:val="00C47406"/>
    <w:rsid w:val="00C505B7"/>
    <w:rsid w:val="00C5084D"/>
    <w:rsid w:val="00C53308"/>
    <w:rsid w:val="00C53876"/>
    <w:rsid w:val="00C53991"/>
    <w:rsid w:val="00C549A0"/>
    <w:rsid w:val="00C54C37"/>
    <w:rsid w:val="00C56E91"/>
    <w:rsid w:val="00C57976"/>
    <w:rsid w:val="00C60D29"/>
    <w:rsid w:val="00C6126C"/>
    <w:rsid w:val="00C61AF5"/>
    <w:rsid w:val="00C623D8"/>
    <w:rsid w:val="00C62F18"/>
    <w:rsid w:val="00C63645"/>
    <w:rsid w:val="00C63732"/>
    <w:rsid w:val="00C63C92"/>
    <w:rsid w:val="00C64473"/>
    <w:rsid w:val="00C647B6"/>
    <w:rsid w:val="00C65C41"/>
    <w:rsid w:val="00C66AE9"/>
    <w:rsid w:val="00C67030"/>
    <w:rsid w:val="00C701D0"/>
    <w:rsid w:val="00C7101F"/>
    <w:rsid w:val="00C713F5"/>
    <w:rsid w:val="00C71A7D"/>
    <w:rsid w:val="00C72D58"/>
    <w:rsid w:val="00C73855"/>
    <w:rsid w:val="00C74848"/>
    <w:rsid w:val="00C75024"/>
    <w:rsid w:val="00C75328"/>
    <w:rsid w:val="00C75550"/>
    <w:rsid w:val="00C75773"/>
    <w:rsid w:val="00C75A31"/>
    <w:rsid w:val="00C76A45"/>
    <w:rsid w:val="00C774BB"/>
    <w:rsid w:val="00C77721"/>
    <w:rsid w:val="00C77772"/>
    <w:rsid w:val="00C7796A"/>
    <w:rsid w:val="00C80AE6"/>
    <w:rsid w:val="00C80D1B"/>
    <w:rsid w:val="00C81620"/>
    <w:rsid w:val="00C8168F"/>
    <w:rsid w:val="00C820B0"/>
    <w:rsid w:val="00C82966"/>
    <w:rsid w:val="00C82CA9"/>
    <w:rsid w:val="00C82E31"/>
    <w:rsid w:val="00C85411"/>
    <w:rsid w:val="00C8555B"/>
    <w:rsid w:val="00C8657B"/>
    <w:rsid w:val="00C866FE"/>
    <w:rsid w:val="00C86840"/>
    <w:rsid w:val="00C86C49"/>
    <w:rsid w:val="00C86D25"/>
    <w:rsid w:val="00C87715"/>
    <w:rsid w:val="00C87A76"/>
    <w:rsid w:val="00C90196"/>
    <w:rsid w:val="00C902C8"/>
    <w:rsid w:val="00C903FE"/>
    <w:rsid w:val="00C908EF"/>
    <w:rsid w:val="00C90CAC"/>
    <w:rsid w:val="00C90CF4"/>
    <w:rsid w:val="00C9101A"/>
    <w:rsid w:val="00C919C4"/>
    <w:rsid w:val="00C92798"/>
    <w:rsid w:val="00C93389"/>
    <w:rsid w:val="00C93954"/>
    <w:rsid w:val="00C93C63"/>
    <w:rsid w:val="00C951CA"/>
    <w:rsid w:val="00C95339"/>
    <w:rsid w:val="00C958DA"/>
    <w:rsid w:val="00C95B18"/>
    <w:rsid w:val="00C95E3D"/>
    <w:rsid w:val="00C96297"/>
    <w:rsid w:val="00C96820"/>
    <w:rsid w:val="00CA0C7F"/>
    <w:rsid w:val="00CA0FAE"/>
    <w:rsid w:val="00CA2DD6"/>
    <w:rsid w:val="00CA30E3"/>
    <w:rsid w:val="00CA3510"/>
    <w:rsid w:val="00CA35BA"/>
    <w:rsid w:val="00CA3D3B"/>
    <w:rsid w:val="00CA6419"/>
    <w:rsid w:val="00CA71AD"/>
    <w:rsid w:val="00CB0001"/>
    <w:rsid w:val="00CB0E00"/>
    <w:rsid w:val="00CB18B6"/>
    <w:rsid w:val="00CB1981"/>
    <w:rsid w:val="00CB29D1"/>
    <w:rsid w:val="00CB3349"/>
    <w:rsid w:val="00CB4F69"/>
    <w:rsid w:val="00CB560F"/>
    <w:rsid w:val="00CB62F8"/>
    <w:rsid w:val="00CB6325"/>
    <w:rsid w:val="00CC01D0"/>
    <w:rsid w:val="00CC0C3D"/>
    <w:rsid w:val="00CC0FC5"/>
    <w:rsid w:val="00CC113F"/>
    <w:rsid w:val="00CC1887"/>
    <w:rsid w:val="00CC386B"/>
    <w:rsid w:val="00CC38DB"/>
    <w:rsid w:val="00CC3B3E"/>
    <w:rsid w:val="00CC5D9D"/>
    <w:rsid w:val="00CC5E9B"/>
    <w:rsid w:val="00CC62CA"/>
    <w:rsid w:val="00CC68C2"/>
    <w:rsid w:val="00CC6A86"/>
    <w:rsid w:val="00CC7383"/>
    <w:rsid w:val="00CC77B8"/>
    <w:rsid w:val="00CD0328"/>
    <w:rsid w:val="00CD1866"/>
    <w:rsid w:val="00CD1D13"/>
    <w:rsid w:val="00CD254B"/>
    <w:rsid w:val="00CD276D"/>
    <w:rsid w:val="00CD27D9"/>
    <w:rsid w:val="00CD2A83"/>
    <w:rsid w:val="00CD379F"/>
    <w:rsid w:val="00CD3C89"/>
    <w:rsid w:val="00CD56D8"/>
    <w:rsid w:val="00CD58AA"/>
    <w:rsid w:val="00CD6441"/>
    <w:rsid w:val="00CD79FE"/>
    <w:rsid w:val="00CD7BE9"/>
    <w:rsid w:val="00CD7C12"/>
    <w:rsid w:val="00CE00F3"/>
    <w:rsid w:val="00CE036F"/>
    <w:rsid w:val="00CE0E95"/>
    <w:rsid w:val="00CE0FC5"/>
    <w:rsid w:val="00CE1019"/>
    <w:rsid w:val="00CE1280"/>
    <w:rsid w:val="00CE158D"/>
    <w:rsid w:val="00CE1F86"/>
    <w:rsid w:val="00CE24FC"/>
    <w:rsid w:val="00CE276E"/>
    <w:rsid w:val="00CE31DA"/>
    <w:rsid w:val="00CE33A8"/>
    <w:rsid w:val="00CE35FE"/>
    <w:rsid w:val="00CE3B0A"/>
    <w:rsid w:val="00CE47B3"/>
    <w:rsid w:val="00CE4C45"/>
    <w:rsid w:val="00CE4F4B"/>
    <w:rsid w:val="00CE50E8"/>
    <w:rsid w:val="00CE573F"/>
    <w:rsid w:val="00CE6861"/>
    <w:rsid w:val="00CE68EA"/>
    <w:rsid w:val="00CE7908"/>
    <w:rsid w:val="00CE7DBD"/>
    <w:rsid w:val="00CF0173"/>
    <w:rsid w:val="00CF2A7A"/>
    <w:rsid w:val="00CF2C7E"/>
    <w:rsid w:val="00CF2CB6"/>
    <w:rsid w:val="00CF2E4E"/>
    <w:rsid w:val="00CF31F6"/>
    <w:rsid w:val="00CF3468"/>
    <w:rsid w:val="00CF47FD"/>
    <w:rsid w:val="00CF4BE2"/>
    <w:rsid w:val="00CF51EC"/>
    <w:rsid w:val="00CF619B"/>
    <w:rsid w:val="00CF6E52"/>
    <w:rsid w:val="00CF7035"/>
    <w:rsid w:val="00D02A33"/>
    <w:rsid w:val="00D03D9E"/>
    <w:rsid w:val="00D040DD"/>
    <w:rsid w:val="00D04232"/>
    <w:rsid w:val="00D044EA"/>
    <w:rsid w:val="00D045D0"/>
    <w:rsid w:val="00D04748"/>
    <w:rsid w:val="00D04839"/>
    <w:rsid w:val="00D04A5D"/>
    <w:rsid w:val="00D054F3"/>
    <w:rsid w:val="00D05A86"/>
    <w:rsid w:val="00D07345"/>
    <w:rsid w:val="00D0774F"/>
    <w:rsid w:val="00D0796B"/>
    <w:rsid w:val="00D07A40"/>
    <w:rsid w:val="00D1176D"/>
    <w:rsid w:val="00D11CDE"/>
    <w:rsid w:val="00D11DEF"/>
    <w:rsid w:val="00D120A5"/>
    <w:rsid w:val="00D13098"/>
    <w:rsid w:val="00D13328"/>
    <w:rsid w:val="00D137CB"/>
    <w:rsid w:val="00D13906"/>
    <w:rsid w:val="00D14B28"/>
    <w:rsid w:val="00D15A54"/>
    <w:rsid w:val="00D1607F"/>
    <w:rsid w:val="00D16834"/>
    <w:rsid w:val="00D17E3D"/>
    <w:rsid w:val="00D202B5"/>
    <w:rsid w:val="00D20597"/>
    <w:rsid w:val="00D20688"/>
    <w:rsid w:val="00D232F8"/>
    <w:rsid w:val="00D23446"/>
    <w:rsid w:val="00D24B30"/>
    <w:rsid w:val="00D256A1"/>
    <w:rsid w:val="00D256C5"/>
    <w:rsid w:val="00D267E2"/>
    <w:rsid w:val="00D27BAA"/>
    <w:rsid w:val="00D27F3D"/>
    <w:rsid w:val="00D317AA"/>
    <w:rsid w:val="00D31B66"/>
    <w:rsid w:val="00D31CF6"/>
    <w:rsid w:val="00D33BC7"/>
    <w:rsid w:val="00D34AF7"/>
    <w:rsid w:val="00D3503E"/>
    <w:rsid w:val="00D355C0"/>
    <w:rsid w:val="00D362C3"/>
    <w:rsid w:val="00D369F8"/>
    <w:rsid w:val="00D379AD"/>
    <w:rsid w:val="00D37AAE"/>
    <w:rsid w:val="00D4082D"/>
    <w:rsid w:val="00D40EB6"/>
    <w:rsid w:val="00D41A0E"/>
    <w:rsid w:val="00D41AF1"/>
    <w:rsid w:val="00D41F3D"/>
    <w:rsid w:val="00D42B88"/>
    <w:rsid w:val="00D43524"/>
    <w:rsid w:val="00D43C99"/>
    <w:rsid w:val="00D43E8C"/>
    <w:rsid w:val="00D44919"/>
    <w:rsid w:val="00D44CF1"/>
    <w:rsid w:val="00D44F9B"/>
    <w:rsid w:val="00D450AC"/>
    <w:rsid w:val="00D45211"/>
    <w:rsid w:val="00D456A4"/>
    <w:rsid w:val="00D46277"/>
    <w:rsid w:val="00D4701B"/>
    <w:rsid w:val="00D50475"/>
    <w:rsid w:val="00D519AC"/>
    <w:rsid w:val="00D51D55"/>
    <w:rsid w:val="00D52BED"/>
    <w:rsid w:val="00D52F5C"/>
    <w:rsid w:val="00D53090"/>
    <w:rsid w:val="00D54225"/>
    <w:rsid w:val="00D54886"/>
    <w:rsid w:val="00D55DF8"/>
    <w:rsid w:val="00D579E9"/>
    <w:rsid w:val="00D57D9C"/>
    <w:rsid w:val="00D600F9"/>
    <w:rsid w:val="00D60199"/>
    <w:rsid w:val="00D6097A"/>
    <w:rsid w:val="00D60C38"/>
    <w:rsid w:val="00D61468"/>
    <w:rsid w:val="00D61698"/>
    <w:rsid w:val="00D61B8E"/>
    <w:rsid w:val="00D625FC"/>
    <w:rsid w:val="00D6280A"/>
    <w:rsid w:val="00D62884"/>
    <w:rsid w:val="00D62D84"/>
    <w:rsid w:val="00D64A75"/>
    <w:rsid w:val="00D652EC"/>
    <w:rsid w:val="00D676E8"/>
    <w:rsid w:val="00D70113"/>
    <w:rsid w:val="00D703DB"/>
    <w:rsid w:val="00D71377"/>
    <w:rsid w:val="00D71A0E"/>
    <w:rsid w:val="00D726A7"/>
    <w:rsid w:val="00D72C5F"/>
    <w:rsid w:val="00D733B6"/>
    <w:rsid w:val="00D73499"/>
    <w:rsid w:val="00D734FC"/>
    <w:rsid w:val="00D738AE"/>
    <w:rsid w:val="00D73CCD"/>
    <w:rsid w:val="00D750B4"/>
    <w:rsid w:val="00D758C8"/>
    <w:rsid w:val="00D768AA"/>
    <w:rsid w:val="00D77F41"/>
    <w:rsid w:val="00D8023E"/>
    <w:rsid w:val="00D81C3D"/>
    <w:rsid w:val="00D81ED0"/>
    <w:rsid w:val="00D81FA6"/>
    <w:rsid w:val="00D81FAD"/>
    <w:rsid w:val="00D83397"/>
    <w:rsid w:val="00D83A64"/>
    <w:rsid w:val="00D84C8F"/>
    <w:rsid w:val="00D859B3"/>
    <w:rsid w:val="00D87A8C"/>
    <w:rsid w:val="00D87B45"/>
    <w:rsid w:val="00D87F49"/>
    <w:rsid w:val="00D90839"/>
    <w:rsid w:val="00D90999"/>
    <w:rsid w:val="00D90E79"/>
    <w:rsid w:val="00D911C5"/>
    <w:rsid w:val="00D9164E"/>
    <w:rsid w:val="00D92C97"/>
    <w:rsid w:val="00D92D6A"/>
    <w:rsid w:val="00D9320F"/>
    <w:rsid w:val="00D943B6"/>
    <w:rsid w:val="00D94457"/>
    <w:rsid w:val="00D94B8F"/>
    <w:rsid w:val="00D9565D"/>
    <w:rsid w:val="00D9612F"/>
    <w:rsid w:val="00D961C7"/>
    <w:rsid w:val="00D96D64"/>
    <w:rsid w:val="00D9700D"/>
    <w:rsid w:val="00DA293D"/>
    <w:rsid w:val="00DA2C60"/>
    <w:rsid w:val="00DA3BF0"/>
    <w:rsid w:val="00DA3D2E"/>
    <w:rsid w:val="00DA4844"/>
    <w:rsid w:val="00DA5440"/>
    <w:rsid w:val="00DA55A4"/>
    <w:rsid w:val="00DA598D"/>
    <w:rsid w:val="00DA6192"/>
    <w:rsid w:val="00DA6934"/>
    <w:rsid w:val="00DB09B8"/>
    <w:rsid w:val="00DB17CC"/>
    <w:rsid w:val="00DB1C29"/>
    <w:rsid w:val="00DB2397"/>
    <w:rsid w:val="00DB25CC"/>
    <w:rsid w:val="00DB2894"/>
    <w:rsid w:val="00DB2C03"/>
    <w:rsid w:val="00DB303E"/>
    <w:rsid w:val="00DB38C5"/>
    <w:rsid w:val="00DB52B1"/>
    <w:rsid w:val="00DB5CBA"/>
    <w:rsid w:val="00DC0216"/>
    <w:rsid w:val="00DC1785"/>
    <w:rsid w:val="00DC1B7E"/>
    <w:rsid w:val="00DC2C0B"/>
    <w:rsid w:val="00DC4034"/>
    <w:rsid w:val="00DC4FDB"/>
    <w:rsid w:val="00DC5115"/>
    <w:rsid w:val="00DC56BB"/>
    <w:rsid w:val="00DC5815"/>
    <w:rsid w:val="00DC5B3B"/>
    <w:rsid w:val="00DC5F2B"/>
    <w:rsid w:val="00DC701F"/>
    <w:rsid w:val="00DC7F5F"/>
    <w:rsid w:val="00DD1BD7"/>
    <w:rsid w:val="00DD2DAD"/>
    <w:rsid w:val="00DD3BD4"/>
    <w:rsid w:val="00DD3CEF"/>
    <w:rsid w:val="00DD4278"/>
    <w:rsid w:val="00DD4BBF"/>
    <w:rsid w:val="00DD699C"/>
    <w:rsid w:val="00DD7047"/>
    <w:rsid w:val="00DD70DE"/>
    <w:rsid w:val="00DD741F"/>
    <w:rsid w:val="00DD7498"/>
    <w:rsid w:val="00DD787B"/>
    <w:rsid w:val="00DD7CF8"/>
    <w:rsid w:val="00DE024D"/>
    <w:rsid w:val="00DE0501"/>
    <w:rsid w:val="00DE092B"/>
    <w:rsid w:val="00DE0C0F"/>
    <w:rsid w:val="00DE10E8"/>
    <w:rsid w:val="00DE1356"/>
    <w:rsid w:val="00DE1B71"/>
    <w:rsid w:val="00DE2C7B"/>
    <w:rsid w:val="00DE2E22"/>
    <w:rsid w:val="00DE3179"/>
    <w:rsid w:val="00DE3973"/>
    <w:rsid w:val="00DE4A51"/>
    <w:rsid w:val="00DE539E"/>
    <w:rsid w:val="00DE66BB"/>
    <w:rsid w:val="00DE736E"/>
    <w:rsid w:val="00DF0EDC"/>
    <w:rsid w:val="00DF1241"/>
    <w:rsid w:val="00DF137E"/>
    <w:rsid w:val="00DF1398"/>
    <w:rsid w:val="00DF2F65"/>
    <w:rsid w:val="00DF33EF"/>
    <w:rsid w:val="00DF3F1A"/>
    <w:rsid w:val="00DF4938"/>
    <w:rsid w:val="00DF4FE9"/>
    <w:rsid w:val="00DF5D00"/>
    <w:rsid w:val="00DF6B13"/>
    <w:rsid w:val="00DF7587"/>
    <w:rsid w:val="00DF75EF"/>
    <w:rsid w:val="00DF7E65"/>
    <w:rsid w:val="00DF7FCF"/>
    <w:rsid w:val="00E00B39"/>
    <w:rsid w:val="00E00DD1"/>
    <w:rsid w:val="00E01C0E"/>
    <w:rsid w:val="00E02641"/>
    <w:rsid w:val="00E0428C"/>
    <w:rsid w:val="00E0437D"/>
    <w:rsid w:val="00E04694"/>
    <w:rsid w:val="00E05426"/>
    <w:rsid w:val="00E0599E"/>
    <w:rsid w:val="00E05C11"/>
    <w:rsid w:val="00E079D7"/>
    <w:rsid w:val="00E079FB"/>
    <w:rsid w:val="00E07A54"/>
    <w:rsid w:val="00E100A3"/>
    <w:rsid w:val="00E106F6"/>
    <w:rsid w:val="00E11327"/>
    <w:rsid w:val="00E1175F"/>
    <w:rsid w:val="00E11AF4"/>
    <w:rsid w:val="00E12A52"/>
    <w:rsid w:val="00E12D30"/>
    <w:rsid w:val="00E139DE"/>
    <w:rsid w:val="00E13E22"/>
    <w:rsid w:val="00E13FE3"/>
    <w:rsid w:val="00E144EF"/>
    <w:rsid w:val="00E14754"/>
    <w:rsid w:val="00E14AE7"/>
    <w:rsid w:val="00E14C18"/>
    <w:rsid w:val="00E14E65"/>
    <w:rsid w:val="00E158E3"/>
    <w:rsid w:val="00E22AE6"/>
    <w:rsid w:val="00E30C67"/>
    <w:rsid w:val="00E30CDC"/>
    <w:rsid w:val="00E30F7E"/>
    <w:rsid w:val="00E31E16"/>
    <w:rsid w:val="00E32A90"/>
    <w:rsid w:val="00E32BA0"/>
    <w:rsid w:val="00E32F41"/>
    <w:rsid w:val="00E33D7D"/>
    <w:rsid w:val="00E33EAE"/>
    <w:rsid w:val="00E340F9"/>
    <w:rsid w:val="00E344C3"/>
    <w:rsid w:val="00E358FF"/>
    <w:rsid w:val="00E36142"/>
    <w:rsid w:val="00E369B0"/>
    <w:rsid w:val="00E36C7E"/>
    <w:rsid w:val="00E36F83"/>
    <w:rsid w:val="00E3735A"/>
    <w:rsid w:val="00E443AC"/>
    <w:rsid w:val="00E45F0C"/>
    <w:rsid w:val="00E4626C"/>
    <w:rsid w:val="00E46C3D"/>
    <w:rsid w:val="00E504C3"/>
    <w:rsid w:val="00E513B0"/>
    <w:rsid w:val="00E5231C"/>
    <w:rsid w:val="00E528B7"/>
    <w:rsid w:val="00E52C47"/>
    <w:rsid w:val="00E53E7A"/>
    <w:rsid w:val="00E54C11"/>
    <w:rsid w:val="00E55566"/>
    <w:rsid w:val="00E555D7"/>
    <w:rsid w:val="00E56D60"/>
    <w:rsid w:val="00E57564"/>
    <w:rsid w:val="00E603BD"/>
    <w:rsid w:val="00E609BA"/>
    <w:rsid w:val="00E60E7C"/>
    <w:rsid w:val="00E6101E"/>
    <w:rsid w:val="00E6176C"/>
    <w:rsid w:val="00E61C43"/>
    <w:rsid w:val="00E62F72"/>
    <w:rsid w:val="00E63D3F"/>
    <w:rsid w:val="00E644A7"/>
    <w:rsid w:val="00E64FE4"/>
    <w:rsid w:val="00E651DE"/>
    <w:rsid w:val="00E6616C"/>
    <w:rsid w:val="00E6657D"/>
    <w:rsid w:val="00E67DC3"/>
    <w:rsid w:val="00E71A58"/>
    <w:rsid w:val="00E72178"/>
    <w:rsid w:val="00E729DB"/>
    <w:rsid w:val="00E72A9C"/>
    <w:rsid w:val="00E7308A"/>
    <w:rsid w:val="00E74500"/>
    <w:rsid w:val="00E74F05"/>
    <w:rsid w:val="00E76F70"/>
    <w:rsid w:val="00E771F5"/>
    <w:rsid w:val="00E77B74"/>
    <w:rsid w:val="00E8026B"/>
    <w:rsid w:val="00E816B7"/>
    <w:rsid w:val="00E81E1F"/>
    <w:rsid w:val="00E82D69"/>
    <w:rsid w:val="00E82E82"/>
    <w:rsid w:val="00E83717"/>
    <w:rsid w:val="00E84E9F"/>
    <w:rsid w:val="00E85EA4"/>
    <w:rsid w:val="00E875B7"/>
    <w:rsid w:val="00E90A06"/>
    <w:rsid w:val="00E90DF6"/>
    <w:rsid w:val="00E9276C"/>
    <w:rsid w:val="00E929C4"/>
    <w:rsid w:val="00E93554"/>
    <w:rsid w:val="00E94CAA"/>
    <w:rsid w:val="00E95554"/>
    <w:rsid w:val="00E95AF8"/>
    <w:rsid w:val="00E95C73"/>
    <w:rsid w:val="00EA0C68"/>
    <w:rsid w:val="00EA2568"/>
    <w:rsid w:val="00EA3AF5"/>
    <w:rsid w:val="00EA684A"/>
    <w:rsid w:val="00EA6979"/>
    <w:rsid w:val="00EA7285"/>
    <w:rsid w:val="00EA7A84"/>
    <w:rsid w:val="00EB00C7"/>
    <w:rsid w:val="00EB0F76"/>
    <w:rsid w:val="00EB1B7E"/>
    <w:rsid w:val="00EB20D3"/>
    <w:rsid w:val="00EB2106"/>
    <w:rsid w:val="00EB2376"/>
    <w:rsid w:val="00EB24EA"/>
    <w:rsid w:val="00EB2A81"/>
    <w:rsid w:val="00EB3116"/>
    <w:rsid w:val="00EB46B4"/>
    <w:rsid w:val="00EB4980"/>
    <w:rsid w:val="00EB6795"/>
    <w:rsid w:val="00EB7D19"/>
    <w:rsid w:val="00EB7D4C"/>
    <w:rsid w:val="00EB7F5D"/>
    <w:rsid w:val="00EC0630"/>
    <w:rsid w:val="00EC205E"/>
    <w:rsid w:val="00EC3F5E"/>
    <w:rsid w:val="00EC63F0"/>
    <w:rsid w:val="00EC6650"/>
    <w:rsid w:val="00EC7950"/>
    <w:rsid w:val="00ED11B4"/>
    <w:rsid w:val="00ED2269"/>
    <w:rsid w:val="00ED260E"/>
    <w:rsid w:val="00ED26B4"/>
    <w:rsid w:val="00ED3025"/>
    <w:rsid w:val="00ED422B"/>
    <w:rsid w:val="00ED4469"/>
    <w:rsid w:val="00ED48F5"/>
    <w:rsid w:val="00ED50FC"/>
    <w:rsid w:val="00ED5B4F"/>
    <w:rsid w:val="00ED696E"/>
    <w:rsid w:val="00EE01F9"/>
    <w:rsid w:val="00EE04F2"/>
    <w:rsid w:val="00EE25C3"/>
    <w:rsid w:val="00EE27A4"/>
    <w:rsid w:val="00EE2F9F"/>
    <w:rsid w:val="00EE3594"/>
    <w:rsid w:val="00EE3E78"/>
    <w:rsid w:val="00EE458E"/>
    <w:rsid w:val="00EE4E51"/>
    <w:rsid w:val="00EE52F3"/>
    <w:rsid w:val="00EE52FC"/>
    <w:rsid w:val="00EE5A03"/>
    <w:rsid w:val="00EE5A55"/>
    <w:rsid w:val="00EE78B6"/>
    <w:rsid w:val="00EE7BEA"/>
    <w:rsid w:val="00EF0C14"/>
    <w:rsid w:val="00EF1F5A"/>
    <w:rsid w:val="00EF267A"/>
    <w:rsid w:val="00EF390C"/>
    <w:rsid w:val="00EF472B"/>
    <w:rsid w:val="00EF4AB7"/>
    <w:rsid w:val="00EF5ED2"/>
    <w:rsid w:val="00EF6170"/>
    <w:rsid w:val="00EF69EB"/>
    <w:rsid w:val="00EF745D"/>
    <w:rsid w:val="00EF7BAC"/>
    <w:rsid w:val="00F01279"/>
    <w:rsid w:val="00F02751"/>
    <w:rsid w:val="00F02B19"/>
    <w:rsid w:val="00F02C58"/>
    <w:rsid w:val="00F04811"/>
    <w:rsid w:val="00F0488C"/>
    <w:rsid w:val="00F05682"/>
    <w:rsid w:val="00F075C8"/>
    <w:rsid w:val="00F1001C"/>
    <w:rsid w:val="00F1085F"/>
    <w:rsid w:val="00F10DA0"/>
    <w:rsid w:val="00F10EFB"/>
    <w:rsid w:val="00F11826"/>
    <w:rsid w:val="00F11ADB"/>
    <w:rsid w:val="00F11BE1"/>
    <w:rsid w:val="00F1216F"/>
    <w:rsid w:val="00F1233C"/>
    <w:rsid w:val="00F125F7"/>
    <w:rsid w:val="00F12D74"/>
    <w:rsid w:val="00F1307F"/>
    <w:rsid w:val="00F13487"/>
    <w:rsid w:val="00F15234"/>
    <w:rsid w:val="00F15239"/>
    <w:rsid w:val="00F15BEF"/>
    <w:rsid w:val="00F16380"/>
    <w:rsid w:val="00F17073"/>
    <w:rsid w:val="00F17441"/>
    <w:rsid w:val="00F17476"/>
    <w:rsid w:val="00F21A91"/>
    <w:rsid w:val="00F21B06"/>
    <w:rsid w:val="00F22782"/>
    <w:rsid w:val="00F22E88"/>
    <w:rsid w:val="00F22E95"/>
    <w:rsid w:val="00F24469"/>
    <w:rsid w:val="00F24FAA"/>
    <w:rsid w:val="00F25828"/>
    <w:rsid w:val="00F26446"/>
    <w:rsid w:val="00F274C6"/>
    <w:rsid w:val="00F276B5"/>
    <w:rsid w:val="00F309E3"/>
    <w:rsid w:val="00F30D8A"/>
    <w:rsid w:val="00F31536"/>
    <w:rsid w:val="00F31577"/>
    <w:rsid w:val="00F31A2C"/>
    <w:rsid w:val="00F3235A"/>
    <w:rsid w:val="00F3364D"/>
    <w:rsid w:val="00F33F9B"/>
    <w:rsid w:val="00F35998"/>
    <w:rsid w:val="00F36ACD"/>
    <w:rsid w:val="00F36B49"/>
    <w:rsid w:val="00F36C27"/>
    <w:rsid w:val="00F372F9"/>
    <w:rsid w:val="00F37C80"/>
    <w:rsid w:val="00F37E2F"/>
    <w:rsid w:val="00F37F01"/>
    <w:rsid w:val="00F42294"/>
    <w:rsid w:val="00F4260E"/>
    <w:rsid w:val="00F42D42"/>
    <w:rsid w:val="00F42DEA"/>
    <w:rsid w:val="00F4335A"/>
    <w:rsid w:val="00F43800"/>
    <w:rsid w:val="00F4477E"/>
    <w:rsid w:val="00F4561E"/>
    <w:rsid w:val="00F46BFB"/>
    <w:rsid w:val="00F4733D"/>
    <w:rsid w:val="00F47D51"/>
    <w:rsid w:val="00F5099C"/>
    <w:rsid w:val="00F50BEA"/>
    <w:rsid w:val="00F50EBA"/>
    <w:rsid w:val="00F511BD"/>
    <w:rsid w:val="00F5228D"/>
    <w:rsid w:val="00F52794"/>
    <w:rsid w:val="00F52C0D"/>
    <w:rsid w:val="00F53831"/>
    <w:rsid w:val="00F543ED"/>
    <w:rsid w:val="00F549DE"/>
    <w:rsid w:val="00F54C1F"/>
    <w:rsid w:val="00F5594A"/>
    <w:rsid w:val="00F56447"/>
    <w:rsid w:val="00F56B28"/>
    <w:rsid w:val="00F57279"/>
    <w:rsid w:val="00F5744D"/>
    <w:rsid w:val="00F60275"/>
    <w:rsid w:val="00F606CF"/>
    <w:rsid w:val="00F613E9"/>
    <w:rsid w:val="00F61DC8"/>
    <w:rsid w:val="00F61E6A"/>
    <w:rsid w:val="00F63DDE"/>
    <w:rsid w:val="00F63E5F"/>
    <w:rsid w:val="00F63FB7"/>
    <w:rsid w:val="00F647D8"/>
    <w:rsid w:val="00F64E8C"/>
    <w:rsid w:val="00F66E5A"/>
    <w:rsid w:val="00F702F8"/>
    <w:rsid w:val="00F72167"/>
    <w:rsid w:val="00F727D5"/>
    <w:rsid w:val="00F728AD"/>
    <w:rsid w:val="00F72A84"/>
    <w:rsid w:val="00F73A0C"/>
    <w:rsid w:val="00F73D92"/>
    <w:rsid w:val="00F746EF"/>
    <w:rsid w:val="00F750F8"/>
    <w:rsid w:val="00F753BE"/>
    <w:rsid w:val="00F75C57"/>
    <w:rsid w:val="00F76803"/>
    <w:rsid w:val="00F769DC"/>
    <w:rsid w:val="00F77C3D"/>
    <w:rsid w:val="00F8074E"/>
    <w:rsid w:val="00F80F53"/>
    <w:rsid w:val="00F80FFE"/>
    <w:rsid w:val="00F82398"/>
    <w:rsid w:val="00F8375F"/>
    <w:rsid w:val="00F8413A"/>
    <w:rsid w:val="00F85378"/>
    <w:rsid w:val="00F85A84"/>
    <w:rsid w:val="00F85DCF"/>
    <w:rsid w:val="00F86893"/>
    <w:rsid w:val="00F87148"/>
    <w:rsid w:val="00F90D7C"/>
    <w:rsid w:val="00F92429"/>
    <w:rsid w:val="00F9249A"/>
    <w:rsid w:val="00F92CD2"/>
    <w:rsid w:val="00F92EB8"/>
    <w:rsid w:val="00F9362A"/>
    <w:rsid w:val="00F93823"/>
    <w:rsid w:val="00F9409F"/>
    <w:rsid w:val="00F95893"/>
    <w:rsid w:val="00F9678A"/>
    <w:rsid w:val="00FA05E2"/>
    <w:rsid w:val="00FA2399"/>
    <w:rsid w:val="00FA3174"/>
    <w:rsid w:val="00FA32CF"/>
    <w:rsid w:val="00FA381C"/>
    <w:rsid w:val="00FA3AAC"/>
    <w:rsid w:val="00FA4D96"/>
    <w:rsid w:val="00FA4E62"/>
    <w:rsid w:val="00FA5F09"/>
    <w:rsid w:val="00FA62C4"/>
    <w:rsid w:val="00FA767A"/>
    <w:rsid w:val="00FA7E78"/>
    <w:rsid w:val="00FB0DB3"/>
    <w:rsid w:val="00FB1007"/>
    <w:rsid w:val="00FB1074"/>
    <w:rsid w:val="00FB1EAF"/>
    <w:rsid w:val="00FB2577"/>
    <w:rsid w:val="00FB259D"/>
    <w:rsid w:val="00FB3BAB"/>
    <w:rsid w:val="00FB408F"/>
    <w:rsid w:val="00FB4548"/>
    <w:rsid w:val="00FB5750"/>
    <w:rsid w:val="00FB57C8"/>
    <w:rsid w:val="00FB6621"/>
    <w:rsid w:val="00FB6874"/>
    <w:rsid w:val="00FB6C52"/>
    <w:rsid w:val="00FB72C5"/>
    <w:rsid w:val="00FC075C"/>
    <w:rsid w:val="00FC0E5F"/>
    <w:rsid w:val="00FC1992"/>
    <w:rsid w:val="00FC1AC0"/>
    <w:rsid w:val="00FC25DE"/>
    <w:rsid w:val="00FC3949"/>
    <w:rsid w:val="00FC489B"/>
    <w:rsid w:val="00FC5692"/>
    <w:rsid w:val="00FC56DE"/>
    <w:rsid w:val="00FC58DB"/>
    <w:rsid w:val="00FC5975"/>
    <w:rsid w:val="00FC7229"/>
    <w:rsid w:val="00FD2325"/>
    <w:rsid w:val="00FD293E"/>
    <w:rsid w:val="00FD29E1"/>
    <w:rsid w:val="00FD2BEE"/>
    <w:rsid w:val="00FD32DD"/>
    <w:rsid w:val="00FD3913"/>
    <w:rsid w:val="00FD3DC1"/>
    <w:rsid w:val="00FD40D6"/>
    <w:rsid w:val="00FD44DE"/>
    <w:rsid w:val="00FD605D"/>
    <w:rsid w:val="00FD623B"/>
    <w:rsid w:val="00FD63DE"/>
    <w:rsid w:val="00FD6AD8"/>
    <w:rsid w:val="00FD6C67"/>
    <w:rsid w:val="00FD7699"/>
    <w:rsid w:val="00FD7982"/>
    <w:rsid w:val="00FD7D17"/>
    <w:rsid w:val="00FE0416"/>
    <w:rsid w:val="00FE0419"/>
    <w:rsid w:val="00FE1134"/>
    <w:rsid w:val="00FE1BF4"/>
    <w:rsid w:val="00FE2F78"/>
    <w:rsid w:val="00FE328B"/>
    <w:rsid w:val="00FE3CBB"/>
    <w:rsid w:val="00FE5601"/>
    <w:rsid w:val="00FE6D31"/>
    <w:rsid w:val="00FE71C3"/>
    <w:rsid w:val="00FE7DA1"/>
    <w:rsid w:val="00FF084B"/>
    <w:rsid w:val="00FF0AC6"/>
    <w:rsid w:val="00FF2238"/>
    <w:rsid w:val="00FF2E9F"/>
    <w:rsid w:val="00FF3978"/>
    <w:rsid w:val="00FF3BF1"/>
    <w:rsid w:val="00FF4035"/>
    <w:rsid w:val="00FF4CF3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5CA5987"/>
  <w15:docId w15:val="{D9DE0143-2C42-430E-A150-9DC0AA5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aliases w:val="Text pozn. pod čarou_martin_ang"/>
    <w:basedOn w:val="Normln"/>
    <w:link w:val="TextpoznpodarouChar"/>
    <w:unhideWhenUsed/>
    <w:qFormat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link w:val="Textpoznpodarou"/>
    <w:qFormat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953AA1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53A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zso.cz/csu/czso/ukazatele-vyzkumu-a-vyvoje-2020" TargetMode="External"/><Relationship Id="rId1" Type="http://schemas.openxmlformats.org/officeDocument/2006/relationships/hyperlink" Target="https://www.czso.cz/csu/czso/vyvoj-ekonomiky-ceske-republiky-4-ctvrtleti-20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4_Publikace\02_INOVACE\Inovace_2020\2_TEXTY\ANAL&#221;ZA\213003-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Q\2021Q4\Makroanal&#253;za%20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4_Publikace\02_INOVACE\Inovace_2020\2_TEXTY\ANAL&#221;ZA\213003-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4_Publikace\02_INOVACE\Inovace_2020\2_TEXTY\ANAL&#221;ZA\213003-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4_Publikace\02_INOVACE\Inovace_2020\2_TEXTY\ANAL&#221;ZA\213003-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4_Publikace\02_INOVACE\Inovace_2020\2_TEXTY\ANAL&#221;ZA\213003-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828060158558824E-2"/>
          <c:y val="5.0858493248742413E-2"/>
          <c:w val="0.91732965970245384"/>
          <c:h val="0.697953687741694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'G1'!$C$3</c:f>
              <c:strCache>
                <c:ptCount val="1"/>
                <c:pt idx="0">
                  <c:v>Hrubý domácí produkt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'G1'!$A$4:$B$31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  <c:extLst/>
            </c:multiLvlStrRef>
          </c:cat>
          <c:val>
            <c:numRef>
              <c:f>'G1'!$C$4:$C$31</c:f>
              <c:numCache>
                <c:formatCode>0.0</c:formatCode>
                <c:ptCount val="24"/>
                <c:pt idx="0">
                  <c:v>3.3935679863989208</c:v>
                </c:pt>
                <c:pt idx="1">
                  <c:v>2.2554525211863137</c:v>
                </c:pt>
                <c:pt idx="2">
                  <c:v>1.9595698850867365</c:v>
                </c:pt>
                <c:pt idx="3">
                  <c:v>2.1706116744660449</c:v>
                </c:pt>
                <c:pt idx="4">
                  <c:v>3.5703667972288571</c:v>
                </c:pt>
                <c:pt idx="5">
                  <c:v>6.1313858438531526</c:v>
                </c:pt>
                <c:pt idx="6">
                  <c:v>5.8793571478929323</c:v>
                </c:pt>
                <c:pt idx="7">
                  <c:v>5.8948576142013849</c:v>
                </c:pt>
                <c:pt idx="8">
                  <c:v>4.8045186709861412</c:v>
                </c:pt>
                <c:pt idx="9">
                  <c:v>2.6817351351516834</c:v>
                </c:pt>
                <c:pt idx="10">
                  <c:v>2.7294466842677565</c:v>
                </c:pt>
                <c:pt idx="11">
                  <c:v>2.5583350179001485</c:v>
                </c:pt>
                <c:pt idx="12">
                  <c:v>2.9671766091530287</c:v>
                </c:pt>
                <c:pt idx="13">
                  <c:v>3.0195090485548093</c:v>
                </c:pt>
                <c:pt idx="14">
                  <c:v>2.9551051697276307</c:v>
                </c:pt>
                <c:pt idx="15">
                  <c:v>2.8845218371908743</c:v>
                </c:pt>
                <c:pt idx="16">
                  <c:v>-1.4789298016082597</c:v>
                </c:pt>
                <c:pt idx="17">
                  <c:v>-10.941056198550214</c:v>
                </c:pt>
                <c:pt idx="18">
                  <c:v>-5.4805373705362399</c:v>
                </c:pt>
                <c:pt idx="19">
                  <c:v>-5.3144733686297201</c:v>
                </c:pt>
                <c:pt idx="20">
                  <c:v>-2.3042313552889766</c:v>
                </c:pt>
                <c:pt idx="21">
                  <c:v>8.7242439080352341</c:v>
                </c:pt>
                <c:pt idx="22">
                  <c:v>3.488203641997913</c:v>
                </c:pt>
                <c:pt idx="23">
                  <c:v>3.6144541768052392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F7B-4794-8444-2E651366B993}"/>
            </c:ext>
          </c:extLst>
        </c:ser>
        <c:ser>
          <c:idx val="3"/>
          <c:order val="1"/>
          <c:tx>
            <c:strRef>
              <c:f>'G1'!$D$3</c:f>
              <c:strCache>
                <c:ptCount val="1"/>
                <c:pt idx="0">
                  <c:v>Hrubá přidaná hodnota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'G1'!$A$4:$B$31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  <c:extLst/>
            </c:multiLvlStrRef>
          </c:cat>
          <c:val>
            <c:numRef>
              <c:f>'G1'!$D$4:$D$31</c:f>
              <c:numCache>
                <c:formatCode>0.0</c:formatCode>
                <c:ptCount val="24"/>
                <c:pt idx="0">
                  <c:v>3.2432488532724477</c:v>
                </c:pt>
                <c:pt idx="1">
                  <c:v>2.1812660016831416</c:v>
                </c:pt>
                <c:pt idx="2">
                  <c:v>1.8386889187309379</c:v>
                </c:pt>
                <c:pt idx="3">
                  <c:v>2.3110595582056703</c:v>
                </c:pt>
                <c:pt idx="4">
                  <c:v>3.5756333122087796</c:v>
                </c:pt>
                <c:pt idx="5">
                  <c:v>6.312641173770146</c:v>
                </c:pt>
                <c:pt idx="6">
                  <c:v>6.0828988838195244</c:v>
                </c:pt>
                <c:pt idx="7">
                  <c:v>5.7291622433599514</c:v>
                </c:pt>
                <c:pt idx="8">
                  <c:v>4.8981973138931778</c:v>
                </c:pt>
                <c:pt idx="9">
                  <c:v>2.7705073977984114</c:v>
                </c:pt>
                <c:pt idx="10">
                  <c:v>2.971615005173561</c:v>
                </c:pt>
                <c:pt idx="11">
                  <c:v>2.8651136636718775</c:v>
                </c:pt>
                <c:pt idx="12">
                  <c:v>3.0103436393581262</c:v>
                </c:pt>
                <c:pt idx="13">
                  <c:v>3.0383460599339429</c:v>
                </c:pt>
                <c:pt idx="14">
                  <c:v>2.8103527604734353</c:v>
                </c:pt>
                <c:pt idx="15">
                  <c:v>2.8444899429730128</c:v>
                </c:pt>
                <c:pt idx="16">
                  <c:v>-1.0644255889717584</c:v>
                </c:pt>
                <c:pt idx="17">
                  <c:v>-11.134786866870044</c:v>
                </c:pt>
                <c:pt idx="18">
                  <c:v>-5.23577377768801</c:v>
                </c:pt>
                <c:pt idx="19">
                  <c:v>-4.9762976192130708</c:v>
                </c:pt>
                <c:pt idx="20">
                  <c:v>-2.4309234055460536</c:v>
                </c:pt>
                <c:pt idx="21">
                  <c:v>8.8697757337232019</c:v>
                </c:pt>
                <c:pt idx="22">
                  <c:v>3.1402142705258171</c:v>
                </c:pt>
                <c:pt idx="23">
                  <c:v>2.8965071911512723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1F7B-4794-8444-2E651366B9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200844800"/>
        <c:axId val="44289984"/>
      </c:barChart>
      <c:catAx>
        <c:axId val="200844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noFill/>
          <a:ln w="6350" cap="flat" cmpd="sng" algn="ctr">
            <a:solidFill>
              <a:schemeClr val="bg1">
                <a:lumMod val="5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4289984"/>
        <c:crossesAt val="0"/>
        <c:auto val="1"/>
        <c:lblAlgn val="ctr"/>
        <c:lblOffset val="100"/>
        <c:noMultiLvlLbl val="0"/>
      </c:catAx>
      <c:valAx>
        <c:axId val="44289984"/>
        <c:scaling>
          <c:orientation val="minMax"/>
          <c:max val="10"/>
          <c:min val="-12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/>
                  <a:t>%</a:t>
                </a:r>
                <a:endParaRPr lang="cs-CZ" sz="800" b="0" i="1"/>
              </a:p>
            </c:rich>
          </c:tx>
          <c:layout>
            <c:manualLayout>
              <c:xMode val="edge"/>
              <c:yMode val="edge"/>
              <c:x val="6.7723856209150326E-3"/>
              <c:y val="0.425723202614379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00844800"/>
        <c:crosses val="autoZero"/>
        <c:crossBetween val="between"/>
        <c:majorUnit val="2"/>
      </c:valAx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spcAft>
          <a:spcPts val="600"/>
        </a:spcAft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26857480580882E-2"/>
          <c:y val="2.9499886988623526E-2"/>
          <c:w val="0.9260266801756164"/>
          <c:h val="0.63445260610154264"/>
        </c:manualLayout>
      </c:layout>
      <c:barChart>
        <c:barDir val="col"/>
        <c:grouping val="stacked"/>
        <c:varyColors val="0"/>
        <c:ser>
          <c:idx val="4"/>
          <c:order val="0"/>
          <c:tx>
            <c:strRef>
              <c:f>'souhrnná výkonnost 4'!$C$5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'souhrnná výkonnost 4'!$C$22:$C$45</c:f>
              <c:numCache>
                <c:formatCode>#\ ##0.0</c:formatCode>
                <c:ptCount val="24"/>
                <c:pt idx="0">
                  <c:v>9.4765725889982E-2</c:v>
                </c:pt>
                <c:pt idx="1">
                  <c:v>0.15637528256042468</c:v>
                </c:pt>
                <c:pt idx="2">
                  <c:v>0.1869741986923065</c:v>
                </c:pt>
                <c:pt idx="3">
                  <c:v>7.7625901535376199E-2</c:v>
                </c:pt>
                <c:pt idx="4">
                  <c:v>-1.3383627512345413E-2</c:v>
                </c:pt>
                <c:pt idx="5">
                  <c:v>-0.10833526835550926</c:v>
                </c:pt>
                <c:pt idx="6">
                  <c:v>-0.17417145567790579</c:v>
                </c:pt>
                <c:pt idx="7">
                  <c:v>-5.6339788104083438E-2</c:v>
                </c:pt>
                <c:pt idx="8">
                  <c:v>3.3108455773835969E-2</c:v>
                </c:pt>
                <c:pt idx="9">
                  <c:v>6.7464623058102177E-2</c:v>
                </c:pt>
                <c:pt idx="10">
                  <c:v>0.13279889414520776</c:v>
                </c:pt>
                <c:pt idx="11">
                  <c:v>0.13730282461152749</c:v>
                </c:pt>
                <c:pt idx="12">
                  <c:v>8.2716288855485917E-2</c:v>
                </c:pt>
                <c:pt idx="13">
                  <c:v>9.2139384026042048E-2</c:v>
                </c:pt>
                <c:pt idx="14">
                  <c:v>0.10854763671027451</c:v>
                </c:pt>
                <c:pt idx="15">
                  <c:v>0.11881072235188453</c:v>
                </c:pt>
                <c:pt idx="16">
                  <c:v>0.14176672431872625</c:v>
                </c:pt>
                <c:pt idx="17">
                  <c:v>0.11249081704706697</c:v>
                </c:pt>
                <c:pt idx="18">
                  <c:v>0.13981604653752278</c:v>
                </c:pt>
                <c:pt idx="19">
                  <c:v>0.14108758003622204</c:v>
                </c:pt>
                <c:pt idx="20">
                  <c:v>0.17907455901827043</c:v>
                </c:pt>
                <c:pt idx="21">
                  <c:v>7.2580994222563006E-2</c:v>
                </c:pt>
                <c:pt idx="22">
                  <c:v>-1.6518947586400917E-2</c:v>
                </c:pt>
                <c:pt idx="23">
                  <c:v>-4.8864342909504272E-3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D9-461F-95D8-C92F88A3E40D}"/>
            </c:ext>
          </c:extLst>
        </c:ser>
        <c:ser>
          <c:idx val="3"/>
          <c:order val="1"/>
          <c:tx>
            <c:strRef>
              <c:f>'souhrnná výkonnost 4'!$D$5</c:f>
              <c:strCache>
                <c:ptCount val="1"/>
                <c:pt idx="0">
                  <c:v>Zpracovatelský průmysl (CZ-NACE C)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'souhrnná výkonnost 4'!$D$22:$D$45</c:f>
              <c:numCache>
                <c:formatCode>#\ ##0.0</c:formatCode>
                <c:ptCount val="24"/>
                <c:pt idx="0">
                  <c:v>1.6106591209137211</c:v>
                </c:pt>
                <c:pt idx="1">
                  <c:v>0.76053941356552957</c:v>
                </c:pt>
                <c:pt idx="2">
                  <c:v>0.94570363726203222</c:v>
                </c:pt>
                <c:pt idx="3">
                  <c:v>1.2222885842881583</c:v>
                </c:pt>
                <c:pt idx="4">
                  <c:v>1.3672331304188452</c:v>
                </c:pt>
                <c:pt idx="5">
                  <c:v>3.1345037144202608</c:v>
                </c:pt>
                <c:pt idx="6">
                  <c:v>3.0577731838821371</c:v>
                </c:pt>
                <c:pt idx="7">
                  <c:v>2.3545310158669421</c:v>
                </c:pt>
                <c:pt idx="8">
                  <c:v>1.5576365516094002</c:v>
                </c:pt>
                <c:pt idx="9">
                  <c:v>0.11177812966818869</c:v>
                </c:pt>
                <c:pt idx="10">
                  <c:v>3.2580368933372936E-3</c:v>
                </c:pt>
                <c:pt idx="11">
                  <c:v>0.30391701062646553</c:v>
                </c:pt>
                <c:pt idx="12">
                  <c:v>0.83241284936767035</c:v>
                </c:pt>
                <c:pt idx="13">
                  <c:v>1.3015365945875272</c:v>
                </c:pt>
                <c:pt idx="14">
                  <c:v>1.3300175165245307</c:v>
                </c:pt>
                <c:pt idx="15">
                  <c:v>1.0288201442114486</c:v>
                </c:pt>
                <c:pt idx="16">
                  <c:v>-0.53997016525009367</c:v>
                </c:pt>
                <c:pt idx="17">
                  <c:v>-5.0059253286549321</c:v>
                </c:pt>
                <c:pt idx="18">
                  <c:v>-1.4512995132900004</c:v>
                </c:pt>
                <c:pt idx="19">
                  <c:v>-0.93383709307716245</c:v>
                </c:pt>
                <c:pt idx="20">
                  <c:v>0.24271724395204189</c:v>
                </c:pt>
                <c:pt idx="21">
                  <c:v>5.2181249784767765</c:v>
                </c:pt>
                <c:pt idx="22">
                  <c:v>-5.9668958535163859E-3</c:v>
                </c:pt>
                <c:pt idx="23">
                  <c:v>-0.83218811351061661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D9-461F-95D8-C92F88A3E40D}"/>
            </c:ext>
          </c:extLst>
        </c:ser>
        <c:ser>
          <c:idx val="2"/>
          <c:order val="2"/>
          <c:tx>
            <c:strRef>
              <c:f>'souhrnná výkonnost 4'!$E$5</c:f>
              <c:strCache>
                <c:ptCount val="1"/>
                <c:pt idx="0">
                  <c:v>Ostatní průmyslová odvětví (CZ-NACE B, D, E)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'souhrnná výkonnost 4'!$E$22:$E$45</c:f>
              <c:numCache>
                <c:formatCode>#\ ##0.0</c:formatCode>
                <c:ptCount val="24"/>
                <c:pt idx="0">
                  <c:v>-0.60910811421333144</c:v>
                </c:pt>
                <c:pt idx="1">
                  <c:v>-0.22876574071995925</c:v>
                </c:pt>
                <c:pt idx="2">
                  <c:v>-0.20221592700743152</c:v>
                </c:pt>
                <c:pt idx="3">
                  <c:v>1.1159198434038675E-3</c:v>
                </c:pt>
                <c:pt idx="4">
                  <c:v>0.19369937090646161</c:v>
                </c:pt>
                <c:pt idx="5">
                  <c:v>8.7518834667852374E-2</c:v>
                </c:pt>
                <c:pt idx="6">
                  <c:v>0.12818764673017169</c:v>
                </c:pt>
                <c:pt idx="7">
                  <c:v>-3.2004861050359601E-2</c:v>
                </c:pt>
                <c:pt idx="8">
                  <c:v>-0.10299697854726397</c:v>
                </c:pt>
                <c:pt idx="9">
                  <c:v>-3.2072706595271713E-2</c:v>
                </c:pt>
                <c:pt idx="10" formatCode="General">
                  <c:v>8.1524592449955802E-2</c:v>
                </c:pt>
                <c:pt idx="11" formatCode="General">
                  <c:v>-6.1061461784250731E-2</c:v>
                </c:pt>
                <c:pt idx="12" formatCode="General">
                  <c:v>-0.20672058053663489</c:v>
                </c:pt>
                <c:pt idx="13" formatCode="General">
                  <c:v>-0.37407520858030863</c:v>
                </c:pt>
                <c:pt idx="14" formatCode="General">
                  <c:v>-0.71461913133162358</c:v>
                </c:pt>
                <c:pt idx="15" formatCode="General">
                  <c:v>-0.46214248963662286</c:v>
                </c:pt>
                <c:pt idx="16" formatCode="General">
                  <c:v>-0.81690718824149333</c:v>
                </c:pt>
                <c:pt idx="17" formatCode="General">
                  <c:v>-0.98259068427443541</c:v>
                </c:pt>
                <c:pt idx="18" formatCode="General">
                  <c:v>-0.69616872252867079</c:v>
                </c:pt>
                <c:pt idx="19" formatCode="General">
                  <c:v>-0.50667466553829965</c:v>
                </c:pt>
                <c:pt idx="20" formatCode="General">
                  <c:v>-5.7498028336359225E-2</c:v>
                </c:pt>
                <c:pt idx="21" formatCode="General">
                  <c:v>1.7794028640025772E-2</c:v>
                </c:pt>
                <c:pt idx="22" formatCode="General">
                  <c:v>-6.867840102346405E-2</c:v>
                </c:pt>
                <c:pt idx="23" formatCode="General">
                  <c:v>0.13921600992350913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D9-461F-95D8-C92F88A3E40D}"/>
            </c:ext>
          </c:extLst>
        </c:ser>
        <c:ser>
          <c:idx val="1"/>
          <c:order val="3"/>
          <c:tx>
            <c:strRef>
              <c:f>'souhrnná výkonnost 4'!$F$5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'souhrnná výkonnost 4'!$F$22:$F$45</c:f>
              <c:numCache>
                <c:formatCode>#\ ##0.0</c:formatCode>
                <c:ptCount val="24"/>
                <c:pt idx="0">
                  <c:v>-0.13118840376974297</c:v>
                </c:pt>
                <c:pt idx="1">
                  <c:v>-0.28594902920034482</c:v>
                </c:pt>
                <c:pt idx="2">
                  <c:v>-0.26701712597535621</c:v>
                </c:pt>
                <c:pt idx="3">
                  <c:v>-0.18704467160622129</c:v>
                </c:pt>
                <c:pt idx="4">
                  <c:v>-0.1200139265751739</c:v>
                </c:pt>
                <c:pt idx="5">
                  <c:v>0.12420386515100609</c:v>
                </c:pt>
                <c:pt idx="6">
                  <c:v>7.1592239994959186E-2</c:v>
                </c:pt>
                <c:pt idx="7">
                  <c:v>0.17310415185088521</c:v>
                </c:pt>
                <c:pt idx="8">
                  <c:v>0.12249795664753446</c:v>
                </c:pt>
                <c:pt idx="9">
                  <c:v>-4.2660685745634658E-3</c:v>
                </c:pt>
                <c:pt idx="10">
                  <c:v>-1.804304477728428E-2</c:v>
                </c:pt>
                <c:pt idx="11">
                  <c:v>-0.11218045217553656</c:v>
                </c:pt>
                <c:pt idx="12">
                  <c:v>-0.20636296686894753</c:v>
                </c:pt>
                <c:pt idx="13">
                  <c:v>-6.4792774942168993E-2</c:v>
                </c:pt>
                <c:pt idx="14">
                  <c:v>-7.9269271643787567E-2</c:v>
                </c:pt>
                <c:pt idx="15">
                  <c:v>-5.6020948993661966E-2</c:v>
                </c:pt>
                <c:pt idx="16">
                  <c:v>-0.19166724504190716</c:v>
                </c:pt>
                <c:pt idx="17">
                  <c:v>-0.60285314635125042</c:v>
                </c:pt>
                <c:pt idx="18">
                  <c:v>-0.54705863394275789</c:v>
                </c:pt>
                <c:pt idx="19">
                  <c:v>-0.62000534365189297</c:v>
                </c:pt>
                <c:pt idx="20">
                  <c:v>-0.35123055389716473</c:v>
                </c:pt>
                <c:pt idx="21">
                  <c:v>0.1313633063695519</c:v>
                </c:pt>
                <c:pt idx="22">
                  <c:v>0.19301461453144203</c:v>
                </c:pt>
                <c:pt idx="23">
                  <c:v>0.24724649400132864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D9-461F-95D8-C92F88A3E40D}"/>
            </c:ext>
          </c:extLst>
        </c:ser>
        <c:ser>
          <c:idx val="0"/>
          <c:order val="4"/>
          <c:tx>
            <c:strRef>
              <c:f>'souhrnná výkonnost 4'!$G$5</c:f>
              <c:strCache>
                <c:ptCount val="1"/>
                <c:pt idx="0">
                  <c:v>Služby (CZ-NACE G až U)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'souhrnná výkonnost 4'!$G$22:$G$45</c:f>
              <c:numCache>
                <c:formatCode>#\ ##0.0</c:formatCode>
                <c:ptCount val="24"/>
                <c:pt idx="0">
                  <c:v>2.2780910878465543</c:v>
                </c:pt>
                <c:pt idx="1">
                  <c:v>1.7791133450565915</c:v>
                </c:pt>
                <c:pt idx="2">
                  <c:v>1.1751996503140407</c:v>
                </c:pt>
                <c:pt idx="3">
                  <c:v>1.1971206910823469</c:v>
                </c:pt>
                <c:pt idx="4">
                  <c:v>2.1480829000947486</c:v>
                </c:pt>
                <c:pt idx="5">
                  <c:v>3.0747805417077498</c:v>
                </c:pt>
                <c:pt idx="6">
                  <c:v>2.9994469566684199</c:v>
                </c:pt>
                <c:pt idx="7">
                  <c:v>3.2896815901667287</c:v>
                </c:pt>
                <c:pt idx="8">
                  <c:v>3.1749514751083248</c:v>
                </c:pt>
                <c:pt idx="9">
                  <c:v>2.6275397496035438</c:v>
                </c:pt>
                <c:pt idx="10" formatCode="General">
                  <c:v>2.7719971256974341</c:v>
                </c:pt>
                <c:pt idx="11" formatCode="General">
                  <c:v>2.5972842205241453</c:v>
                </c:pt>
                <c:pt idx="12" formatCode="General">
                  <c:v>2.508296604685702</c:v>
                </c:pt>
                <c:pt idx="13" formatCode="General">
                  <c:v>2.0834684133018309</c:v>
                </c:pt>
                <c:pt idx="14" formatCode="General">
                  <c:v>2.1657395752754183</c:v>
                </c:pt>
                <c:pt idx="15" formatCode="General">
                  <c:v>2.2150289387573601</c:v>
                </c:pt>
                <c:pt idx="16" formatCode="General">
                  <c:v>0.34230053373551261</c:v>
                </c:pt>
                <c:pt idx="17" formatCode="General">
                  <c:v>-4.6560146884593276</c:v>
                </c:pt>
                <c:pt idx="18" formatCode="General">
                  <c:v>-2.6811516290968198</c:v>
                </c:pt>
                <c:pt idx="19" formatCode="General">
                  <c:v>-3.0565525802031988</c:v>
                </c:pt>
                <c:pt idx="20" formatCode="General">
                  <c:v>-2.4438672761711628</c:v>
                </c:pt>
                <c:pt idx="21" formatCode="General">
                  <c:v>3.4300084237309272</c:v>
                </c:pt>
                <c:pt idx="22" formatCode="General">
                  <c:v>3.0384982581294651</c:v>
                </c:pt>
                <c:pt idx="23" formatCode="General">
                  <c:v>3.3466568230798779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D9-461F-95D8-C92F88A3E4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269005952"/>
        <c:axId val="269007488"/>
      </c:barChart>
      <c:lineChart>
        <c:grouping val="standard"/>
        <c:varyColors val="0"/>
        <c:ser>
          <c:idx val="5"/>
          <c:order val="5"/>
          <c:tx>
            <c:strRef>
              <c:f>'souhrnná výkonnost 4'!$H$5</c:f>
              <c:strCache>
                <c:ptCount val="1"/>
                <c:pt idx="0">
                  <c:v>Hrubá přidaná hodnota celkem</c:v>
                </c:pt>
              </c:strCache>
            </c:strRef>
          </c:tx>
          <c:spPr>
            <a:ln w="28575" cap="rnd" cmpd="sng" algn="ctr">
              <a:solidFill>
                <a:schemeClr val="accent4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multiLvlStrRef>
              <c:f>'souhrnná výkonnost 4'!$A$22:$B$45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4'!$H$22:$H$45</c:f>
              <c:numCache>
                <c:formatCode>#\ ##0.0</c:formatCode>
                <c:ptCount val="24"/>
                <c:pt idx="0">
                  <c:v>3.2432073755742579</c:v>
                </c:pt>
                <c:pt idx="1">
                  <c:v>2.1812977926827415</c:v>
                </c:pt>
                <c:pt idx="2">
                  <c:v>1.8386996228235262</c:v>
                </c:pt>
                <c:pt idx="3">
                  <c:v>2.3109605829682209</c:v>
                </c:pt>
                <c:pt idx="4">
                  <c:v>3.5756277740391482</c:v>
                </c:pt>
                <c:pt idx="5">
                  <c:v>6.3126226044967666</c:v>
                </c:pt>
                <c:pt idx="6">
                  <c:v>6.0829220489310671</c:v>
                </c:pt>
                <c:pt idx="7">
                  <c:v>5.7291078447527326</c:v>
                </c:pt>
                <c:pt idx="8">
                  <c:v>4.8981845225873855</c:v>
                </c:pt>
                <c:pt idx="9">
                  <c:v>2.7705379621629049</c:v>
                </c:pt>
                <c:pt idx="10">
                  <c:v>2.9716135031952859</c:v>
                </c:pt>
                <c:pt idx="11">
                  <c:v>2.8650954448108195</c:v>
                </c:pt>
                <c:pt idx="12">
                  <c:v>3.0103555185936557</c:v>
                </c:pt>
                <c:pt idx="13">
                  <c:v>3.0382784412400667</c:v>
                </c:pt>
                <c:pt idx="14">
                  <c:v>2.810283179001118</c:v>
                </c:pt>
                <c:pt idx="15">
                  <c:v>2.8446208831943522</c:v>
                </c:pt>
                <c:pt idx="16">
                  <c:v>-1.0644038654311032</c:v>
                </c:pt>
                <c:pt idx="17">
                  <c:v>-11.134782014990577</c:v>
                </c:pt>
                <c:pt idx="18">
                  <c:v>-5.2357382347572923</c:v>
                </c:pt>
                <c:pt idx="19">
                  <c:v>-4.9764580569393075</c:v>
                </c:pt>
                <c:pt idx="20">
                  <c:v>-2.4310027971896631</c:v>
                </c:pt>
                <c:pt idx="21">
                  <c:v>8.8697916322969519</c:v>
                </c:pt>
                <c:pt idx="22">
                  <c:v>3.1401516384107282</c:v>
                </c:pt>
                <c:pt idx="23">
                  <c:v>2.8965979758565936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FD9-461F-95D8-C92F88A3E4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005952"/>
        <c:axId val="269007488"/>
      </c:lineChart>
      <c:catAx>
        <c:axId val="269005952"/>
        <c:scaling>
          <c:orientation val="minMax"/>
        </c:scaling>
        <c:delete val="0"/>
        <c:axPos val="b"/>
        <c:majorTickMark val="out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itchFamily="34" charset="0"/>
                <a:ea typeface="+mn-ea"/>
                <a:cs typeface="+mn-cs"/>
              </a:defRPr>
            </a:pPr>
            <a:endParaRPr lang="cs-CZ"/>
          </a:p>
        </c:txPr>
        <c:crossAx val="269007488"/>
        <c:crosses val="autoZero"/>
        <c:auto val="1"/>
        <c:lblAlgn val="ctr"/>
        <c:lblOffset val="100"/>
        <c:noMultiLvlLbl val="0"/>
      </c:catAx>
      <c:valAx>
        <c:axId val="269007488"/>
        <c:scaling>
          <c:orientation val="minMax"/>
          <c:max val="9"/>
          <c:min val="-12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itchFamily="34" charset="0"/>
                <a:ea typeface="+mn-ea"/>
                <a:cs typeface="+mn-cs"/>
              </a:defRPr>
            </a:pPr>
            <a:endParaRPr lang="cs-CZ"/>
          </a:p>
        </c:txPr>
        <c:crossAx val="269005952"/>
        <c:crosses val="autoZero"/>
        <c:crossBetween val="between"/>
        <c:majorUnit val="3"/>
      </c:valAx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5.4144292468760548E-2"/>
          <c:y val="0.79016604750647301"/>
          <c:w val="0.92386482607227283"/>
          <c:h val="0.19146748323126275"/>
        </c:manualLayout>
      </c:layout>
      <c:overlay val="0"/>
      <c:spPr>
        <a:noFill/>
        <a:ln w="6350"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'D:\sojka7725\Documents\_PRACOVNI\04_Publikace\02_INOVACE\Inovace_2020\2_TEXTY\ANALÝZA\[ti20grafy.xlsx]20GRAF3'!$A$4</c:f>
              <c:strCache>
                <c:ptCount val="1"/>
                <c:pt idx="0">
                  <c:v>mzdové  náklady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'[3]20GRAF3'!$B$2:$L$2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'[3]20GRAF3'!$B$4:$L$4</c:f>
              <c:numCache>
                <c:formatCode>General</c:formatCode>
                <c:ptCount val="11"/>
                <c:pt idx="0">
                  <c:v>14.015461909999987</c:v>
                </c:pt>
                <c:pt idx="1">
                  <c:v>15.524961650000005</c:v>
                </c:pt>
                <c:pt idx="2">
                  <c:v>18.131639229999998</c:v>
                </c:pt>
                <c:pt idx="3">
                  <c:v>19.197669779999998</c:v>
                </c:pt>
                <c:pt idx="4">
                  <c:v>22.251127089999979</c:v>
                </c:pt>
                <c:pt idx="5">
                  <c:v>23.639221590000002</c:v>
                </c:pt>
                <c:pt idx="6">
                  <c:v>25.906947469639857</c:v>
                </c:pt>
                <c:pt idx="7">
                  <c:v>29.711801315491723</c:v>
                </c:pt>
                <c:pt idx="8">
                  <c:v>33.999813271747541</c:v>
                </c:pt>
                <c:pt idx="9">
                  <c:v>38.584872135997507</c:v>
                </c:pt>
                <c:pt idx="10">
                  <c:v>40.566667055084167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3-48CA-A452-5190BAC99AAF}"/>
            </c:ext>
          </c:extLst>
        </c:ser>
        <c:ser>
          <c:idx val="1"/>
          <c:order val="1"/>
          <c:tx>
            <c:strRef>
              <c:f>'D:\sojka7725\Documents\_PRACOVNI\04_Publikace\02_INOVACE\Inovace_2020\2_TEXTY\ANALÝZA\[ti20grafy.xlsx]20GRAF3'!$A$5</c:f>
              <c:strCache>
                <c:ptCount val="1"/>
                <c:pt idx="0">
                  <c:v>ostatní běžné náklady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'[3]20GRAF3'!$B$2:$L$2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'[3]20GRAF3'!$B$5:$L$5</c:f>
              <c:numCache>
                <c:formatCode>General</c:formatCode>
                <c:ptCount val="11"/>
                <c:pt idx="0">
                  <c:v>11.781261600000002</c:v>
                </c:pt>
                <c:pt idx="1">
                  <c:v>13.26027173000001</c:v>
                </c:pt>
                <c:pt idx="2">
                  <c:v>13.560817030000003</c:v>
                </c:pt>
                <c:pt idx="3">
                  <c:v>15.593633899999997</c:v>
                </c:pt>
                <c:pt idx="4">
                  <c:v>17.098421219999999</c:v>
                </c:pt>
                <c:pt idx="5">
                  <c:v>18.461900279999995</c:v>
                </c:pt>
                <c:pt idx="6">
                  <c:v>18.575019375174495</c:v>
                </c:pt>
                <c:pt idx="7">
                  <c:v>21.873216009254314</c:v>
                </c:pt>
                <c:pt idx="8">
                  <c:v>23.371877139085171</c:v>
                </c:pt>
                <c:pt idx="9">
                  <c:v>24.56400723989497</c:v>
                </c:pt>
                <c:pt idx="10">
                  <c:v>22.371721368493024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3-48CA-A452-5190BAC99AAF}"/>
            </c:ext>
          </c:extLst>
        </c:ser>
        <c:ser>
          <c:idx val="2"/>
          <c:order val="2"/>
          <c:tx>
            <c:strRef>
              <c:f>'D:\sojka7725\Documents\_PRACOVNI\04_Publikace\02_INOVACE\Inovace_2020\2_TEXTY\ANALÝZA\[ti20grafy.xlsx]20GRAF3'!$A$6</c:f>
              <c:strCache>
                <c:ptCount val="1"/>
                <c:pt idx="0">
                  <c:v>investiční náklady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'[3]20GRAF3'!$B$2:$L$2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'[3]20GRAF3'!$B$6:$L$6</c:f>
              <c:numCache>
                <c:formatCode>General</c:formatCode>
                <c:ptCount val="11"/>
                <c:pt idx="0">
                  <c:v>4.2165501999999968</c:v>
                </c:pt>
                <c:pt idx="1">
                  <c:v>5.3627880100000027</c:v>
                </c:pt>
                <c:pt idx="2">
                  <c:v>6.5355354599999975</c:v>
                </c:pt>
                <c:pt idx="3">
                  <c:v>6.7214002099999979</c:v>
                </c:pt>
                <c:pt idx="4">
                  <c:v>7.6309604900000023</c:v>
                </c:pt>
                <c:pt idx="5">
                  <c:v>6.0463831800000003</c:v>
                </c:pt>
                <c:pt idx="6">
                  <c:v>4.4982954260367336</c:v>
                </c:pt>
                <c:pt idx="7">
                  <c:v>5.2251093426001924</c:v>
                </c:pt>
                <c:pt idx="8">
                  <c:v>6.281916373063722</c:v>
                </c:pt>
                <c:pt idx="9">
                  <c:v>5.6593639523087358</c:v>
                </c:pt>
                <c:pt idx="10">
                  <c:v>6.1741571369650519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3-48CA-A452-5190BAC99A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179695728"/>
        <c:axId val="1179701552"/>
      </c:barChart>
      <c:catAx>
        <c:axId val="11796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  <c:max val="7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/>
                  <a:t>mdl. Kč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695728"/>
        <c:crosses val="autoZero"/>
        <c:crossBetween val="between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overlay val="0"/>
      <c:spPr>
        <a:noFill/>
        <a:ln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725488786247884E-2"/>
          <c:y val="8.0937167199148036E-2"/>
          <c:w val="0.9514458300889207"/>
          <c:h val="0.654385714285714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'G4'!$B$3</c:f>
              <c:strCache>
                <c:ptCount val="1"/>
                <c:pt idx="0">
                  <c:v>Podniky bez inovačních činností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'G4'!$A$4:$A$8</c:f>
              <c:strCache>
                <c:ptCount val="5"/>
                <c:pt idx="0">
                  <c:v>místní nebo regionální trh</c:v>
                </c:pt>
                <c:pt idx="1">
                  <c:v>národní trh 
(v rámci ČR)</c:v>
                </c:pt>
                <c:pt idx="2">
                  <c:v>trh zemí sousedících s ČR</c:v>
                </c:pt>
                <c:pt idx="3">
                  <c:v>širší evropský trh</c:v>
                </c:pt>
                <c:pt idx="4">
                  <c:v>celosvětový trh</c:v>
                </c:pt>
              </c:strCache>
            </c:strRef>
          </c:cat>
          <c:val>
            <c:numRef>
              <c:f>'G4'!$B$4:$B$8</c:f>
              <c:numCache>
                <c:formatCode>0.0%</c:formatCode>
                <c:ptCount val="5"/>
                <c:pt idx="0">
                  <c:v>0.46812850598825201</c:v>
                </c:pt>
                <c:pt idx="1">
                  <c:v>0.35968900026519801</c:v>
                </c:pt>
                <c:pt idx="2">
                  <c:v>0.121517297212951</c:v>
                </c:pt>
                <c:pt idx="3">
                  <c:v>4.1461470797033897E-2</c:v>
                </c:pt>
                <c:pt idx="4">
                  <c:v>9.2037257365651208E-3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40-47DE-9C62-6414DA54F691}"/>
            </c:ext>
          </c:extLst>
        </c:ser>
        <c:ser>
          <c:idx val="1"/>
          <c:order val="1"/>
          <c:tx>
            <c:strRef>
              <c:f>'G4'!$C$3</c:f>
              <c:strCache>
                <c:ptCount val="1"/>
                <c:pt idx="0">
                  <c:v>Podniky s inovačními činnostmi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'G4'!$A$4:$A$8</c:f>
              <c:strCache>
                <c:ptCount val="5"/>
                <c:pt idx="0">
                  <c:v>místní nebo regionální trh</c:v>
                </c:pt>
                <c:pt idx="1">
                  <c:v>národní trh 
(v rámci ČR)</c:v>
                </c:pt>
                <c:pt idx="2">
                  <c:v>trh zemí sousedících s ČR</c:v>
                </c:pt>
                <c:pt idx="3">
                  <c:v>širší evropský trh</c:v>
                </c:pt>
                <c:pt idx="4">
                  <c:v>celosvětový trh</c:v>
                </c:pt>
              </c:strCache>
            </c:strRef>
          </c:cat>
          <c:val>
            <c:numRef>
              <c:f>'G4'!$C$4:$C$8</c:f>
              <c:numCache>
                <c:formatCode>0.0%</c:formatCode>
                <c:ptCount val="5"/>
                <c:pt idx="0">
                  <c:v>0.29817030006709999</c:v>
                </c:pt>
                <c:pt idx="1">
                  <c:v>0.45791323290416602</c:v>
                </c:pt>
                <c:pt idx="2">
                  <c:v>0.142274966517968</c:v>
                </c:pt>
                <c:pt idx="3">
                  <c:v>6.3413993944524197E-2</c:v>
                </c:pt>
                <c:pt idx="4">
                  <c:v>3.8227506566242499E-2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40-47DE-9C62-6414DA54F6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9695728"/>
        <c:axId val="1179701552"/>
      </c:barChart>
      <c:catAx>
        <c:axId val="11796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  <c:max val="0.55000000000000004"/>
        </c:scaling>
        <c:delete val="1"/>
        <c:axPos val="l"/>
        <c:numFmt formatCode="0%" sourceLinked="0"/>
        <c:majorTickMark val="out"/>
        <c:minorTickMark val="none"/>
        <c:tickLblPos val="nextTo"/>
        <c:crossAx val="1179695728"/>
        <c:crosses val="autoZero"/>
        <c:crossBetween val="between"/>
        <c:majorUnit val="5.000000000000001E-2"/>
        <c:minorUnit val="1.0000000000000002E-2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overlay val="0"/>
      <c:spPr>
        <a:noFill/>
        <a:ln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297418300653594"/>
          <c:y val="4.9217002237136466E-2"/>
          <c:w val="0.75296486928104578"/>
          <c:h val="0.7362289277598688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'G6'!$A$3</c:f>
              <c:strCache>
                <c:ptCount val="1"/>
                <c:pt idx="0">
                  <c:v>místní nebo 
regionální trh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'G6'!$B$2:$I$2</c:f>
              <c:strCache>
                <c:ptCount val="8"/>
                <c:pt idx="0">
                  <c:v>velké podniky</c:v>
                </c:pt>
                <c:pt idx="1">
                  <c:v>střední podniky</c:v>
                </c:pt>
                <c:pt idx="2">
                  <c:v>malé podniky</c:v>
                </c:pt>
                <c:pt idx="4">
                  <c:v>zahraniční podniky</c:v>
                </c:pt>
                <c:pt idx="5">
                  <c:v>domácí podniky</c:v>
                </c:pt>
                <c:pt idx="7">
                  <c:v>Podniky celkem</c:v>
                </c:pt>
              </c:strCache>
            </c:strRef>
          </c:cat>
          <c:val>
            <c:numRef>
              <c:f>'G6'!$B$3:$I$3</c:f>
              <c:numCache>
                <c:formatCode>0%</c:formatCode>
                <c:ptCount val="8"/>
                <c:pt idx="0">
                  <c:v>7.1900383849879707E-2</c:v>
                </c:pt>
                <c:pt idx="1">
                  <c:v>0.16443715895820199</c:v>
                </c:pt>
                <c:pt idx="2">
                  <c:v>0.32625104317917297</c:v>
                </c:pt>
                <c:pt idx="4">
                  <c:v>8.4187567935545604E-2</c:v>
                </c:pt>
                <c:pt idx="5">
                  <c:v>0.30496420475724201</c:v>
                </c:pt>
                <c:pt idx="7">
                  <c:v>0.25138551356928202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E9-4636-BBC5-7A727A840755}"/>
            </c:ext>
          </c:extLst>
        </c:ser>
        <c:ser>
          <c:idx val="1"/>
          <c:order val="1"/>
          <c:tx>
            <c:strRef>
              <c:f>'G6'!$A$4</c:f>
              <c:strCache>
                <c:ptCount val="1"/>
                <c:pt idx="0">
                  <c:v>národní trh 
(v rámci ČR)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'G6'!$B$2:$I$2</c:f>
              <c:strCache>
                <c:ptCount val="8"/>
                <c:pt idx="0">
                  <c:v>velké podniky</c:v>
                </c:pt>
                <c:pt idx="1">
                  <c:v>střední podniky</c:v>
                </c:pt>
                <c:pt idx="2">
                  <c:v>malé podniky</c:v>
                </c:pt>
                <c:pt idx="4">
                  <c:v>zahraniční podniky</c:v>
                </c:pt>
                <c:pt idx="5">
                  <c:v>domácí podniky</c:v>
                </c:pt>
                <c:pt idx="7">
                  <c:v>Podniky celkem</c:v>
                </c:pt>
              </c:strCache>
            </c:strRef>
          </c:cat>
          <c:val>
            <c:numRef>
              <c:f>'G6'!$B$4:$I$4</c:f>
              <c:numCache>
                <c:formatCode>0%</c:formatCode>
                <c:ptCount val="8"/>
                <c:pt idx="0">
                  <c:v>0.23630504906069399</c:v>
                </c:pt>
                <c:pt idx="1">
                  <c:v>0.34493179324294998</c:v>
                </c:pt>
                <c:pt idx="2">
                  <c:v>0.47219910099838902</c:v>
                </c:pt>
                <c:pt idx="4">
                  <c:v>0.21949593945854201</c:v>
                </c:pt>
                <c:pt idx="5">
                  <c:v>0.47034805796948798</c:v>
                </c:pt>
                <c:pt idx="7">
                  <c:v>0.40947056483873501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E9-4636-BBC5-7A727A840755}"/>
            </c:ext>
          </c:extLst>
        </c:ser>
        <c:ser>
          <c:idx val="2"/>
          <c:order val="2"/>
          <c:tx>
            <c:strRef>
              <c:f>'G6'!$A$5</c:f>
              <c:strCache>
                <c:ptCount val="1"/>
                <c:pt idx="0">
                  <c:v>trh zemí 
sousedících s ČR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'G6'!$B$2:$I$2</c:f>
              <c:strCache>
                <c:ptCount val="8"/>
                <c:pt idx="0">
                  <c:v>velké podniky</c:v>
                </c:pt>
                <c:pt idx="1">
                  <c:v>střední podniky</c:v>
                </c:pt>
                <c:pt idx="2">
                  <c:v>malé podniky</c:v>
                </c:pt>
                <c:pt idx="4">
                  <c:v>zahraniční podniky</c:v>
                </c:pt>
                <c:pt idx="5">
                  <c:v>domácí podniky</c:v>
                </c:pt>
                <c:pt idx="7">
                  <c:v>Podniky celkem</c:v>
                </c:pt>
              </c:strCache>
            </c:strRef>
          </c:cat>
          <c:val>
            <c:numRef>
              <c:f>'G6'!$B$5:$I$5</c:f>
              <c:numCache>
                <c:formatCode>0%</c:formatCode>
                <c:ptCount val="8"/>
                <c:pt idx="0">
                  <c:v>0.36185295247729898</c:v>
                </c:pt>
                <c:pt idx="1">
                  <c:v>0.30443831973123298</c:v>
                </c:pt>
                <c:pt idx="2">
                  <c:v>0.13495835818822899</c:v>
                </c:pt>
                <c:pt idx="4">
                  <c:v>0.41859759528777901</c:v>
                </c:pt>
                <c:pt idx="5">
                  <c:v>0.142007947113578</c:v>
                </c:pt>
                <c:pt idx="7">
                  <c:v>0.20913149586697399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E9-4636-BBC5-7A727A840755}"/>
            </c:ext>
          </c:extLst>
        </c:ser>
        <c:ser>
          <c:idx val="3"/>
          <c:order val="3"/>
          <c:tx>
            <c:strRef>
              <c:f>'G6'!$A$6</c:f>
              <c:strCache>
                <c:ptCount val="1"/>
                <c:pt idx="0">
                  <c:v>širší 
evropský trh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'G6'!$B$2:$I$2</c:f>
              <c:strCache>
                <c:ptCount val="8"/>
                <c:pt idx="0">
                  <c:v>velké podniky</c:v>
                </c:pt>
                <c:pt idx="1">
                  <c:v>střední podniky</c:v>
                </c:pt>
                <c:pt idx="2">
                  <c:v>malé podniky</c:v>
                </c:pt>
                <c:pt idx="4">
                  <c:v>zahraniční podniky</c:v>
                </c:pt>
                <c:pt idx="5">
                  <c:v>domácí podniky</c:v>
                </c:pt>
                <c:pt idx="7">
                  <c:v>Podniky celkem</c:v>
                </c:pt>
              </c:strCache>
            </c:strRef>
          </c:cat>
          <c:val>
            <c:numRef>
              <c:f>'G6'!$B$6:$I$6</c:f>
              <c:numCache>
                <c:formatCode>0%</c:formatCode>
                <c:ptCount val="8"/>
                <c:pt idx="0">
                  <c:v>0.21036437907701999</c:v>
                </c:pt>
                <c:pt idx="1">
                  <c:v>0.122980796109822</c:v>
                </c:pt>
                <c:pt idx="2">
                  <c:v>3.9272473859833797E-2</c:v>
                </c:pt>
                <c:pt idx="4">
                  <c:v>0.19367290532715001</c:v>
                </c:pt>
                <c:pt idx="5">
                  <c:v>4.6532973308393802E-2</c:v>
                </c:pt>
                <c:pt idx="7">
                  <c:v>8.2241303195750598E-2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E9-4636-BBC5-7A727A840755}"/>
            </c:ext>
          </c:extLst>
        </c:ser>
        <c:ser>
          <c:idx val="4"/>
          <c:order val="4"/>
          <c:tx>
            <c:strRef>
              <c:f>'G6'!$A$7</c:f>
              <c:strCache>
                <c:ptCount val="1"/>
                <c:pt idx="0">
                  <c:v>celosvětový 
trh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'G6'!$B$2:$I$2</c:f>
              <c:strCache>
                <c:ptCount val="8"/>
                <c:pt idx="0">
                  <c:v>velké podniky</c:v>
                </c:pt>
                <c:pt idx="1">
                  <c:v>střední podniky</c:v>
                </c:pt>
                <c:pt idx="2">
                  <c:v>malé podniky</c:v>
                </c:pt>
                <c:pt idx="4">
                  <c:v>zahraniční podniky</c:v>
                </c:pt>
                <c:pt idx="5">
                  <c:v>domácí podniky</c:v>
                </c:pt>
                <c:pt idx="7">
                  <c:v>Podniky celkem</c:v>
                </c:pt>
              </c:strCache>
            </c:strRef>
          </c:cat>
          <c:val>
            <c:numRef>
              <c:f>'G6'!$B$7:$I$7</c:f>
              <c:numCache>
                <c:formatCode>0%</c:formatCode>
                <c:ptCount val="8"/>
                <c:pt idx="0">
                  <c:v>0.119577235535107</c:v>
                </c:pt>
                <c:pt idx="1">
                  <c:v>6.3211931957792594E-2</c:v>
                </c:pt>
                <c:pt idx="2">
                  <c:v>2.73190237743757E-2</c:v>
                </c:pt>
                <c:pt idx="4">
                  <c:v>8.4045991990983102E-2</c:v>
                </c:pt>
                <c:pt idx="5">
                  <c:v>3.6146816851298898E-2</c:v>
                </c:pt>
                <c:pt idx="7">
                  <c:v>4.7771122529257803E-2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E9-4636-BBC5-7A727A8407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179695728"/>
        <c:axId val="1179701552"/>
      </c:barChart>
      <c:catAx>
        <c:axId val="1179695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one"/>
        <c:spPr>
          <a:noFill/>
          <a:ln>
            <a:solidFill>
              <a:schemeClr val="bg1">
                <a:lumMod val="50000"/>
              </a:schemeClr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695728"/>
        <c:crosses val="autoZero"/>
        <c:crossBetween val="between"/>
        <c:majorUnit val="0.25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9510212418300654"/>
          <c:y val="0.82542690552942644"/>
          <c:w val="0.76335767973856206"/>
          <c:h val="0.13929537037037037"/>
        </c:manualLayout>
      </c:layout>
      <c:overlay val="0"/>
      <c:spPr>
        <a:noFill/>
        <a:ln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510130718954234E-2"/>
          <c:y val="4.9217002237136466E-2"/>
          <c:w val="0.93142892156862755"/>
          <c:h val="0.669114833800137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'G6'!$A$14</c:f>
              <c:strCache>
                <c:ptCount val="1"/>
                <c:pt idx="0">
                  <c:v>Byly součástí podnikové skupiny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'G6'!$B$13:$I$13</c:f>
              <c:strCache>
                <c:ptCount val="8"/>
                <c:pt idx="0">
                  <c:v>Podniky 
celkem</c:v>
                </c:pt>
                <c:pt idx="2">
                  <c:v>Zpracovatelský průmysl</c:v>
                </c:pt>
                <c:pt idx="3">
                  <c:v>Informační a komunikační činnosti</c:v>
                </c:pt>
                <c:pt idx="5">
                  <c:v>malé 
podniky</c:v>
                </c:pt>
                <c:pt idx="6">
                  <c:v>střední 
podniky</c:v>
                </c:pt>
                <c:pt idx="7">
                  <c:v>velké 
podniky</c:v>
                </c:pt>
              </c:strCache>
            </c:strRef>
          </c:cat>
          <c:val>
            <c:numRef>
              <c:f>'G6'!$B$14:$I$14</c:f>
              <c:numCache>
                <c:formatCode>General</c:formatCode>
                <c:ptCount val="8"/>
                <c:pt idx="0" formatCode="0%">
                  <c:v>0.72578763591602047</c:v>
                </c:pt>
                <c:pt idx="2" formatCode="0%">
                  <c:v>0.76715964280101301</c:v>
                </c:pt>
                <c:pt idx="3" formatCode="0%">
                  <c:v>0.81917057916298397</c:v>
                </c:pt>
                <c:pt idx="5" formatCode="0%">
                  <c:v>0.68068419383026879</c:v>
                </c:pt>
                <c:pt idx="6" formatCode="0%">
                  <c:v>0.74003400478118098</c:v>
                </c:pt>
                <c:pt idx="7" formatCode="0%">
                  <c:v>0.8446559095580104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FD-4E86-ABE5-C3C59FB41170}"/>
            </c:ext>
          </c:extLst>
        </c:ser>
        <c:ser>
          <c:idx val="1"/>
          <c:order val="1"/>
          <c:tx>
            <c:strRef>
              <c:f>'G6'!$A$15</c:f>
              <c:strCache>
                <c:ptCount val="1"/>
                <c:pt idx="0">
                  <c:v>Nebyly součástí podnikové skupiny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'G6'!$B$13:$I$13</c:f>
              <c:strCache>
                <c:ptCount val="8"/>
                <c:pt idx="0">
                  <c:v>Podniky 
celkem</c:v>
                </c:pt>
                <c:pt idx="2">
                  <c:v>Zpracovatelský průmysl</c:v>
                </c:pt>
                <c:pt idx="3">
                  <c:v>Informační a komunikační činnosti</c:v>
                </c:pt>
                <c:pt idx="5">
                  <c:v>malé 
podniky</c:v>
                </c:pt>
                <c:pt idx="6">
                  <c:v>střední 
podniky</c:v>
                </c:pt>
                <c:pt idx="7">
                  <c:v>velké 
podniky</c:v>
                </c:pt>
              </c:strCache>
            </c:strRef>
          </c:cat>
          <c:val>
            <c:numRef>
              <c:f>'G6'!$B$15:$I$15</c:f>
              <c:numCache>
                <c:formatCode>General</c:formatCode>
                <c:ptCount val="8"/>
                <c:pt idx="0" formatCode="0%">
                  <c:v>0.49702823902812565</c:v>
                </c:pt>
                <c:pt idx="2" formatCode="0%">
                  <c:v>0.50504200149454759</c:v>
                </c:pt>
                <c:pt idx="3" formatCode="0%">
                  <c:v>0.73718477082109224</c:v>
                </c:pt>
                <c:pt idx="5" formatCode="0%">
                  <c:v>0.48285778594251871</c:v>
                </c:pt>
                <c:pt idx="6" formatCode="0%">
                  <c:v>0.56837183869256713</c:v>
                </c:pt>
                <c:pt idx="7" formatCode="0%">
                  <c:v>0.76413539739663838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FD-4E86-ABE5-C3C59FB41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79695728"/>
        <c:axId val="1179701552"/>
      </c:barChart>
      <c:catAx>
        <c:axId val="11796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</c:scaling>
        <c:delete val="1"/>
        <c:axPos val="l"/>
        <c:numFmt formatCode="0%" sourceLinked="0"/>
        <c:majorTickMark val="out"/>
        <c:minorTickMark val="none"/>
        <c:tickLblPos val="nextTo"/>
        <c:crossAx val="1179695728"/>
        <c:crosses val="autoZero"/>
        <c:crossBetween val="between"/>
        <c:majorUnit val="0.25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2662173202614377"/>
          <c:y val="0.90582045417353285"/>
          <c:w val="0.77186209150326801"/>
          <c:h val="6.6447330864695564E-2"/>
        </c:manualLayout>
      </c:layout>
      <c:overlay val="0"/>
      <c:spPr>
        <a:noFill/>
        <a:ln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8612-9E24-453E-9615-D2A6DA65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114</TotalTime>
  <Pages>4</Pages>
  <Words>1181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 Václav</cp:lastModifiedBy>
  <cp:revision>12</cp:revision>
  <cp:lastPrinted>2022-06-21T07:35:00Z</cp:lastPrinted>
  <dcterms:created xsi:type="dcterms:W3CDTF">2022-06-20T13:51:00Z</dcterms:created>
  <dcterms:modified xsi:type="dcterms:W3CDTF">2022-06-21T08:19:00Z</dcterms:modified>
</cp:coreProperties>
</file>