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1EDF5" w14:textId="0AE31D4E" w:rsidR="00C705E9" w:rsidRPr="00C00426" w:rsidRDefault="00C705E9" w:rsidP="00C00426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spacing w:before="120"/>
        <w:jc w:val="both"/>
        <w:rPr>
          <w:rFonts w:ascii="Arial" w:hAnsi="Arial" w:cs="Arial"/>
          <w:b/>
          <w:bCs/>
          <w:color w:val="0071BC"/>
        </w:rPr>
      </w:pPr>
      <w:bookmarkStart w:id="0" w:name="_GoBack"/>
      <w:r w:rsidRPr="00C00426">
        <w:rPr>
          <w:rFonts w:ascii="Arial" w:hAnsi="Arial" w:cs="Arial"/>
          <w:b/>
          <w:bCs/>
          <w:color w:val="0071BC"/>
        </w:rPr>
        <w:t>2</w:t>
      </w:r>
      <w:r w:rsidR="008F45BE" w:rsidRPr="00C00426">
        <w:rPr>
          <w:rFonts w:ascii="Arial" w:hAnsi="Arial" w:cs="Arial"/>
          <w:b/>
          <w:bCs/>
          <w:color w:val="0071BC"/>
        </w:rPr>
        <w:t>9</w:t>
      </w:r>
      <w:r w:rsidR="00C00426">
        <w:rPr>
          <w:rFonts w:ascii="Arial" w:hAnsi="Arial" w:cs="Arial"/>
          <w:b/>
          <w:bCs/>
          <w:color w:val="0071BC"/>
        </w:rPr>
        <w:t xml:space="preserve"> </w:t>
      </w:r>
      <w:r w:rsidRPr="00C00426">
        <w:rPr>
          <w:rFonts w:ascii="Arial" w:hAnsi="Arial" w:cs="Arial"/>
          <w:b/>
          <w:bCs/>
          <w:color w:val="0071BC"/>
        </w:rPr>
        <w:t xml:space="preserve"> SOUDNICTVÍ, KRIMINALITA, NEHODY</w:t>
      </w:r>
    </w:p>
    <w:bookmarkEnd w:id="0"/>
    <w:p w14:paraId="14B29338" w14:textId="30D0C824" w:rsidR="00C705E9" w:rsidRDefault="00C705E9" w:rsidP="00C00426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both"/>
        <w:rPr>
          <w:rFonts w:ascii="Arial" w:hAnsi="Arial" w:cs="Arial"/>
          <w:sz w:val="18"/>
          <w:szCs w:val="18"/>
        </w:rPr>
      </w:pPr>
    </w:p>
    <w:p w14:paraId="47BEE8F2" w14:textId="77777777" w:rsidR="009F09B4" w:rsidRPr="009F09B4" w:rsidRDefault="009F09B4" w:rsidP="009F09B4">
      <w:pPr>
        <w:jc w:val="both"/>
        <w:rPr>
          <w:rFonts w:ascii="Arial" w:hAnsi="Arial" w:cs="Arial"/>
          <w:b/>
          <w:color w:val="0071BC"/>
          <w:sz w:val="20"/>
          <w:szCs w:val="20"/>
        </w:rPr>
      </w:pPr>
      <w:r w:rsidRPr="009F09B4">
        <w:rPr>
          <w:rFonts w:ascii="Arial" w:hAnsi="Arial" w:cs="Arial"/>
          <w:b/>
          <w:color w:val="0071BC"/>
          <w:sz w:val="20"/>
          <w:szCs w:val="20"/>
        </w:rPr>
        <w:t>Metodické vysvětlivky</w:t>
      </w:r>
    </w:p>
    <w:p w14:paraId="549AD84E" w14:textId="77777777" w:rsidR="009F09B4" w:rsidRDefault="009F09B4" w:rsidP="00C00426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both"/>
        <w:rPr>
          <w:rFonts w:ascii="Arial" w:hAnsi="Arial" w:cs="Arial"/>
          <w:sz w:val="18"/>
          <w:szCs w:val="18"/>
        </w:rPr>
      </w:pPr>
    </w:p>
    <w:p w14:paraId="65A8B382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both"/>
        <w:rPr>
          <w:rFonts w:ascii="Arial" w:hAnsi="Arial" w:cs="Arial"/>
          <w:sz w:val="18"/>
          <w:szCs w:val="18"/>
        </w:rPr>
      </w:pPr>
      <w:r w:rsidRPr="00C05527">
        <w:rPr>
          <w:rFonts w:ascii="Arial" w:hAnsi="Arial" w:cs="Arial"/>
          <w:sz w:val="18"/>
          <w:szCs w:val="18"/>
        </w:rPr>
        <w:t>Tato kapitola byla zpracována z podkladů poskytnutých Ministerstvem spravedlnosti, Generálním ředitelstvím Vězeňské služby ČR, Policejním prezidiem ČR, Ministerstvem dopravy a Ministerstvem vnitra – generálním ředitelstvím Hasičského záchranného sboru ČR. Změna územního uspořádání České republiky platná od 1. ledna 2000 nebyla promítnuta do organizační struktury soudnictví a vězeňství.</w:t>
      </w:r>
    </w:p>
    <w:p w14:paraId="2FA58BB7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both"/>
        <w:rPr>
          <w:rFonts w:ascii="Arial" w:hAnsi="Arial" w:cs="Arial"/>
          <w:sz w:val="18"/>
          <w:szCs w:val="18"/>
        </w:rPr>
      </w:pPr>
    </w:p>
    <w:p w14:paraId="7CEDC3BE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both"/>
        <w:rPr>
          <w:rFonts w:ascii="Arial" w:hAnsi="Arial" w:cs="Arial"/>
          <w:sz w:val="18"/>
          <w:szCs w:val="18"/>
        </w:rPr>
      </w:pPr>
    </w:p>
    <w:p w14:paraId="487B4F2D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71BC"/>
          <w:sz w:val="20"/>
          <w:szCs w:val="20"/>
        </w:rPr>
      </w:pPr>
      <w:r w:rsidRPr="00C05527">
        <w:rPr>
          <w:rFonts w:ascii="Arial" w:hAnsi="Arial" w:cs="Arial"/>
          <w:b/>
          <w:bCs/>
          <w:color w:val="0071BC"/>
          <w:sz w:val="20"/>
          <w:szCs w:val="20"/>
        </w:rPr>
        <w:t>Poznámky k tabulkám</w:t>
      </w:r>
    </w:p>
    <w:p w14:paraId="3E5071D1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2F2B23C9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71BC"/>
          <w:sz w:val="20"/>
          <w:szCs w:val="20"/>
        </w:rPr>
      </w:pPr>
      <w:r w:rsidRPr="00C05527">
        <w:rPr>
          <w:rFonts w:ascii="Arial" w:hAnsi="Arial" w:cs="Arial"/>
          <w:b/>
          <w:color w:val="0071BC"/>
          <w:sz w:val="20"/>
          <w:szCs w:val="20"/>
        </w:rPr>
        <w:t xml:space="preserve">Tab. </w:t>
      </w:r>
      <w:r w:rsidRPr="00C05527">
        <w:rPr>
          <w:rFonts w:ascii="Arial" w:hAnsi="Arial" w:cs="Arial"/>
          <w:b/>
          <w:bCs/>
          <w:color w:val="0071BC"/>
          <w:sz w:val="20"/>
          <w:szCs w:val="20"/>
        </w:rPr>
        <w:t>29</w:t>
      </w:r>
      <w:r w:rsidRPr="00C05527">
        <w:rPr>
          <w:rFonts w:ascii="Arial" w:hAnsi="Arial" w:cs="Arial"/>
          <w:b/>
          <w:color w:val="0071BC"/>
          <w:sz w:val="20"/>
          <w:szCs w:val="20"/>
        </w:rPr>
        <w:t xml:space="preserve">-1  </w:t>
      </w:r>
      <w:r w:rsidRPr="00C05527">
        <w:rPr>
          <w:rFonts w:ascii="Arial" w:hAnsi="Arial" w:cs="Arial"/>
          <w:b/>
          <w:bCs/>
          <w:color w:val="0071BC"/>
          <w:sz w:val="20"/>
          <w:szCs w:val="20"/>
        </w:rPr>
        <w:t>Pohyb agendy u okresních a krajských soudů</w:t>
      </w:r>
    </w:p>
    <w:p w14:paraId="2508AD17" w14:textId="77777777" w:rsidR="00C05527" w:rsidRPr="00C05527" w:rsidRDefault="00C05527" w:rsidP="00C05527">
      <w:pPr>
        <w:spacing w:before="120"/>
        <w:jc w:val="both"/>
        <w:rPr>
          <w:rFonts w:ascii="Arial" w:hAnsi="Arial" w:cs="Arial"/>
          <w:color w:val="000000"/>
          <w:sz w:val="18"/>
          <w:szCs w:val="18"/>
        </w:rPr>
      </w:pPr>
      <w:r w:rsidRPr="00C05527">
        <w:rPr>
          <w:rFonts w:ascii="Arial" w:hAnsi="Arial" w:cs="Arial"/>
          <w:b/>
          <w:bCs/>
          <w:color w:val="000000"/>
          <w:sz w:val="18"/>
          <w:szCs w:val="18"/>
        </w:rPr>
        <w:t>Trestní agenda</w:t>
      </w:r>
      <w:r w:rsidRPr="00C05527">
        <w:rPr>
          <w:rFonts w:ascii="Arial" w:hAnsi="Arial" w:cs="Arial"/>
          <w:color w:val="000000"/>
          <w:sz w:val="18"/>
          <w:szCs w:val="18"/>
        </w:rPr>
        <w:t xml:space="preserve"> – věci projednávané soudem na základě obžaloby či návrhu na potrestání podané státním zástupcem, v nichž je rozhodováno o vině, případně o trestní sankci</w:t>
      </w:r>
      <w:r w:rsidRPr="00C05527" w:rsidDel="00BE3B81">
        <w:rPr>
          <w:rFonts w:ascii="Arial" w:hAnsi="Arial" w:cs="Arial"/>
          <w:color w:val="000000"/>
          <w:sz w:val="18"/>
          <w:szCs w:val="18"/>
        </w:rPr>
        <w:t xml:space="preserve"> </w:t>
      </w:r>
      <w:r w:rsidRPr="00C05527">
        <w:rPr>
          <w:rFonts w:ascii="Arial" w:hAnsi="Arial" w:cs="Arial"/>
          <w:color w:val="000000"/>
          <w:sz w:val="18"/>
          <w:szCs w:val="18"/>
        </w:rPr>
        <w:t>a náhradě škody způsobené trestnou činností. Dále sem patří též případy rozhodování soudu o návrhu na schválení dohody o vině a trestu.</w:t>
      </w:r>
    </w:p>
    <w:p w14:paraId="58E50161" w14:textId="77777777" w:rsidR="00C05527" w:rsidRPr="00C05527" w:rsidRDefault="00C05527" w:rsidP="00C05527">
      <w:pPr>
        <w:spacing w:before="120"/>
        <w:jc w:val="both"/>
        <w:rPr>
          <w:rFonts w:ascii="Arial" w:hAnsi="Arial" w:cs="Arial"/>
          <w:color w:val="000000"/>
          <w:sz w:val="18"/>
          <w:szCs w:val="18"/>
        </w:rPr>
      </w:pPr>
      <w:r w:rsidRPr="00C05527">
        <w:rPr>
          <w:rFonts w:ascii="Arial" w:hAnsi="Arial" w:cs="Arial"/>
          <w:b/>
          <w:bCs/>
          <w:color w:val="000000"/>
          <w:sz w:val="18"/>
          <w:szCs w:val="18"/>
        </w:rPr>
        <w:t>Občanskoprávní agenda</w:t>
      </w:r>
      <w:r w:rsidRPr="00C05527">
        <w:rPr>
          <w:rFonts w:ascii="Arial" w:hAnsi="Arial" w:cs="Arial"/>
          <w:color w:val="000000"/>
          <w:sz w:val="18"/>
          <w:szCs w:val="18"/>
        </w:rPr>
        <w:t xml:space="preserve"> – převážnou část agendy tvoří věci upravené zákonem č. 89/2012 Sb., občanský zákoník, ve znění pozdějších předpisů (dále jen „občanský zákoník“), který 1. ledna 2014 nahradil původní občanský zákoník (zákon č. 40/1964 Sb.) a zákon o rodině (zákon č. 94/1963 Sb.). Dále pak pracovní věci upravené zákoníkem práce (zákon č. 262/2006 Sb., ve znění pozdějších předpisů). Občanskoprávní agenda se řadí mezi civilní agendy soudů.</w:t>
      </w:r>
    </w:p>
    <w:p w14:paraId="6472BEA7" w14:textId="77777777" w:rsidR="00C05527" w:rsidRPr="00C05527" w:rsidRDefault="00C05527" w:rsidP="00C05527">
      <w:pPr>
        <w:spacing w:before="120"/>
        <w:jc w:val="both"/>
        <w:rPr>
          <w:rFonts w:ascii="Arial" w:hAnsi="Arial" w:cs="Arial"/>
          <w:color w:val="000000"/>
          <w:sz w:val="18"/>
          <w:szCs w:val="18"/>
        </w:rPr>
      </w:pPr>
      <w:r w:rsidRPr="00C05527">
        <w:rPr>
          <w:rFonts w:ascii="Arial" w:hAnsi="Arial" w:cs="Arial"/>
          <w:b/>
          <w:color w:val="000000"/>
          <w:sz w:val="18"/>
          <w:szCs w:val="18"/>
        </w:rPr>
        <w:t>Opatrovnická agenda</w:t>
      </w:r>
      <w:r w:rsidRPr="00C05527">
        <w:rPr>
          <w:rFonts w:ascii="Arial" w:hAnsi="Arial" w:cs="Arial"/>
          <w:color w:val="000000"/>
          <w:sz w:val="18"/>
          <w:szCs w:val="18"/>
        </w:rPr>
        <w:t xml:space="preserve"> – civilní agenda, kterou tvoří zejména vybrané věci upravené občanským zákoníkem ohledně svéprávnosti a opatrovnictví člověka (zletilé fyzické osoby) a záležitosti kolem nezletilých dětí, poručenství a jiné formy péče o dítě.</w:t>
      </w:r>
    </w:p>
    <w:p w14:paraId="2108F366" w14:textId="77777777" w:rsidR="00C05527" w:rsidRPr="00C05527" w:rsidRDefault="00C05527" w:rsidP="00C05527">
      <w:pPr>
        <w:spacing w:before="120"/>
        <w:jc w:val="both"/>
        <w:rPr>
          <w:rFonts w:ascii="Arial" w:hAnsi="Arial" w:cs="Arial"/>
          <w:color w:val="000000"/>
          <w:sz w:val="18"/>
          <w:szCs w:val="18"/>
        </w:rPr>
      </w:pPr>
      <w:r w:rsidRPr="00C05527">
        <w:rPr>
          <w:rFonts w:ascii="Arial" w:hAnsi="Arial" w:cs="Arial"/>
          <w:b/>
          <w:bCs/>
          <w:color w:val="000000"/>
          <w:sz w:val="18"/>
          <w:szCs w:val="18"/>
        </w:rPr>
        <w:t>Obchodní agenda</w:t>
      </w:r>
      <w:r w:rsidRPr="00C05527">
        <w:rPr>
          <w:rFonts w:ascii="Arial" w:hAnsi="Arial" w:cs="Arial"/>
          <w:color w:val="000000"/>
          <w:sz w:val="18"/>
          <w:szCs w:val="18"/>
        </w:rPr>
        <w:t xml:space="preserve"> – jedna z dalších civilních agend, jejíž převážnou část tvoří spory mezi podnikateli a věci upravené zákonem č. 90/2012 Sb., o obchodních společnostech a družstvech (zákon o obchodních korporacích), ve znění pozdějších předpisů (dále jen „zákon o obchodních korporacích“), které byly dříve upraveny zákonem č. 513/1991 Sb., obchodní zákoník, ve znění pozdějších předpisů (dále jen „obchodní zákoník“), a dále věci upravené zákonem č. 182/2006 Sb., o úpadku a způsobech jeho řešení (insolvenční zákon), ve znění pozdějších předpisů (dále jen „insolvenční zákon“). Obchodní zákoník byl od 1. ledna 2014 nahrazen zákonem o obchodních korporacích a občanským zákoníkem.</w:t>
      </w:r>
    </w:p>
    <w:p w14:paraId="6F6E44A7" w14:textId="77777777" w:rsidR="00C05527" w:rsidRPr="00C05527" w:rsidRDefault="00C05527" w:rsidP="00C05527">
      <w:pPr>
        <w:spacing w:before="120"/>
        <w:jc w:val="both"/>
        <w:rPr>
          <w:rFonts w:ascii="Arial" w:hAnsi="Arial" w:cs="Arial"/>
          <w:color w:val="000000"/>
          <w:sz w:val="18"/>
          <w:szCs w:val="18"/>
        </w:rPr>
      </w:pPr>
      <w:r w:rsidRPr="00C05527">
        <w:rPr>
          <w:rFonts w:ascii="Arial" w:hAnsi="Arial" w:cs="Arial"/>
          <w:b/>
          <w:color w:val="000000"/>
          <w:sz w:val="18"/>
          <w:szCs w:val="18"/>
        </w:rPr>
        <w:t>Insolvenční agenda</w:t>
      </w:r>
      <w:r w:rsidRPr="00C05527">
        <w:rPr>
          <w:rFonts w:ascii="Arial" w:hAnsi="Arial" w:cs="Arial"/>
          <w:color w:val="000000"/>
          <w:sz w:val="18"/>
          <w:szCs w:val="18"/>
        </w:rPr>
        <w:t xml:space="preserve"> – samostatná agenda vyčleněná z obchodní agendy, kterou </w:t>
      </w:r>
      <w:r w:rsidRPr="00C05527">
        <w:rPr>
          <w:rFonts w:ascii="Arial" w:hAnsi="Arial" w:cs="Arial"/>
          <w:sz w:val="18"/>
          <w:szCs w:val="18"/>
        </w:rPr>
        <w:t>tvoří věci projednávané krajskými soudy podle insolvenčního zákona. V rámci insolvenční agendy řeší soud jak insolvenční návrhy (zapisované do rejstříku INS), tak i incidenční spory vyvolané insolvenčním řízením (žaloby zapisované do rejstříku ICm), jejichž výčet je uveden v § 159 insolvenčního zákona.</w:t>
      </w:r>
    </w:p>
    <w:p w14:paraId="744CA823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8"/>
          <w:szCs w:val="18"/>
        </w:rPr>
      </w:pPr>
      <w:r w:rsidRPr="00C05527">
        <w:rPr>
          <w:rFonts w:ascii="Arial" w:hAnsi="Arial" w:cs="Arial"/>
          <w:b/>
          <w:bCs/>
          <w:sz w:val="18"/>
          <w:szCs w:val="18"/>
        </w:rPr>
        <w:t>Rejstříky jednotlivých agend</w:t>
      </w:r>
      <w:r w:rsidRPr="00C05527">
        <w:rPr>
          <w:rFonts w:ascii="Arial" w:hAnsi="Arial" w:cs="Arial"/>
          <w:sz w:val="18"/>
          <w:szCs w:val="18"/>
        </w:rPr>
        <w:t xml:space="preserve"> – přehled rejstříků je uveden v Instrukci Ministerstva spravedlnosti ze dne 3. prosince 2001, č. j. 505/2001–ORG, kterou se vydává vnitřní a kancelářský řád pro okresní, krajské a vrchní soudy, v platném znění. V dokumentu je rovněž uveden způsob vedení zápisů v jednotlivých rejstřících.</w:t>
      </w:r>
    </w:p>
    <w:p w14:paraId="3BDB2F17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8"/>
          <w:szCs w:val="18"/>
        </w:rPr>
      </w:pPr>
      <w:r w:rsidRPr="00C05527">
        <w:rPr>
          <w:rFonts w:ascii="Arial" w:hAnsi="Arial" w:cs="Arial"/>
          <w:b/>
          <w:bCs/>
          <w:sz w:val="18"/>
          <w:szCs w:val="18"/>
        </w:rPr>
        <w:t>Rejstřík T</w:t>
      </w:r>
      <w:r w:rsidRPr="00C05527">
        <w:rPr>
          <w:rFonts w:ascii="Arial" w:hAnsi="Arial" w:cs="Arial"/>
          <w:sz w:val="18"/>
          <w:szCs w:val="18"/>
        </w:rPr>
        <w:t xml:space="preserve"> – do rejstříku T se zapisují všechny trestní věci, v nichž byla státním zástupcem podána obžaloba nebo po zkráceném řízení návrh na potrestání, včetně případů rozhodování soudu o návrhu na schválení dohody o vině a trestu, s výjimkou věcí, které se týkají mladistvých.</w:t>
      </w:r>
    </w:p>
    <w:p w14:paraId="62AA603E" w14:textId="0D3C5BD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8"/>
          <w:szCs w:val="18"/>
        </w:rPr>
      </w:pPr>
      <w:r w:rsidRPr="00C05527">
        <w:rPr>
          <w:rFonts w:ascii="Arial" w:hAnsi="Arial" w:cs="Arial"/>
          <w:b/>
          <w:bCs/>
          <w:sz w:val="18"/>
          <w:szCs w:val="18"/>
        </w:rPr>
        <w:t>Rejstřík C</w:t>
      </w:r>
      <w:r w:rsidRPr="00C05527">
        <w:rPr>
          <w:rFonts w:ascii="Arial" w:hAnsi="Arial" w:cs="Arial"/>
          <w:sz w:val="18"/>
          <w:szCs w:val="18"/>
        </w:rPr>
        <w:t xml:space="preserve"> – do rejstříku C se zapisují</w:t>
      </w:r>
      <w:r w:rsidR="00E14C4E">
        <w:rPr>
          <w:rFonts w:ascii="Arial" w:hAnsi="Arial" w:cs="Arial"/>
          <w:sz w:val="18"/>
          <w:szCs w:val="18"/>
        </w:rPr>
        <w:t>:</w:t>
      </w:r>
    </w:p>
    <w:p w14:paraId="3D3B1107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spacing w:before="120"/>
        <w:ind w:left="170" w:hanging="170"/>
        <w:jc w:val="both"/>
        <w:rPr>
          <w:rFonts w:ascii="Arial" w:hAnsi="Arial" w:cs="Arial"/>
          <w:sz w:val="18"/>
          <w:szCs w:val="18"/>
        </w:rPr>
      </w:pPr>
      <w:r w:rsidRPr="00C05527">
        <w:rPr>
          <w:rFonts w:ascii="Arial" w:hAnsi="Arial" w:cs="Arial"/>
          <w:sz w:val="18"/>
          <w:szCs w:val="18"/>
        </w:rPr>
        <w:t>– všechny občanskoprávní návrhy týkající se právních poměrů mezi žalobcem a žalovaným včetně určovacích žalob (§ 80 občanského soudního úřadu), žalob z rušené držby, žalob ve věcech ochrany osobnosti člověka, žalob podle zákona č. 198/2009 Sb., o rovném zacházení a o právních prostředcích ochrany před diskriminací a o změně některých zákonů (antidiskriminační zákon), žalob ve věcech, o nichž bylo rozhodnuto jiným orgánem, je-li k řízení příslušný okresní soud, a též</w:t>
      </w:r>
      <w:r w:rsidRPr="00C05527" w:rsidDel="00724F2F">
        <w:rPr>
          <w:rFonts w:ascii="Arial" w:hAnsi="Arial" w:cs="Arial"/>
          <w:sz w:val="18"/>
          <w:szCs w:val="18"/>
        </w:rPr>
        <w:t xml:space="preserve"> </w:t>
      </w:r>
      <w:r w:rsidRPr="00C05527">
        <w:rPr>
          <w:rFonts w:ascii="Arial" w:hAnsi="Arial" w:cs="Arial"/>
          <w:sz w:val="18"/>
          <w:szCs w:val="18"/>
        </w:rPr>
        <w:t>žalob vyvolaných řízením o pozůstalosti;</w:t>
      </w:r>
    </w:p>
    <w:p w14:paraId="1E08FF9A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spacing w:before="120"/>
        <w:ind w:left="170" w:hanging="170"/>
        <w:jc w:val="both"/>
        <w:rPr>
          <w:rFonts w:ascii="Arial" w:hAnsi="Arial" w:cs="Arial"/>
          <w:sz w:val="18"/>
          <w:szCs w:val="18"/>
        </w:rPr>
      </w:pPr>
      <w:r w:rsidRPr="00C05527">
        <w:rPr>
          <w:rFonts w:ascii="Arial" w:hAnsi="Arial" w:cs="Arial"/>
          <w:sz w:val="18"/>
          <w:szCs w:val="18"/>
        </w:rPr>
        <w:t>– návrhy na rozhodnutí ve statusových věcech manželských a partnerských, návrhy ve věcech týkající se osvojení zletilého, včetně návrhů na zrušení takového osvojení, dále návrhy na určení nebo zrušení vyživovací povinnosti k plně svéprávným osobám a na určení výživného a zajištění úhrady některých nákladů neprovdané matce, dále návrhy ve věcech uznání cizího rozhodnutí dle § 16 zákona č. 91/2012 Sb., o mezinárodním právu soukromém, ve znění pozdějších předpisů;</w:t>
      </w:r>
    </w:p>
    <w:p w14:paraId="5A428A6A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spacing w:before="120"/>
        <w:ind w:left="170" w:hanging="170"/>
        <w:jc w:val="both"/>
        <w:rPr>
          <w:rFonts w:ascii="Arial" w:hAnsi="Arial" w:cs="Arial"/>
          <w:sz w:val="18"/>
          <w:szCs w:val="18"/>
        </w:rPr>
      </w:pPr>
      <w:r w:rsidRPr="00C05527">
        <w:rPr>
          <w:rFonts w:ascii="Arial" w:hAnsi="Arial" w:cs="Arial"/>
          <w:sz w:val="18"/>
          <w:szCs w:val="18"/>
        </w:rPr>
        <w:t>– návrhy na zrušení soudního smíru, na určení neplatnosti rozhodčí smlouvy a zrušení rozhodčích, na nařízení soudního prodeje zástavy;</w:t>
      </w:r>
    </w:p>
    <w:p w14:paraId="45C4EBAF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spacing w:before="120"/>
        <w:ind w:left="170" w:hanging="170"/>
        <w:jc w:val="both"/>
        <w:rPr>
          <w:rFonts w:ascii="Arial" w:hAnsi="Arial" w:cs="Arial"/>
          <w:sz w:val="18"/>
          <w:szCs w:val="18"/>
        </w:rPr>
      </w:pPr>
      <w:r w:rsidRPr="00C05527">
        <w:rPr>
          <w:rFonts w:ascii="Arial" w:hAnsi="Arial" w:cs="Arial"/>
          <w:sz w:val="18"/>
          <w:szCs w:val="18"/>
        </w:rPr>
        <w:t>– návrhy na vydání platebního rozkazu, návrhy na vydání elektronického platebního rozkazu, jestliže elektronický platební rozkaz byl zrušen, nebo nebyl vydán, a návrhy na zahájení řízení o drobných nárocích;</w:t>
      </w:r>
    </w:p>
    <w:p w14:paraId="2E9276FC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spacing w:before="120"/>
        <w:ind w:left="170" w:hanging="170"/>
        <w:jc w:val="both"/>
        <w:rPr>
          <w:rFonts w:ascii="Arial" w:hAnsi="Arial" w:cs="Arial"/>
          <w:sz w:val="18"/>
          <w:szCs w:val="18"/>
        </w:rPr>
      </w:pPr>
      <w:r w:rsidRPr="00C05527">
        <w:rPr>
          <w:rFonts w:ascii="Arial" w:hAnsi="Arial" w:cs="Arial"/>
          <w:sz w:val="18"/>
          <w:szCs w:val="18"/>
        </w:rPr>
        <w:t>– žaloby na obnovu řízení a žaloby pro zmatečnost do věcí evidovaných u okresních soudů v rejstřících Ro, ERo, L, D, U, Sd, E a EXE.</w:t>
      </w:r>
    </w:p>
    <w:p w14:paraId="43EB764A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8"/>
          <w:szCs w:val="18"/>
        </w:rPr>
      </w:pPr>
      <w:r w:rsidRPr="00C05527">
        <w:rPr>
          <w:rFonts w:ascii="Arial" w:hAnsi="Arial" w:cs="Arial"/>
          <w:sz w:val="18"/>
          <w:szCs w:val="18"/>
        </w:rPr>
        <w:t xml:space="preserve">U krajských soudů se zapisují do rejstříku C věci podle ustanovení § 9 odst. 2 písm. a) až d) a g) zákona č. 99/1963, občanský soudní řád, </w:t>
      </w:r>
      <w:r w:rsidRPr="00C05527">
        <w:rPr>
          <w:rFonts w:ascii="Arial" w:hAnsi="Arial" w:cs="Arial"/>
          <w:color w:val="000000"/>
          <w:sz w:val="18"/>
          <w:szCs w:val="18"/>
        </w:rPr>
        <w:t>ve znění pozdějších předpisů (dále jen „občanský soudní řád“),</w:t>
      </w:r>
      <w:r w:rsidRPr="00C05527">
        <w:rPr>
          <w:rFonts w:ascii="Arial" w:hAnsi="Arial" w:cs="Arial"/>
          <w:sz w:val="18"/>
          <w:szCs w:val="18"/>
        </w:rPr>
        <w:t xml:space="preserve"> žaloby na náhradu za vyvlastnění a žaloby ve věcech, o nichž bylo rozhodnuto jiným orgánem, podle § 249 odst. 2 občanského soudního řádu.</w:t>
      </w:r>
    </w:p>
    <w:p w14:paraId="3B25DF6E" w14:textId="5F9BFFF9" w:rsidR="00C05527" w:rsidRPr="00C05527" w:rsidRDefault="00C05527" w:rsidP="00216FA7">
      <w:pPr>
        <w:keepNext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8"/>
          <w:szCs w:val="18"/>
        </w:rPr>
      </w:pPr>
      <w:r w:rsidRPr="00C05527">
        <w:rPr>
          <w:rFonts w:ascii="Arial" w:hAnsi="Arial" w:cs="Arial"/>
          <w:b/>
          <w:sz w:val="18"/>
          <w:szCs w:val="18"/>
        </w:rPr>
        <w:lastRenderedPageBreak/>
        <w:t>Rejstřík P a Nc</w:t>
      </w:r>
      <w:r w:rsidRPr="00C05527">
        <w:rPr>
          <w:rFonts w:ascii="Arial" w:hAnsi="Arial" w:cs="Arial"/>
          <w:sz w:val="18"/>
          <w:szCs w:val="18"/>
        </w:rPr>
        <w:t xml:space="preserve"> – do rejstříku P a Nc se zapisují</w:t>
      </w:r>
      <w:r w:rsidR="00E14C4E">
        <w:rPr>
          <w:rFonts w:ascii="Arial" w:hAnsi="Arial" w:cs="Arial"/>
          <w:sz w:val="18"/>
          <w:szCs w:val="18"/>
        </w:rPr>
        <w:t>:</w:t>
      </w:r>
    </w:p>
    <w:p w14:paraId="36F9640A" w14:textId="77777777" w:rsidR="00C05527" w:rsidRPr="00C05527" w:rsidRDefault="00C05527" w:rsidP="00216FA7">
      <w:pPr>
        <w:keepNext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spacing w:before="120"/>
        <w:ind w:left="170" w:hanging="170"/>
        <w:jc w:val="both"/>
        <w:rPr>
          <w:rFonts w:ascii="Arial" w:hAnsi="Arial" w:cs="Arial"/>
          <w:sz w:val="18"/>
          <w:szCs w:val="18"/>
        </w:rPr>
      </w:pPr>
      <w:r w:rsidRPr="00C05527">
        <w:rPr>
          <w:rFonts w:ascii="Arial" w:hAnsi="Arial" w:cs="Arial"/>
          <w:sz w:val="18"/>
          <w:szCs w:val="18"/>
        </w:rPr>
        <w:t>– věci týkající se podpůrných opatření při narušení schopnosti zletilého právně jednat a svéprávnosti člověka, prohlášení za nezvěstného, prohlášení za mrtvého či určení data smrti, zásahu do integrity osob nezletilých, které dovršily čtrnáctého roku věku a nenabyly plné svéprávnosti a zásahu do integrity osob neschopných úsudku způsobem zanechávajícím trvalé, neodvratitelné a vážné následky nebo způsobem spojeným s vážným nebezpečím pro jeho život nebo zdraví;</w:t>
      </w:r>
    </w:p>
    <w:p w14:paraId="187FAEC0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spacing w:before="120"/>
        <w:ind w:left="170" w:hanging="170"/>
        <w:jc w:val="both"/>
        <w:rPr>
          <w:rFonts w:ascii="Arial" w:hAnsi="Arial" w:cs="Arial"/>
          <w:sz w:val="18"/>
          <w:szCs w:val="18"/>
        </w:rPr>
      </w:pPr>
      <w:r w:rsidRPr="00C05527">
        <w:rPr>
          <w:rFonts w:ascii="Arial" w:hAnsi="Arial" w:cs="Arial"/>
          <w:sz w:val="18"/>
          <w:szCs w:val="18"/>
        </w:rPr>
        <w:t>– návrhy na povolení uzavření manželství, věci týkající se určování a popírání rodičovství, věci péče soudu o nezletilé (§ 466 zák. č. 292/2013 Sb.), včetně výkonu rozhodnutí o péči o nezletilé děti, věci týkající se osvojení nezletilého (§ 427 zák. č. 292/2013 Sb.) a návrhy na vydání předběžného opatření upravujícího poměry dítěte.</w:t>
      </w:r>
    </w:p>
    <w:p w14:paraId="755FAA6D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8"/>
          <w:szCs w:val="18"/>
        </w:rPr>
      </w:pPr>
      <w:r w:rsidRPr="00C05527">
        <w:rPr>
          <w:rFonts w:ascii="Arial" w:hAnsi="Arial" w:cs="Arial"/>
          <w:b/>
          <w:sz w:val="18"/>
          <w:szCs w:val="18"/>
        </w:rPr>
        <w:t>Rejstřík Cm</w:t>
      </w:r>
      <w:r w:rsidRPr="00C05527">
        <w:rPr>
          <w:rFonts w:ascii="Arial" w:hAnsi="Arial" w:cs="Arial"/>
          <w:sz w:val="18"/>
          <w:szCs w:val="18"/>
        </w:rPr>
        <w:t xml:space="preserve"> – rejstřík Cm se vede u krajských soudů v obchodních věcech. Dále se sem zapisují návrhy na vydání platebního rozkazu a směnečného (šekového) platebního rozkazu, návrhy na vydání elektronického platebního rozkazu, byl-li podán včas odpor, nebo jestliže platební rozkaz nebyl vydán, případně byl zrušen, a návrhy na zahájení řízení o drobných nárocích. Zapíší se sem též žaloby na obnovu řízení a žaloby pro zmatečnost do věcí evidovaných u krajských soudů v rejstřících Ro, ERo, Sm, K a KV.</w:t>
      </w:r>
    </w:p>
    <w:p w14:paraId="721A1E04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8"/>
          <w:szCs w:val="18"/>
        </w:rPr>
      </w:pPr>
      <w:r w:rsidRPr="00C05527">
        <w:rPr>
          <w:rFonts w:ascii="Arial" w:hAnsi="Arial" w:cs="Arial"/>
          <w:b/>
          <w:sz w:val="18"/>
          <w:szCs w:val="18"/>
        </w:rPr>
        <w:t>Rejstřík INS</w:t>
      </w:r>
      <w:r w:rsidRPr="00C05527">
        <w:rPr>
          <w:rFonts w:ascii="Arial" w:hAnsi="Arial" w:cs="Arial"/>
          <w:sz w:val="18"/>
          <w:szCs w:val="18"/>
        </w:rPr>
        <w:t xml:space="preserve"> – do rejstříku INS se zapisují insolvenční návrhy a návrhy na moratorium před zahájením řízení podle insolvenčního zákona.</w:t>
      </w:r>
    </w:p>
    <w:p w14:paraId="6EFE7A8F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 w:rsidRPr="00C05527">
        <w:rPr>
          <w:rFonts w:ascii="Arial" w:hAnsi="Arial" w:cs="Arial"/>
          <w:b/>
          <w:sz w:val="18"/>
          <w:szCs w:val="18"/>
        </w:rPr>
        <w:t>Rejstřík ICm</w:t>
      </w:r>
      <w:r w:rsidRPr="00C05527">
        <w:rPr>
          <w:rFonts w:ascii="Arial" w:hAnsi="Arial" w:cs="Arial"/>
          <w:sz w:val="18"/>
          <w:szCs w:val="18"/>
        </w:rPr>
        <w:t xml:space="preserve"> – do rejstříku ICm se zapisují incidenční spory podle insolvenčního zákona a žaloby pro zmatečnost věcí evidovaných v rejstříku INS.</w:t>
      </w:r>
    </w:p>
    <w:p w14:paraId="33B0AA93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8"/>
          <w:szCs w:val="18"/>
        </w:rPr>
      </w:pPr>
      <w:r w:rsidRPr="00C05527">
        <w:rPr>
          <w:rFonts w:ascii="Arial" w:hAnsi="Arial" w:cs="Arial"/>
          <w:b/>
          <w:bCs/>
          <w:sz w:val="18"/>
          <w:szCs w:val="18"/>
        </w:rPr>
        <w:t>Počet věcí</w:t>
      </w:r>
      <w:r w:rsidRPr="00C05527">
        <w:rPr>
          <w:rFonts w:ascii="Arial" w:hAnsi="Arial" w:cs="Arial"/>
          <w:sz w:val="18"/>
          <w:szCs w:val="18"/>
        </w:rPr>
        <w:t xml:space="preserve"> – označení případu projednávaného soudem, který je zapsán v příslušném rejstříku. Jedna věc se může týkat i více osob.</w:t>
      </w:r>
    </w:p>
    <w:p w14:paraId="1B8C8F2A" w14:textId="77777777" w:rsidR="00C05527" w:rsidRPr="00C05527" w:rsidRDefault="00C05527" w:rsidP="00C05527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C05527">
        <w:rPr>
          <w:rFonts w:ascii="Arial" w:hAnsi="Arial" w:cs="Arial"/>
          <w:b/>
          <w:bCs/>
          <w:color w:val="000000"/>
          <w:sz w:val="18"/>
          <w:szCs w:val="18"/>
        </w:rPr>
        <w:t>Obživlo</w:t>
      </w:r>
      <w:r w:rsidRPr="00C05527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C05527">
        <w:rPr>
          <w:rFonts w:ascii="Arial" w:hAnsi="Arial" w:cs="Arial"/>
          <w:color w:val="000000"/>
          <w:sz w:val="18"/>
          <w:szCs w:val="18"/>
        </w:rPr>
        <w:t>– jde o věci, u kterých</w:t>
      </w:r>
      <w:r w:rsidRPr="00C05527">
        <w:rPr>
          <w:rFonts w:ascii="Arial" w:hAnsi="Arial" w:cs="Arial"/>
          <w:sz w:val="18"/>
          <w:szCs w:val="18"/>
        </w:rPr>
        <w:t xml:space="preserve"> v důsledku rozhodnutí soudu vyššího stupně musí následovat řízení před soudem prvního stupně po úplném nebo částečném zrušení rozhodnutí nebo po nevyhovění návrhu na změnu příslušnosti či odnětí a přikázání věci.</w:t>
      </w:r>
    </w:p>
    <w:p w14:paraId="7A5CF5DA" w14:textId="77777777" w:rsidR="00C05527" w:rsidRPr="00C05527" w:rsidRDefault="00C05527" w:rsidP="00C05527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C05527">
        <w:rPr>
          <w:rFonts w:ascii="Arial" w:hAnsi="Arial" w:cs="Arial"/>
          <w:bCs/>
          <w:color w:val="000000"/>
          <w:sz w:val="18"/>
          <w:szCs w:val="18"/>
        </w:rPr>
        <w:t xml:space="preserve">Od roku 2009 došlo ke změnám ve vedení rejstříků ohledně zápisu žalob (návrhů) na obnovu řízení, žalob pro zmatečnost a dále případů, ve kterých v důsledku rozhodnutí dovolacího nebo Ústavního soudu, povolení obnovy nebo zrušení napadaného rozhodnutí pro zmatečnost znovu dochází k řízení u soudu prvního stupně. Nově se tyto případy nezapisují jako nový nápad, ale obživují – </w:t>
      </w:r>
      <w:r w:rsidRPr="00C05527">
        <w:rPr>
          <w:rFonts w:ascii="Arial" w:hAnsi="Arial" w:cs="Arial"/>
          <w:b/>
          <w:bCs/>
          <w:color w:val="000000"/>
          <w:sz w:val="18"/>
          <w:szCs w:val="18"/>
        </w:rPr>
        <w:t>nová obživa</w:t>
      </w:r>
      <w:r w:rsidRPr="00C05527">
        <w:rPr>
          <w:rFonts w:ascii="Arial" w:hAnsi="Arial" w:cs="Arial"/>
          <w:bCs/>
          <w:color w:val="000000"/>
          <w:sz w:val="18"/>
          <w:szCs w:val="18"/>
        </w:rPr>
        <w:t xml:space="preserve"> dle úpravy od 1. ledna 2009.</w:t>
      </w:r>
    </w:p>
    <w:p w14:paraId="5B50A3DB" w14:textId="77777777" w:rsidR="00C05527" w:rsidRPr="00C05527" w:rsidRDefault="00C05527" w:rsidP="00C05527">
      <w:pPr>
        <w:spacing w:before="120"/>
        <w:jc w:val="both"/>
        <w:rPr>
          <w:rFonts w:ascii="Arial" w:hAnsi="Arial" w:cs="Arial"/>
          <w:color w:val="000000"/>
          <w:sz w:val="18"/>
          <w:szCs w:val="18"/>
        </w:rPr>
      </w:pPr>
      <w:r w:rsidRPr="00C05527">
        <w:rPr>
          <w:rFonts w:ascii="Arial" w:hAnsi="Arial" w:cs="Arial"/>
          <w:b/>
          <w:bCs/>
          <w:color w:val="000000"/>
          <w:sz w:val="18"/>
          <w:szCs w:val="18"/>
        </w:rPr>
        <w:t>Napadlo</w:t>
      </w:r>
      <w:r w:rsidRPr="00C05527">
        <w:rPr>
          <w:rFonts w:ascii="Arial" w:hAnsi="Arial" w:cs="Arial"/>
          <w:color w:val="000000"/>
          <w:sz w:val="18"/>
          <w:szCs w:val="18"/>
        </w:rPr>
        <w:t xml:space="preserve"> – v trestních věcech počet podaných obžalob, návrhů na potrestání nebo návrhů na schválení dohody o vině a trestu. V občanskoprávní agendě a agendě P a Nc počet návrhů na zahájení řízení (žalob), které byly soudu doporučeny k projednání (včetně případů, kdy soud řízení zahájí bez návrhu z úřední povinnosti) a které soud zapíše do příslušného rejstříku.</w:t>
      </w:r>
    </w:p>
    <w:p w14:paraId="3FAAE58C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8"/>
          <w:szCs w:val="18"/>
        </w:rPr>
      </w:pPr>
      <w:r w:rsidRPr="00C05527">
        <w:rPr>
          <w:rFonts w:ascii="Arial" w:hAnsi="Arial" w:cs="Arial"/>
          <w:b/>
          <w:bCs/>
          <w:sz w:val="18"/>
          <w:szCs w:val="18"/>
        </w:rPr>
        <w:t>Vyřízeno</w:t>
      </w:r>
      <w:r w:rsidRPr="00C05527">
        <w:rPr>
          <w:rFonts w:ascii="Arial" w:hAnsi="Arial" w:cs="Arial"/>
          <w:sz w:val="18"/>
          <w:szCs w:val="18"/>
        </w:rPr>
        <w:t xml:space="preserve"> – počet věcí, ve kterých soud nepravomocně rozhodl.</w:t>
      </w:r>
    </w:p>
    <w:p w14:paraId="1A34EF4C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8"/>
          <w:szCs w:val="18"/>
        </w:rPr>
      </w:pPr>
      <w:r w:rsidRPr="00C05527">
        <w:rPr>
          <w:rFonts w:ascii="Arial" w:hAnsi="Arial" w:cs="Arial"/>
          <w:b/>
          <w:bCs/>
          <w:sz w:val="18"/>
          <w:szCs w:val="18"/>
        </w:rPr>
        <w:t>Nevyřízeno</w:t>
      </w:r>
      <w:r w:rsidRPr="00C05527">
        <w:rPr>
          <w:rFonts w:ascii="Arial" w:hAnsi="Arial" w:cs="Arial"/>
          <w:sz w:val="18"/>
          <w:szCs w:val="18"/>
        </w:rPr>
        <w:t xml:space="preserve"> – počet věcí, ve kterých soud dosud nerozhodl. Tento údaj se vztahuje vždy k 31. prosinci příslušného roku.</w:t>
      </w:r>
    </w:p>
    <w:p w14:paraId="7BCCFC5D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01FA801D" w14:textId="77777777" w:rsidR="00C05527" w:rsidRPr="00C05527" w:rsidRDefault="00C05527" w:rsidP="00C05527">
      <w:pPr>
        <w:jc w:val="both"/>
        <w:rPr>
          <w:rFonts w:ascii="Arial" w:hAnsi="Arial" w:cs="Arial"/>
          <w:sz w:val="18"/>
          <w:szCs w:val="18"/>
        </w:rPr>
      </w:pPr>
    </w:p>
    <w:p w14:paraId="0211839F" w14:textId="77777777" w:rsidR="00C05527" w:rsidRPr="00C05527" w:rsidRDefault="00C05527" w:rsidP="00C05527">
      <w:pPr>
        <w:jc w:val="both"/>
        <w:rPr>
          <w:rFonts w:ascii="Arial" w:hAnsi="Arial" w:cs="Arial"/>
          <w:b/>
          <w:color w:val="0071BC"/>
          <w:sz w:val="20"/>
          <w:szCs w:val="20"/>
        </w:rPr>
      </w:pPr>
      <w:r w:rsidRPr="00C05527">
        <w:rPr>
          <w:rFonts w:ascii="Arial" w:hAnsi="Arial" w:cs="Arial"/>
          <w:b/>
          <w:color w:val="0071BC"/>
          <w:sz w:val="20"/>
          <w:szCs w:val="20"/>
        </w:rPr>
        <w:t xml:space="preserve">Tab. </w:t>
      </w:r>
      <w:r w:rsidRPr="00C05527">
        <w:rPr>
          <w:rFonts w:ascii="Arial" w:hAnsi="Arial" w:cs="Arial"/>
          <w:b/>
          <w:bCs/>
          <w:color w:val="0071BC"/>
          <w:sz w:val="20"/>
          <w:szCs w:val="20"/>
        </w:rPr>
        <w:t>29</w:t>
      </w:r>
      <w:r w:rsidRPr="00C05527">
        <w:rPr>
          <w:rFonts w:ascii="Arial" w:hAnsi="Arial" w:cs="Arial"/>
          <w:b/>
          <w:color w:val="0071BC"/>
          <w:sz w:val="20"/>
          <w:szCs w:val="20"/>
        </w:rPr>
        <w:t xml:space="preserve">-2  </w:t>
      </w:r>
      <w:r w:rsidRPr="00C05527">
        <w:rPr>
          <w:rFonts w:ascii="Arial" w:hAnsi="Arial" w:cs="Arial"/>
          <w:b/>
          <w:bCs/>
          <w:color w:val="0071BC"/>
          <w:sz w:val="20"/>
          <w:szCs w:val="20"/>
        </w:rPr>
        <w:t>Pravomocná rozhodnutí soudu a průměrné délky soudního řízení</w:t>
      </w:r>
    </w:p>
    <w:p w14:paraId="74F32F3F" w14:textId="77777777" w:rsidR="00C05527" w:rsidRPr="00C05527" w:rsidRDefault="00C05527" w:rsidP="00C05527">
      <w:pPr>
        <w:spacing w:before="120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C05527">
        <w:rPr>
          <w:rFonts w:ascii="Arial" w:hAnsi="Arial" w:cs="Arial"/>
          <w:b/>
          <w:bCs/>
          <w:color w:val="000000"/>
          <w:sz w:val="18"/>
          <w:szCs w:val="18"/>
        </w:rPr>
        <w:t>Pravomocné rozhodnutí</w:t>
      </w:r>
      <w:r w:rsidRPr="00C05527">
        <w:rPr>
          <w:rFonts w:ascii="Arial" w:hAnsi="Arial" w:cs="Arial"/>
          <w:bCs/>
          <w:color w:val="000000"/>
          <w:sz w:val="18"/>
          <w:szCs w:val="18"/>
        </w:rPr>
        <w:t xml:space="preserve"> – takové rozhodnutí soudu, které nabylo právní moci.</w:t>
      </w:r>
    </w:p>
    <w:p w14:paraId="3068757A" w14:textId="77777777" w:rsidR="00C05527" w:rsidRPr="00C05527" w:rsidRDefault="00C05527" w:rsidP="00C05527">
      <w:pPr>
        <w:spacing w:before="120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C05527">
        <w:rPr>
          <w:rFonts w:ascii="Arial" w:hAnsi="Arial" w:cs="Arial"/>
          <w:b/>
          <w:bCs/>
          <w:color w:val="000000"/>
          <w:sz w:val="18"/>
          <w:szCs w:val="18"/>
        </w:rPr>
        <w:t>Počet věcí</w:t>
      </w:r>
      <w:r w:rsidRPr="00C05527">
        <w:rPr>
          <w:rFonts w:ascii="Arial" w:hAnsi="Arial" w:cs="Arial"/>
          <w:bCs/>
          <w:color w:val="000000"/>
          <w:sz w:val="18"/>
          <w:szCs w:val="18"/>
        </w:rPr>
        <w:t xml:space="preserve"> – počet spisových značek, pod kterými jsou vyřizovány jednotlivé soudní případy (počet spisů).</w:t>
      </w:r>
    </w:p>
    <w:p w14:paraId="326F8364" w14:textId="77777777" w:rsidR="00C05527" w:rsidRPr="00C05527" w:rsidRDefault="00C05527" w:rsidP="00C05527">
      <w:pPr>
        <w:spacing w:before="120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C05527">
        <w:rPr>
          <w:rFonts w:ascii="Arial" w:hAnsi="Arial" w:cs="Arial"/>
          <w:b/>
          <w:bCs/>
          <w:color w:val="000000"/>
          <w:sz w:val="18"/>
          <w:szCs w:val="18"/>
        </w:rPr>
        <w:t>Počet práv</w:t>
      </w:r>
      <w:r w:rsidRPr="00C05527">
        <w:rPr>
          <w:rFonts w:ascii="Arial" w:hAnsi="Arial" w:cs="Arial"/>
          <w:bCs/>
          <w:color w:val="000000"/>
          <w:sz w:val="18"/>
          <w:szCs w:val="18"/>
        </w:rPr>
        <w:t xml:space="preserve"> – počet práv uplatňovaných ve věci.</w:t>
      </w:r>
    </w:p>
    <w:p w14:paraId="7B106466" w14:textId="77777777" w:rsidR="00C05527" w:rsidRPr="00C05527" w:rsidRDefault="00C05527" w:rsidP="00C05527">
      <w:pPr>
        <w:spacing w:before="120"/>
        <w:jc w:val="both"/>
        <w:rPr>
          <w:rFonts w:ascii="Arial" w:hAnsi="Arial" w:cs="Arial"/>
          <w:color w:val="000000"/>
          <w:sz w:val="18"/>
          <w:szCs w:val="18"/>
        </w:rPr>
      </w:pPr>
      <w:r w:rsidRPr="00C05527">
        <w:rPr>
          <w:rFonts w:ascii="Arial" w:hAnsi="Arial" w:cs="Arial"/>
          <w:b/>
          <w:color w:val="000000"/>
          <w:sz w:val="18"/>
          <w:szCs w:val="18"/>
        </w:rPr>
        <w:t xml:space="preserve">Počet práv ve věcech nezletilých dětí </w:t>
      </w:r>
      <w:r w:rsidRPr="00C05527">
        <w:rPr>
          <w:rFonts w:ascii="Arial" w:hAnsi="Arial" w:cs="Arial"/>
          <w:color w:val="000000"/>
          <w:sz w:val="18"/>
          <w:szCs w:val="18"/>
        </w:rPr>
        <w:t>– počet dětí, o nichž soudy ve věcech nezletilých dětí v opatrovnické agendě rozhodovaly.</w:t>
      </w:r>
    </w:p>
    <w:p w14:paraId="3EE88B6D" w14:textId="77777777" w:rsidR="00C05527" w:rsidRPr="00C05527" w:rsidRDefault="00C05527" w:rsidP="00C05527">
      <w:pPr>
        <w:spacing w:before="120"/>
        <w:jc w:val="both"/>
        <w:rPr>
          <w:rFonts w:ascii="Arial" w:hAnsi="Arial" w:cs="Arial"/>
          <w:color w:val="000000"/>
          <w:sz w:val="18"/>
          <w:szCs w:val="18"/>
        </w:rPr>
      </w:pPr>
      <w:r w:rsidRPr="00C05527">
        <w:rPr>
          <w:rFonts w:ascii="Arial" w:hAnsi="Arial" w:cs="Arial"/>
          <w:b/>
          <w:color w:val="000000"/>
          <w:sz w:val="18"/>
          <w:szCs w:val="18"/>
        </w:rPr>
        <w:t>Právní moc</w:t>
      </w:r>
      <w:r w:rsidRPr="00C05527">
        <w:rPr>
          <w:rFonts w:ascii="Arial" w:hAnsi="Arial" w:cs="Arial"/>
          <w:bCs/>
          <w:color w:val="000000"/>
          <w:sz w:val="18"/>
          <w:szCs w:val="18"/>
        </w:rPr>
        <w:t xml:space="preserve"> –</w:t>
      </w:r>
      <w:r w:rsidRPr="00C05527">
        <w:rPr>
          <w:rFonts w:ascii="Arial" w:hAnsi="Arial" w:cs="Arial"/>
          <w:color w:val="000000"/>
          <w:sz w:val="18"/>
          <w:szCs w:val="18"/>
        </w:rPr>
        <w:t xml:space="preserve"> vlastnost konečného rozhodnutí, které je nezměnitelné a závazné.</w:t>
      </w:r>
    </w:p>
    <w:p w14:paraId="7A399D80" w14:textId="77777777" w:rsidR="00C05527" w:rsidRPr="00C05527" w:rsidRDefault="00C05527" w:rsidP="00C05527">
      <w:pPr>
        <w:spacing w:before="120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C05527">
        <w:rPr>
          <w:rFonts w:ascii="Arial" w:hAnsi="Arial" w:cs="Arial"/>
          <w:bCs/>
          <w:color w:val="000000"/>
          <w:sz w:val="18"/>
          <w:szCs w:val="18"/>
        </w:rPr>
        <w:t xml:space="preserve">Od roku 2006 jsou </w:t>
      </w:r>
      <w:r w:rsidRPr="00C05527">
        <w:rPr>
          <w:rFonts w:ascii="Arial" w:hAnsi="Arial" w:cs="Arial"/>
          <w:b/>
          <w:color w:val="000000"/>
          <w:sz w:val="18"/>
          <w:szCs w:val="18"/>
        </w:rPr>
        <w:t>občanskoprávní věci a obchodní věci</w:t>
      </w:r>
      <w:r w:rsidRPr="00C05527">
        <w:rPr>
          <w:rFonts w:ascii="Arial" w:hAnsi="Arial" w:cs="Arial"/>
          <w:bCs/>
          <w:color w:val="000000"/>
          <w:sz w:val="18"/>
          <w:szCs w:val="18"/>
        </w:rPr>
        <w:t xml:space="preserve"> spojeny do jedné civilní agendy. Obchodní věci jsou tedy součástí celé občanskoprávní (civilní) agendy.</w:t>
      </w:r>
    </w:p>
    <w:p w14:paraId="0F5C2D97" w14:textId="77777777" w:rsidR="00C05527" w:rsidRPr="00C05527" w:rsidRDefault="00C05527" w:rsidP="00C05527">
      <w:pPr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5E4DB785" w14:textId="77777777" w:rsidR="00C05527" w:rsidRPr="00C05527" w:rsidRDefault="00C05527" w:rsidP="00C05527">
      <w:pPr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668655F6" w14:textId="77777777" w:rsidR="00C05527" w:rsidRPr="00C05527" w:rsidRDefault="00C05527" w:rsidP="00C05527">
      <w:pPr>
        <w:jc w:val="both"/>
        <w:rPr>
          <w:rFonts w:ascii="Arial" w:hAnsi="Arial" w:cs="Arial"/>
          <w:b/>
          <w:bCs/>
          <w:color w:val="0071BC"/>
          <w:sz w:val="20"/>
          <w:szCs w:val="20"/>
        </w:rPr>
      </w:pPr>
      <w:r w:rsidRPr="00C05527">
        <w:rPr>
          <w:rFonts w:ascii="Arial" w:hAnsi="Arial" w:cs="Arial"/>
          <w:b/>
          <w:color w:val="0071BC"/>
          <w:sz w:val="20"/>
          <w:szCs w:val="20"/>
        </w:rPr>
        <w:t xml:space="preserve">Tab. </w:t>
      </w:r>
      <w:r w:rsidRPr="00C05527">
        <w:rPr>
          <w:rFonts w:ascii="Arial" w:hAnsi="Arial" w:cs="Arial"/>
          <w:b/>
          <w:bCs/>
          <w:color w:val="0071BC"/>
          <w:sz w:val="20"/>
          <w:szCs w:val="20"/>
        </w:rPr>
        <w:t>29</w:t>
      </w:r>
      <w:r w:rsidRPr="00C05527">
        <w:rPr>
          <w:rFonts w:ascii="Arial" w:hAnsi="Arial" w:cs="Arial"/>
          <w:b/>
          <w:color w:val="0071BC"/>
          <w:sz w:val="20"/>
          <w:szCs w:val="20"/>
        </w:rPr>
        <w:t xml:space="preserve">-3  </w:t>
      </w:r>
      <w:r w:rsidRPr="00C05527">
        <w:rPr>
          <w:rFonts w:ascii="Arial" w:hAnsi="Arial" w:cs="Arial"/>
          <w:b/>
          <w:bCs/>
          <w:color w:val="0071BC"/>
          <w:sz w:val="20"/>
          <w:szCs w:val="20"/>
        </w:rPr>
        <w:t>Stíhané, obžalované a odsouzené fyzické osoby</w:t>
      </w:r>
    </w:p>
    <w:p w14:paraId="4A9CA6BE" w14:textId="77777777" w:rsidR="00C05527" w:rsidRPr="00C05527" w:rsidRDefault="00C05527" w:rsidP="00C05527">
      <w:pPr>
        <w:spacing w:before="120"/>
        <w:jc w:val="both"/>
        <w:rPr>
          <w:rFonts w:ascii="Arial" w:hAnsi="Arial" w:cs="Arial"/>
          <w:color w:val="000000"/>
          <w:sz w:val="18"/>
          <w:szCs w:val="18"/>
        </w:rPr>
      </w:pPr>
      <w:r w:rsidRPr="00C05527">
        <w:rPr>
          <w:rFonts w:ascii="Arial" w:hAnsi="Arial" w:cs="Arial"/>
          <w:b/>
          <w:color w:val="000000"/>
          <w:sz w:val="18"/>
          <w:szCs w:val="18"/>
        </w:rPr>
        <w:t>Stíháno osob</w:t>
      </w:r>
      <w:r w:rsidRPr="00C05527">
        <w:rPr>
          <w:rFonts w:ascii="Arial" w:hAnsi="Arial" w:cs="Arial"/>
          <w:color w:val="000000"/>
          <w:sz w:val="18"/>
          <w:szCs w:val="18"/>
        </w:rPr>
        <w:t xml:space="preserve"> – počet fyzických osob, jejichž trestní stíhání vedené podle § 160 zákona č. 141/1961 Sb., o trestním řízení (trestní řád), ve znění pozdějších předpisů (dále jen „trestní řád“) bylo ve sledovaném roce ukončeno.</w:t>
      </w:r>
    </w:p>
    <w:p w14:paraId="76B5A1D5" w14:textId="77777777" w:rsidR="00C05527" w:rsidRPr="00C05527" w:rsidRDefault="00C05527" w:rsidP="00C05527">
      <w:pPr>
        <w:spacing w:before="120"/>
        <w:jc w:val="both"/>
        <w:rPr>
          <w:rFonts w:ascii="Arial" w:hAnsi="Arial" w:cs="Arial"/>
          <w:color w:val="000000"/>
          <w:sz w:val="18"/>
          <w:szCs w:val="18"/>
        </w:rPr>
      </w:pPr>
      <w:r w:rsidRPr="00C05527">
        <w:rPr>
          <w:rFonts w:ascii="Arial" w:hAnsi="Arial" w:cs="Arial"/>
          <w:b/>
          <w:color w:val="000000"/>
          <w:sz w:val="18"/>
          <w:szCs w:val="18"/>
        </w:rPr>
        <w:t>Obžalováno osob</w:t>
      </w:r>
      <w:r w:rsidRPr="00C05527">
        <w:rPr>
          <w:rFonts w:ascii="Arial" w:hAnsi="Arial" w:cs="Arial"/>
          <w:color w:val="000000"/>
          <w:sz w:val="18"/>
          <w:szCs w:val="18"/>
        </w:rPr>
        <w:t xml:space="preserve"> – počet fyzických osob, na něž byla podána obžaloba podle § 176 trestního řádu.</w:t>
      </w:r>
    </w:p>
    <w:p w14:paraId="310E6E47" w14:textId="77777777" w:rsidR="00C05527" w:rsidRPr="00C05527" w:rsidRDefault="00C05527" w:rsidP="00C05527">
      <w:pPr>
        <w:spacing w:before="120"/>
        <w:jc w:val="both"/>
        <w:rPr>
          <w:rFonts w:ascii="Arial" w:hAnsi="Arial" w:cs="Arial"/>
          <w:color w:val="000000"/>
          <w:sz w:val="18"/>
          <w:szCs w:val="18"/>
        </w:rPr>
      </w:pPr>
      <w:r w:rsidRPr="00C05527">
        <w:rPr>
          <w:rFonts w:ascii="Arial" w:hAnsi="Arial" w:cs="Arial"/>
          <w:b/>
          <w:color w:val="000000"/>
          <w:sz w:val="18"/>
          <w:szCs w:val="18"/>
        </w:rPr>
        <w:t xml:space="preserve">Podán </w:t>
      </w:r>
      <w:r w:rsidRPr="00C05527">
        <w:rPr>
          <w:rFonts w:ascii="Arial" w:hAnsi="Arial" w:cs="Arial"/>
          <w:b/>
          <w:bCs/>
          <w:color w:val="000000"/>
          <w:sz w:val="18"/>
          <w:szCs w:val="18"/>
        </w:rPr>
        <w:t xml:space="preserve">návrh na schválení dohody o vině a trestu </w:t>
      </w:r>
      <w:r w:rsidRPr="00C05527">
        <w:rPr>
          <w:rFonts w:ascii="Arial" w:hAnsi="Arial" w:cs="Arial"/>
          <w:bCs/>
          <w:color w:val="000000"/>
          <w:sz w:val="18"/>
          <w:szCs w:val="18"/>
        </w:rPr>
        <w:t>– počet fyzických osob, s nimiž státní zástupce sjednal dohodu o vině a trestu a následně podal soudu návrh na schválení této dohody dle § 175a a § 175b trestního řádu.</w:t>
      </w:r>
    </w:p>
    <w:p w14:paraId="11A9640D" w14:textId="77777777" w:rsidR="00C05527" w:rsidRPr="00C05527" w:rsidRDefault="00C05527" w:rsidP="00C05527">
      <w:pPr>
        <w:spacing w:before="120"/>
        <w:jc w:val="both"/>
        <w:rPr>
          <w:rFonts w:ascii="Arial" w:hAnsi="Arial" w:cs="Arial"/>
          <w:color w:val="000000"/>
          <w:sz w:val="18"/>
          <w:szCs w:val="18"/>
        </w:rPr>
      </w:pPr>
      <w:r w:rsidRPr="00C05527">
        <w:rPr>
          <w:rFonts w:ascii="Arial" w:hAnsi="Arial" w:cs="Arial"/>
          <w:b/>
          <w:color w:val="000000"/>
          <w:sz w:val="18"/>
          <w:szCs w:val="18"/>
        </w:rPr>
        <w:t>Trestní stíhání zastaveno</w:t>
      </w:r>
      <w:r w:rsidRPr="00C05527">
        <w:rPr>
          <w:rFonts w:ascii="Arial" w:hAnsi="Arial" w:cs="Arial"/>
          <w:color w:val="000000"/>
          <w:sz w:val="18"/>
          <w:szCs w:val="18"/>
        </w:rPr>
        <w:t xml:space="preserve"> – počet fyzických osob, u kterých došlo k zastavení trestního stíhání podle § 172 trestního řádu, podmíněné zastavení trestního stíhání podle § 307 trestního řádu.</w:t>
      </w:r>
    </w:p>
    <w:p w14:paraId="2A6FFA6D" w14:textId="77777777" w:rsidR="00C05527" w:rsidRPr="00C05527" w:rsidRDefault="00C05527" w:rsidP="00C05527">
      <w:pPr>
        <w:spacing w:before="120"/>
        <w:jc w:val="both"/>
        <w:rPr>
          <w:rFonts w:ascii="Arial" w:hAnsi="Arial" w:cs="Arial"/>
          <w:color w:val="000000"/>
          <w:sz w:val="18"/>
          <w:szCs w:val="18"/>
        </w:rPr>
      </w:pPr>
      <w:r w:rsidRPr="00C05527">
        <w:rPr>
          <w:rFonts w:ascii="Arial" w:hAnsi="Arial" w:cs="Arial"/>
          <w:b/>
          <w:color w:val="000000"/>
          <w:sz w:val="18"/>
          <w:szCs w:val="18"/>
        </w:rPr>
        <w:t>Přerušeno</w:t>
      </w:r>
      <w:r w:rsidRPr="00C05527">
        <w:rPr>
          <w:rFonts w:ascii="Arial" w:hAnsi="Arial" w:cs="Arial"/>
          <w:bCs/>
          <w:color w:val="000000"/>
          <w:sz w:val="18"/>
          <w:szCs w:val="18"/>
        </w:rPr>
        <w:t xml:space="preserve"> – </w:t>
      </w:r>
      <w:r w:rsidRPr="00C05527">
        <w:rPr>
          <w:rFonts w:ascii="Arial" w:hAnsi="Arial" w:cs="Arial"/>
          <w:color w:val="000000"/>
          <w:sz w:val="18"/>
          <w:szCs w:val="18"/>
        </w:rPr>
        <w:t>počet fyzických osob, u kterých došlo k</w:t>
      </w:r>
      <w:r w:rsidRPr="00C05527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C05527">
        <w:rPr>
          <w:rFonts w:ascii="Arial" w:hAnsi="Arial" w:cs="Arial"/>
          <w:color w:val="000000"/>
          <w:sz w:val="18"/>
          <w:szCs w:val="18"/>
        </w:rPr>
        <w:t>přerušení trestního stíhání podle § 173 trestního řádu. Přerušení trestního řízení je rozhodnutím prozatímní povahy, věc není definitivně skončena.</w:t>
      </w:r>
    </w:p>
    <w:p w14:paraId="24E6E7D0" w14:textId="77777777" w:rsidR="00C05527" w:rsidRPr="00C05527" w:rsidRDefault="00C05527" w:rsidP="00C05527">
      <w:pPr>
        <w:spacing w:before="120"/>
        <w:jc w:val="both"/>
        <w:rPr>
          <w:rFonts w:ascii="Arial" w:hAnsi="Arial" w:cs="Arial"/>
          <w:color w:val="000000"/>
          <w:sz w:val="18"/>
          <w:szCs w:val="18"/>
        </w:rPr>
      </w:pPr>
      <w:r w:rsidRPr="00C05527">
        <w:rPr>
          <w:rFonts w:ascii="Arial" w:hAnsi="Arial" w:cs="Arial"/>
          <w:b/>
          <w:color w:val="000000"/>
          <w:sz w:val="18"/>
          <w:szCs w:val="18"/>
        </w:rPr>
        <w:t>Postoupeno</w:t>
      </w:r>
      <w:r w:rsidRPr="00C05527">
        <w:rPr>
          <w:rFonts w:ascii="Arial" w:hAnsi="Arial" w:cs="Arial"/>
          <w:color w:val="000000"/>
          <w:sz w:val="18"/>
          <w:szCs w:val="18"/>
        </w:rPr>
        <w:t xml:space="preserve"> – počet věcí, které byly postoupeny jinému orgánu podle § 171 trestního řádu.</w:t>
      </w:r>
    </w:p>
    <w:p w14:paraId="4957E397" w14:textId="77777777" w:rsidR="00C05527" w:rsidRPr="00C05527" w:rsidRDefault="00C05527" w:rsidP="00C05527">
      <w:pPr>
        <w:spacing w:before="120"/>
        <w:jc w:val="both"/>
        <w:rPr>
          <w:rFonts w:ascii="Arial" w:hAnsi="Arial" w:cs="Arial"/>
          <w:color w:val="000000"/>
          <w:sz w:val="18"/>
          <w:szCs w:val="18"/>
        </w:rPr>
      </w:pPr>
      <w:r w:rsidRPr="00C05527">
        <w:rPr>
          <w:rFonts w:ascii="Arial" w:hAnsi="Arial" w:cs="Arial"/>
          <w:b/>
          <w:color w:val="000000"/>
          <w:sz w:val="18"/>
          <w:szCs w:val="18"/>
        </w:rPr>
        <w:lastRenderedPageBreak/>
        <w:t>Zkrácené přípravné řízení</w:t>
      </w:r>
      <w:r w:rsidRPr="00C05527">
        <w:rPr>
          <w:rFonts w:ascii="Arial" w:hAnsi="Arial" w:cs="Arial"/>
          <w:color w:val="000000"/>
          <w:sz w:val="18"/>
          <w:szCs w:val="18"/>
        </w:rPr>
        <w:t xml:space="preserve"> – počet fyzických osob, u nichž zkrácené přípravné řízení vedené podle § 179a trestního řádu bylo ve sledovaném roce ukončeno.</w:t>
      </w:r>
    </w:p>
    <w:p w14:paraId="4BC2E734" w14:textId="77777777" w:rsidR="00C05527" w:rsidRPr="00C05527" w:rsidRDefault="00C05527" w:rsidP="00C05527">
      <w:pPr>
        <w:spacing w:before="120"/>
        <w:jc w:val="both"/>
        <w:rPr>
          <w:rFonts w:ascii="Arial" w:hAnsi="Arial" w:cs="Arial"/>
          <w:color w:val="000000"/>
          <w:sz w:val="18"/>
          <w:szCs w:val="18"/>
        </w:rPr>
      </w:pPr>
      <w:r w:rsidRPr="00C05527">
        <w:rPr>
          <w:rFonts w:ascii="Arial" w:hAnsi="Arial" w:cs="Arial"/>
          <w:b/>
          <w:color w:val="000000"/>
          <w:sz w:val="18"/>
          <w:szCs w:val="18"/>
        </w:rPr>
        <w:t>Návrh na potrestání</w:t>
      </w:r>
      <w:r w:rsidRPr="00C05527">
        <w:rPr>
          <w:rFonts w:ascii="Arial" w:hAnsi="Arial" w:cs="Arial"/>
          <w:color w:val="000000"/>
          <w:sz w:val="18"/>
          <w:szCs w:val="18"/>
        </w:rPr>
        <w:t xml:space="preserve"> – počet fyzických osob, na něž byl podán návrh na potrestání podle § 179c trestního řádu.</w:t>
      </w:r>
    </w:p>
    <w:p w14:paraId="0F2C9D72" w14:textId="77777777" w:rsidR="00C05527" w:rsidRPr="00C05527" w:rsidRDefault="00C05527" w:rsidP="00C05527">
      <w:pPr>
        <w:spacing w:before="120"/>
        <w:jc w:val="both"/>
        <w:rPr>
          <w:rFonts w:ascii="Arial" w:hAnsi="Arial" w:cs="Arial"/>
          <w:color w:val="000000"/>
          <w:sz w:val="18"/>
          <w:szCs w:val="18"/>
        </w:rPr>
      </w:pPr>
      <w:r w:rsidRPr="00C05527">
        <w:rPr>
          <w:rFonts w:ascii="Arial" w:hAnsi="Arial" w:cs="Arial"/>
          <w:b/>
          <w:color w:val="000000"/>
          <w:sz w:val="18"/>
          <w:szCs w:val="18"/>
        </w:rPr>
        <w:t xml:space="preserve">Podán </w:t>
      </w:r>
      <w:r w:rsidRPr="00C05527">
        <w:rPr>
          <w:rFonts w:ascii="Arial" w:hAnsi="Arial" w:cs="Arial"/>
          <w:b/>
          <w:bCs/>
          <w:color w:val="000000"/>
          <w:sz w:val="18"/>
          <w:szCs w:val="18"/>
        </w:rPr>
        <w:t xml:space="preserve">návrh na schválení dohody o vině a trestu </w:t>
      </w:r>
      <w:r w:rsidRPr="00C05527">
        <w:rPr>
          <w:rFonts w:ascii="Arial" w:hAnsi="Arial" w:cs="Arial"/>
          <w:bCs/>
          <w:color w:val="000000"/>
          <w:sz w:val="18"/>
          <w:szCs w:val="18"/>
        </w:rPr>
        <w:t>– počet fyzických osob, s nimiž státní zástupce ve zkráceném přípravném řízení sjednal dohodu o vině a trestu a následně podal soudu návrh na schválení této dohody dle § 179b odst. 5 trestního řádu.</w:t>
      </w:r>
    </w:p>
    <w:p w14:paraId="3DA0D2F0" w14:textId="77777777" w:rsidR="00C05527" w:rsidRPr="00C05527" w:rsidRDefault="00C05527" w:rsidP="00C05527">
      <w:pPr>
        <w:spacing w:before="120"/>
        <w:jc w:val="both"/>
        <w:rPr>
          <w:rFonts w:ascii="Arial" w:hAnsi="Arial" w:cs="Arial"/>
          <w:color w:val="000000"/>
          <w:sz w:val="18"/>
          <w:szCs w:val="18"/>
        </w:rPr>
      </w:pPr>
      <w:r w:rsidRPr="00C05527">
        <w:rPr>
          <w:rFonts w:ascii="Arial" w:hAnsi="Arial" w:cs="Arial"/>
          <w:b/>
          <w:bCs/>
          <w:color w:val="000000"/>
          <w:sz w:val="18"/>
          <w:szCs w:val="18"/>
        </w:rPr>
        <w:t>Odsouzená osoba</w:t>
      </w:r>
      <w:r w:rsidRPr="00C05527">
        <w:rPr>
          <w:rFonts w:ascii="Arial" w:hAnsi="Arial" w:cs="Arial"/>
          <w:bCs/>
          <w:color w:val="000000"/>
          <w:sz w:val="18"/>
          <w:szCs w:val="18"/>
        </w:rPr>
        <w:t xml:space="preserve"> – fyzická </w:t>
      </w:r>
      <w:r w:rsidRPr="00C05527">
        <w:rPr>
          <w:rFonts w:ascii="Arial" w:hAnsi="Arial" w:cs="Arial"/>
          <w:color w:val="000000"/>
          <w:sz w:val="18"/>
          <w:szCs w:val="18"/>
        </w:rPr>
        <w:t>osoba, proti které byl vydán soudem odsuzující rozsudek, který již nabyl právní moci.</w:t>
      </w:r>
    </w:p>
    <w:p w14:paraId="5DC927B0" w14:textId="77777777" w:rsidR="00C05527" w:rsidRPr="00C05527" w:rsidRDefault="00C05527" w:rsidP="00C05527">
      <w:pPr>
        <w:spacing w:before="120"/>
        <w:jc w:val="both"/>
        <w:rPr>
          <w:rFonts w:ascii="Arial" w:hAnsi="Arial" w:cs="Arial"/>
          <w:color w:val="000000"/>
          <w:sz w:val="18"/>
          <w:szCs w:val="18"/>
        </w:rPr>
      </w:pPr>
      <w:r w:rsidRPr="00C05527">
        <w:rPr>
          <w:rFonts w:ascii="Arial" w:hAnsi="Arial" w:cs="Arial"/>
          <w:b/>
          <w:bCs/>
          <w:color w:val="000000"/>
          <w:sz w:val="18"/>
          <w:szCs w:val="18"/>
        </w:rPr>
        <w:t>Mladistvý</w:t>
      </w:r>
      <w:r w:rsidRPr="00C05527">
        <w:rPr>
          <w:rFonts w:ascii="Arial" w:hAnsi="Arial" w:cs="Arial"/>
          <w:color w:val="000000"/>
          <w:sz w:val="18"/>
          <w:szCs w:val="18"/>
        </w:rPr>
        <w:t xml:space="preserve"> – fyzická osoba, která v době spáchání trestného činu dovršila 15. rok a nepřekročila 18. rok věku.</w:t>
      </w:r>
    </w:p>
    <w:p w14:paraId="0904775D" w14:textId="77777777" w:rsidR="00C05527" w:rsidRPr="00C05527" w:rsidRDefault="00C05527" w:rsidP="00C05527">
      <w:pPr>
        <w:spacing w:before="120"/>
        <w:jc w:val="both"/>
        <w:rPr>
          <w:rFonts w:ascii="Arial" w:hAnsi="Arial" w:cs="Arial"/>
          <w:color w:val="000000"/>
          <w:sz w:val="18"/>
          <w:szCs w:val="18"/>
        </w:rPr>
      </w:pPr>
      <w:r w:rsidRPr="00C05527">
        <w:rPr>
          <w:rFonts w:ascii="Arial" w:hAnsi="Arial" w:cs="Arial"/>
          <w:b/>
          <w:bCs/>
          <w:color w:val="000000"/>
          <w:sz w:val="18"/>
          <w:szCs w:val="18"/>
        </w:rPr>
        <w:t>Nepodmíněný trest odnětí svobody</w:t>
      </w:r>
      <w:r w:rsidRPr="00C05527">
        <w:rPr>
          <w:rFonts w:ascii="Arial" w:hAnsi="Arial" w:cs="Arial"/>
          <w:bCs/>
          <w:color w:val="000000"/>
          <w:sz w:val="18"/>
          <w:szCs w:val="18"/>
        </w:rPr>
        <w:t xml:space="preserve"> – trest odnětí svobody, který </w:t>
      </w:r>
      <w:r w:rsidRPr="00C05527">
        <w:rPr>
          <w:rFonts w:ascii="Arial" w:hAnsi="Arial" w:cs="Arial"/>
          <w:color w:val="000000"/>
          <w:sz w:val="18"/>
          <w:szCs w:val="18"/>
        </w:rPr>
        <w:t>je vykonávaný ve věznicích Vězeňské služby České republiky.</w:t>
      </w:r>
    </w:p>
    <w:p w14:paraId="0B63D7E5" w14:textId="77777777" w:rsidR="00C05527" w:rsidRPr="00C05527" w:rsidRDefault="00C05527" w:rsidP="00C05527">
      <w:pPr>
        <w:spacing w:before="120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C05527">
        <w:rPr>
          <w:rFonts w:ascii="Arial" w:hAnsi="Arial" w:cs="Arial"/>
          <w:b/>
          <w:bCs/>
          <w:color w:val="000000"/>
          <w:sz w:val="18"/>
          <w:szCs w:val="18"/>
        </w:rPr>
        <w:t>Podmíněně odložený trest odnětí svobody</w:t>
      </w:r>
      <w:r w:rsidRPr="00C05527">
        <w:rPr>
          <w:rFonts w:ascii="Arial" w:hAnsi="Arial" w:cs="Arial"/>
          <w:bCs/>
          <w:color w:val="000000"/>
          <w:sz w:val="18"/>
          <w:szCs w:val="18"/>
        </w:rPr>
        <w:t xml:space="preserve"> – trest odnětí svobody, jehož výkon soud podmíněně odložil na zkušební dobu.</w:t>
      </w:r>
    </w:p>
    <w:p w14:paraId="105E2D02" w14:textId="77777777" w:rsidR="00C05527" w:rsidRPr="00C05527" w:rsidRDefault="00C05527" w:rsidP="00C05527">
      <w:pPr>
        <w:spacing w:before="120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C05527">
        <w:rPr>
          <w:rFonts w:ascii="Arial" w:hAnsi="Arial" w:cs="Arial"/>
          <w:b/>
          <w:bCs/>
          <w:color w:val="000000"/>
          <w:sz w:val="18"/>
          <w:szCs w:val="18"/>
        </w:rPr>
        <w:t>Podmíněně odložený trest odnětí svobody s dohledem</w:t>
      </w:r>
      <w:r w:rsidRPr="00C05527">
        <w:rPr>
          <w:rFonts w:ascii="Arial" w:hAnsi="Arial" w:cs="Arial"/>
          <w:bCs/>
          <w:color w:val="000000"/>
          <w:sz w:val="18"/>
          <w:szCs w:val="18"/>
        </w:rPr>
        <w:t xml:space="preserve"> – trest odnětí svobody, jehož výkon soud podmíněně odložil na zkušební dobu a současně vyslovil nad pachatelem dohled.</w:t>
      </w:r>
    </w:p>
    <w:p w14:paraId="07F15DC7" w14:textId="77777777" w:rsidR="00C05527" w:rsidRPr="00C05527" w:rsidRDefault="00C05527" w:rsidP="00C05527">
      <w:pPr>
        <w:spacing w:before="120"/>
        <w:jc w:val="both"/>
        <w:rPr>
          <w:rFonts w:ascii="Arial" w:hAnsi="Arial" w:cs="Arial"/>
          <w:color w:val="000000"/>
          <w:sz w:val="18"/>
          <w:szCs w:val="18"/>
        </w:rPr>
      </w:pPr>
      <w:r w:rsidRPr="00C05527">
        <w:rPr>
          <w:rFonts w:ascii="Arial" w:hAnsi="Arial" w:cs="Arial"/>
          <w:b/>
          <w:bCs/>
          <w:color w:val="000000"/>
          <w:sz w:val="18"/>
          <w:szCs w:val="18"/>
        </w:rPr>
        <w:t>Tresty uložené ve spojení s jinými tresty</w:t>
      </w:r>
      <w:r w:rsidRPr="00C05527">
        <w:rPr>
          <w:rFonts w:ascii="Arial" w:hAnsi="Arial" w:cs="Arial"/>
          <w:bCs/>
          <w:color w:val="000000"/>
          <w:sz w:val="18"/>
          <w:szCs w:val="18"/>
        </w:rPr>
        <w:t xml:space="preserve"> – uložení více trestů současně ve smyslu </w:t>
      </w:r>
      <w:r w:rsidRPr="00C05527">
        <w:rPr>
          <w:rFonts w:ascii="Arial" w:hAnsi="Arial" w:cs="Arial"/>
          <w:color w:val="000000"/>
          <w:sz w:val="18"/>
          <w:szCs w:val="18"/>
        </w:rPr>
        <w:t>§ 53 trestního zákoníku.</w:t>
      </w:r>
    </w:p>
    <w:p w14:paraId="51A749AC" w14:textId="77777777" w:rsidR="00C05527" w:rsidRPr="00C05527" w:rsidRDefault="00C05527" w:rsidP="00C05527">
      <w:pPr>
        <w:spacing w:before="120"/>
        <w:jc w:val="both"/>
        <w:rPr>
          <w:rFonts w:ascii="Arial" w:hAnsi="Arial" w:cs="Arial"/>
          <w:color w:val="000000"/>
          <w:sz w:val="18"/>
          <w:szCs w:val="18"/>
        </w:rPr>
      </w:pPr>
      <w:r w:rsidRPr="00C05527">
        <w:rPr>
          <w:rFonts w:ascii="Arial" w:hAnsi="Arial" w:cs="Arial"/>
          <w:b/>
          <w:bCs/>
          <w:color w:val="000000"/>
          <w:sz w:val="18"/>
          <w:szCs w:val="18"/>
        </w:rPr>
        <w:t>Zákaz činnosti</w:t>
      </w:r>
      <w:r w:rsidRPr="00C05527">
        <w:rPr>
          <w:rFonts w:ascii="Arial" w:hAnsi="Arial" w:cs="Arial"/>
          <w:color w:val="000000"/>
          <w:sz w:val="18"/>
          <w:szCs w:val="18"/>
        </w:rPr>
        <w:t xml:space="preserve"> – trest spočívající v zákazu výkonu určitého zaměstnání, povolání, funkce nebo činnosti na 1 až 10 let.</w:t>
      </w:r>
    </w:p>
    <w:p w14:paraId="19C23609" w14:textId="77777777" w:rsidR="00C05527" w:rsidRPr="00C05527" w:rsidRDefault="00C05527" w:rsidP="00C05527">
      <w:pPr>
        <w:spacing w:before="120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C05527">
        <w:rPr>
          <w:rFonts w:ascii="Arial" w:hAnsi="Arial" w:cs="Arial"/>
          <w:b/>
          <w:bCs/>
          <w:color w:val="000000"/>
          <w:sz w:val="18"/>
          <w:szCs w:val="18"/>
        </w:rPr>
        <w:t>Jiný trest</w:t>
      </w:r>
      <w:r w:rsidRPr="00C05527">
        <w:rPr>
          <w:rFonts w:ascii="Arial" w:hAnsi="Arial" w:cs="Arial"/>
          <w:bCs/>
          <w:color w:val="000000"/>
          <w:sz w:val="18"/>
          <w:szCs w:val="18"/>
        </w:rPr>
        <w:t xml:space="preserve"> – např. ztráta čestných titulů a vyznamenání, ztráta vojenské hodnosti, propadnutí majetku, propadnutí věci, vyhoštění, zákaz pobytu aj.</w:t>
      </w:r>
    </w:p>
    <w:p w14:paraId="4A9FB5FC" w14:textId="77777777" w:rsidR="00C05527" w:rsidRPr="00C05527" w:rsidRDefault="00C05527" w:rsidP="00C05527">
      <w:pPr>
        <w:spacing w:before="120"/>
        <w:jc w:val="both"/>
        <w:rPr>
          <w:rFonts w:ascii="Arial" w:hAnsi="Arial" w:cs="Arial"/>
          <w:color w:val="000000"/>
          <w:sz w:val="18"/>
          <w:szCs w:val="18"/>
        </w:rPr>
      </w:pPr>
      <w:r w:rsidRPr="00C05527">
        <w:rPr>
          <w:rFonts w:ascii="Arial" w:hAnsi="Arial" w:cs="Arial"/>
          <w:b/>
          <w:color w:val="000000"/>
          <w:sz w:val="18"/>
          <w:szCs w:val="18"/>
        </w:rPr>
        <w:t>Trestní opatření</w:t>
      </w:r>
      <w:r w:rsidRPr="00C05527">
        <w:rPr>
          <w:rFonts w:ascii="Arial" w:hAnsi="Arial" w:cs="Arial"/>
          <w:bCs/>
          <w:color w:val="000000"/>
          <w:sz w:val="18"/>
          <w:szCs w:val="18"/>
        </w:rPr>
        <w:t xml:space="preserve"> – </w:t>
      </w:r>
      <w:r w:rsidRPr="00C05527">
        <w:rPr>
          <w:rFonts w:ascii="Arial" w:hAnsi="Arial" w:cs="Arial"/>
          <w:color w:val="000000"/>
          <w:sz w:val="18"/>
          <w:szCs w:val="18"/>
        </w:rPr>
        <w:t>na rozdíl od právní úpravy pro dospělé pachatele obsažené v trestním zákoně, resp. trestním zákoníku se sankce ukládané za spáchání trestných činů mladistvých nenazývají trestem, ale trestním opatřením podle zákona č. 218/2003 Sb., o odpovědnosti mládeže za protiprávní činy a o soudnictví ve věcech mládeže a o změně některých zákonů (zákon o soudnictví ve věcech mládeže), ve znění pozdějších předpisů.</w:t>
      </w:r>
    </w:p>
    <w:p w14:paraId="6C155FA8" w14:textId="77777777" w:rsidR="00C05527" w:rsidRPr="00C05527" w:rsidRDefault="00C05527" w:rsidP="00C05527">
      <w:pPr>
        <w:spacing w:before="120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C05527">
        <w:rPr>
          <w:rFonts w:ascii="Arial" w:hAnsi="Arial" w:cs="Arial"/>
          <w:b/>
          <w:bCs/>
          <w:color w:val="000000"/>
          <w:sz w:val="18"/>
          <w:szCs w:val="18"/>
        </w:rPr>
        <w:t>Upuštěno od potrestání</w:t>
      </w:r>
      <w:r w:rsidRPr="00C05527">
        <w:rPr>
          <w:rFonts w:ascii="Arial" w:hAnsi="Arial" w:cs="Arial"/>
          <w:bCs/>
          <w:color w:val="000000"/>
          <w:sz w:val="18"/>
          <w:szCs w:val="18"/>
        </w:rPr>
        <w:t xml:space="preserve"> – upuštění od potrestání podle § 46, § 47, § 48 trestního zákoníku.</w:t>
      </w:r>
    </w:p>
    <w:p w14:paraId="0B03AB71" w14:textId="77777777" w:rsidR="00C05527" w:rsidRPr="00C05527" w:rsidRDefault="00C05527" w:rsidP="00C05527">
      <w:pPr>
        <w:jc w:val="both"/>
        <w:rPr>
          <w:rFonts w:ascii="Arial" w:hAnsi="Arial" w:cs="Arial"/>
          <w:bCs/>
          <w:dstrike/>
          <w:color w:val="000000"/>
          <w:sz w:val="18"/>
          <w:szCs w:val="18"/>
        </w:rPr>
      </w:pPr>
    </w:p>
    <w:p w14:paraId="26D4C7D3" w14:textId="77777777" w:rsidR="00C05527" w:rsidRPr="00C05527" w:rsidRDefault="00C05527" w:rsidP="00C05527">
      <w:pPr>
        <w:jc w:val="both"/>
        <w:rPr>
          <w:rFonts w:ascii="Arial" w:hAnsi="Arial" w:cs="Arial"/>
          <w:bCs/>
          <w:dstrike/>
          <w:color w:val="000000"/>
          <w:sz w:val="18"/>
          <w:szCs w:val="18"/>
        </w:rPr>
      </w:pPr>
    </w:p>
    <w:p w14:paraId="4C029EDA" w14:textId="77777777" w:rsidR="00C05527" w:rsidRPr="00C05527" w:rsidRDefault="00C05527" w:rsidP="00C05527">
      <w:pPr>
        <w:jc w:val="both"/>
        <w:rPr>
          <w:rFonts w:ascii="Arial" w:hAnsi="Arial" w:cs="Arial"/>
          <w:b/>
          <w:bCs/>
          <w:color w:val="0071BC"/>
          <w:sz w:val="20"/>
          <w:szCs w:val="20"/>
        </w:rPr>
      </w:pPr>
      <w:r w:rsidRPr="00C05527">
        <w:rPr>
          <w:rFonts w:ascii="Arial" w:hAnsi="Arial" w:cs="Arial"/>
          <w:b/>
          <w:color w:val="0071BC"/>
          <w:sz w:val="20"/>
          <w:szCs w:val="20"/>
        </w:rPr>
        <w:t xml:space="preserve">Tab. </w:t>
      </w:r>
      <w:r w:rsidRPr="00C05527">
        <w:rPr>
          <w:rFonts w:ascii="Arial" w:hAnsi="Arial" w:cs="Arial"/>
          <w:b/>
          <w:bCs/>
          <w:color w:val="0071BC"/>
          <w:sz w:val="20"/>
          <w:szCs w:val="20"/>
        </w:rPr>
        <w:t>29</w:t>
      </w:r>
      <w:r w:rsidRPr="00C05527">
        <w:rPr>
          <w:rFonts w:ascii="Arial" w:hAnsi="Arial" w:cs="Arial"/>
          <w:b/>
          <w:color w:val="0071BC"/>
          <w:sz w:val="20"/>
          <w:szCs w:val="20"/>
        </w:rPr>
        <w:t xml:space="preserve">-4 a </w:t>
      </w:r>
      <w:r w:rsidRPr="00C05527">
        <w:rPr>
          <w:rFonts w:ascii="Arial" w:hAnsi="Arial" w:cs="Arial"/>
          <w:b/>
          <w:bCs/>
          <w:color w:val="0071BC"/>
          <w:sz w:val="20"/>
          <w:szCs w:val="20"/>
        </w:rPr>
        <w:t>29</w:t>
      </w:r>
      <w:r w:rsidRPr="00C05527">
        <w:rPr>
          <w:rFonts w:ascii="Arial" w:hAnsi="Arial" w:cs="Arial"/>
          <w:b/>
          <w:color w:val="0071BC"/>
          <w:sz w:val="20"/>
          <w:szCs w:val="20"/>
        </w:rPr>
        <w:t xml:space="preserve">-5  </w:t>
      </w:r>
      <w:r w:rsidRPr="00C05527">
        <w:rPr>
          <w:rFonts w:ascii="Arial" w:hAnsi="Arial" w:cs="Arial"/>
          <w:b/>
          <w:bCs/>
          <w:color w:val="0071BC"/>
          <w:sz w:val="20"/>
          <w:szCs w:val="20"/>
        </w:rPr>
        <w:t>Odsouzené fyzické osoby a odsouzené mladistvé osoby za vybrané trestné činy</w:t>
      </w:r>
    </w:p>
    <w:p w14:paraId="1B94E9B0" w14:textId="77777777" w:rsidR="00C05527" w:rsidRPr="00C05527" w:rsidRDefault="00C05527" w:rsidP="00C05527">
      <w:pPr>
        <w:spacing w:before="120"/>
        <w:jc w:val="both"/>
        <w:rPr>
          <w:rFonts w:ascii="Arial" w:hAnsi="Arial" w:cs="Arial"/>
          <w:color w:val="000000"/>
          <w:sz w:val="18"/>
          <w:szCs w:val="18"/>
        </w:rPr>
      </w:pPr>
      <w:r w:rsidRPr="00C05527">
        <w:rPr>
          <w:rFonts w:ascii="Arial" w:hAnsi="Arial" w:cs="Arial"/>
          <w:color w:val="000000"/>
          <w:sz w:val="18"/>
          <w:szCs w:val="18"/>
        </w:rPr>
        <w:t>Údaje v tabulkách jsou sečteny za odsouzené fyzické osoby podle trestního zákoníku, příp. trestního zákona.</w:t>
      </w:r>
    </w:p>
    <w:p w14:paraId="3AD5CC45" w14:textId="77777777" w:rsidR="00C05527" w:rsidRPr="00C05527" w:rsidRDefault="00C05527" w:rsidP="00C05527">
      <w:pPr>
        <w:spacing w:before="120"/>
        <w:jc w:val="both"/>
        <w:rPr>
          <w:rFonts w:ascii="Arial" w:hAnsi="Arial" w:cs="Arial"/>
          <w:color w:val="000000"/>
          <w:sz w:val="18"/>
          <w:szCs w:val="18"/>
        </w:rPr>
      </w:pPr>
      <w:r w:rsidRPr="00C05527">
        <w:rPr>
          <w:rFonts w:ascii="Arial" w:hAnsi="Arial" w:cs="Arial"/>
          <w:b/>
          <w:bCs/>
          <w:color w:val="000000"/>
          <w:sz w:val="18"/>
          <w:szCs w:val="18"/>
        </w:rPr>
        <w:t>Trestné činy v dopravě</w:t>
      </w:r>
      <w:r w:rsidRPr="00C05527">
        <w:rPr>
          <w:rFonts w:ascii="Arial" w:hAnsi="Arial" w:cs="Arial"/>
          <w:color w:val="000000"/>
          <w:sz w:val="18"/>
          <w:szCs w:val="18"/>
        </w:rPr>
        <w:t xml:space="preserve"> – trestné činy spáchané v souvislosti s provozem dopravního prostředku.</w:t>
      </w:r>
    </w:p>
    <w:p w14:paraId="370A49E9" w14:textId="77777777" w:rsidR="00C05527" w:rsidRPr="00C05527" w:rsidRDefault="00C05527" w:rsidP="00C05527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20C23721" w14:textId="77777777" w:rsidR="00C05527" w:rsidRPr="00C05527" w:rsidRDefault="00C05527" w:rsidP="00C05527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55C9AB67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jc w:val="both"/>
        <w:rPr>
          <w:rFonts w:ascii="Arial" w:hAnsi="Arial" w:cs="Arial"/>
          <w:b/>
          <w:color w:val="0071BC"/>
          <w:sz w:val="20"/>
          <w:szCs w:val="20"/>
        </w:rPr>
      </w:pPr>
      <w:r w:rsidRPr="00C05527">
        <w:rPr>
          <w:rFonts w:ascii="Arial" w:hAnsi="Arial" w:cs="Arial"/>
          <w:b/>
          <w:color w:val="0071BC"/>
          <w:sz w:val="20"/>
          <w:szCs w:val="20"/>
        </w:rPr>
        <w:t>Tab. 29-6  Osoby ve výkonu vazby, výkonu trestu odnětí svobody a výkonu zabezpečovací detence</w:t>
      </w:r>
    </w:p>
    <w:p w14:paraId="34C17406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18"/>
          <w:szCs w:val="18"/>
        </w:rPr>
      </w:pPr>
      <w:r w:rsidRPr="00C05527">
        <w:rPr>
          <w:rFonts w:ascii="Arial" w:hAnsi="Arial" w:cs="Arial"/>
          <w:b/>
          <w:sz w:val="18"/>
          <w:szCs w:val="18"/>
        </w:rPr>
        <w:t>Chovanec</w:t>
      </w:r>
      <w:r w:rsidRPr="00C05527">
        <w:rPr>
          <w:rFonts w:ascii="Arial" w:hAnsi="Arial" w:cs="Arial"/>
          <w:sz w:val="18"/>
          <w:szCs w:val="18"/>
        </w:rPr>
        <w:t xml:space="preserve"> je osoba ve výkonu zabezpečovací detence podle zákona č. 129/2008 Sb., o výkonu zabezpečovací detence a o změně některých souvisejících zákonů, </w:t>
      </w:r>
      <w:r w:rsidRPr="00C05527">
        <w:rPr>
          <w:rFonts w:ascii="Arial" w:hAnsi="Arial" w:cs="Arial"/>
          <w:color w:val="000000"/>
          <w:sz w:val="18"/>
          <w:szCs w:val="18"/>
        </w:rPr>
        <w:t>ve znění pozdějších předpisů.</w:t>
      </w:r>
    </w:p>
    <w:p w14:paraId="7C8CC957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40151387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039B04E1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jc w:val="both"/>
        <w:rPr>
          <w:rFonts w:ascii="Arial" w:hAnsi="Arial" w:cs="Arial"/>
          <w:b/>
          <w:color w:val="0071BC"/>
          <w:sz w:val="20"/>
          <w:szCs w:val="20"/>
        </w:rPr>
      </w:pPr>
      <w:r w:rsidRPr="00C05527">
        <w:rPr>
          <w:rFonts w:ascii="Arial" w:hAnsi="Arial" w:cs="Arial"/>
          <w:b/>
          <w:color w:val="0071BC"/>
          <w:sz w:val="20"/>
          <w:szCs w:val="20"/>
        </w:rPr>
        <w:t>Tab. 29-8  Státní příslušnost vězňů</w:t>
      </w:r>
    </w:p>
    <w:p w14:paraId="6D16CF40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8"/>
          <w:szCs w:val="18"/>
        </w:rPr>
      </w:pPr>
      <w:r w:rsidRPr="00C05527">
        <w:rPr>
          <w:rFonts w:ascii="Arial" w:hAnsi="Arial" w:cs="Arial"/>
          <w:sz w:val="18"/>
          <w:szCs w:val="18"/>
        </w:rPr>
        <w:t>Bývalí státní příslušníci ČSFR, u kterých není z dostupných dokladů zřejmé, zda jsou občany ČR nebo SR, jsou zahrnuti mezi cizince.</w:t>
      </w:r>
    </w:p>
    <w:p w14:paraId="1F19CE33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3C084F6C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25DBB45C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jc w:val="both"/>
        <w:rPr>
          <w:rFonts w:ascii="Arial" w:hAnsi="Arial" w:cs="Arial"/>
          <w:b/>
          <w:color w:val="0071BC"/>
          <w:sz w:val="20"/>
          <w:szCs w:val="20"/>
        </w:rPr>
      </w:pPr>
      <w:r w:rsidRPr="00C05527">
        <w:rPr>
          <w:rFonts w:ascii="Arial" w:hAnsi="Arial" w:cs="Arial"/>
          <w:b/>
          <w:color w:val="0071BC"/>
          <w:sz w:val="20"/>
          <w:szCs w:val="20"/>
        </w:rPr>
        <w:t>Tab. 29-10  Odsouzení, kteří nastoupili do výkonu trestu odnětí svobody</w:t>
      </w:r>
    </w:p>
    <w:p w14:paraId="78A2E3E4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8"/>
          <w:szCs w:val="18"/>
        </w:rPr>
      </w:pPr>
      <w:r w:rsidRPr="00C05527">
        <w:rPr>
          <w:rFonts w:ascii="Arial" w:hAnsi="Arial" w:cs="Arial"/>
          <w:sz w:val="18"/>
          <w:szCs w:val="18"/>
        </w:rPr>
        <w:t>Nástup do výkonu trestu odnětí svobody zahrnuje nástup z občanského života, dodání policií, návrat po útěku, návrat po přerušení výkonu trestu odnětí svobody dle § 325 odst. 1 trestního řádu nebo převzetí z ciziny.</w:t>
      </w:r>
    </w:p>
    <w:p w14:paraId="1C0DA40E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525B7B3C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A9397F2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71BC"/>
          <w:sz w:val="20"/>
          <w:szCs w:val="20"/>
        </w:rPr>
      </w:pPr>
      <w:r w:rsidRPr="00C05527">
        <w:rPr>
          <w:rFonts w:ascii="Arial" w:hAnsi="Arial" w:cs="Arial"/>
          <w:b/>
          <w:color w:val="0071BC"/>
          <w:sz w:val="20"/>
          <w:szCs w:val="20"/>
        </w:rPr>
        <w:t xml:space="preserve">Tab. </w:t>
      </w:r>
      <w:r w:rsidRPr="00C05527">
        <w:rPr>
          <w:rFonts w:ascii="Arial" w:hAnsi="Arial" w:cs="Arial"/>
          <w:b/>
          <w:bCs/>
          <w:color w:val="0071BC"/>
          <w:sz w:val="20"/>
          <w:szCs w:val="20"/>
        </w:rPr>
        <w:t>29</w:t>
      </w:r>
      <w:r w:rsidRPr="00C05527">
        <w:rPr>
          <w:rFonts w:ascii="Arial" w:hAnsi="Arial" w:cs="Arial"/>
          <w:b/>
          <w:color w:val="0071BC"/>
          <w:sz w:val="20"/>
          <w:szCs w:val="20"/>
        </w:rPr>
        <w:t xml:space="preserve">-11  </w:t>
      </w:r>
      <w:r w:rsidRPr="00C05527">
        <w:rPr>
          <w:rFonts w:ascii="Arial" w:hAnsi="Arial" w:cs="Arial"/>
          <w:b/>
          <w:bCs/>
          <w:color w:val="0071BC"/>
          <w:sz w:val="20"/>
          <w:szCs w:val="20"/>
        </w:rPr>
        <w:t>Odsouzení podle jednotlivých typů věznic</w:t>
      </w:r>
    </w:p>
    <w:p w14:paraId="2B38EF04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8"/>
          <w:szCs w:val="18"/>
        </w:rPr>
      </w:pPr>
      <w:r w:rsidRPr="00C05527">
        <w:rPr>
          <w:rFonts w:ascii="Arial" w:hAnsi="Arial" w:cs="Arial"/>
          <w:sz w:val="18"/>
          <w:szCs w:val="18"/>
        </w:rPr>
        <w:t xml:space="preserve">Do </w:t>
      </w:r>
      <w:r w:rsidRPr="00C05527">
        <w:rPr>
          <w:rFonts w:ascii="Arial" w:hAnsi="Arial" w:cs="Arial"/>
          <w:b/>
          <w:bCs/>
          <w:sz w:val="18"/>
          <w:szCs w:val="18"/>
        </w:rPr>
        <w:t>věznic pro mladistvé</w:t>
      </w:r>
      <w:r w:rsidRPr="00C05527">
        <w:rPr>
          <w:rFonts w:ascii="Arial" w:hAnsi="Arial" w:cs="Arial"/>
          <w:sz w:val="18"/>
          <w:szCs w:val="18"/>
        </w:rPr>
        <w:t xml:space="preserve"> jsou zařazováni odsouzení, kteří nepřekročili 19. rok svého věku a osoby starší, u kterých bylo rozhodnuto, že trest vykonají v kolektivu mladistvých i po dovršení věku 19 let.</w:t>
      </w:r>
    </w:p>
    <w:p w14:paraId="42362699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8"/>
          <w:szCs w:val="18"/>
        </w:rPr>
      </w:pPr>
      <w:r w:rsidRPr="00C05527">
        <w:rPr>
          <w:rFonts w:ascii="Arial" w:hAnsi="Arial" w:cs="Arial"/>
          <w:sz w:val="18"/>
          <w:szCs w:val="18"/>
        </w:rPr>
        <w:t>V důsledku změn, které zavedl zákon č. 58/2017 Sb. a vyhláška č. 279/2017 Sb. s účinností od 1. října 2017 se mění členění věznice podle způsobu vnějšího střežení, zajištění bezpečnosti a režimu výkonu trestu do dvou typů, a to na věznici s ostrahou a se zvýšenou ostrahou. Věznice s ostrahou se podle stupně zabezpečení člení na oddělení s nízkým stupněm zabezpečení, se středním stupněm zabezpečení a s vysokým stupněm zabezpečení.</w:t>
      </w:r>
    </w:p>
    <w:p w14:paraId="327393A0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6F32503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08DFAD4C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jc w:val="both"/>
        <w:rPr>
          <w:rFonts w:ascii="Arial" w:hAnsi="Arial" w:cs="Arial"/>
          <w:b/>
          <w:color w:val="0071BC"/>
          <w:sz w:val="20"/>
          <w:szCs w:val="20"/>
        </w:rPr>
      </w:pPr>
      <w:r w:rsidRPr="00C05527">
        <w:rPr>
          <w:rFonts w:ascii="Arial" w:hAnsi="Arial" w:cs="Arial"/>
          <w:b/>
          <w:color w:val="0071BC"/>
          <w:sz w:val="20"/>
          <w:szCs w:val="20"/>
        </w:rPr>
        <w:t>Tab. 29-14  Zaměstnanost, průměrná měsíční mzda a výsledky v odborném vzdělávání odsouzených</w:t>
      </w:r>
    </w:p>
    <w:p w14:paraId="080801D9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8"/>
          <w:szCs w:val="18"/>
        </w:rPr>
      </w:pPr>
      <w:r w:rsidRPr="00C05527">
        <w:rPr>
          <w:rFonts w:ascii="Arial" w:hAnsi="Arial" w:cs="Arial"/>
          <w:sz w:val="18"/>
          <w:szCs w:val="18"/>
        </w:rPr>
        <w:t>Od roku 2016 se do evidence zaměstnávání zahrnují pouze odsouzení pracující za finanční odměnu.</w:t>
      </w:r>
    </w:p>
    <w:p w14:paraId="363B8F04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25EA543D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29AE5C16" w14:textId="77777777" w:rsidR="00C05527" w:rsidRPr="00C05527" w:rsidRDefault="00C05527" w:rsidP="00C05527">
      <w:pPr>
        <w:keepNext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jc w:val="both"/>
        <w:rPr>
          <w:rFonts w:ascii="Arial" w:hAnsi="Arial" w:cs="Arial"/>
          <w:b/>
          <w:color w:val="0071BC"/>
          <w:sz w:val="20"/>
          <w:szCs w:val="20"/>
        </w:rPr>
      </w:pPr>
      <w:r w:rsidRPr="00C05527">
        <w:rPr>
          <w:rFonts w:ascii="Arial" w:hAnsi="Arial" w:cs="Arial"/>
          <w:b/>
          <w:color w:val="0071BC"/>
          <w:sz w:val="20"/>
          <w:szCs w:val="20"/>
        </w:rPr>
        <w:lastRenderedPageBreak/>
        <w:t>Tab. 29-15  Mimořádné události</w:t>
      </w:r>
    </w:p>
    <w:p w14:paraId="210F8D1D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8"/>
          <w:szCs w:val="18"/>
        </w:rPr>
      </w:pPr>
      <w:r w:rsidRPr="00C05527">
        <w:rPr>
          <w:rFonts w:ascii="Arial" w:hAnsi="Arial" w:cs="Arial"/>
          <w:b/>
          <w:bCs/>
          <w:sz w:val="18"/>
          <w:szCs w:val="18"/>
        </w:rPr>
        <w:t>Přerušení výkonu trestu</w:t>
      </w:r>
      <w:r w:rsidRPr="00C05527">
        <w:rPr>
          <w:rFonts w:ascii="Arial" w:hAnsi="Arial" w:cs="Arial"/>
          <w:bCs/>
          <w:sz w:val="18"/>
          <w:szCs w:val="18"/>
        </w:rPr>
        <w:t xml:space="preserve"> </w:t>
      </w:r>
      <w:r w:rsidRPr="00C05527">
        <w:rPr>
          <w:rFonts w:ascii="Arial" w:hAnsi="Arial" w:cs="Arial"/>
          <w:sz w:val="18"/>
          <w:szCs w:val="18"/>
        </w:rPr>
        <w:t>– ředitel věznice může odsouzenému v případě úspěšného plnění programu zacházení a dosahování účelu výkonu trestu formou odměny přerušit výkon trestu až na 20 dnů během kalendářního roku. Doba přerušení se počítá do výkonu trestu.</w:t>
      </w:r>
    </w:p>
    <w:p w14:paraId="6CA55232" w14:textId="77777777" w:rsidR="00C05527" w:rsidRPr="00C05527" w:rsidRDefault="00C05527" w:rsidP="00C05527">
      <w:pPr>
        <w:jc w:val="both"/>
        <w:rPr>
          <w:rFonts w:ascii="Arial" w:hAnsi="Arial" w:cs="Arial"/>
          <w:sz w:val="18"/>
          <w:szCs w:val="18"/>
        </w:rPr>
      </w:pPr>
    </w:p>
    <w:p w14:paraId="1D4F3F01" w14:textId="77777777" w:rsidR="00C05527" w:rsidRPr="00C05527" w:rsidRDefault="00C05527" w:rsidP="00C05527">
      <w:pPr>
        <w:jc w:val="both"/>
        <w:rPr>
          <w:rFonts w:ascii="Arial" w:hAnsi="Arial" w:cs="Arial"/>
          <w:sz w:val="18"/>
          <w:szCs w:val="18"/>
        </w:rPr>
      </w:pPr>
    </w:p>
    <w:p w14:paraId="0430C024" w14:textId="77777777" w:rsidR="00C05527" w:rsidRPr="00C05527" w:rsidRDefault="00C05527" w:rsidP="00C05527">
      <w:pPr>
        <w:jc w:val="both"/>
        <w:rPr>
          <w:rFonts w:ascii="Arial" w:hAnsi="Arial" w:cs="Arial"/>
          <w:b/>
          <w:color w:val="0071BC"/>
          <w:sz w:val="20"/>
          <w:szCs w:val="20"/>
        </w:rPr>
      </w:pPr>
      <w:r w:rsidRPr="00C05527">
        <w:rPr>
          <w:rFonts w:ascii="Arial" w:hAnsi="Arial" w:cs="Arial"/>
          <w:b/>
          <w:color w:val="0071BC"/>
          <w:sz w:val="20"/>
          <w:szCs w:val="20"/>
        </w:rPr>
        <w:t>Tab. 29-16  Odsouzení za trestné činy spáchané v souvislosti s požíváním a distribucí návykových látek</w:t>
      </w:r>
    </w:p>
    <w:p w14:paraId="5D47D016" w14:textId="77777777" w:rsidR="00C05527" w:rsidRPr="00C05527" w:rsidRDefault="00C05527" w:rsidP="00C05527">
      <w:pPr>
        <w:spacing w:before="120"/>
        <w:jc w:val="both"/>
        <w:rPr>
          <w:rFonts w:ascii="Arial" w:hAnsi="Arial" w:cs="Arial"/>
          <w:color w:val="000000"/>
          <w:sz w:val="18"/>
          <w:szCs w:val="18"/>
        </w:rPr>
      </w:pPr>
      <w:r w:rsidRPr="00C05527">
        <w:rPr>
          <w:rFonts w:ascii="Arial" w:hAnsi="Arial" w:cs="Arial"/>
          <w:color w:val="000000"/>
          <w:sz w:val="18"/>
          <w:szCs w:val="18"/>
        </w:rPr>
        <w:t xml:space="preserve">Údaje v tabulce jsou sečteny za odsouzené osoby podle </w:t>
      </w:r>
      <w:r w:rsidRPr="00C05527">
        <w:rPr>
          <w:rFonts w:ascii="Arial" w:hAnsi="Arial" w:cs="Arial"/>
          <w:bCs/>
          <w:color w:val="000000"/>
          <w:sz w:val="18"/>
          <w:szCs w:val="18"/>
        </w:rPr>
        <w:t>§ 187, § 187a, § 188, § 188a, § 201, § 201a</w:t>
      </w:r>
      <w:r w:rsidRPr="00C05527">
        <w:rPr>
          <w:rFonts w:ascii="Arial" w:hAnsi="Arial" w:cs="Arial"/>
          <w:color w:val="000000"/>
          <w:sz w:val="18"/>
          <w:szCs w:val="18"/>
        </w:rPr>
        <w:t xml:space="preserve"> trestního zákona a podle § 283, § 284, § 286, § 287, § 274, § 360 trestního zákoníku.</w:t>
      </w:r>
    </w:p>
    <w:p w14:paraId="2706BFE0" w14:textId="77777777" w:rsidR="00C05527" w:rsidRPr="00C05527" w:rsidRDefault="00C05527" w:rsidP="00C05527">
      <w:pPr>
        <w:jc w:val="both"/>
        <w:rPr>
          <w:rFonts w:ascii="Arial" w:hAnsi="Arial" w:cs="Arial"/>
          <w:sz w:val="18"/>
          <w:szCs w:val="18"/>
        </w:rPr>
      </w:pPr>
    </w:p>
    <w:p w14:paraId="48FBACB9" w14:textId="77777777" w:rsidR="00C05527" w:rsidRPr="00C05527" w:rsidRDefault="00C05527" w:rsidP="00C05527">
      <w:pPr>
        <w:jc w:val="both"/>
        <w:rPr>
          <w:rFonts w:ascii="Arial" w:hAnsi="Arial" w:cs="Arial"/>
          <w:sz w:val="18"/>
          <w:szCs w:val="18"/>
        </w:rPr>
      </w:pPr>
    </w:p>
    <w:p w14:paraId="7A1DFF75" w14:textId="77777777" w:rsidR="00C05527" w:rsidRPr="00C05527" w:rsidRDefault="00C05527" w:rsidP="00C05527">
      <w:pPr>
        <w:jc w:val="both"/>
        <w:rPr>
          <w:rFonts w:ascii="Arial" w:hAnsi="Arial" w:cs="Arial"/>
          <w:b/>
          <w:color w:val="0071BC"/>
          <w:sz w:val="20"/>
          <w:szCs w:val="20"/>
        </w:rPr>
      </w:pPr>
      <w:r w:rsidRPr="00C05527">
        <w:rPr>
          <w:rFonts w:ascii="Arial" w:hAnsi="Arial" w:cs="Arial"/>
          <w:b/>
          <w:color w:val="0071BC"/>
          <w:sz w:val="20"/>
          <w:szCs w:val="20"/>
        </w:rPr>
        <w:t>Tab. 29-17  Kriminalita</w:t>
      </w:r>
    </w:p>
    <w:p w14:paraId="6BDE2BEE" w14:textId="77777777" w:rsidR="00C05527" w:rsidRPr="00C05527" w:rsidRDefault="00C05527" w:rsidP="00C05527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C05527">
        <w:rPr>
          <w:rFonts w:ascii="Arial" w:hAnsi="Arial" w:cs="Arial"/>
          <w:b/>
          <w:bCs/>
          <w:sz w:val="18"/>
          <w:szCs w:val="18"/>
        </w:rPr>
        <w:t>Kriminalita celkem</w:t>
      </w:r>
      <w:r w:rsidRPr="00C05527">
        <w:rPr>
          <w:rFonts w:ascii="Arial" w:hAnsi="Arial" w:cs="Arial"/>
          <w:bCs/>
          <w:sz w:val="18"/>
          <w:szCs w:val="18"/>
        </w:rPr>
        <w:t xml:space="preserve"> </w:t>
      </w:r>
      <w:r w:rsidRPr="00C05527">
        <w:rPr>
          <w:rFonts w:ascii="Arial" w:hAnsi="Arial" w:cs="Arial"/>
          <w:sz w:val="18"/>
          <w:szCs w:val="18"/>
        </w:rPr>
        <w:t>zahrnuje trestné činy podle trestního zákona, resp. trestního zákoníku; klasifikace trestných činů pro potřeby Policie České republiky je jiná než členění trestných činů v trestním zákoníku. Podrobnější informace o kriminalitě a jejím členění je možno nalézt na internetových stránkách Ministerstva vnitra.</w:t>
      </w:r>
    </w:p>
    <w:p w14:paraId="45483030" w14:textId="77777777" w:rsidR="00C05527" w:rsidRPr="00C05527" w:rsidRDefault="00C05527" w:rsidP="00C05527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C05527">
        <w:rPr>
          <w:rFonts w:ascii="Arial" w:hAnsi="Arial" w:cs="Arial"/>
          <w:b/>
          <w:bCs/>
          <w:sz w:val="18"/>
          <w:szCs w:val="18"/>
        </w:rPr>
        <w:t>Objasněno</w:t>
      </w:r>
      <w:r w:rsidRPr="00C05527">
        <w:rPr>
          <w:rFonts w:ascii="Arial" w:hAnsi="Arial" w:cs="Arial"/>
          <w:sz w:val="18"/>
          <w:szCs w:val="18"/>
        </w:rPr>
        <w:t xml:space="preserve"> – uvedeny jsou trestné činy, které byly spáchány a objasněny ve statisticky sledovaném období. Objasněné trestné činy z minulých let jsou vedeny samostatně jako trestné činy </w:t>
      </w:r>
      <w:r w:rsidRPr="00C05527">
        <w:rPr>
          <w:rFonts w:ascii="Arial" w:hAnsi="Arial" w:cs="Arial"/>
          <w:b/>
          <w:sz w:val="18"/>
          <w:szCs w:val="18"/>
        </w:rPr>
        <w:t>dodatečně objasněné</w:t>
      </w:r>
      <w:r w:rsidRPr="00C05527">
        <w:rPr>
          <w:rFonts w:ascii="Arial" w:hAnsi="Arial" w:cs="Arial"/>
          <w:sz w:val="18"/>
          <w:szCs w:val="18"/>
        </w:rPr>
        <w:t>.</w:t>
      </w:r>
    </w:p>
    <w:p w14:paraId="7D6D7C79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6C4D2265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662D6105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C05527">
        <w:rPr>
          <w:rFonts w:ascii="Arial" w:hAnsi="Arial" w:cs="Arial"/>
          <w:b/>
          <w:color w:val="0071BC"/>
          <w:sz w:val="20"/>
          <w:szCs w:val="20"/>
        </w:rPr>
        <w:t>Tab. 29-18 až 29-21  Dopravní nehody</w:t>
      </w:r>
    </w:p>
    <w:p w14:paraId="75EFDF0B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8"/>
          <w:szCs w:val="18"/>
        </w:rPr>
      </w:pPr>
      <w:r w:rsidRPr="00C05527">
        <w:rPr>
          <w:rFonts w:ascii="Arial" w:hAnsi="Arial" w:cs="Arial"/>
          <w:b/>
          <w:bCs/>
          <w:sz w:val="18"/>
          <w:szCs w:val="18"/>
        </w:rPr>
        <w:t>Nehody v železniční dopravě</w:t>
      </w:r>
      <w:r w:rsidRPr="00C05527">
        <w:rPr>
          <w:rFonts w:ascii="Arial" w:hAnsi="Arial" w:cs="Arial"/>
          <w:sz w:val="18"/>
          <w:szCs w:val="18"/>
        </w:rPr>
        <w:t xml:space="preserve"> – uvedeny pouze vážné nehody, nejsou zahrnuty sebevraždy a pokusy o sebevraždu.</w:t>
      </w:r>
    </w:p>
    <w:p w14:paraId="0E4CAE39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8"/>
          <w:szCs w:val="18"/>
        </w:rPr>
      </w:pPr>
      <w:r w:rsidRPr="00C05527">
        <w:rPr>
          <w:rFonts w:ascii="Arial" w:hAnsi="Arial" w:cs="Arial"/>
          <w:b/>
          <w:bCs/>
          <w:sz w:val="18"/>
          <w:szCs w:val="18"/>
        </w:rPr>
        <w:t>Nehody v silniční dopravě</w:t>
      </w:r>
      <w:r w:rsidRPr="00C05527">
        <w:rPr>
          <w:rFonts w:ascii="Arial" w:hAnsi="Arial" w:cs="Arial"/>
          <w:sz w:val="18"/>
          <w:szCs w:val="18"/>
        </w:rPr>
        <w:t xml:space="preserve"> celkem – uvedeny všechny nehody v silničním provozu, které byly dopravní policii nahlášeny.</w:t>
      </w:r>
    </w:p>
    <w:p w14:paraId="2EC472B0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8"/>
          <w:szCs w:val="18"/>
        </w:rPr>
      </w:pPr>
      <w:r w:rsidRPr="00C05527">
        <w:rPr>
          <w:rFonts w:ascii="Arial" w:hAnsi="Arial" w:cs="Arial"/>
          <w:sz w:val="18"/>
          <w:szCs w:val="18"/>
        </w:rPr>
        <w:t>Účastník dopravní nehody je povinen nehodu nahlásit dopravní policii, dojde-li ke zranění nebo usmrcení, nebo ke škodě na majetku třetí osoby, nebo při škodě na některém z vozidel (včetně nákladu) převyšující částku 100 000 Kč.</w:t>
      </w:r>
    </w:p>
    <w:p w14:paraId="41708355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8"/>
          <w:szCs w:val="18"/>
        </w:rPr>
      </w:pPr>
      <w:r w:rsidRPr="00C05527">
        <w:rPr>
          <w:rFonts w:ascii="Arial" w:hAnsi="Arial" w:cs="Arial"/>
          <w:sz w:val="18"/>
          <w:szCs w:val="18"/>
        </w:rPr>
        <w:t>Údaje o</w:t>
      </w:r>
      <w:r w:rsidRPr="00C05527">
        <w:rPr>
          <w:rFonts w:ascii="Arial" w:hAnsi="Arial" w:cs="Arial"/>
          <w:b/>
          <w:bCs/>
          <w:sz w:val="18"/>
          <w:szCs w:val="18"/>
        </w:rPr>
        <w:t xml:space="preserve"> nehodách v letecké dopravě</w:t>
      </w:r>
      <w:r w:rsidRPr="00C05527">
        <w:rPr>
          <w:rFonts w:ascii="Arial" w:hAnsi="Arial" w:cs="Arial"/>
          <w:sz w:val="18"/>
          <w:szCs w:val="18"/>
        </w:rPr>
        <w:t xml:space="preserve"> jsou za všeobecné letectví.</w:t>
      </w:r>
    </w:p>
    <w:p w14:paraId="146B32F7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8"/>
          <w:szCs w:val="18"/>
        </w:rPr>
      </w:pPr>
      <w:r w:rsidRPr="00C05527">
        <w:rPr>
          <w:rFonts w:ascii="Arial" w:hAnsi="Arial" w:cs="Arial"/>
          <w:b/>
          <w:bCs/>
          <w:sz w:val="18"/>
          <w:szCs w:val="18"/>
        </w:rPr>
        <w:t>Za usmrcenou osobu</w:t>
      </w:r>
      <w:r w:rsidRPr="00C05527">
        <w:rPr>
          <w:rFonts w:ascii="Arial" w:hAnsi="Arial" w:cs="Arial"/>
          <w:bCs/>
          <w:sz w:val="18"/>
          <w:szCs w:val="18"/>
        </w:rPr>
        <w:t xml:space="preserve"> </w:t>
      </w:r>
      <w:r w:rsidRPr="00C05527">
        <w:rPr>
          <w:rFonts w:ascii="Arial" w:hAnsi="Arial" w:cs="Arial"/>
          <w:sz w:val="18"/>
          <w:szCs w:val="18"/>
        </w:rPr>
        <w:t>se považuje osoba, která zemřela na místě nehody, při převozu do nemocnice nebo nejpozději do 30 dnů. (Tyto údaje jsou v souladu s doporučením Evropské hospodářské komise OSN a jsou vykazovány ve většině zemí EU.)</w:t>
      </w:r>
    </w:p>
    <w:p w14:paraId="6F8EF476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8"/>
          <w:szCs w:val="18"/>
        </w:rPr>
      </w:pPr>
      <w:r w:rsidRPr="00C05527">
        <w:rPr>
          <w:rFonts w:ascii="Arial" w:hAnsi="Arial" w:cs="Arial"/>
          <w:b/>
          <w:bCs/>
          <w:sz w:val="18"/>
          <w:szCs w:val="18"/>
        </w:rPr>
        <w:t>Těžké zranění, lehké zranění</w:t>
      </w:r>
      <w:r w:rsidRPr="00C05527">
        <w:rPr>
          <w:rFonts w:ascii="Arial" w:hAnsi="Arial" w:cs="Arial"/>
          <w:bCs/>
          <w:sz w:val="18"/>
          <w:szCs w:val="18"/>
        </w:rPr>
        <w:t xml:space="preserve"> </w:t>
      </w:r>
      <w:r w:rsidRPr="00C05527">
        <w:rPr>
          <w:rFonts w:ascii="Arial" w:hAnsi="Arial" w:cs="Arial"/>
          <w:sz w:val="18"/>
          <w:szCs w:val="18"/>
        </w:rPr>
        <w:t>– klasifikaci těžkého a lehkého zranění určuje lékař.</w:t>
      </w:r>
    </w:p>
    <w:p w14:paraId="5A453EB0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18"/>
          <w:szCs w:val="18"/>
        </w:rPr>
      </w:pPr>
    </w:p>
    <w:p w14:paraId="2D82CE77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18"/>
          <w:szCs w:val="18"/>
        </w:rPr>
      </w:pPr>
    </w:p>
    <w:p w14:paraId="0E376D9F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jc w:val="both"/>
        <w:rPr>
          <w:rFonts w:ascii="Arial" w:hAnsi="Arial" w:cs="Arial"/>
          <w:b/>
          <w:color w:val="0071BC"/>
          <w:sz w:val="20"/>
          <w:szCs w:val="20"/>
        </w:rPr>
      </w:pPr>
      <w:r w:rsidRPr="00C05527">
        <w:rPr>
          <w:rFonts w:ascii="Arial" w:hAnsi="Arial" w:cs="Arial"/>
          <w:b/>
          <w:color w:val="0071BC"/>
          <w:sz w:val="20"/>
          <w:szCs w:val="20"/>
        </w:rPr>
        <w:t>Tab. 29-22  Mimořádné události se zásahy jednotek požární ochrany (JPO)</w:t>
      </w:r>
    </w:p>
    <w:p w14:paraId="7F751DB0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8"/>
          <w:szCs w:val="18"/>
        </w:rPr>
      </w:pPr>
      <w:r w:rsidRPr="00C05527">
        <w:rPr>
          <w:rFonts w:ascii="Arial" w:hAnsi="Arial" w:cs="Arial"/>
          <w:b/>
          <w:bCs/>
          <w:sz w:val="18"/>
          <w:szCs w:val="18"/>
        </w:rPr>
        <w:t>Požár</w:t>
      </w:r>
      <w:r w:rsidRPr="00C05527">
        <w:rPr>
          <w:rFonts w:ascii="Arial" w:hAnsi="Arial" w:cs="Arial"/>
          <w:sz w:val="18"/>
          <w:szCs w:val="18"/>
        </w:rPr>
        <w:t xml:space="preserve"> – každé nežádoucí hoření, při kterém došlo k usmrcení či zranění osob nebo zvířat anebo ke škodám na materiálních hodnotách nebo životním prostředí. Za požár se považuje i nežádoucí hoření, při kterém byly osoby, zvířata, materiální hodnoty nebo životní prostředí bezprostředně ohroženy.</w:t>
      </w:r>
    </w:p>
    <w:p w14:paraId="4B00DA3B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8"/>
          <w:szCs w:val="18"/>
        </w:rPr>
      </w:pPr>
      <w:r w:rsidRPr="00C05527">
        <w:rPr>
          <w:rFonts w:ascii="Arial" w:hAnsi="Arial" w:cs="Arial"/>
          <w:b/>
          <w:bCs/>
          <w:sz w:val="18"/>
          <w:szCs w:val="18"/>
        </w:rPr>
        <w:t>Dopravní nehoda</w:t>
      </w:r>
      <w:r w:rsidRPr="00C05527">
        <w:rPr>
          <w:rFonts w:ascii="Arial" w:hAnsi="Arial" w:cs="Arial"/>
          <w:sz w:val="18"/>
          <w:szCs w:val="18"/>
        </w:rPr>
        <w:t xml:space="preserve"> – mimořádná událost související s provozem dopravního prostředku v pohybu, při níž došlo k usmrcení nebo zranění osoby nebo ke škodě na majetku. Za dopravní nehodu je třeba považovat i případ, kdy JPO odstraňovaly pouze drobné následky nehody (očištění komunikace nebo odstranění úniků látek – provozních náplní vozidel apod.), pokud to byl následek dopravní nehody. Dopravní nehody se zatřídí podle převažujícího charakteru nehody. Pokud by v činnosti JPO převládaly jiné práce, např. z důvodu úniku nebezpečné látky do životního prostředí, klasifikuje se tento zásah podle převažujícího charakteru. Dopravní nehoda s následným požárem patří vždy do kategorie požár.</w:t>
      </w:r>
    </w:p>
    <w:p w14:paraId="7AC0D57C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8"/>
          <w:szCs w:val="18"/>
        </w:rPr>
      </w:pPr>
      <w:r w:rsidRPr="00C05527">
        <w:rPr>
          <w:rFonts w:ascii="Arial" w:hAnsi="Arial" w:cs="Arial"/>
          <w:b/>
          <w:bCs/>
          <w:sz w:val="18"/>
          <w:szCs w:val="18"/>
        </w:rPr>
        <w:t>Únik nebezpečné chemické látky</w:t>
      </w:r>
      <w:r w:rsidRPr="00C05527">
        <w:rPr>
          <w:rFonts w:ascii="Arial" w:hAnsi="Arial" w:cs="Arial"/>
          <w:sz w:val="18"/>
          <w:szCs w:val="18"/>
        </w:rPr>
        <w:t xml:space="preserve"> – zásah u události spojený s nežádoucím uvolněním nebezpečných chemických látek včetně ropných produktů (během výroby, dopravy nebo manipulace) a ostatních látek (nebezpečné látky jsou definovány zákonem). Únik se klasifikuje podle skupenství. Zásah k omezení nebo snížení rizika nekontrolovaného úniku hořlavých, výbušných, žíravých, jedovatých, zdraví škodlivých, radioaktivních a jiných nebezpečných látek, ropných produktů případně ostatních látek do životního prostředí (zemní plyn, kyseliny a jejich soli, louhy, čpavek apod.) včetně závažných havárií dle § 2 písm. g zákona o prevenci závažných havárií.</w:t>
      </w:r>
    </w:p>
    <w:p w14:paraId="52CADDE6" w14:textId="77777777" w:rsidR="00C05527" w:rsidRPr="00C05527" w:rsidRDefault="00C05527" w:rsidP="00C05527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suppressAutoHyphens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8"/>
          <w:szCs w:val="18"/>
        </w:rPr>
      </w:pPr>
      <w:r w:rsidRPr="00C05527">
        <w:rPr>
          <w:rFonts w:ascii="Arial" w:hAnsi="Arial" w:cs="Arial"/>
          <w:b/>
          <w:bCs/>
          <w:sz w:val="18"/>
          <w:szCs w:val="18"/>
        </w:rPr>
        <w:t>Únik ropného produktu</w:t>
      </w:r>
      <w:r w:rsidRPr="00C05527">
        <w:rPr>
          <w:rFonts w:ascii="Arial" w:hAnsi="Arial" w:cs="Arial"/>
          <w:sz w:val="18"/>
          <w:szCs w:val="18"/>
        </w:rPr>
        <w:t xml:space="preserve"> </w:t>
      </w:r>
      <w:r w:rsidRPr="00C05527">
        <w:rPr>
          <w:rFonts w:ascii="Arial" w:hAnsi="Arial" w:cs="Arial"/>
          <w:b/>
          <w:sz w:val="18"/>
          <w:szCs w:val="18"/>
        </w:rPr>
        <w:t>(olejová havárie)</w:t>
      </w:r>
      <w:r w:rsidRPr="00C05527">
        <w:rPr>
          <w:rFonts w:ascii="Arial" w:hAnsi="Arial" w:cs="Arial"/>
          <w:sz w:val="18"/>
          <w:szCs w:val="18"/>
        </w:rPr>
        <w:t xml:space="preserve"> – zásah převážně k zabránění úniku a omezení jeho rozsahu výhradně ropných produktů. Jde výhradně o únik ropných produktů (benzinů, nafty nebo oleje). Úniky těchto látek z provozních náplní vozidel následkem dopravní nehody jsou klasifikovány jako dopravní nehoda.</w:t>
      </w:r>
    </w:p>
    <w:p w14:paraId="4BAF911A" w14:textId="77777777" w:rsidR="00C05527" w:rsidRPr="00C05527" w:rsidRDefault="00C05527" w:rsidP="00C05527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suppressAutoHyphens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18"/>
          <w:szCs w:val="18"/>
        </w:rPr>
      </w:pPr>
      <w:r w:rsidRPr="00C05527">
        <w:rPr>
          <w:rFonts w:ascii="Arial" w:hAnsi="Arial" w:cs="Arial"/>
          <w:b/>
          <w:bCs/>
          <w:color w:val="000000"/>
          <w:sz w:val="18"/>
          <w:szCs w:val="18"/>
        </w:rPr>
        <w:t>Technické havárie celkem</w:t>
      </w:r>
      <w:r w:rsidRPr="00C05527">
        <w:rPr>
          <w:rFonts w:ascii="Arial" w:hAnsi="Arial" w:cs="Arial"/>
          <w:bCs/>
          <w:color w:val="000000"/>
          <w:sz w:val="18"/>
          <w:szCs w:val="18"/>
        </w:rPr>
        <w:t xml:space="preserve"> – zásah u </w:t>
      </w:r>
      <w:r w:rsidRPr="00C05527">
        <w:rPr>
          <w:rFonts w:ascii="Arial" w:hAnsi="Arial" w:cs="Arial"/>
          <w:color w:val="000000"/>
          <w:sz w:val="18"/>
          <w:szCs w:val="18"/>
        </w:rPr>
        <w:t>mimořádné události vedoucí k odstranění nebezpečí nebo nebezpečných stavů.</w:t>
      </w:r>
    </w:p>
    <w:p w14:paraId="295E7667" w14:textId="77777777" w:rsidR="00C05527" w:rsidRPr="00C05527" w:rsidRDefault="00C05527" w:rsidP="00C05527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suppressAutoHyphens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8"/>
          <w:szCs w:val="18"/>
        </w:rPr>
      </w:pPr>
      <w:r w:rsidRPr="00C05527">
        <w:rPr>
          <w:rFonts w:ascii="Arial" w:hAnsi="Arial" w:cs="Arial"/>
          <w:b/>
          <w:color w:val="000000"/>
          <w:sz w:val="18"/>
          <w:szCs w:val="18"/>
        </w:rPr>
        <w:t>Technická havárie</w:t>
      </w:r>
      <w:r w:rsidRPr="00C05527">
        <w:rPr>
          <w:rFonts w:ascii="Arial" w:hAnsi="Arial" w:cs="Arial"/>
          <w:color w:val="000000"/>
          <w:sz w:val="18"/>
          <w:szCs w:val="18"/>
        </w:rPr>
        <w:t xml:space="preserve"> – </w:t>
      </w:r>
      <w:r w:rsidRPr="00C05527">
        <w:rPr>
          <w:rFonts w:ascii="Arial" w:hAnsi="Arial" w:cs="Arial"/>
          <w:sz w:val="18"/>
          <w:szCs w:val="18"/>
        </w:rPr>
        <w:t>odstranění nebezpečí nebo nebezpečných stavů velkého rozsahu či značných následků na zdraví osob, zvířat či majetku (např. destrukce objektu).</w:t>
      </w:r>
    </w:p>
    <w:p w14:paraId="27F10CBC" w14:textId="77777777" w:rsidR="00C05527" w:rsidRPr="00C05527" w:rsidRDefault="00C05527" w:rsidP="00C05527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suppressAutoHyphens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8"/>
          <w:szCs w:val="18"/>
        </w:rPr>
      </w:pPr>
      <w:r w:rsidRPr="00C05527">
        <w:rPr>
          <w:rFonts w:ascii="Arial" w:hAnsi="Arial" w:cs="Arial"/>
          <w:b/>
          <w:sz w:val="18"/>
          <w:szCs w:val="18"/>
        </w:rPr>
        <w:t>Technická pomoc</w:t>
      </w:r>
      <w:r w:rsidRPr="00C05527">
        <w:rPr>
          <w:rFonts w:ascii="Arial" w:hAnsi="Arial" w:cs="Arial"/>
          <w:sz w:val="18"/>
          <w:szCs w:val="18"/>
        </w:rPr>
        <w:t xml:space="preserve"> – odstranění nebezpečí nebo nebezpečných stavů mimo technologický provoz závodů (mimo dopravních nehod). Jedná se o pomoc technikou JPO bez návaznosti na jakýkoliv technologický provoz resp. výrobu (např. vyproštění osob či předmětů, nouzové otevření, otevírání uzamčených prostorů, záchrana osob a zvířat; čerpání, uzavírání a navážení vody, provizorní nebo jiné opravy apod.).</w:t>
      </w:r>
    </w:p>
    <w:p w14:paraId="65824E6E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suppressAutoHyphens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8"/>
          <w:szCs w:val="18"/>
        </w:rPr>
      </w:pPr>
      <w:r w:rsidRPr="00C05527">
        <w:rPr>
          <w:rFonts w:ascii="Arial" w:hAnsi="Arial" w:cs="Arial"/>
          <w:b/>
          <w:sz w:val="18"/>
          <w:szCs w:val="18"/>
        </w:rPr>
        <w:lastRenderedPageBreak/>
        <w:t>Technologická pomoc</w:t>
      </w:r>
      <w:r w:rsidRPr="00C05527">
        <w:rPr>
          <w:rFonts w:ascii="Arial" w:hAnsi="Arial" w:cs="Arial"/>
          <w:sz w:val="18"/>
          <w:szCs w:val="18"/>
        </w:rPr>
        <w:t xml:space="preserve"> – odstranění nebezpečí nebo nebezpečných stavů zejména v technologii či provozu. Jedná se o  pomoc technikou JPO (např. nouzová dodávka vzduchu, vody, elektřiny; požární asistence, následné dohašování ohnisek požáru lesa apod.).</w:t>
      </w:r>
    </w:p>
    <w:p w14:paraId="5307AC66" w14:textId="77777777" w:rsidR="00C05527" w:rsidRPr="00C05527" w:rsidRDefault="00C05527" w:rsidP="00C05527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suppressAutoHyphens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8"/>
          <w:szCs w:val="18"/>
        </w:rPr>
      </w:pPr>
      <w:r w:rsidRPr="00C05527">
        <w:rPr>
          <w:rFonts w:ascii="Arial" w:hAnsi="Arial" w:cs="Arial"/>
          <w:b/>
          <w:sz w:val="18"/>
          <w:szCs w:val="18"/>
        </w:rPr>
        <w:t>Ostatní pomoc</w:t>
      </w:r>
      <w:r w:rsidRPr="00C05527">
        <w:rPr>
          <w:rFonts w:ascii="Arial" w:hAnsi="Arial" w:cs="Arial"/>
          <w:sz w:val="18"/>
          <w:szCs w:val="18"/>
        </w:rPr>
        <w:t xml:space="preserve"> – nelze klasifikovat předchozími druhy technické havárie. Jedná se např. o snášení, odvoz nebo převoz pacienta, pátrání po pohřešovaných osobách, monitoring (např. vodních toků, používaných norných stěn), kontrola průjezdnosti komunikací apod., pomoci na vyžádání jiného subjektu (přímo i nepřímo poskytnutá pomoc).</w:t>
      </w:r>
    </w:p>
    <w:p w14:paraId="686DA81C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18"/>
          <w:szCs w:val="18"/>
        </w:rPr>
      </w:pPr>
      <w:r w:rsidRPr="00C05527">
        <w:rPr>
          <w:rFonts w:ascii="Arial" w:hAnsi="Arial" w:cs="Arial"/>
          <w:b/>
          <w:bCs/>
          <w:color w:val="000000"/>
          <w:sz w:val="18"/>
          <w:szCs w:val="18"/>
        </w:rPr>
        <w:t>Radiační nehoda</w:t>
      </w:r>
      <w:r w:rsidRPr="00C05527">
        <w:rPr>
          <w:rFonts w:ascii="Arial" w:hAnsi="Arial" w:cs="Arial"/>
          <w:color w:val="000000"/>
          <w:sz w:val="18"/>
          <w:szCs w:val="18"/>
        </w:rPr>
        <w:t xml:space="preserve"> –</w:t>
      </w:r>
      <w:r w:rsidRPr="00C05527">
        <w:rPr>
          <w:rFonts w:ascii="Arial" w:hAnsi="Arial" w:cs="Arial"/>
          <w:sz w:val="18"/>
          <w:szCs w:val="18"/>
        </w:rPr>
        <w:t xml:space="preserve"> zásah u mimořádné události spojený s nepřípustným uvolněním radioaktivních látek nebo ionizujícího záření.</w:t>
      </w:r>
    </w:p>
    <w:p w14:paraId="51D718F5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18"/>
          <w:szCs w:val="18"/>
        </w:rPr>
      </w:pPr>
      <w:r w:rsidRPr="00C05527">
        <w:rPr>
          <w:rFonts w:ascii="Arial" w:hAnsi="Arial" w:cs="Arial"/>
          <w:b/>
          <w:bCs/>
          <w:color w:val="000000"/>
          <w:sz w:val="18"/>
          <w:szCs w:val="18"/>
        </w:rPr>
        <w:t>Ostatní mimořádné události</w:t>
      </w:r>
      <w:r w:rsidRPr="00C05527">
        <w:rPr>
          <w:rFonts w:ascii="Arial" w:hAnsi="Arial" w:cs="Arial"/>
          <w:color w:val="000000"/>
          <w:sz w:val="18"/>
          <w:szCs w:val="18"/>
        </w:rPr>
        <w:t xml:space="preserve"> – zásah u jiné mimořádné události např. epidemie nebo nákazy způsobené nebezpečnou nemocí, zajištění podezřelých zásilek a dále pak všechny zásahy u událostí, které nelze klasifikovat předchozími kategoriemi.</w:t>
      </w:r>
    </w:p>
    <w:p w14:paraId="4CDDC703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7328A50A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7950607F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jc w:val="both"/>
        <w:rPr>
          <w:rFonts w:ascii="Arial" w:hAnsi="Arial" w:cs="Arial"/>
          <w:b/>
          <w:color w:val="0071BC"/>
          <w:sz w:val="20"/>
          <w:szCs w:val="20"/>
        </w:rPr>
      </w:pPr>
      <w:r w:rsidRPr="00C05527">
        <w:rPr>
          <w:rFonts w:ascii="Arial" w:hAnsi="Arial" w:cs="Arial"/>
          <w:b/>
          <w:color w:val="0071BC"/>
          <w:sz w:val="20"/>
          <w:szCs w:val="20"/>
        </w:rPr>
        <w:t>Tab. 29-23  Zásahy jednotek požární ochrany (JPO) při živelních pohromách</w:t>
      </w:r>
    </w:p>
    <w:p w14:paraId="244FDD82" w14:textId="77777777" w:rsidR="00216FA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8"/>
          <w:szCs w:val="18"/>
        </w:rPr>
      </w:pPr>
      <w:r w:rsidRPr="00C05527">
        <w:rPr>
          <w:rFonts w:ascii="Arial" w:hAnsi="Arial" w:cs="Arial"/>
          <w:b/>
          <w:sz w:val="18"/>
          <w:szCs w:val="18"/>
        </w:rPr>
        <w:t xml:space="preserve">Živelní pohroma </w:t>
      </w:r>
      <w:r w:rsidRPr="00C05527">
        <w:rPr>
          <w:rFonts w:ascii="Arial" w:hAnsi="Arial" w:cs="Arial"/>
          <w:sz w:val="18"/>
          <w:szCs w:val="18"/>
        </w:rPr>
        <w:t>- mimořádná událost, k níž došlo následkem škodlivě působících sil a jevů vyvolaných plošně či lokálně přírodními vlivy, které ohrožují životy, zdraví, majetek nebo životní prostředí jako například povodně, záplavy, deště, vliv sněhu a námrazy, větrné smrště, sesuvy půdy a zemětřesení.</w:t>
      </w:r>
      <w:r w:rsidR="004D6D06">
        <w:rPr>
          <w:rFonts w:ascii="Arial" w:hAnsi="Arial" w:cs="Arial"/>
          <w:sz w:val="18"/>
          <w:szCs w:val="18"/>
        </w:rPr>
        <w:t xml:space="preserve"> </w:t>
      </w:r>
    </w:p>
    <w:p w14:paraId="6F01D6AD" w14:textId="0FF77BAA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8"/>
          <w:szCs w:val="18"/>
        </w:rPr>
      </w:pPr>
      <w:r w:rsidRPr="00C05527">
        <w:rPr>
          <w:rFonts w:ascii="Arial" w:hAnsi="Arial" w:cs="Arial"/>
          <w:sz w:val="18"/>
          <w:szCs w:val="18"/>
        </w:rPr>
        <w:t xml:space="preserve">Živelní pohromy se evidují pomocí příznaku vždy ve spojení s druhem likvidované události. </w:t>
      </w:r>
    </w:p>
    <w:p w14:paraId="34959D57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jc w:val="both"/>
        <w:rPr>
          <w:rFonts w:ascii="Arial" w:hAnsi="Arial" w:cs="Arial"/>
          <w:iCs/>
          <w:sz w:val="18"/>
          <w:szCs w:val="18"/>
        </w:rPr>
      </w:pPr>
    </w:p>
    <w:p w14:paraId="6AC1DB0F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jc w:val="both"/>
        <w:rPr>
          <w:rFonts w:ascii="Arial" w:hAnsi="Arial" w:cs="Arial"/>
          <w:iCs/>
          <w:sz w:val="18"/>
          <w:szCs w:val="18"/>
        </w:rPr>
      </w:pPr>
    </w:p>
    <w:p w14:paraId="29FDC117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jc w:val="both"/>
        <w:rPr>
          <w:rFonts w:ascii="Arial" w:hAnsi="Arial" w:cs="Arial"/>
          <w:b/>
          <w:color w:val="0071BC"/>
          <w:sz w:val="20"/>
          <w:szCs w:val="20"/>
        </w:rPr>
      </w:pPr>
      <w:r w:rsidRPr="00C05527">
        <w:rPr>
          <w:rFonts w:ascii="Arial" w:hAnsi="Arial" w:cs="Arial"/>
          <w:b/>
          <w:color w:val="0071BC"/>
          <w:sz w:val="20"/>
          <w:szCs w:val="20"/>
        </w:rPr>
        <w:t>Tab. 29-24  Základní ekonomické ukazatele Hasičského záchranného sboru ČR</w:t>
      </w:r>
    </w:p>
    <w:p w14:paraId="06E565C0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iCs/>
          <w:sz w:val="18"/>
          <w:szCs w:val="18"/>
        </w:rPr>
      </w:pPr>
      <w:r w:rsidRPr="00C05527">
        <w:rPr>
          <w:rFonts w:ascii="Arial" w:hAnsi="Arial" w:cs="Arial"/>
          <w:b/>
          <w:iCs/>
          <w:sz w:val="18"/>
          <w:szCs w:val="18"/>
        </w:rPr>
        <w:t xml:space="preserve">HZS ČR </w:t>
      </w:r>
      <w:r w:rsidRPr="00C05527">
        <w:rPr>
          <w:rFonts w:ascii="Arial" w:hAnsi="Arial" w:cs="Arial"/>
          <w:bCs/>
          <w:iCs/>
          <w:sz w:val="18"/>
          <w:szCs w:val="18"/>
        </w:rPr>
        <w:t>– Hasičský záchranný sbor České republiky;</w:t>
      </w:r>
      <w:r w:rsidRPr="00C05527">
        <w:rPr>
          <w:rFonts w:ascii="Arial" w:hAnsi="Arial" w:cs="Arial"/>
          <w:b/>
          <w:iCs/>
          <w:sz w:val="18"/>
          <w:szCs w:val="18"/>
        </w:rPr>
        <w:t xml:space="preserve"> </w:t>
      </w:r>
      <w:r w:rsidRPr="00C05527">
        <w:rPr>
          <w:rFonts w:ascii="Arial" w:hAnsi="Arial" w:cs="Arial"/>
          <w:bCs/>
          <w:iCs/>
          <w:sz w:val="18"/>
          <w:szCs w:val="18"/>
        </w:rPr>
        <w:t>tvoří ho generální ředitelství HZS ČR (které je součástí Ministerstva vnitra) a hasičské záchranné sbory krajů.</w:t>
      </w:r>
    </w:p>
    <w:p w14:paraId="297D3AC9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iCs/>
          <w:sz w:val="18"/>
          <w:szCs w:val="18"/>
        </w:rPr>
      </w:pPr>
      <w:r w:rsidRPr="00C05527">
        <w:rPr>
          <w:rFonts w:ascii="Arial" w:hAnsi="Arial" w:cs="Arial"/>
          <w:b/>
          <w:iCs/>
          <w:sz w:val="18"/>
          <w:szCs w:val="18"/>
        </w:rPr>
        <w:t>JPO II, JPO III, JPO V</w:t>
      </w:r>
      <w:r w:rsidRPr="00C05527">
        <w:rPr>
          <w:rFonts w:ascii="Arial" w:hAnsi="Arial" w:cs="Arial"/>
          <w:bCs/>
          <w:iCs/>
          <w:sz w:val="18"/>
          <w:szCs w:val="18"/>
        </w:rPr>
        <w:t xml:space="preserve"> – kategorie JPO</w:t>
      </w:r>
      <w:r w:rsidRPr="00C05527">
        <w:rPr>
          <w:rFonts w:ascii="Arial" w:hAnsi="Arial" w:cs="Arial"/>
          <w:b/>
          <w:iCs/>
          <w:sz w:val="18"/>
          <w:szCs w:val="18"/>
        </w:rPr>
        <w:t xml:space="preserve"> </w:t>
      </w:r>
      <w:r w:rsidRPr="00C05527">
        <w:rPr>
          <w:rFonts w:ascii="Arial" w:hAnsi="Arial" w:cs="Arial"/>
          <w:bCs/>
          <w:iCs/>
          <w:sz w:val="18"/>
          <w:szCs w:val="18"/>
        </w:rPr>
        <w:t>podle zákona o požární ochraně; jde o jednotky sboru dobrovolných hasičů obce, jejichž členové vykonávají službu v jednotce jako svoje zaměstnání nebo dobrovolně s územní působností mimo katastrální území zřizovatele, zpravidla do 10 minut jízdy z místa dislokace (JPO II a JPO III) a jednotky, jejichž členové vykonávají službu v jednotce dobrovolně s místní působností na katastrálním území zřizovatele (JPO V).</w:t>
      </w:r>
    </w:p>
    <w:p w14:paraId="44450829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18"/>
          <w:szCs w:val="18"/>
        </w:rPr>
      </w:pPr>
    </w:p>
    <w:p w14:paraId="2756F040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18"/>
          <w:szCs w:val="18"/>
        </w:rPr>
      </w:pPr>
    </w:p>
    <w:p w14:paraId="4D4B9B8B" w14:textId="77777777" w:rsidR="00C05527" w:rsidRPr="00C05527" w:rsidRDefault="00C05527" w:rsidP="00216FA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jc w:val="both"/>
        <w:rPr>
          <w:rFonts w:ascii="Arial" w:hAnsi="Arial" w:cs="Arial"/>
          <w:b/>
          <w:color w:val="0071BC"/>
          <w:sz w:val="20"/>
          <w:szCs w:val="20"/>
        </w:rPr>
      </w:pPr>
      <w:r w:rsidRPr="00C05527">
        <w:rPr>
          <w:rFonts w:ascii="Arial" w:hAnsi="Arial" w:cs="Arial"/>
          <w:b/>
          <w:color w:val="0071BC"/>
          <w:sz w:val="20"/>
          <w:szCs w:val="20"/>
        </w:rPr>
        <w:t>Tab. 29-25 až 29-28  Požáry</w:t>
      </w:r>
    </w:p>
    <w:p w14:paraId="689B0A98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iCs/>
          <w:sz w:val="18"/>
          <w:szCs w:val="18"/>
        </w:rPr>
      </w:pPr>
      <w:r w:rsidRPr="00C05527">
        <w:rPr>
          <w:rFonts w:ascii="Arial" w:hAnsi="Arial" w:cs="Arial"/>
          <w:b/>
          <w:bCs/>
          <w:iCs/>
          <w:sz w:val="18"/>
          <w:szCs w:val="18"/>
        </w:rPr>
        <w:t xml:space="preserve">Usmrcené osoby celkem </w:t>
      </w:r>
      <w:r w:rsidRPr="00C05527">
        <w:rPr>
          <w:rFonts w:ascii="Arial" w:hAnsi="Arial" w:cs="Arial"/>
          <w:bCs/>
          <w:iCs/>
          <w:sz w:val="18"/>
          <w:szCs w:val="18"/>
        </w:rPr>
        <w:t>– všechny usmrcené osoby nalezené na místě požáru. Údaj zahrnuje i osoby, jejichž smrt prokazatelně nenastala v přímé souvislosti s požárem např. v důsledku infarktu, vraždy apod.</w:t>
      </w:r>
    </w:p>
    <w:p w14:paraId="1EF26707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iCs/>
          <w:sz w:val="18"/>
          <w:szCs w:val="18"/>
        </w:rPr>
      </w:pPr>
      <w:r w:rsidRPr="00C05527">
        <w:rPr>
          <w:rFonts w:ascii="Arial" w:hAnsi="Arial" w:cs="Arial"/>
          <w:b/>
          <w:bCs/>
          <w:iCs/>
          <w:sz w:val="18"/>
          <w:szCs w:val="18"/>
        </w:rPr>
        <w:t>Usmrcené osoby v přímé souvislosti</w:t>
      </w:r>
      <w:r w:rsidRPr="00C05527">
        <w:rPr>
          <w:rFonts w:ascii="Arial" w:hAnsi="Arial" w:cs="Arial"/>
          <w:bCs/>
          <w:iCs/>
          <w:sz w:val="18"/>
          <w:szCs w:val="18"/>
        </w:rPr>
        <w:t xml:space="preserve"> – osoby, které zemřely v důsledku popálenin, intoxikace zplodinami hoření apod., tak osoby, u kterých nebylo možné zjistit, zda prokazatelně zemřely v přímé souvislosti s požárem. Údaj je sledován od roku 2014.</w:t>
      </w:r>
    </w:p>
    <w:p w14:paraId="54672A0B" w14:textId="77777777" w:rsidR="00C05527" w:rsidRPr="00C05527" w:rsidRDefault="00C05527" w:rsidP="00C0552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autoSpaceDE w:val="0"/>
        <w:autoSpaceDN w:val="0"/>
        <w:adjustRightInd w:val="0"/>
        <w:jc w:val="both"/>
        <w:rPr>
          <w:rFonts w:ascii="Arial" w:hAnsi="Arial" w:cs="Arial"/>
          <w:strike/>
          <w:sz w:val="18"/>
          <w:szCs w:val="18"/>
        </w:rPr>
      </w:pPr>
    </w:p>
    <w:p w14:paraId="14C4D22C" w14:textId="77777777" w:rsidR="00C05527" w:rsidRPr="00C05527" w:rsidRDefault="00C05527" w:rsidP="00C05527">
      <w:pPr>
        <w:jc w:val="both"/>
        <w:rPr>
          <w:rFonts w:ascii="Arial" w:hAnsi="Arial" w:cs="Arial"/>
          <w:sz w:val="18"/>
          <w:szCs w:val="18"/>
        </w:rPr>
      </w:pPr>
    </w:p>
    <w:p w14:paraId="5DBFA438" w14:textId="77777777" w:rsidR="00C05527" w:rsidRPr="00C05527" w:rsidRDefault="00C05527" w:rsidP="00C05527">
      <w:pPr>
        <w:jc w:val="center"/>
        <w:rPr>
          <w:rFonts w:ascii="Arial" w:hAnsi="Arial" w:cs="Arial"/>
          <w:color w:val="0071BC"/>
          <w:sz w:val="20"/>
          <w:szCs w:val="20"/>
        </w:rPr>
      </w:pPr>
      <w:r w:rsidRPr="00C05527">
        <w:rPr>
          <w:rFonts w:ascii="Arial" w:hAnsi="Arial" w:cs="Arial"/>
          <w:color w:val="0071BC"/>
          <w:sz w:val="20"/>
          <w:szCs w:val="20"/>
        </w:rPr>
        <w:t>*          *          *</w:t>
      </w:r>
    </w:p>
    <w:p w14:paraId="1C0BE810" w14:textId="77777777" w:rsidR="00C05527" w:rsidRPr="00C05527" w:rsidRDefault="00C05527" w:rsidP="00C05527">
      <w:pPr>
        <w:jc w:val="both"/>
        <w:rPr>
          <w:rFonts w:ascii="Arial" w:hAnsi="Arial" w:cs="Arial"/>
          <w:sz w:val="18"/>
          <w:szCs w:val="18"/>
        </w:rPr>
      </w:pPr>
    </w:p>
    <w:p w14:paraId="0FD280FC" w14:textId="77777777" w:rsidR="00C05527" w:rsidRPr="00C05527" w:rsidRDefault="00C05527" w:rsidP="00C05527">
      <w:pPr>
        <w:jc w:val="both"/>
        <w:rPr>
          <w:rFonts w:ascii="Arial" w:hAnsi="Arial" w:cs="Arial"/>
          <w:sz w:val="18"/>
          <w:szCs w:val="18"/>
        </w:rPr>
      </w:pPr>
    </w:p>
    <w:p w14:paraId="19AB0EDA" w14:textId="77777777" w:rsidR="00C05527" w:rsidRPr="00C05527" w:rsidRDefault="00C05527" w:rsidP="00C05527">
      <w:pPr>
        <w:tabs>
          <w:tab w:val="left" w:pos="0"/>
          <w:tab w:val="left" w:pos="340"/>
          <w:tab w:val="left" w:pos="624"/>
          <w:tab w:val="left" w:pos="1190"/>
          <w:tab w:val="left" w:pos="2041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" w:hAnsi="Arial" w:cs="Arial"/>
          <w:sz w:val="18"/>
          <w:szCs w:val="18"/>
        </w:rPr>
      </w:pPr>
      <w:r w:rsidRPr="00C05527">
        <w:rPr>
          <w:rFonts w:ascii="Arial" w:hAnsi="Arial" w:cs="Arial"/>
          <w:sz w:val="18"/>
          <w:szCs w:val="18"/>
        </w:rPr>
        <w:t>Další informace jsou dostupné na internetových stránkách:</w:t>
      </w:r>
    </w:p>
    <w:p w14:paraId="526589BA" w14:textId="5D5F2CCC" w:rsidR="00C05527" w:rsidRPr="00C05527" w:rsidRDefault="00C05527" w:rsidP="00C05527">
      <w:pPr>
        <w:tabs>
          <w:tab w:val="left" w:pos="0"/>
          <w:tab w:val="left" w:pos="340"/>
          <w:tab w:val="left" w:pos="624"/>
          <w:tab w:val="left" w:pos="1190"/>
          <w:tab w:val="left" w:pos="2041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C05527">
        <w:rPr>
          <w:rFonts w:ascii="Arial" w:hAnsi="Arial" w:cs="Arial"/>
          <w:sz w:val="18"/>
          <w:szCs w:val="18"/>
        </w:rPr>
        <w:t>– </w:t>
      </w:r>
      <w:hyperlink r:id="rId8" w:history="1">
        <w:r w:rsidR="009F09B4" w:rsidRPr="009F09B4">
          <w:rPr>
            <w:rStyle w:val="Hypertextovodkaz"/>
            <w:rFonts w:ascii="Arial" w:hAnsi="Arial" w:cs="Arial"/>
            <w:sz w:val="18"/>
            <w:szCs w:val="18"/>
          </w:rPr>
          <w:t>Justice.cz - úvodní strana</w:t>
        </w:r>
      </w:hyperlink>
      <w:r w:rsidR="009F09B4" w:rsidRPr="00C05527">
        <w:rPr>
          <w:rFonts w:ascii="Arial" w:hAnsi="Arial" w:cs="Arial"/>
          <w:sz w:val="18"/>
          <w:szCs w:val="18"/>
        </w:rPr>
        <w:t xml:space="preserve"> </w:t>
      </w:r>
      <w:r w:rsidRPr="00C05527">
        <w:rPr>
          <w:rFonts w:ascii="Arial" w:hAnsi="Arial" w:cs="Arial"/>
          <w:sz w:val="18"/>
          <w:szCs w:val="18"/>
        </w:rPr>
        <w:t>– Ministerstvo spravedlnosti</w:t>
      </w:r>
    </w:p>
    <w:p w14:paraId="1C6177D1" w14:textId="3766C57A" w:rsidR="00C05527" w:rsidRPr="00C05527" w:rsidRDefault="00C05527" w:rsidP="00C05527">
      <w:pPr>
        <w:tabs>
          <w:tab w:val="left" w:pos="0"/>
          <w:tab w:val="left" w:pos="340"/>
          <w:tab w:val="left" w:pos="624"/>
          <w:tab w:val="left" w:pos="1190"/>
          <w:tab w:val="left" w:pos="2041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C05527">
        <w:rPr>
          <w:rFonts w:ascii="Arial" w:hAnsi="Arial" w:cs="Arial"/>
          <w:sz w:val="18"/>
          <w:szCs w:val="18"/>
        </w:rPr>
        <w:t>– </w:t>
      </w:r>
      <w:hyperlink r:id="rId9" w:history="1">
        <w:r w:rsidR="009F09B4" w:rsidRPr="005109C8">
          <w:rPr>
            <w:rStyle w:val="Hypertextovodkaz"/>
            <w:rFonts w:ascii="Arial" w:hAnsi="Arial" w:cs="Arial"/>
            <w:sz w:val="18"/>
            <w:szCs w:val="18"/>
          </w:rPr>
          <w:t>www.vscr.cz</w:t>
        </w:r>
      </w:hyperlink>
      <w:r w:rsidR="009F09B4">
        <w:rPr>
          <w:rFonts w:ascii="Arial" w:hAnsi="Arial" w:cs="Arial"/>
          <w:sz w:val="18"/>
          <w:szCs w:val="18"/>
        </w:rPr>
        <w:t xml:space="preserve"> </w:t>
      </w:r>
      <w:r w:rsidRPr="00C05527">
        <w:rPr>
          <w:rFonts w:ascii="Arial" w:hAnsi="Arial" w:cs="Arial"/>
          <w:sz w:val="18"/>
          <w:szCs w:val="18"/>
        </w:rPr>
        <w:t>– Vězeňská služba ČR</w:t>
      </w:r>
    </w:p>
    <w:p w14:paraId="623E5F32" w14:textId="585294D6" w:rsidR="00C05527" w:rsidRPr="00C05527" w:rsidRDefault="00C05527" w:rsidP="00C05527">
      <w:pPr>
        <w:tabs>
          <w:tab w:val="left" w:pos="0"/>
          <w:tab w:val="left" w:pos="142"/>
          <w:tab w:val="left" w:pos="624"/>
          <w:tab w:val="left" w:pos="1190"/>
          <w:tab w:val="left" w:pos="2041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C05527">
        <w:rPr>
          <w:rFonts w:ascii="Arial" w:hAnsi="Arial" w:cs="Arial"/>
          <w:sz w:val="18"/>
          <w:szCs w:val="18"/>
        </w:rPr>
        <w:t>– </w:t>
      </w:r>
      <w:hyperlink r:id="rId10" w:history="1">
        <w:r w:rsidR="009F09B4" w:rsidRPr="005109C8">
          <w:rPr>
            <w:rStyle w:val="Hypertextovodkaz"/>
            <w:rFonts w:ascii="Arial" w:hAnsi="Arial" w:cs="Arial"/>
            <w:sz w:val="18"/>
            <w:szCs w:val="18"/>
          </w:rPr>
          <w:t>www.policie.cz/statistiky-kriminalita.aspx</w:t>
        </w:r>
      </w:hyperlink>
      <w:r w:rsidR="009F09B4">
        <w:rPr>
          <w:rFonts w:ascii="Arial" w:hAnsi="Arial" w:cs="Arial"/>
          <w:sz w:val="18"/>
          <w:szCs w:val="18"/>
        </w:rPr>
        <w:t xml:space="preserve"> </w:t>
      </w:r>
      <w:r w:rsidRPr="00C05527">
        <w:rPr>
          <w:rFonts w:ascii="Arial" w:hAnsi="Arial" w:cs="Arial"/>
          <w:sz w:val="18"/>
          <w:szCs w:val="18"/>
        </w:rPr>
        <w:t>– Policie ČR</w:t>
      </w:r>
    </w:p>
    <w:p w14:paraId="0DD6EBF1" w14:textId="193005C2" w:rsidR="00C05527" w:rsidRPr="00C05527" w:rsidRDefault="00C05527" w:rsidP="00C05527">
      <w:pPr>
        <w:tabs>
          <w:tab w:val="left" w:pos="0"/>
          <w:tab w:val="left" w:pos="340"/>
          <w:tab w:val="left" w:pos="624"/>
          <w:tab w:val="left" w:pos="1190"/>
          <w:tab w:val="left" w:pos="2041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C05527">
        <w:rPr>
          <w:rFonts w:ascii="Arial" w:hAnsi="Arial" w:cs="Arial"/>
          <w:sz w:val="18"/>
          <w:szCs w:val="18"/>
        </w:rPr>
        <w:t>– </w:t>
      </w:r>
      <w:hyperlink r:id="rId11" w:history="1">
        <w:r w:rsidR="009F09B4" w:rsidRPr="005109C8">
          <w:rPr>
            <w:rStyle w:val="Hypertextovodkaz"/>
            <w:rFonts w:ascii="Arial" w:hAnsi="Arial" w:cs="Arial"/>
            <w:sz w:val="18"/>
            <w:szCs w:val="18"/>
          </w:rPr>
          <w:t>www.mdcr.cz</w:t>
        </w:r>
      </w:hyperlink>
      <w:r w:rsidR="009F09B4">
        <w:rPr>
          <w:rFonts w:ascii="Arial" w:hAnsi="Arial" w:cs="Arial"/>
          <w:sz w:val="18"/>
          <w:szCs w:val="18"/>
        </w:rPr>
        <w:t xml:space="preserve"> </w:t>
      </w:r>
      <w:r w:rsidRPr="00C05527">
        <w:rPr>
          <w:rFonts w:ascii="Arial" w:hAnsi="Arial" w:cs="Arial"/>
          <w:sz w:val="18"/>
          <w:szCs w:val="18"/>
        </w:rPr>
        <w:t>– Ministerstvo dopravy</w:t>
      </w:r>
    </w:p>
    <w:p w14:paraId="092629D0" w14:textId="4CF41FED" w:rsidR="00C05527" w:rsidRPr="00C05527" w:rsidRDefault="00C05527" w:rsidP="00C05527">
      <w:pPr>
        <w:tabs>
          <w:tab w:val="left" w:pos="0"/>
          <w:tab w:val="left" w:pos="340"/>
          <w:tab w:val="left" w:pos="624"/>
          <w:tab w:val="left" w:pos="1190"/>
          <w:tab w:val="left" w:pos="2041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C05527">
        <w:rPr>
          <w:rFonts w:ascii="Arial" w:hAnsi="Arial" w:cs="Arial"/>
          <w:sz w:val="18"/>
          <w:szCs w:val="18"/>
        </w:rPr>
        <w:t>– </w:t>
      </w:r>
      <w:hyperlink r:id="rId12" w:history="1">
        <w:r w:rsidR="009F09B4" w:rsidRPr="005109C8">
          <w:rPr>
            <w:rStyle w:val="Hypertextovodkaz"/>
            <w:rFonts w:ascii="Arial" w:hAnsi="Arial" w:cs="Arial"/>
            <w:sz w:val="18"/>
            <w:szCs w:val="18"/>
          </w:rPr>
          <w:t>www.mvcr.cz/ministerstvo.aspx</w:t>
        </w:r>
      </w:hyperlink>
      <w:r w:rsidR="009F09B4">
        <w:rPr>
          <w:rFonts w:ascii="Arial" w:hAnsi="Arial" w:cs="Arial"/>
          <w:sz w:val="18"/>
          <w:szCs w:val="18"/>
        </w:rPr>
        <w:t xml:space="preserve"> </w:t>
      </w:r>
      <w:r w:rsidRPr="00C05527">
        <w:rPr>
          <w:rFonts w:ascii="Arial" w:hAnsi="Arial" w:cs="Arial"/>
          <w:sz w:val="18"/>
          <w:szCs w:val="18"/>
        </w:rPr>
        <w:t>– Ministerstvo vnitra</w:t>
      </w:r>
    </w:p>
    <w:p w14:paraId="181EB8F4" w14:textId="02CAABA8" w:rsidR="00C05527" w:rsidRPr="00C05527" w:rsidRDefault="00C05527" w:rsidP="00C05527">
      <w:pPr>
        <w:tabs>
          <w:tab w:val="left" w:pos="0"/>
          <w:tab w:val="left" w:pos="340"/>
          <w:tab w:val="left" w:pos="624"/>
          <w:tab w:val="left" w:pos="1190"/>
          <w:tab w:val="left" w:pos="2041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120"/>
        <w:jc w:val="both"/>
        <w:rPr>
          <w:rFonts w:ascii="Arial" w:hAnsi="Arial" w:cs="Arial"/>
          <w:sz w:val="18"/>
          <w:szCs w:val="18"/>
          <w:u w:val="single"/>
        </w:rPr>
      </w:pPr>
      <w:r w:rsidRPr="00C05527">
        <w:rPr>
          <w:rFonts w:ascii="Arial" w:hAnsi="Arial" w:cs="Arial"/>
          <w:sz w:val="18"/>
          <w:szCs w:val="18"/>
        </w:rPr>
        <w:t>– </w:t>
      </w:r>
      <w:hyperlink r:id="rId13" w:history="1">
        <w:r w:rsidR="009F09B4" w:rsidRPr="005109C8">
          <w:rPr>
            <w:rStyle w:val="Hypertextovodkaz"/>
            <w:rFonts w:ascii="Arial" w:hAnsi="Arial" w:cs="Arial"/>
            <w:sz w:val="18"/>
            <w:szCs w:val="18"/>
          </w:rPr>
          <w:t>www.hzscr.cz</w:t>
        </w:r>
      </w:hyperlink>
      <w:r w:rsidR="009F09B4">
        <w:rPr>
          <w:rFonts w:ascii="Arial" w:hAnsi="Arial" w:cs="Arial"/>
          <w:sz w:val="18"/>
          <w:szCs w:val="18"/>
        </w:rPr>
        <w:t xml:space="preserve"> </w:t>
      </w:r>
      <w:r w:rsidRPr="00C05527">
        <w:rPr>
          <w:rFonts w:ascii="Arial" w:hAnsi="Arial" w:cs="Arial"/>
          <w:sz w:val="18"/>
          <w:szCs w:val="18"/>
        </w:rPr>
        <w:t>– Hasičský záchranný sbor ČR</w:t>
      </w:r>
    </w:p>
    <w:p w14:paraId="6DAA1871" w14:textId="7C0E81DC" w:rsidR="00C05527" w:rsidRPr="00C05527" w:rsidRDefault="00C05527" w:rsidP="00C05527">
      <w:pPr>
        <w:spacing w:after="160" w:line="259" w:lineRule="auto"/>
        <w:jc w:val="both"/>
        <w:rPr>
          <w:rFonts w:ascii="Arial" w:hAnsi="Arial" w:cs="Arial"/>
          <w:sz w:val="18"/>
          <w:szCs w:val="18"/>
          <w:lang w:eastAsia="en-US"/>
        </w:rPr>
      </w:pPr>
    </w:p>
    <w:sectPr w:rsidR="00C05527" w:rsidRPr="00C05527" w:rsidSect="00C00426">
      <w:pgSz w:w="11907" w:h="16840" w:code="9"/>
      <w:pgMar w:top="1134" w:right="964" w:bottom="1418" w:left="96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41F95" w14:textId="77777777" w:rsidR="00CF7606" w:rsidRDefault="00CF7606">
      <w:r>
        <w:separator/>
      </w:r>
    </w:p>
  </w:endnote>
  <w:endnote w:type="continuationSeparator" w:id="0">
    <w:p w14:paraId="5D0578D8" w14:textId="77777777" w:rsidR="00CF7606" w:rsidRDefault="00CF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E obyèejné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45396" w14:textId="77777777" w:rsidR="00CF7606" w:rsidRDefault="00CF7606">
      <w:r>
        <w:separator/>
      </w:r>
    </w:p>
  </w:footnote>
  <w:footnote w:type="continuationSeparator" w:id="0">
    <w:p w14:paraId="438E82DF" w14:textId="77777777" w:rsidR="00CF7606" w:rsidRDefault="00CF7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0C96EAA"/>
    <w:multiLevelType w:val="hybridMultilevel"/>
    <w:tmpl w:val="4EACA474"/>
    <w:lvl w:ilvl="0" w:tplc="BD0E676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2414C"/>
    <w:multiLevelType w:val="hybridMultilevel"/>
    <w:tmpl w:val="A34E52C4"/>
    <w:lvl w:ilvl="0" w:tplc="3D3A6ED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23212"/>
    <w:multiLevelType w:val="hybridMultilevel"/>
    <w:tmpl w:val="3C0016CA"/>
    <w:lvl w:ilvl="0" w:tplc="F0E2C09E">
      <w:start w:val="1"/>
      <w:numFmt w:val="bullet"/>
      <w:lvlText w:val=""/>
      <w:lvlJc w:val="left"/>
      <w:pPr>
        <w:tabs>
          <w:tab w:val="num" w:pos="378"/>
        </w:tabs>
        <w:ind w:left="3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89"/>
        </w:tabs>
        <w:ind w:left="3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109"/>
        </w:tabs>
        <w:ind w:left="11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29"/>
        </w:tabs>
        <w:ind w:left="18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49"/>
        </w:tabs>
        <w:ind w:left="25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69"/>
        </w:tabs>
        <w:ind w:left="32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89"/>
        </w:tabs>
        <w:ind w:left="39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709"/>
        </w:tabs>
        <w:ind w:left="47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29"/>
        </w:tabs>
        <w:ind w:left="5429" w:hanging="360"/>
      </w:pPr>
      <w:rPr>
        <w:rFonts w:ascii="Wingdings" w:hAnsi="Wingdings" w:hint="default"/>
      </w:rPr>
    </w:lvl>
  </w:abstractNum>
  <w:abstractNum w:abstractNumId="4" w15:restartNumberingAfterBreak="0">
    <w:nsid w:val="570930AA"/>
    <w:multiLevelType w:val="hybridMultilevel"/>
    <w:tmpl w:val="2B3CF078"/>
    <w:lvl w:ilvl="0" w:tplc="F0E2C09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5" w15:restartNumberingAfterBreak="0">
    <w:nsid w:val="61F9557C"/>
    <w:multiLevelType w:val="hybridMultilevel"/>
    <w:tmpl w:val="4C967B52"/>
    <w:lvl w:ilvl="0" w:tplc="20F0E538">
      <w:numFmt w:val="bullet"/>
      <w:lvlText w:val="-"/>
      <w:lvlJc w:val="left"/>
      <w:pPr>
        <w:tabs>
          <w:tab w:val="num" w:pos="1068"/>
        </w:tabs>
        <w:ind w:left="1068" w:hanging="708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F453C"/>
    <w:multiLevelType w:val="hybridMultilevel"/>
    <w:tmpl w:val="6478DBB2"/>
    <w:lvl w:ilvl="0" w:tplc="F0E2C09E">
      <w:start w:val="1"/>
      <w:numFmt w:val="bullet"/>
      <w:lvlText w:val=""/>
      <w:lvlJc w:val="left"/>
      <w:pPr>
        <w:tabs>
          <w:tab w:val="num" w:pos="378"/>
        </w:tabs>
        <w:ind w:left="3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98"/>
        </w:tabs>
        <w:ind w:left="109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18"/>
        </w:tabs>
        <w:ind w:left="18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38"/>
        </w:tabs>
        <w:ind w:left="25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58"/>
        </w:tabs>
        <w:ind w:left="325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78"/>
        </w:tabs>
        <w:ind w:left="39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98"/>
        </w:tabs>
        <w:ind w:left="46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18"/>
        </w:tabs>
        <w:ind w:left="54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38"/>
        </w:tabs>
        <w:ind w:left="6138" w:hanging="360"/>
      </w:pPr>
      <w:rPr>
        <w:rFonts w:ascii="Wingdings" w:hAnsi="Wingdings" w:hint="default"/>
      </w:rPr>
    </w:lvl>
  </w:abstractNum>
  <w:abstractNum w:abstractNumId="7" w15:restartNumberingAfterBreak="0">
    <w:nsid w:val="752A234E"/>
    <w:multiLevelType w:val="hybridMultilevel"/>
    <w:tmpl w:val="D0FE52F8"/>
    <w:lvl w:ilvl="0" w:tplc="039A679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EFE3C78"/>
    <w:multiLevelType w:val="hybridMultilevel"/>
    <w:tmpl w:val="E0F81FCE"/>
    <w:lvl w:ilvl="0" w:tplc="8E582F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">
    <w:abstractNumId w:val="5"/>
  </w:num>
  <w:num w:numId="3">
    <w:abstractNumId w:val="7"/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6D"/>
    <w:rsid w:val="0000060D"/>
    <w:rsid w:val="0001547E"/>
    <w:rsid w:val="00016D6B"/>
    <w:rsid w:val="00023A0C"/>
    <w:rsid w:val="000271BC"/>
    <w:rsid w:val="000331B1"/>
    <w:rsid w:val="00041317"/>
    <w:rsid w:val="00041735"/>
    <w:rsid w:val="00042B02"/>
    <w:rsid w:val="000551B9"/>
    <w:rsid w:val="000558AB"/>
    <w:rsid w:val="00057941"/>
    <w:rsid w:val="00071550"/>
    <w:rsid w:val="00072D67"/>
    <w:rsid w:val="00074481"/>
    <w:rsid w:val="0007504C"/>
    <w:rsid w:val="000750AC"/>
    <w:rsid w:val="00091949"/>
    <w:rsid w:val="0009682C"/>
    <w:rsid w:val="000A0AA2"/>
    <w:rsid w:val="000A245F"/>
    <w:rsid w:val="000A2A15"/>
    <w:rsid w:val="000A3F39"/>
    <w:rsid w:val="000A7ABD"/>
    <w:rsid w:val="000B58F8"/>
    <w:rsid w:val="000B7C70"/>
    <w:rsid w:val="000C54EC"/>
    <w:rsid w:val="000C5F75"/>
    <w:rsid w:val="00103FAC"/>
    <w:rsid w:val="00110752"/>
    <w:rsid w:val="00116EBB"/>
    <w:rsid w:val="0013159D"/>
    <w:rsid w:val="001329E8"/>
    <w:rsid w:val="00145CD0"/>
    <w:rsid w:val="00150E49"/>
    <w:rsid w:val="00155C86"/>
    <w:rsid w:val="001648FF"/>
    <w:rsid w:val="0017136E"/>
    <w:rsid w:val="001809BB"/>
    <w:rsid w:val="00183322"/>
    <w:rsid w:val="00187C0B"/>
    <w:rsid w:val="00190E25"/>
    <w:rsid w:val="00193892"/>
    <w:rsid w:val="001938DE"/>
    <w:rsid w:val="001A26C1"/>
    <w:rsid w:val="001B2164"/>
    <w:rsid w:val="001B5A22"/>
    <w:rsid w:val="001D010E"/>
    <w:rsid w:val="001D15B2"/>
    <w:rsid w:val="001D66C0"/>
    <w:rsid w:val="001F4DBD"/>
    <w:rsid w:val="001F7E58"/>
    <w:rsid w:val="00201897"/>
    <w:rsid w:val="002020A1"/>
    <w:rsid w:val="00202356"/>
    <w:rsid w:val="00216FA7"/>
    <w:rsid w:val="002170EE"/>
    <w:rsid w:val="0021732F"/>
    <w:rsid w:val="00225FED"/>
    <w:rsid w:val="0023237A"/>
    <w:rsid w:val="00233851"/>
    <w:rsid w:val="002413EF"/>
    <w:rsid w:val="00243F20"/>
    <w:rsid w:val="00246AD2"/>
    <w:rsid w:val="00250745"/>
    <w:rsid w:val="00251B3F"/>
    <w:rsid w:val="0025337A"/>
    <w:rsid w:val="002548E1"/>
    <w:rsid w:val="00257096"/>
    <w:rsid w:val="0025729D"/>
    <w:rsid w:val="00266231"/>
    <w:rsid w:val="00271F47"/>
    <w:rsid w:val="00293E79"/>
    <w:rsid w:val="00295C78"/>
    <w:rsid w:val="002A133D"/>
    <w:rsid w:val="002A5A95"/>
    <w:rsid w:val="002B5FA7"/>
    <w:rsid w:val="002C3EC2"/>
    <w:rsid w:val="002E36CA"/>
    <w:rsid w:val="002F1D34"/>
    <w:rsid w:val="002F7B18"/>
    <w:rsid w:val="0030054D"/>
    <w:rsid w:val="00302C0A"/>
    <w:rsid w:val="003063D8"/>
    <w:rsid w:val="003220E7"/>
    <w:rsid w:val="0032270F"/>
    <w:rsid w:val="00325CB4"/>
    <w:rsid w:val="00326BAE"/>
    <w:rsid w:val="00327FE5"/>
    <w:rsid w:val="00336FA0"/>
    <w:rsid w:val="00344636"/>
    <w:rsid w:val="003654E8"/>
    <w:rsid w:val="00373D4D"/>
    <w:rsid w:val="003840A3"/>
    <w:rsid w:val="00394375"/>
    <w:rsid w:val="00396251"/>
    <w:rsid w:val="003A0003"/>
    <w:rsid w:val="003B73E5"/>
    <w:rsid w:val="003B7EAB"/>
    <w:rsid w:val="003C115E"/>
    <w:rsid w:val="003C3ABE"/>
    <w:rsid w:val="003D0FB8"/>
    <w:rsid w:val="003E1FFE"/>
    <w:rsid w:val="003E2975"/>
    <w:rsid w:val="003E4EFD"/>
    <w:rsid w:val="003E6CFF"/>
    <w:rsid w:val="004164AE"/>
    <w:rsid w:val="00420C80"/>
    <w:rsid w:val="00454848"/>
    <w:rsid w:val="00454B92"/>
    <w:rsid w:val="004611CE"/>
    <w:rsid w:val="00474B0E"/>
    <w:rsid w:val="0048563F"/>
    <w:rsid w:val="00495750"/>
    <w:rsid w:val="004A5978"/>
    <w:rsid w:val="004A67DD"/>
    <w:rsid w:val="004B4A03"/>
    <w:rsid w:val="004D20EA"/>
    <w:rsid w:val="004D6D06"/>
    <w:rsid w:val="004D7575"/>
    <w:rsid w:val="004E5E2B"/>
    <w:rsid w:val="004F1478"/>
    <w:rsid w:val="004F2201"/>
    <w:rsid w:val="004F6CC4"/>
    <w:rsid w:val="00505252"/>
    <w:rsid w:val="005071C2"/>
    <w:rsid w:val="0050742E"/>
    <w:rsid w:val="00512B7F"/>
    <w:rsid w:val="00517A14"/>
    <w:rsid w:val="005238A2"/>
    <w:rsid w:val="0052479E"/>
    <w:rsid w:val="00525C91"/>
    <w:rsid w:val="00533A58"/>
    <w:rsid w:val="00553748"/>
    <w:rsid w:val="005566AE"/>
    <w:rsid w:val="00561B10"/>
    <w:rsid w:val="005679B0"/>
    <w:rsid w:val="0057540E"/>
    <w:rsid w:val="00597E60"/>
    <w:rsid w:val="005A4EAC"/>
    <w:rsid w:val="005B2119"/>
    <w:rsid w:val="005C47B8"/>
    <w:rsid w:val="005D3846"/>
    <w:rsid w:val="005E33B6"/>
    <w:rsid w:val="005F174E"/>
    <w:rsid w:val="005F68FB"/>
    <w:rsid w:val="005F72E2"/>
    <w:rsid w:val="00613CBE"/>
    <w:rsid w:val="00645A13"/>
    <w:rsid w:val="00650CDF"/>
    <w:rsid w:val="00675A64"/>
    <w:rsid w:val="00676538"/>
    <w:rsid w:val="00680700"/>
    <w:rsid w:val="00683B3D"/>
    <w:rsid w:val="00690E7B"/>
    <w:rsid w:val="00696BB0"/>
    <w:rsid w:val="006B07A4"/>
    <w:rsid w:val="006C344D"/>
    <w:rsid w:val="006C78D6"/>
    <w:rsid w:val="006D21A4"/>
    <w:rsid w:val="006D5F02"/>
    <w:rsid w:val="006E6677"/>
    <w:rsid w:val="006E73AB"/>
    <w:rsid w:val="006E7493"/>
    <w:rsid w:val="006F0C4F"/>
    <w:rsid w:val="006F70FA"/>
    <w:rsid w:val="0070762E"/>
    <w:rsid w:val="00713377"/>
    <w:rsid w:val="007245CE"/>
    <w:rsid w:val="007332ED"/>
    <w:rsid w:val="00745F4E"/>
    <w:rsid w:val="00746D68"/>
    <w:rsid w:val="00751623"/>
    <w:rsid w:val="00753E57"/>
    <w:rsid w:val="00755D7D"/>
    <w:rsid w:val="007713D7"/>
    <w:rsid w:val="00772295"/>
    <w:rsid w:val="007777D2"/>
    <w:rsid w:val="00781700"/>
    <w:rsid w:val="00781CF7"/>
    <w:rsid w:val="007873AF"/>
    <w:rsid w:val="00790235"/>
    <w:rsid w:val="00791682"/>
    <w:rsid w:val="00795CF2"/>
    <w:rsid w:val="007B0085"/>
    <w:rsid w:val="007B1264"/>
    <w:rsid w:val="007B74C0"/>
    <w:rsid w:val="007C149F"/>
    <w:rsid w:val="007D406C"/>
    <w:rsid w:val="007E0903"/>
    <w:rsid w:val="007E1F0F"/>
    <w:rsid w:val="007E3DEA"/>
    <w:rsid w:val="007E4DAC"/>
    <w:rsid w:val="007F7817"/>
    <w:rsid w:val="00802952"/>
    <w:rsid w:val="0081325F"/>
    <w:rsid w:val="00814330"/>
    <w:rsid w:val="0081603E"/>
    <w:rsid w:val="008170EB"/>
    <w:rsid w:val="00822472"/>
    <w:rsid w:val="008236B4"/>
    <w:rsid w:val="00837298"/>
    <w:rsid w:val="00840D7E"/>
    <w:rsid w:val="008422E8"/>
    <w:rsid w:val="00852C77"/>
    <w:rsid w:val="008536EC"/>
    <w:rsid w:val="00855861"/>
    <w:rsid w:val="00861FC6"/>
    <w:rsid w:val="0087144A"/>
    <w:rsid w:val="00871526"/>
    <w:rsid w:val="00873D48"/>
    <w:rsid w:val="0087443E"/>
    <w:rsid w:val="00883DEE"/>
    <w:rsid w:val="008852C1"/>
    <w:rsid w:val="008A7A1D"/>
    <w:rsid w:val="008B5102"/>
    <w:rsid w:val="008D21D1"/>
    <w:rsid w:val="008D5A12"/>
    <w:rsid w:val="008E26FD"/>
    <w:rsid w:val="008F1829"/>
    <w:rsid w:val="008F3773"/>
    <w:rsid w:val="008F45BE"/>
    <w:rsid w:val="008F5F15"/>
    <w:rsid w:val="0090513F"/>
    <w:rsid w:val="009056BF"/>
    <w:rsid w:val="00905A03"/>
    <w:rsid w:val="00911472"/>
    <w:rsid w:val="00924AC1"/>
    <w:rsid w:val="009264A0"/>
    <w:rsid w:val="00926D86"/>
    <w:rsid w:val="00930242"/>
    <w:rsid w:val="00935306"/>
    <w:rsid w:val="00942F64"/>
    <w:rsid w:val="00947037"/>
    <w:rsid w:val="009576B9"/>
    <w:rsid w:val="009623FF"/>
    <w:rsid w:val="0096795B"/>
    <w:rsid w:val="0097472A"/>
    <w:rsid w:val="00980E84"/>
    <w:rsid w:val="0098573D"/>
    <w:rsid w:val="00990B5A"/>
    <w:rsid w:val="00994FA5"/>
    <w:rsid w:val="009A1DFF"/>
    <w:rsid w:val="009A5AE1"/>
    <w:rsid w:val="009A60B6"/>
    <w:rsid w:val="009B08FF"/>
    <w:rsid w:val="009B33D1"/>
    <w:rsid w:val="009C053C"/>
    <w:rsid w:val="009C0E7B"/>
    <w:rsid w:val="009C3B89"/>
    <w:rsid w:val="009D0107"/>
    <w:rsid w:val="009D1712"/>
    <w:rsid w:val="009D2E6B"/>
    <w:rsid w:val="009D3194"/>
    <w:rsid w:val="009D4F17"/>
    <w:rsid w:val="009D5BF9"/>
    <w:rsid w:val="009E7A65"/>
    <w:rsid w:val="009F09B4"/>
    <w:rsid w:val="009F0BA0"/>
    <w:rsid w:val="009F23C4"/>
    <w:rsid w:val="00A15904"/>
    <w:rsid w:val="00A32BF4"/>
    <w:rsid w:val="00A3658D"/>
    <w:rsid w:val="00A366D6"/>
    <w:rsid w:val="00A41088"/>
    <w:rsid w:val="00A42312"/>
    <w:rsid w:val="00A572F7"/>
    <w:rsid w:val="00A70634"/>
    <w:rsid w:val="00A7578B"/>
    <w:rsid w:val="00A7605B"/>
    <w:rsid w:val="00A8428D"/>
    <w:rsid w:val="00A85B1C"/>
    <w:rsid w:val="00A85EE3"/>
    <w:rsid w:val="00AA22D1"/>
    <w:rsid w:val="00AA55DB"/>
    <w:rsid w:val="00AB042E"/>
    <w:rsid w:val="00AB2A55"/>
    <w:rsid w:val="00AB4E5C"/>
    <w:rsid w:val="00AB650B"/>
    <w:rsid w:val="00AB7A54"/>
    <w:rsid w:val="00AC4D32"/>
    <w:rsid w:val="00AC6EBF"/>
    <w:rsid w:val="00AD2BCB"/>
    <w:rsid w:val="00AD4D96"/>
    <w:rsid w:val="00AD7C1C"/>
    <w:rsid w:val="00AF1F37"/>
    <w:rsid w:val="00B02E67"/>
    <w:rsid w:val="00B0766E"/>
    <w:rsid w:val="00B10454"/>
    <w:rsid w:val="00B119FF"/>
    <w:rsid w:val="00B200DB"/>
    <w:rsid w:val="00B24055"/>
    <w:rsid w:val="00B37CE4"/>
    <w:rsid w:val="00B45C5D"/>
    <w:rsid w:val="00B60CB8"/>
    <w:rsid w:val="00B650F6"/>
    <w:rsid w:val="00B8521B"/>
    <w:rsid w:val="00B90340"/>
    <w:rsid w:val="00BB5A8B"/>
    <w:rsid w:val="00BE6897"/>
    <w:rsid w:val="00BF1B9F"/>
    <w:rsid w:val="00BF2419"/>
    <w:rsid w:val="00C00426"/>
    <w:rsid w:val="00C006B3"/>
    <w:rsid w:val="00C01F15"/>
    <w:rsid w:val="00C01F7E"/>
    <w:rsid w:val="00C04DF2"/>
    <w:rsid w:val="00C05527"/>
    <w:rsid w:val="00C05DC0"/>
    <w:rsid w:val="00C12DD7"/>
    <w:rsid w:val="00C14AC9"/>
    <w:rsid w:val="00C16E92"/>
    <w:rsid w:val="00C178CB"/>
    <w:rsid w:val="00C23251"/>
    <w:rsid w:val="00C46766"/>
    <w:rsid w:val="00C46F39"/>
    <w:rsid w:val="00C47156"/>
    <w:rsid w:val="00C56436"/>
    <w:rsid w:val="00C64259"/>
    <w:rsid w:val="00C66439"/>
    <w:rsid w:val="00C705E9"/>
    <w:rsid w:val="00C7481D"/>
    <w:rsid w:val="00C74870"/>
    <w:rsid w:val="00C80D1E"/>
    <w:rsid w:val="00C92749"/>
    <w:rsid w:val="00C931F3"/>
    <w:rsid w:val="00CA7624"/>
    <w:rsid w:val="00CB6644"/>
    <w:rsid w:val="00CC3B9D"/>
    <w:rsid w:val="00CD3A2F"/>
    <w:rsid w:val="00CD6D08"/>
    <w:rsid w:val="00CE02D5"/>
    <w:rsid w:val="00CF28BA"/>
    <w:rsid w:val="00CF7606"/>
    <w:rsid w:val="00CF79D1"/>
    <w:rsid w:val="00D04FF1"/>
    <w:rsid w:val="00D05BBB"/>
    <w:rsid w:val="00D2178E"/>
    <w:rsid w:val="00D35024"/>
    <w:rsid w:val="00D3536D"/>
    <w:rsid w:val="00D37F01"/>
    <w:rsid w:val="00D430F7"/>
    <w:rsid w:val="00D447F9"/>
    <w:rsid w:val="00D549EF"/>
    <w:rsid w:val="00D55E9F"/>
    <w:rsid w:val="00D60311"/>
    <w:rsid w:val="00D61498"/>
    <w:rsid w:val="00D73245"/>
    <w:rsid w:val="00D76898"/>
    <w:rsid w:val="00D82AB6"/>
    <w:rsid w:val="00D85E64"/>
    <w:rsid w:val="00D86055"/>
    <w:rsid w:val="00D92A3F"/>
    <w:rsid w:val="00D96B40"/>
    <w:rsid w:val="00DA2DD2"/>
    <w:rsid w:val="00DA77DF"/>
    <w:rsid w:val="00DD4518"/>
    <w:rsid w:val="00DE547A"/>
    <w:rsid w:val="00DF1A27"/>
    <w:rsid w:val="00DF211C"/>
    <w:rsid w:val="00E13A65"/>
    <w:rsid w:val="00E14C4E"/>
    <w:rsid w:val="00E15C71"/>
    <w:rsid w:val="00E211C6"/>
    <w:rsid w:val="00E279D8"/>
    <w:rsid w:val="00E574F2"/>
    <w:rsid w:val="00E715F0"/>
    <w:rsid w:val="00E7575A"/>
    <w:rsid w:val="00E870B4"/>
    <w:rsid w:val="00EA2F19"/>
    <w:rsid w:val="00EA3A26"/>
    <w:rsid w:val="00EA5CF3"/>
    <w:rsid w:val="00EB3921"/>
    <w:rsid w:val="00EB686B"/>
    <w:rsid w:val="00EB7339"/>
    <w:rsid w:val="00EC7576"/>
    <w:rsid w:val="00ED357D"/>
    <w:rsid w:val="00EE3FC8"/>
    <w:rsid w:val="00EE724F"/>
    <w:rsid w:val="00EE7389"/>
    <w:rsid w:val="00F0446D"/>
    <w:rsid w:val="00F0636A"/>
    <w:rsid w:val="00F15C80"/>
    <w:rsid w:val="00F1631F"/>
    <w:rsid w:val="00F23667"/>
    <w:rsid w:val="00F278DD"/>
    <w:rsid w:val="00F31BDF"/>
    <w:rsid w:val="00F525E5"/>
    <w:rsid w:val="00F62817"/>
    <w:rsid w:val="00F67F92"/>
    <w:rsid w:val="00F7073E"/>
    <w:rsid w:val="00F72921"/>
    <w:rsid w:val="00F8106B"/>
    <w:rsid w:val="00FB0F01"/>
    <w:rsid w:val="00FB32CC"/>
    <w:rsid w:val="00FC4F02"/>
    <w:rsid w:val="00FD0B9C"/>
    <w:rsid w:val="00FD4A63"/>
    <w:rsid w:val="00FE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BA5CC"/>
  <w15:docId w15:val="{90CE1BFA-C3C5-4588-9ECE-B31A126B0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5EE3"/>
    <w:rPr>
      <w:sz w:val="24"/>
      <w:szCs w:val="24"/>
    </w:rPr>
  </w:style>
  <w:style w:type="paragraph" w:styleId="Nadpis1">
    <w:name w:val="heading 1"/>
    <w:basedOn w:val="Normln"/>
    <w:next w:val="Normln"/>
    <w:qFormat/>
    <w:rsid w:val="00A85EE3"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A85EE3"/>
    <w:pPr>
      <w:widowControl w:val="0"/>
      <w:tabs>
        <w:tab w:val="left" w:pos="0"/>
        <w:tab w:val="left" w:pos="709"/>
        <w:tab w:val="left" w:pos="1418"/>
        <w:tab w:val="left" w:pos="2127"/>
        <w:tab w:val="left" w:pos="2836"/>
        <w:tab w:val="left" w:pos="3546"/>
        <w:tab w:val="left" w:pos="4255"/>
        <w:tab w:val="left" w:pos="4964"/>
        <w:tab w:val="left" w:pos="5673"/>
        <w:tab w:val="left" w:pos="6382"/>
        <w:tab w:val="left" w:pos="7092"/>
        <w:tab w:val="left" w:pos="7801"/>
        <w:tab w:val="left" w:pos="8510"/>
        <w:tab w:val="left" w:pos="9219"/>
        <w:tab w:val="left" w:pos="9928"/>
        <w:tab w:val="left" w:pos="10638"/>
        <w:tab w:val="left" w:pos="11347"/>
        <w:tab w:val="left" w:pos="12056"/>
        <w:tab w:val="left" w:pos="12765"/>
      </w:tabs>
      <w:suppressAutoHyphens/>
      <w:autoSpaceDE w:val="0"/>
      <w:autoSpaceDN w:val="0"/>
      <w:adjustRightInd w:val="0"/>
      <w:spacing w:before="120"/>
      <w:jc w:val="both"/>
    </w:pPr>
    <w:rPr>
      <w:rFonts w:ascii="Times New Roman CE obyèejné" w:hAnsi="Times New Roman CE obyèejné"/>
      <w:sz w:val="20"/>
      <w:szCs w:val="20"/>
    </w:rPr>
  </w:style>
  <w:style w:type="paragraph" w:styleId="Seznam">
    <w:name w:val="List"/>
    <w:basedOn w:val="Normln"/>
    <w:semiHidden/>
    <w:rsid w:val="00A85EE3"/>
    <w:pPr>
      <w:ind w:left="283" w:hanging="283"/>
    </w:pPr>
  </w:style>
  <w:style w:type="paragraph" w:styleId="Normlnweb">
    <w:name w:val="Normal (Web)"/>
    <w:basedOn w:val="Normln"/>
    <w:semiHidden/>
    <w:rsid w:val="00A85EE3"/>
    <w:pPr>
      <w:spacing w:before="100" w:beforeAutospacing="1" w:after="100" w:afterAutospacing="1"/>
    </w:pPr>
    <w:rPr>
      <w:color w:val="000000"/>
    </w:rPr>
  </w:style>
  <w:style w:type="paragraph" w:styleId="Textkomente">
    <w:name w:val="annotation text"/>
    <w:basedOn w:val="Normln"/>
    <w:link w:val="TextkomenteChar"/>
    <w:semiHidden/>
    <w:rsid w:val="00A85EE3"/>
    <w:rPr>
      <w:sz w:val="20"/>
      <w:szCs w:val="20"/>
    </w:rPr>
  </w:style>
  <w:style w:type="character" w:styleId="Odkaznakoment">
    <w:name w:val="annotation reference"/>
    <w:basedOn w:val="Standardnpsmoodstavce"/>
    <w:semiHidden/>
    <w:rsid w:val="00A85EE3"/>
    <w:rPr>
      <w:sz w:val="16"/>
      <w:szCs w:val="16"/>
    </w:rPr>
  </w:style>
  <w:style w:type="paragraph" w:styleId="Zkladntextodsazen">
    <w:name w:val="Body Text Indent"/>
    <w:basedOn w:val="Normln"/>
    <w:semiHidden/>
    <w:rsid w:val="00A85EE3"/>
    <w:pPr>
      <w:ind w:firstLine="360"/>
      <w:jc w:val="both"/>
    </w:pPr>
  </w:style>
  <w:style w:type="paragraph" w:styleId="Zkladntextodsazen2">
    <w:name w:val="Body Text Indent 2"/>
    <w:basedOn w:val="Normln"/>
    <w:semiHidden/>
    <w:rsid w:val="00A85EE3"/>
    <w:pPr>
      <w:spacing w:before="120"/>
      <w:ind w:firstLine="709"/>
      <w:jc w:val="both"/>
    </w:pPr>
    <w:rPr>
      <w:rFonts w:ascii="Arial" w:hAnsi="Arial" w:cs="Arial"/>
      <w:sz w:val="20"/>
    </w:rPr>
  </w:style>
  <w:style w:type="character" w:styleId="Hypertextovodkaz">
    <w:name w:val="Hyperlink"/>
    <w:basedOn w:val="Standardnpsmoodstavce"/>
    <w:semiHidden/>
    <w:rsid w:val="00A85EE3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A85EE3"/>
    <w:rPr>
      <w:color w:val="800080"/>
      <w:u w:val="single"/>
    </w:rPr>
  </w:style>
  <w:style w:type="paragraph" w:styleId="Rozloendokumentu">
    <w:name w:val="Document Map"/>
    <w:basedOn w:val="Normln"/>
    <w:semiHidden/>
    <w:rsid w:val="00A85EE3"/>
    <w:pPr>
      <w:shd w:val="clear" w:color="auto" w:fill="000080"/>
    </w:pPr>
    <w:rPr>
      <w:rFonts w:ascii="Tahoma" w:hAnsi="Tahoma" w:cs="Tahoma"/>
    </w:rPr>
  </w:style>
  <w:style w:type="paragraph" w:styleId="Zkladntext3">
    <w:name w:val="Body Text 3"/>
    <w:basedOn w:val="Normln"/>
    <w:semiHidden/>
    <w:rsid w:val="00A85EE3"/>
    <w:pPr>
      <w:spacing w:line="360" w:lineRule="auto"/>
      <w:jc w:val="both"/>
    </w:pPr>
  </w:style>
  <w:style w:type="paragraph" w:customStyle="1" w:styleId="1">
    <w:name w:val="1"/>
    <w:basedOn w:val="Normln"/>
    <w:rsid w:val="00A85EE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hlav">
    <w:name w:val="header"/>
    <w:basedOn w:val="Normln"/>
    <w:semiHidden/>
    <w:rsid w:val="00A85EE3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A85EE3"/>
    <w:pPr>
      <w:tabs>
        <w:tab w:val="center" w:pos="4536"/>
        <w:tab w:val="right" w:pos="9072"/>
      </w:tabs>
    </w:pPr>
  </w:style>
  <w:style w:type="character" w:customStyle="1" w:styleId="ZkladntextChar">
    <w:name w:val="Základní text Char"/>
    <w:link w:val="Zkladntext"/>
    <w:semiHidden/>
    <w:rsid w:val="00C92749"/>
    <w:rPr>
      <w:rFonts w:ascii="Times New Roman CE obyèejné" w:hAnsi="Times New Roman CE obyèejné"/>
    </w:rPr>
  </w:style>
  <w:style w:type="character" w:styleId="Siln">
    <w:name w:val="Strong"/>
    <w:basedOn w:val="Standardnpsmoodstavce"/>
    <w:uiPriority w:val="22"/>
    <w:qFormat/>
    <w:rsid w:val="00C006B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0E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0E25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24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D73245"/>
  </w:style>
  <w:style w:type="character" w:customStyle="1" w:styleId="PedmtkomenteChar">
    <w:name w:val="Předmět komentáře Char"/>
    <w:basedOn w:val="TextkomenteChar"/>
    <w:link w:val="Pedmtkomente"/>
    <w:rsid w:val="00D73245"/>
  </w:style>
  <w:style w:type="paragraph" w:styleId="Revize">
    <w:name w:val="Revision"/>
    <w:hidden/>
    <w:uiPriority w:val="99"/>
    <w:semiHidden/>
    <w:rsid w:val="00D732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94639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9847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justice.cz/Justice2/Uvod/uvod.aspx" TargetMode="External"/><Relationship Id="rId13" Type="http://schemas.openxmlformats.org/officeDocument/2006/relationships/hyperlink" Target="http://www.hzsc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vcr.cz/ministerstvo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dcr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olicie.cz/statistiky-kriminalita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scr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7C15F-F8A1-4AC2-AEBC-2C6C486D1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3130</Words>
  <Characters>18468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25</vt:lpstr>
    </vt:vector>
  </TitlesOfParts>
  <Company>CSU</Company>
  <LinksUpToDate>false</LinksUpToDate>
  <CharactersWithSpaces>21555</CharactersWithSpaces>
  <SharedDoc>false</SharedDoc>
  <HLinks>
    <vt:vector size="30" baseType="variant">
      <vt:variant>
        <vt:i4>4456468</vt:i4>
      </vt:variant>
      <vt:variant>
        <vt:i4>12</vt:i4>
      </vt:variant>
      <vt:variant>
        <vt:i4>0</vt:i4>
      </vt:variant>
      <vt:variant>
        <vt:i4>5</vt:i4>
      </vt:variant>
      <vt:variant>
        <vt:lpwstr>http://www.mvcr.cz/ministerstvo.aspx</vt:lpwstr>
      </vt:variant>
      <vt:variant>
        <vt:lpwstr/>
      </vt:variant>
      <vt:variant>
        <vt:i4>983058</vt:i4>
      </vt:variant>
      <vt:variant>
        <vt:i4>9</vt:i4>
      </vt:variant>
      <vt:variant>
        <vt:i4>0</vt:i4>
      </vt:variant>
      <vt:variant>
        <vt:i4>5</vt:i4>
      </vt:variant>
      <vt:variant>
        <vt:lpwstr>http://www.mdcr.cz/cs/default.htm</vt:lpwstr>
      </vt:variant>
      <vt:variant>
        <vt:lpwstr/>
      </vt:variant>
      <vt:variant>
        <vt:i4>851990</vt:i4>
      </vt:variant>
      <vt:variant>
        <vt:i4>6</vt:i4>
      </vt:variant>
      <vt:variant>
        <vt:i4>0</vt:i4>
      </vt:variant>
      <vt:variant>
        <vt:i4>5</vt:i4>
      </vt:variant>
      <vt:variant>
        <vt:lpwstr>http://www.policie.cz/statistiky-kriminalita.aspx</vt:lpwstr>
      </vt:variant>
      <vt:variant>
        <vt:lpwstr/>
      </vt:variant>
      <vt:variant>
        <vt:i4>6946866</vt:i4>
      </vt:variant>
      <vt:variant>
        <vt:i4>3</vt:i4>
      </vt:variant>
      <vt:variant>
        <vt:i4>0</vt:i4>
      </vt:variant>
      <vt:variant>
        <vt:i4>5</vt:i4>
      </vt:variant>
      <vt:variant>
        <vt:lpwstr>http://www.vscr.cz/</vt:lpwstr>
      </vt:variant>
      <vt:variant>
        <vt:lpwstr/>
      </vt:variant>
      <vt:variant>
        <vt:i4>4653121</vt:i4>
      </vt:variant>
      <vt:variant>
        <vt:i4>0</vt:i4>
      </vt:variant>
      <vt:variant>
        <vt:i4>0</vt:i4>
      </vt:variant>
      <vt:variant>
        <vt:i4>5</vt:i4>
      </vt:variant>
      <vt:variant>
        <vt:lpwstr>http://portal.justice.cz/Justice2/Uvod/uvod.aspx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  SOUDNICTVÍ, KRIMINALITA, NEHODY, Metodické vysvětlivky, Statistická ročenka ČR 2023</dc:title>
  <dc:creator>Český statistický úřad</dc:creator>
  <cp:lastModifiedBy>Zadák Rostislav</cp:lastModifiedBy>
  <cp:revision>5</cp:revision>
  <cp:lastPrinted>2017-05-02T08:32:00Z</cp:lastPrinted>
  <dcterms:created xsi:type="dcterms:W3CDTF">2023-06-13T10:02:00Z</dcterms:created>
  <dcterms:modified xsi:type="dcterms:W3CDTF">2023-11-09T14:40:00Z</dcterms:modified>
</cp:coreProperties>
</file>