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2F" w:rsidRDefault="005D1251" w:rsidP="00DB2C2F">
      <w:pPr>
        <w:spacing w:line="276" w:lineRule="auto"/>
        <w:jc w:val="both"/>
        <w:rPr>
          <w:b/>
          <w:sz w:val="24"/>
        </w:rPr>
      </w:pPr>
      <w:r w:rsidRPr="005D1251">
        <w:rPr>
          <w:b/>
          <w:sz w:val="24"/>
        </w:rPr>
        <w:t>Metodické vysvětlivky</w:t>
      </w:r>
    </w:p>
    <w:p w:rsidR="005D1251" w:rsidRPr="005D1251" w:rsidRDefault="005D1251" w:rsidP="00DB2C2F">
      <w:pPr>
        <w:spacing w:line="276" w:lineRule="auto"/>
        <w:jc w:val="both"/>
        <w:rPr>
          <w:b/>
          <w:sz w:val="24"/>
        </w:rPr>
      </w:pP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>Index vývozních a dovozních cen za Českou republiku je počítán od roku 1993. Do konce roku 1997 byly ceny zjišťovány prostřednictvím čtvrtletního</w:t>
      </w:r>
      <w:r w:rsidR="003A7639">
        <w:rPr>
          <w:szCs w:val="22"/>
        </w:rPr>
        <w:t xml:space="preserve"> státního statistického výkazu </w:t>
      </w:r>
      <w:r>
        <w:rPr>
          <w:szCs w:val="22"/>
        </w:rPr>
        <w:t xml:space="preserve">Ceny ZO 1-04, od roku 1998 bylo zavedeno šetření s měsíční periodicitou, státním statistickým výkazem - </w:t>
      </w:r>
      <w:r w:rsidRPr="005D1251">
        <w:rPr>
          <w:bCs/>
          <w:szCs w:val="22"/>
        </w:rPr>
        <w:t>Ceny ZO 1-12</w:t>
      </w:r>
      <w:r w:rsidRPr="005D1251">
        <w:rPr>
          <w:szCs w:val="22"/>
        </w:rPr>
        <w:t xml:space="preserve">. </w:t>
      </w:r>
    </w:p>
    <w:p w:rsidR="004033C8" w:rsidRDefault="004033C8" w:rsidP="00DB2C2F">
      <w:pPr>
        <w:spacing w:line="276" w:lineRule="auto"/>
        <w:jc w:val="both"/>
        <w:rPr>
          <w:szCs w:val="22"/>
        </w:rPr>
      </w:pPr>
    </w:p>
    <w:p w:rsidR="00DB2C2F" w:rsidRDefault="00DB2C2F" w:rsidP="00481C0E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Index je konstruován podle Harmonizovaného systému, dále je přepočten v členění podle hlavních skupin klasifikace SITC (</w:t>
      </w:r>
      <w:r>
        <w:rPr>
          <w:rStyle w:val="Zdraznn"/>
          <w:rFonts w:cs="Arial"/>
        </w:rPr>
        <w:t xml:space="preserve">Standard International </w:t>
      </w:r>
      <w:proofErr w:type="spellStart"/>
      <w:r>
        <w:rPr>
          <w:rStyle w:val="Zdraznn"/>
          <w:rFonts w:cs="Arial"/>
        </w:rPr>
        <w:t>Trade</w:t>
      </w:r>
      <w:proofErr w:type="spellEnd"/>
      <w:r>
        <w:rPr>
          <w:rStyle w:val="Zdraznn"/>
          <w:rFonts w:cs="Arial"/>
        </w:rPr>
        <w:t xml:space="preserve"> </w:t>
      </w:r>
      <w:proofErr w:type="spellStart"/>
      <w:r>
        <w:rPr>
          <w:rStyle w:val="Zdraznn"/>
          <w:rFonts w:cs="Arial"/>
        </w:rPr>
        <w:t>Classification</w:t>
      </w:r>
      <w:proofErr w:type="spellEnd"/>
      <w:r>
        <w:rPr>
          <w:rStyle w:val="Zdraznn"/>
          <w:rFonts w:cs="Arial"/>
        </w:rPr>
        <w:t xml:space="preserve">) </w:t>
      </w:r>
      <w:r>
        <w:rPr>
          <w:rFonts w:cs="Arial"/>
          <w:szCs w:val="22"/>
        </w:rPr>
        <w:t xml:space="preserve">Rev.4 a v členění klasifikace produkce CZ-CPA </w:t>
      </w:r>
      <w:r w:rsidR="00BE717C">
        <w:rPr>
          <w:rFonts w:cs="Arial"/>
          <w:szCs w:val="22"/>
        </w:rPr>
        <w:t xml:space="preserve">2.1 </w:t>
      </w:r>
      <w:r>
        <w:rPr>
          <w:rFonts w:cs="Arial"/>
          <w:szCs w:val="22"/>
        </w:rPr>
        <w:t>(</w:t>
      </w:r>
      <w:proofErr w:type="spellStart"/>
      <w:r w:rsidRPr="0098153A">
        <w:rPr>
          <w:rFonts w:cs="Arial"/>
          <w:i/>
          <w:szCs w:val="22"/>
        </w:rPr>
        <w:t>Classification</w:t>
      </w:r>
      <w:proofErr w:type="spellEnd"/>
      <w:r w:rsidRPr="0098153A">
        <w:rPr>
          <w:rFonts w:cs="Arial"/>
          <w:i/>
          <w:szCs w:val="22"/>
        </w:rPr>
        <w:t xml:space="preserve"> </w:t>
      </w:r>
      <w:proofErr w:type="spellStart"/>
      <w:r w:rsidRPr="0098153A">
        <w:rPr>
          <w:rFonts w:cs="Arial"/>
          <w:i/>
          <w:szCs w:val="22"/>
        </w:rPr>
        <w:t>of</w:t>
      </w:r>
      <w:proofErr w:type="spellEnd"/>
      <w:r w:rsidRPr="0098153A">
        <w:rPr>
          <w:rFonts w:cs="Arial"/>
          <w:i/>
          <w:szCs w:val="22"/>
        </w:rPr>
        <w:t xml:space="preserve"> </w:t>
      </w:r>
      <w:proofErr w:type="spellStart"/>
      <w:r w:rsidRPr="0098153A">
        <w:rPr>
          <w:rFonts w:cs="Arial"/>
          <w:i/>
          <w:szCs w:val="22"/>
        </w:rPr>
        <w:t>Products</w:t>
      </w:r>
      <w:proofErr w:type="spellEnd"/>
      <w:r w:rsidRPr="0098153A">
        <w:rPr>
          <w:rFonts w:cs="Arial"/>
          <w:i/>
          <w:szCs w:val="22"/>
        </w:rPr>
        <w:t xml:space="preserve"> by </w:t>
      </w:r>
      <w:proofErr w:type="spellStart"/>
      <w:r w:rsidRPr="0098153A">
        <w:rPr>
          <w:rFonts w:cs="Arial"/>
          <w:i/>
          <w:szCs w:val="22"/>
        </w:rPr>
        <w:t>Activity</w:t>
      </w:r>
      <w:proofErr w:type="spellEnd"/>
      <w:r w:rsidR="00BE717C">
        <w:rPr>
          <w:rFonts w:cs="Arial"/>
          <w:i/>
          <w:szCs w:val="22"/>
        </w:rPr>
        <w:t xml:space="preserve">, </w:t>
      </w:r>
      <w:proofErr w:type="spellStart"/>
      <w:r w:rsidR="00BE717C">
        <w:rPr>
          <w:rFonts w:cs="Arial"/>
          <w:i/>
          <w:szCs w:val="22"/>
        </w:rPr>
        <w:t>Version</w:t>
      </w:r>
      <w:proofErr w:type="spellEnd"/>
      <w:r w:rsidR="00BE717C">
        <w:rPr>
          <w:rFonts w:cs="Arial"/>
          <w:i/>
          <w:szCs w:val="22"/>
        </w:rPr>
        <w:t xml:space="preserve"> 2.1</w:t>
      </w:r>
      <w:r w:rsidRPr="0098153A">
        <w:rPr>
          <w:rFonts w:cs="Arial"/>
          <w:i/>
          <w:szCs w:val="22"/>
        </w:rPr>
        <w:t>)</w:t>
      </w:r>
      <w:r>
        <w:rPr>
          <w:rFonts w:cs="Arial"/>
          <w:szCs w:val="22"/>
        </w:rPr>
        <w:t>. Zkratka CZ v názvu vyjadřuje národní verzi mezinárodního standardu. Klasifikace CZ-CPA nahradila v roce 2009 klasifikaci standardní produkce SKP.</w:t>
      </w:r>
    </w:p>
    <w:p w:rsidR="00DB2C2F" w:rsidRDefault="00DB2C2F" w:rsidP="00DB2C2F">
      <w:pPr>
        <w:spacing w:line="276" w:lineRule="auto"/>
        <w:ind w:firstLine="708"/>
        <w:jc w:val="both"/>
        <w:rPr>
          <w:rFonts w:cs="Arial"/>
        </w:rPr>
      </w:pPr>
    </w:p>
    <w:p w:rsidR="00DB2C2F" w:rsidRDefault="00DB2C2F" w:rsidP="00DB2C2F">
      <w:pPr>
        <w:spacing w:line="276" w:lineRule="auto"/>
        <w:ind w:left="708"/>
        <w:jc w:val="both"/>
        <w:rPr>
          <w:szCs w:val="22"/>
        </w:rPr>
      </w:pPr>
      <w:r>
        <w:rPr>
          <w:szCs w:val="22"/>
        </w:rPr>
        <w:t xml:space="preserve">Indexy jsou vypočítávány podle modifikovaného </w:t>
      </w:r>
      <w:proofErr w:type="spellStart"/>
      <w:r>
        <w:rPr>
          <w:szCs w:val="22"/>
        </w:rPr>
        <w:t>Laspeyresova</w:t>
      </w:r>
      <w:proofErr w:type="spellEnd"/>
      <w:r>
        <w:rPr>
          <w:szCs w:val="22"/>
        </w:rPr>
        <w:t xml:space="preserve"> vzorce.</w:t>
      </w:r>
    </w:p>
    <w:p w:rsidR="00DB2C2F" w:rsidRDefault="00DB2C2F" w:rsidP="00DB2C2F">
      <w:pPr>
        <w:spacing w:line="276" w:lineRule="auto"/>
        <w:ind w:firstLine="708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center"/>
        <w:rPr>
          <w:szCs w:val="22"/>
        </w:rPr>
      </w:pPr>
      <w:r w:rsidRPr="005D6940">
        <w:rPr>
          <w:position w:val="-32"/>
        </w:rPr>
        <w:object w:dxaOrig="2040" w:dyaOrig="1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51.75pt" o:ole="">
            <v:imagedata r:id="rId8" o:title=""/>
          </v:shape>
          <o:OLEObject Type="Embed" ProgID="Equation.3" ShapeID="_x0000_i1025" DrawAspect="Content" ObjectID="_1596016201" r:id="rId9"/>
        </w:objec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DB2C2F" w:rsidRDefault="00DB2C2F" w:rsidP="00DB2C2F">
      <w:pPr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1</w:t>
      </w:r>
      <w:r>
        <w:rPr>
          <w:szCs w:val="16"/>
          <w:vertAlign w:val="subscript"/>
        </w:rPr>
        <w:tab/>
      </w:r>
      <w:r>
        <w:t>- cena (reprezentanta) ve sledovaném období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tab/>
        <w:t>- cena (reprezentanta) v základním období – průměrná cena za rok 201</w:t>
      </w:r>
      <w:r w:rsidR="0098153A">
        <w:t>5</w:t>
      </w:r>
    </w:p>
    <w:p w:rsidR="00DB2C2F" w:rsidRDefault="00DB2C2F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rPr>
          <w:i/>
          <w:iCs/>
        </w:rPr>
        <w:t>p</w:t>
      </w:r>
      <w:r>
        <w:rPr>
          <w:szCs w:val="16"/>
          <w:vertAlign w:val="subscript"/>
        </w:rPr>
        <w:t>0</w:t>
      </w:r>
      <w:r>
        <w:rPr>
          <w:i/>
          <w:iCs/>
        </w:rPr>
        <w:t>q</w:t>
      </w:r>
      <w:r>
        <w:rPr>
          <w:szCs w:val="16"/>
          <w:vertAlign w:val="subscript"/>
        </w:rPr>
        <w:t>0</w:t>
      </w:r>
      <w:r>
        <w:rPr>
          <w:szCs w:val="16"/>
        </w:rPr>
        <w:tab/>
      </w:r>
      <w:r>
        <w:t xml:space="preserve">- stálá váha (relativní struktura) – hodnota realizace </w:t>
      </w:r>
      <w:r w:rsidR="0098153A">
        <w:t xml:space="preserve">zahraničního obchodu </w:t>
      </w:r>
    </w:p>
    <w:p w:rsidR="00392636" w:rsidRDefault="00392636" w:rsidP="0039263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3686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v národním pojetí v roce 2015</w:t>
      </w:r>
    </w:p>
    <w:p w:rsidR="00392636" w:rsidRDefault="00392636" w:rsidP="00DB2C2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line="276" w:lineRule="auto"/>
        <w:jc w:val="both"/>
      </w:pPr>
    </w:p>
    <w:p w:rsidR="00911FF9" w:rsidRDefault="00911FF9" w:rsidP="00911FF9">
      <w:pPr>
        <w:spacing w:after="240" w:line="276" w:lineRule="auto"/>
        <w:jc w:val="both"/>
        <w:rPr>
          <w:szCs w:val="22"/>
        </w:rPr>
      </w:pPr>
      <w:r>
        <w:rPr>
          <w:szCs w:val="22"/>
        </w:rPr>
        <w:t xml:space="preserve">Cenovým základem pro výpočet indexů jsou od roku 2018 průměrné ceny jednotlivých reprezentantů v roce 2015. </w:t>
      </w:r>
    </w:p>
    <w:p w:rsidR="004C6C9E" w:rsidRDefault="004C6C9E" w:rsidP="00C406E0">
      <w:pPr>
        <w:spacing w:after="240" w:line="276" w:lineRule="auto"/>
        <w:jc w:val="both"/>
        <w:rPr>
          <w:szCs w:val="22"/>
        </w:rPr>
      </w:pPr>
      <w:r>
        <w:rPr>
          <w:rFonts w:cs="Arial"/>
        </w:rPr>
        <w:t xml:space="preserve">Stálé váhy indexu odpovídají struktuře zahraničního obchodu v národním pojetí v roce 2015 zjištěné </w:t>
      </w:r>
      <w:r w:rsidR="00771D61">
        <w:rPr>
          <w:rFonts w:cs="Arial"/>
          <w:szCs w:val="22"/>
        </w:rPr>
        <w:t>za </w:t>
      </w:r>
      <w:r>
        <w:rPr>
          <w:rFonts w:cs="Arial"/>
          <w:szCs w:val="22"/>
        </w:rPr>
        <w:t>čtyřmístné skupiny Harmonizovaného systému.</w:t>
      </w:r>
      <w:r>
        <w:rPr>
          <w:rFonts w:cs="Arial"/>
        </w:rPr>
        <w:t xml:space="preserve"> </w:t>
      </w:r>
      <w:r>
        <w:rPr>
          <w:rFonts w:cs="Arial"/>
          <w:szCs w:val="22"/>
        </w:rPr>
        <w:t>Váhy jednotlivých reprezentantů pak byly stanoveny podle realizovaných hodnot za konkrétní reprezentanty, eventuálně za celé skupiny reprezentantů, které uvedly vybrané zpravodajské jednotky na výkaze</w:t>
      </w:r>
      <w:r w:rsidR="005E334A">
        <w:rPr>
          <w:rFonts w:cs="Arial"/>
          <w:szCs w:val="22"/>
        </w:rPr>
        <w:t>.</w:t>
      </w:r>
    </w:p>
    <w:p w:rsidR="00A72FBA" w:rsidRDefault="00A72FBA" w:rsidP="00A72FBA">
      <w:pPr>
        <w:spacing w:after="240" w:line="276" w:lineRule="auto"/>
        <w:jc w:val="both"/>
        <w:rPr>
          <w:szCs w:val="22"/>
        </w:rPr>
      </w:pPr>
      <w:r>
        <w:rPr>
          <w:szCs w:val="22"/>
        </w:rPr>
        <w:t xml:space="preserve">Ve výběru reprezentantů jsou zastoupeny všechny významné dvoumístné skupiny harmonizovaného systému a v rámci těchto skupin pokud možno i všechny nejvýznamnější čtyřmístné skupiny harmonizovaného systému. V těchto skupinách jsou vybrány výrobky s opakovaným vývozem či dovozem, na kterých je možno sledovat cenový vývoj. Publikovány jsou však jen některé vybrané kapitoly harmonizovaného systému. </w:t>
      </w:r>
    </w:p>
    <w:p w:rsidR="0098153A" w:rsidRDefault="0098153A" w:rsidP="00911FF9">
      <w:pPr>
        <w:spacing w:after="240" w:line="276" w:lineRule="auto"/>
        <w:jc w:val="both"/>
      </w:pPr>
      <w:r w:rsidRPr="0098153A">
        <w:rPr>
          <w:bCs/>
        </w:rPr>
        <w:t>Výběr cenových reprezentantů</w:t>
      </w:r>
      <w:r>
        <w:t xml:space="preserve"> provedly tuzemské ekonomické subjekty důležité pro zahraniční obchod České republiky, jednak výrobní podniky, ale i podniky zabývající se pouze zahraničně obchodní činností, a to cca 610 ekonomických subjektů pro vývoz a cca 630 pro dovoz. Ve váhovém schématu je nyní zařazeno cca 2560 vyvážených a 2870 dovážených výrobků, surovin a materiálů - cenových reprezentantů, které se významně podílejí na hodnotě realizace jednotlivých významnějších skupin zahraničního obchodu (vývozu i dovozu).</w:t>
      </w:r>
    </w:p>
    <w:p w:rsidR="005E334A" w:rsidRDefault="005E334A" w:rsidP="005E334A">
      <w:pPr>
        <w:spacing w:after="240" w:line="276" w:lineRule="auto"/>
        <w:jc w:val="both"/>
        <w:rPr>
          <w:szCs w:val="22"/>
        </w:rPr>
      </w:pPr>
      <w:r>
        <w:rPr>
          <w:szCs w:val="22"/>
        </w:rPr>
        <w:t>Vývoj cen se sleduje na jednotlivých konkrétních reprezentantech, vybraných v rámci osmimístného číselného kódu kombinované nomenklatury, charakterizovaných určitými technickými a kvalitativními parametry, značkou, měrnou jednotkou, případně stabilním zahraničním trhem.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  <w:r>
        <w:rPr>
          <w:szCs w:val="22"/>
        </w:rPr>
        <w:t xml:space="preserve">Vykazující jednotky uvádějí průměrné ceny jako vážený aritmetický průměr (váženo množstvím výrobků ve fyzických jednotkách) z cen docilovaných při významnějších obchodních transakcích buď v různých zemích, nebo na stabilním zahraničním trhu, pokud je zahrnut do charakteristiky cenového </w:t>
      </w:r>
      <w:r>
        <w:rPr>
          <w:szCs w:val="22"/>
        </w:rPr>
        <w:lastRenderedPageBreak/>
        <w:t>reprezentanta, a to za celý sledovaný měsíc. U vývozu se sledují ceny franko česká hranice</w:t>
      </w:r>
      <w:r w:rsidR="00481C0E">
        <w:rPr>
          <w:szCs w:val="22"/>
        </w:rPr>
        <w:t xml:space="preserve"> a </w:t>
      </w:r>
      <w:r>
        <w:rPr>
          <w:szCs w:val="22"/>
        </w:rPr>
        <w:t>u dovozu ceny fakturované zahraničním dodavatelem.</w:t>
      </w:r>
    </w:p>
    <w:p w:rsidR="00DB2C2F" w:rsidRDefault="00DB2C2F" w:rsidP="00DB2C2F">
      <w:pPr>
        <w:spacing w:line="276" w:lineRule="auto"/>
        <w:jc w:val="both"/>
        <w:rPr>
          <w:szCs w:val="22"/>
        </w:rPr>
      </w:pPr>
    </w:p>
    <w:p w:rsidR="0031626E" w:rsidRDefault="00DB2C2F" w:rsidP="0031626E">
      <w:pPr>
        <w:spacing w:after="240" w:line="276" w:lineRule="auto"/>
        <w:jc w:val="both"/>
        <w:rPr>
          <w:szCs w:val="22"/>
        </w:rPr>
      </w:pPr>
      <w:r>
        <w:rPr>
          <w:szCs w:val="22"/>
        </w:rPr>
        <w:t>Základem realizačních cen jsou fakturované ceny z uskutečn</w:t>
      </w:r>
      <w:r w:rsidR="00481C0E">
        <w:rPr>
          <w:szCs w:val="22"/>
        </w:rPr>
        <w:t>ěných významnějších vývozních a </w:t>
      </w:r>
      <w:r>
        <w:rPr>
          <w:szCs w:val="22"/>
        </w:rPr>
        <w:t>dovozních obchodů přepočtené na Kč příslušným průměrným měsíčním měnovým kurzem ČNB. Tento přepočet provádí buď přímo zpravodajská jednotka, nebo pokud ekonomický subjekt vykazuje ceny v zahraniční měně, přepočet na Kč provádí ČSÚ. Do cenových indexů se tudíž promítá kromě cenového vývoje i vliv změn kurzů zahraničních měn. Uváděné ceny neobsahují clo, daň z přidané hodnoty, ani spotřební daň.</w:t>
      </w:r>
    </w:p>
    <w:p w:rsidR="00C34F3B" w:rsidRDefault="009C4155" w:rsidP="00C34F3B">
      <w:pPr>
        <w:spacing w:after="240"/>
        <w:jc w:val="both"/>
      </w:pPr>
      <w:r>
        <w:rPr>
          <w:rFonts w:cs="Arial"/>
          <w:szCs w:val="20"/>
        </w:rPr>
        <w:t>V průběhu roku 2017</w:t>
      </w:r>
      <w:r w:rsidRPr="002C3966">
        <w:rPr>
          <w:rFonts w:cs="Arial"/>
          <w:szCs w:val="20"/>
        </w:rPr>
        <w:t xml:space="preserve"> proběhla standardní revize výpočtu indexů cen zahraničního obchodu. </w:t>
      </w:r>
      <w:r w:rsidRPr="00F00B65">
        <w:t>Počínaje cenovými indexy za referenční období leden 2018 jsou cenové ind</w:t>
      </w:r>
      <w:r>
        <w:t>exy vývozu a dovozu počítány na </w:t>
      </w:r>
      <w:r w:rsidRPr="00F00B65">
        <w:t xml:space="preserve">novém váhovém schématu, na struktuře zahraničního obchodu </w:t>
      </w:r>
      <w:r>
        <w:t>roku 2015, v národním pojetí, k </w:t>
      </w:r>
      <w:r w:rsidRPr="00F00B65">
        <w:t xml:space="preserve">cenovému základu průměr roku 2015 = 100. </w:t>
      </w:r>
    </w:p>
    <w:p w:rsidR="009C4155" w:rsidRDefault="009C4155" w:rsidP="003A7639">
      <w:pPr>
        <w:spacing w:after="240"/>
        <w:jc w:val="both"/>
      </w:pPr>
      <w:r w:rsidRPr="00F00B65">
        <w:t>Dosavadní časová řada indexů se základem průměr roku 2005 = 100 byla přepočtena na indexní základ průměr roku 2015 = 100. Nově vypočtené indexy jsou od ledna 2018 řetězeny na tuto časovou řadu indexů, čímž je zajištěno její pokračování. Řetězícím obdobím je prosinec 2017.</w:t>
      </w:r>
    </w:p>
    <w:p w:rsidR="002D2B85" w:rsidRDefault="009C4155" w:rsidP="002D2B85">
      <w:pPr>
        <w:spacing w:after="240"/>
        <w:jc w:val="both"/>
        <w:rPr>
          <w:rFonts w:cs="Arial"/>
          <w:szCs w:val="20"/>
        </w:rPr>
      </w:pPr>
      <w:r w:rsidRPr="00F00B65">
        <w:t xml:space="preserve">Veškeré odvozené indexy </w:t>
      </w:r>
      <w:r w:rsidR="002D2B85">
        <w:t>(</w:t>
      </w:r>
      <w:r w:rsidR="002D2B85">
        <w:rPr>
          <w:szCs w:val="22"/>
        </w:rPr>
        <w:t>stejné období předchozího roku = 100, předchozí období = 100 a podíl klouzavých průměrů - podíl součtu bazických indexů za poslední</w:t>
      </w:r>
      <w:r w:rsidR="003A7639">
        <w:rPr>
          <w:szCs w:val="22"/>
        </w:rPr>
        <w:t>ch 12 měsíců k součtu indexů za </w:t>
      </w:r>
      <w:r w:rsidR="002D2B85">
        <w:rPr>
          <w:szCs w:val="22"/>
        </w:rPr>
        <w:t xml:space="preserve">předchozích 12 měsíců) </w:t>
      </w:r>
      <w:r w:rsidRPr="00F00B65">
        <w:t>jsou od referenčního období leden 2018 počítány z řady bazických i</w:t>
      </w:r>
      <w:r>
        <w:t>ndexů o </w:t>
      </w:r>
      <w:r w:rsidR="00BE717C">
        <w:t>základu průměr roku 2015 = 100 (t</w:t>
      </w:r>
      <w:r w:rsidR="002D2B85" w:rsidRPr="002C3966">
        <w:rPr>
          <w:rFonts w:cs="Arial"/>
          <w:szCs w:val="20"/>
        </w:rPr>
        <w:t xml:space="preserve">yto </w:t>
      </w:r>
      <w:r w:rsidR="00BE717C">
        <w:rPr>
          <w:rFonts w:cs="Arial"/>
          <w:szCs w:val="20"/>
        </w:rPr>
        <w:t xml:space="preserve">vypočtené </w:t>
      </w:r>
      <w:r w:rsidR="002D2B85" w:rsidRPr="002C3966">
        <w:rPr>
          <w:rFonts w:cs="Arial"/>
          <w:szCs w:val="20"/>
        </w:rPr>
        <w:t>indexy však nelze agregovat</w:t>
      </w:r>
      <w:r w:rsidR="00BE717C">
        <w:rPr>
          <w:rFonts w:cs="Arial"/>
          <w:szCs w:val="20"/>
        </w:rPr>
        <w:t>)</w:t>
      </w:r>
      <w:r w:rsidR="002D2B85" w:rsidRPr="002C3966">
        <w:rPr>
          <w:rFonts w:cs="Arial"/>
          <w:szCs w:val="20"/>
        </w:rPr>
        <w:t>.</w:t>
      </w:r>
    </w:p>
    <w:p w:rsidR="009C4155" w:rsidRDefault="00C34F3B" w:rsidP="00C34F3B">
      <w:pPr>
        <w:spacing w:after="240" w:line="276" w:lineRule="auto"/>
        <w:jc w:val="both"/>
        <w:rPr>
          <w:szCs w:val="22"/>
        </w:rPr>
      </w:pPr>
      <w:r w:rsidRPr="00F00B65">
        <w:t>Výpočet indexů se základem průměr roku 2005 = 100 byl ukončen referenčním obdobím prosinec 2017</w:t>
      </w:r>
      <w:r>
        <w:t>. Dosud publikované indexy nebudou</w:t>
      </w:r>
      <w:r w:rsidRPr="00F00B65">
        <w:t xml:space="preserve"> revidovány</w:t>
      </w:r>
      <w:r>
        <w:t>.</w:t>
      </w:r>
    </w:p>
    <w:p w:rsidR="00FE7FE6" w:rsidRPr="00FE7FE6" w:rsidRDefault="00FE7FE6" w:rsidP="00FE7FE6">
      <w:pPr>
        <w:pStyle w:val="Zhlav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240"/>
        <w:jc w:val="both"/>
        <w:rPr>
          <w:rFonts w:ascii="Arial" w:eastAsia="Times New Roman" w:hAnsi="Arial"/>
          <w:sz w:val="20"/>
          <w:szCs w:val="24"/>
          <w:lang w:eastAsia="cs-CZ"/>
        </w:rPr>
      </w:pPr>
      <w:r>
        <w:rPr>
          <w:rFonts w:ascii="Arial" w:eastAsia="Times New Roman" w:hAnsi="Arial"/>
          <w:sz w:val="20"/>
          <w:szCs w:val="24"/>
          <w:lang w:eastAsia="cs-CZ"/>
        </w:rPr>
        <w:t>V klasifikaci SITC byla b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ěhem revize z původního váhového obsazení </w:t>
      </w:r>
      <w:r>
        <w:rPr>
          <w:rFonts w:ascii="Arial" w:eastAsia="Times New Roman" w:hAnsi="Arial"/>
          <w:sz w:val="20"/>
          <w:szCs w:val="24"/>
          <w:lang w:eastAsia="cs-CZ"/>
        </w:rPr>
        <w:t>sekcí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 0</w:t>
      </w:r>
      <w:r>
        <w:rPr>
          <w:rFonts w:ascii="Arial" w:eastAsia="Times New Roman" w:hAnsi="Arial"/>
          <w:sz w:val="20"/>
          <w:szCs w:val="24"/>
          <w:lang w:eastAsia="cs-CZ"/>
        </w:rPr>
        <w:t xml:space="preserve"> až 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8 vyloučena </w:t>
      </w:r>
      <w:r>
        <w:rPr>
          <w:rFonts w:ascii="Arial" w:eastAsia="Times New Roman" w:hAnsi="Arial"/>
          <w:sz w:val="20"/>
          <w:szCs w:val="24"/>
          <w:lang w:eastAsia="cs-CZ"/>
        </w:rPr>
        <w:t>sekce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 </w:t>
      </w:r>
      <w:r>
        <w:rPr>
          <w:rFonts w:ascii="Arial" w:eastAsia="Times New Roman" w:hAnsi="Arial"/>
          <w:sz w:val="20"/>
          <w:szCs w:val="24"/>
          <w:lang w:eastAsia="cs-CZ"/>
        </w:rPr>
        <w:br/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4 – Živočišné a rostlinné oleje. Tato </w:t>
      </w:r>
      <w:r>
        <w:rPr>
          <w:rFonts w:ascii="Arial" w:eastAsia="Times New Roman" w:hAnsi="Arial"/>
          <w:sz w:val="20"/>
          <w:szCs w:val="24"/>
          <w:lang w:eastAsia="cs-CZ"/>
        </w:rPr>
        <w:t>sekce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 </w:t>
      </w:r>
      <w:r w:rsidR="001166DA" w:rsidRPr="00FE7FE6">
        <w:rPr>
          <w:rFonts w:ascii="Arial" w:eastAsia="Times New Roman" w:hAnsi="Arial"/>
          <w:sz w:val="20"/>
          <w:szCs w:val="24"/>
          <w:lang w:eastAsia="cs-CZ"/>
        </w:rPr>
        <w:t>je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 statisticky </w:t>
      </w:r>
      <w:r w:rsidR="001166DA" w:rsidRPr="00FE7FE6">
        <w:rPr>
          <w:rFonts w:ascii="Arial" w:eastAsia="Times New Roman" w:hAnsi="Arial"/>
          <w:sz w:val="20"/>
          <w:szCs w:val="24"/>
          <w:lang w:eastAsia="cs-CZ"/>
        </w:rPr>
        <w:t>ne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významná, </w:t>
      </w:r>
      <w:r w:rsidR="001166DA" w:rsidRPr="00FE7FE6">
        <w:rPr>
          <w:rFonts w:ascii="Arial" w:eastAsia="Times New Roman" w:hAnsi="Arial"/>
          <w:sz w:val="20"/>
          <w:szCs w:val="24"/>
          <w:lang w:eastAsia="cs-CZ"/>
        </w:rPr>
        <w:t>proto již není v šetření zahrnuta</w:t>
      </w:r>
      <w:r w:rsidR="00BC1FBE" w:rsidRPr="00FE7FE6">
        <w:rPr>
          <w:rFonts w:ascii="Arial" w:eastAsia="Times New Roman" w:hAnsi="Arial"/>
          <w:sz w:val="20"/>
          <w:szCs w:val="24"/>
          <w:lang w:eastAsia="cs-CZ"/>
        </w:rPr>
        <w:t xml:space="preserve">. </w:t>
      </w:r>
      <w:r>
        <w:rPr>
          <w:rFonts w:ascii="Arial" w:eastAsia="Times New Roman" w:hAnsi="Arial"/>
          <w:sz w:val="20"/>
          <w:szCs w:val="24"/>
          <w:lang w:eastAsia="cs-CZ"/>
        </w:rPr>
        <w:t>V této klasifikaci jsou n</w:t>
      </w:r>
      <w:r w:rsidRPr="00FE7FE6">
        <w:rPr>
          <w:rFonts w:ascii="Arial" w:eastAsia="Times New Roman" w:hAnsi="Arial"/>
          <w:sz w:val="20"/>
          <w:szCs w:val="24"/>
          <w:lang w:eastAsia="cs-CZ"/>
        </w:rPr>
        <w:t>a</w:t>
      </w:r>
      <w:r>
        <w:rPr>
          <w:rFonts w:ascii="Arial" w:eastAsia="Times New Roman" w:hAnsi="Arial"/>
          <w:sz w:val="20"/>
          <w:szCs w:val="24"/>
          <w:lang w:eastAsia="cs-CZ"/>
        </w:rPr>
        <w:t>v</w:t>
      </w:r>
      <w:r w:rsidRPr="00FE7FE6">
        <w:rPr>
          <w:rFonts w:ascii="Arial" w:eastAsia="Times New Roman" w:hAnsi="Arial"/>
          <w:sz w:val="20"/>
          <w:szCs w:val="24"/>
          <w:lang w:eastAsia="cs-CZ"/>
        </w:rPr>
        <w:t xml:space="preserve">íc </w:t>
      </w:r>
      <w:r>
        <w:rPr>
          <w:rFonts w:ascii="Arial" w:eastAsia="Times New Roman" w:hAnsi="Arial"/>
          <w:sz w:val="20"/>
          <w:szCs w:val="24"/>
          <w:lang w:eastAsia="cs-CZ"/>
        </w:rPr>
        <w:t>publikovány statisticky významnější oddíly</w:t>
      </w:r>
      <w:r w:rsidR="00AE44F8">
        <w:rPr>
          <w:rFonts w:ascii="Arial" w:eastAsia="Times New Roman" w:hAnsi="Arial"/>
          <w:sz w:val="20"/>
          <w:szCs w:val="24"/>
          <w:lang w:eastAsia="cs-CZ"/>
        </w:rPr>
        <w:t xml:space="preserve"> sekce 7 – Stroje a dopravní prostředky</w:t>
      </w:r>
      <w:r>
        <w:rPr>
          <w:rFonts w:ascii="Arial" w:eastAsia="Times New Roman" w:hAnsi="Arial"/>
          <w:sz w:val="20"/>
          <w:szCs w:val="24"/>
          <w:lang w:eastAsia="cs-CZ"/>
        </w:rPr>
        <w:t xml:space="preserve">. U vývozu se jedná o oddíly </w:t>
      </w:r>
      <w:r w:rsidR="003803BC">
        <w:rPr>
          <w:rFonts w:ascii="Arial" w:eastAsia="Times New Roman" w:hAnsi="Arial"/>
          <w:sz w:val="20"/>
          <w:szCs w:val="24"/>
          <w:lang w:eastAsia="cs-CZ"/>
        </w:rPr>
        <w:t>74, 77</w:t>
      </w:r>
      <w:r>
        <w:rPr>
          <w:rFonts w:ascii="Arial" w:eastAsia="Times New Roman" w:hAnsi="Arial"/>
          <w:sz w:val="20"/>
          <w:szCs w:val="24"/>
          <w:lang w:eastAsia="cs-CZ"/>
        </w:rPr>
        <w:t>, 78 a u dovozu jde o oddíly 74, 75, 77 a 78.</w:t>
      </w:r>
    </w:p>
    <w:p w:rsidR="0031626E" w:rsidRDefault="009C4155" w:rsidP="0031626E">
      <w:pPr>
        <w:spacing w:after="240"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Při předešlé standardní revizi</w:t>
      </w:r>
      <w:r w:rsidRPr="002C3966">
        <w:rPr>
          <w:rFonts w:cs="Arial"/>
          <w:szCs w:val="20"/>
        </w:rPr>
        <w:t xml:space="preserve"> výpočtu indexů cen zahraničního obchodu</w:t>
      </w:r>
      <w:r>
        <w:rPr>
          <w:rFonts w:cs="Arial"/>
          <w:szCs w:val="20"/>
        </w:rPr>
        <w:t xml:space="preserve"> v roce 2012, byly indexy počítány na </w:t>
      </w:r>
      <w:r w:rsidRPr="002C3966">
        <w:rPr>
          <w:rFonts w:cs="Arial"/>
          <w:szCs w:val="20"/>
        </w:rPr>
        <w:t xml:space="preserve">váhovém schématu, na struktuře zahraničního obchodu roku 2010, k cenovému základu průměr roku 2010 = 100. </w:t>
      </w:r>
      <w:r>
        <w:rPr>
          <w:rFonts w:cs="Arial"/>
          <w:szCs w:val="20"/>
        </w:rPr>
        <w:t>Tyto</w:t>
      </w:r>
      <w:r w:rsidRPr="002C3966">
        <w:rPr>
          <w:rFonts w:cs="Arial"/>
          <w:szCs w:val="20"/>
        </w:rPr>
        <w:t xml:space="preserve"> indexy </w:t>
      </w:r>
      <w:r>
        <w:rPr>
          <w:rFonts w:cs="Arial"/>
          <w:szCs w:val="20"/>
        </w:rPr>
        <w:t>byly</w:t>
      </w:r>
      <w:r w:rsidRPr="002C3966">
        <w:rPr>
          <w:rFonts w:cs="Arial"/>
          <w:szCs w:val="20"/>
        </w:rPr>
        <w:t xml:space="preserve"> řetěze</w:t>
      </w:r>
      <w:r>
        <w:rPr>
          <w:rFonts w:cs="Arial"/>
          <w:szCs w:val="20"/>
        </w:rPr>
        <w:t xml:space="preserve">ny na časovou řadu se základem průměr roku 2005 = 100, aby bylo </w:t>
      </w:r>
      <w:r w:rsidRPr="002C3966">
        <w:rPr>
          <w:rFonts w:cs="Arial"/>
          <w:szCs w:val="20"/>
        </w:rPr>
        <w:t xml:space="preserve">zajištěno pokračování </w:t>
      </w:r>
      <w:r w:rsidR="00A72FBA">
        <w:rPr>
          <w:rFonts w:cs="Arial"/>
          <w:szCs w:val="20"/>
        </w:rPr>
        <w:t xml:space="preserve">do té doby </w:t>
      </w:r>
      <w:r>
        <w:rPr>
          <w:rFonts w:cs="Arial"/>
          <w:szCs w:val="20"/>
        </w:rPr>
        <w:t xml:space="preserve">publikované </w:t>
      </w:r>
      <w:r w:rsidRPr="002C3966">
        <w:rPr>
          <w:rFonts w:cs="Arial"/>
          <w:szCs w:val="20"/>
        </w:rPr>
        <w:t xml:space="preserve">časové řady indexů. </w:t>
      </w:r>
    </w:p>
    <w:p w:rsidR="00911FF9" w:rsidRPr="00A51F91" w:rsidRDefault="0031626E" w:rsidP="00A51F91">
      <w:pPr>
        <w:spacing w:line="276" w:lineRule="auto"/>
        <w:jc w:val="both"/>
        <w:rPr>
          <w:szCs w:val="22"/>
        </w:rPr>
      </w:pPr>
      <w:r>
        <w:rPr>
          <w:rFonts w:cs="Arial"/>
          <w:szCs w:val="22"/>
        </w:rPr>
        <w:t>Indexy</w:t>
      </w:r>
      <w:r>
        <w:rPr>
          <w:rFonts w:cs="Arial"/>
        </w:rPr>
        <w:t xml:space="preserve"> </w:t>
      </w:r>
      <w:r w:rsidR="00BE717C">
        <w:rPr>
          <w:rFonts w:cs="Arial"/>
        </w:rPr>
        <w:t xml:space="preserve">v klasifikaci SITC </w:t>
      </w:r>
      <w:r>
        <w:rPr>
          <w:rFonts w:cs="Arial"/>
        </w:rPr>
        <w:t xml:space="preserve">se základem průměr roku 2015 lze nalézt v rámci časových řad na internetové stránce ČSÚ </w:t>
      </w:r>
      <w:hyperlink r:id="rId10" w:history="1">
        <w:hyperlink r:id="rId11" w:history="1">
          <w:r>
            <w:rPr>
              <w:rStyle w:val="Hypertextovodkaz"/>
              <w:rFonts w:cs="Arial"/>
            </w:rPr>
            <w:t>http://czso.cz/csu/czso/izc_cr</w:t>
          </w:r>
        </w:hyperlink>
      </w:hyperlink>
      <w:r>
        <w:rPr>
          <w:rFonts w:cs="Arial"/>
        </w:rPr>
        <w:t xml:space="preserve"> pod odkazem indexy vývozních a dovozních cen.</w:t>
      </w:r>
      <w:bookmarkStart w:id="0" w:name="_GoBack"/>
      <w:bookmarkEnd w:id="0"/>
    </w:p>
    <w:sectPr w:rsidR="00911FF9" w:rsidRPr="00A51F91" w:rsidSect="00FE6745">
      <w:footerReference w:type="even" r:id="rId12"/>
      <w:footerReference w:type="default" r:id="rId13"/>
      <w:pgSz w:w="11906" w:h="16838" w:code="9"/>
      <w:pgMar w:top="158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22D" w:rsidRDefault="0052722D" w:rsidP="00E71A58">
      <w:r>
        <w:separator/>
      </w:r>
    </w:p>
  </w:endnote>
  <w:endnote w:type="continuationSeparator" w:id="0">
    <w:p w:rsidR="0052722D" w:rsidRDefault="0052722D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Pr="00F435D3" w:rsidRDefault="00A75E40" w:rsidP="00A51F91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E40" w:rsidRDefault="00BD0772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723900</wp:posOffset>
          </wp:positionH>
          <wp:positionV relativeFrom="paragraph">
            <wp:posOffset>10038715</wp:posOffset>
          </wp:positionV>
          <wp:extent cx="498475" cy="2609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260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22D" w:rsidRDefault="0052722D" w:rsidP="00E71A58">
      <w:r>
        <w:separator/>
      </w:r>
    </w:p>
  </w:footnote>
  <w:footnote w:type="continuationSeparator" w:id="0">
    <w:p w:rsidR="0052722D" w:rsidRDefault="0052722D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5AB"/>
    <w:multiLevelType w:val="hybridMultilevel"/>
    <w:tmpl w:val="5FF6C074"/>
    <w:lvl w:ilvl="0" w:tplc="48B2504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E0DE0"/>
    <w:multiLevelType w:val="hybridMultilevel"/>
    <w:tmpl w:val="BA3AE18C"/>
    <w:lvl w:ilvl="0" w:tplc="D55A944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D36F5"/>
    <w:multiLevelType w:val="singleLevel"/>
    <w:tmpl w:val="357081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69465EBA"/>
    <w:multiLevelType w:val="hybridMultilevel"/>
    <w:tmpl w:val="7BDADCD2"/>
    <w:lvl w:ilvl="0" w:tplc="1FD6C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71"/>
    <w:rsid w:val="00004E05"/>
    <w:rsid w:val="00005A35"/>
    <w:rsid w:val="0000767A"/>
    <w:rsid w:val="00010702"/>
    <w:rsid w:val="0002643D"/>
    <w:rsid w:val="0004694F"/>
    <w:rsid w:val="0005250D"/>
    <w:rsid w:val="00055AA1"/>
    <w:rsid w:val="00062EC5"/>
    <w:rsid w:val="000649C3"/>
    <w:rsid w:val="00073570"/>
    <w:rsid w:val="00075728"/>
    <w:rsid w:val="00087634"/>
    <w:rsid w:val="000A1183"/>
    <w:rsid w:val="000B3B6E"/>
    <w:rsid w:val="000C3408"/>
    <w:rsid w:val="000F1899"/>
    <w:rsid w:val="000F51EA"/>
    <w:rsid w:val="001039FD"/>
    <w:rsid w:val="001166DA"/>
    <w:rsid w:val="001405FA"/>
    <w:rsid w:val="001425C3"/>
    <w:rsid w:val="00142C03"/>
    <w:rsid w:val="0014795A"/>
    <w:rsid w:val="00163793"/>
    <w:rsid w:val="00165865"/>
    <w:rsid w:val="001714F2"/>
    <w:rsid w:val="00185010"/>
    <w:rsid w:val="001851AD"/>
    <w:rsid w:val="001A552F"/>
    <w:rsid w:val="001B038F"/>
    <w:rsid w:val="001B3110"/>
    <w:rsid w:val="001C7978"/>
    <w:rsid w:val="001F4597"/>
    <w:rsid w:val="001F773B"/>
    <w:rsid w:val="0020715A"/>
    <w:rsid w:val="0022139E"/>
    <w:rsid w:val="002252E0"/>
    <w:rsid w:val="002255F6"/>
    <w:rsid w:val="00236443"/>
    <w:rsid w:val="002436BA"/>
    <w:rsid w:val="00244A15"/>
    <w:rsid w:val="0024799E"/>
    <w:rsid w:val="00263815"/>
    <w:rsid w:val="002765B6"/>
    <w:rsid w:val="002A0374"/>
    <w:rsid w:val="002A230C"/>
    <w:rsid w:val="002C3688"/>
    <w:rsid w:val="002C43BD"/>
    <w:rsid w:val="002D2B85"/>
    <w:rsid w:val="002D3333"/>
    <w:rsid w:val="002E02A1"/>
    <w:rsid w:val="002E4E4C"/>
    <w:rsid w:val="002F4400"/>
    <w:rsid w:val="00304771"/>
    <w:rsid w:val="00306C5B"/>
    <w:rsid w:val="0031626E"/>
    <w:rsid w:val="003209D6"/>
    <w:rsid w:val="003330AF"/>
    <w:rsid w:val="003657F3"/>
    <w:rsid w:val="003803BC"/>
    <w:rsid w:val="00385D98"/>
    <w:rsid w:val="00392636"/>
    <w:rsid w:val="00392780"/>
    <w:rsid w:val="003A2B4D"/>
    <w:rsid w:val="003A478C"/>
    <w:rsid w:val="003A5525"/>
    <w:rsid w:val="003A6B38"/>
    <w:rsid w:val="003A7639"/>
    <w:rsid w:val="003B5A32"/>
    <w:rsid w:val="003B7BBD"/>
    <w:rsid w:val="003C3935"/>
    <w:rsid w:val="003D7424"/>
    <w:rsid w:val="003F248F"/>
    <w:rsid w:val="003F313C"/>
    <w:rsid w:val="004033C8"/>
    <w:rsid w:val="004036AD"/>
    <w:rsid w:val="0041000B"/>
    <w:rsid w:val="00414FDE"/>
    <w:rsid w:val="004174DD"/>
    <w:rsid w:val="00426A54"/>
    <w:rsid w:val="0043345C"/>
    <w:rsid w:val="004441A0"/>
    <w:rsid w:val="00470971"/>
    <w:rsid w:val="004729BB"/>
    <w:rsid w:val="004750A4"/>
    <w:rsid w:val="0047653E"/>
    <w:rsid w:val="0048139F"/>
    <w:rsid w:val="00481C0E"/>
    <w:rsid w:val="004A77DF"/>
    <w:rsid w:val="004B55B7"/>
    <w:rsid w:val="004C3867"/>
    <w:rsid w:val="004C4CD0"/>
    <w:rsid w:val="004C6C9E"/>
    <w:rsid w:val="004C70DC"/>
    <w:rsid w:val="004C7AE0"/>
    <w:rsid w:val="004D0211"/>
    <w:rsid w:val="004D0644"/>
    <w:rsid w:val="004D2BA3"/>
    <w:rsid w:val="004F06F5"/>
    <w:rsid w:val="004F33A0"/>
    <w:rsid w:val="004F7001"/>
    <w:rsid w:val="0050026C"/>
    <w:rsid w:val="005108C0"/>
    <w:rsid w:val="00511873"/>
    <w:rsid w:val="00513B7E"/>
    <w:rsid w:val="00525137"/>
    <w:rsid w:val="005251DD"/>
    <w:rsid w:val="0052659A"/>
    <w:rsid w:val="0052722D"/>
    <w:rsid w:val="00546E30"/>
    <w:rsid w:val="0056317D"/>
    <w:rsid w:val="00570970"/>
    <w:rsid w:val="005744AA"/>
    <w:rsid w:val="00583FFD"/>
    <w:rsid w:val="00593152"/>
    <w:rsid w:val="005A21E0"/>
    <w:rsid w:val="005A327E"/>
    <w:rsid w:val="005A7178"/>
    <w:rsid w:val="005C1053"/>
    <w:rsid w:val="005D1251"/>
    <w:rsid w:val="005D5802"/>
    <w:rsid w:val="005D6120"/>
    <w:rsid w:val="005E3105"/>
    <w:rsid w:val="005E334A"/>
    <w:rsid w:val="00604307"/>
    <w:rsid w:val="0060487F"/>
    <w:rsid w:val="006049BB"/>
    <w:rsid w:val="00606847"/>
    <w:rsid w:val="00624093"/>
    <w:rsid w:val="006404A7"/>
    <w:rsid w:val="006451E4"/>
    <w:rsid w:val="00657E87"/>
    <w:rsid w:val="0066140E"/>
    <w:rsid w:val="00661F1B"/>
    <w:rsid w:val="00661FF2"/>
    <w:rsid w:val="006710C9"/>
    <w:rsid w:val="00671DD0"/>
    <w:rsid w:val="00675E37"/>
    <w:rsid w:val="0068039D"/>
    <w:rsid w:val="0068260E"/>
    <w:rsid w:val="00687A53"/>
    <w:rsid w:val="00695BEF"/>
    <w:rsid w:val="006977F6"/>
    <w:rsid w:val="00697A13"/>
    <w:rsid w:val="006A109C"/>
    <w:rsid w:val="006B78D8"/>
    <w:rsid w:val="006C113F"/>
    <w:rsid w:val="006C5A7D"/>
    <w:rsid w:val="006D0AB6"/>
    <w:rsid w:val="006D5087"/>
    <w:rsid w:val="006D61F6"/>
    <w:rsid w:val="006E279A"/>
    <w:rsid w:val="006E313B"/>
    <w:rsid w:val="006F2534"/>
    <w:rsid w:val="006F708F"/>
    <w:rsid w:val="0071297C"/>
    <w:rsid w:val="007211F5"/>
    <w:rsid w:val="00722A79"/>
    <w:rsid w:val="00730AE8"/>
    <w:rsid w:val="00741493"/>
    <w:rsid w:val="00750ED1"/>
    <w:rsid w:val="00752180"/>
    <w:rsid w:val="00755D3A"/>
    <w:rsid w:val="007607B5"/>
    <w:rsid w:val="007609C6"/>
    <w:rsid w:val="00771D61"/>
    <w:rsid w:val="00776527"/>
    <w:rsid w:val="00781593"/>
    <w:rsid w:val="0078292A"/>
    <w:rsid w:val="007A47B1"/>
    <w:rsid w:val="007B3F82"/>
    <w:rsid w:val="007C1190"/>
    <w:rsid w:val="007C6EFC"/>
    <w:rsid w:val="007D6647"/>
    <w:rsid w:val="007E7E61"/>
    <w:rsid w:val="007F0845"/>
    <w:rsid w:val="00821FF6"/>
    <w:rsid w:val="00825BA1"/>
    <w:rsid w:val="0083143E"/>
    <w:rsid w:val="00834FAA"/>
    <w:rsid w:val="00836086"/>
    <w:rsid w:val="008409F4"/>
    <w:rsid w:val="0084256F"/>
    <w:rsid w:val="008549D7"/>
    <w:rsid w:val="008634FB"/>
    <w:rsid w:val="00864238"/>
    <w:rsid w:val="008740DF"/>
    <w:rsid w:val="00876086"/>
    <w:rsid w:val="0088140B"/>
    <w:rsid w:val="008837D4"/>
    <w:rsid w:val="00886A62"/>
    <w:rsid w:val="008919FF"/>
    <w:rsid w:val="0089301A"/>
    <w:rsid w:val="00895635"/>
    <w:rsid w:val="008A6455"/>
    <w:rsid w:val="008B7C02"/>
    <w:rsid w:val="008C0E88"/>
    <w:rsid w:val="008C2813"/>
    <w:rsid w:val="008D2A16"/>
    <w:rsid w:val="008E31FF"/>
    <w:rsid w:val="008E3DBF"/>
    <w:rsid w:val="009003A8"/>
    <w:rsid w:val="00902EFF"/>
    <w:rsid w:val="00906B8A"/>
    <w:rsid w:val="00911FF9"/>
    <w:rsid w:val="00921F14"/>
    <w:rsid w:val="00937472"/>
    <w:rsid w:val="0094427A"/>
    <w:rsid w:val="009521DA"/>
    <w:rsid w:val="00974923"/>
    <w:rsid w:val="0098153A"/>
    <w:rsid w:val="00983714"/>
    <w:rsid w:val="009A27C6"/>
    <w:rsid w:val="009A2DCF"/>
    <w:rsid w:val="009A3BBD"/>
    <w:rsid w:val="009B4EC4"/>
    <w:rsid w:val="009B6FD3"/>
    <w:rsid w:val="009C4155"/>
    <w:rsid w:val="009E3AF1"/>
    <w:rsid w:val="00A00F38"/>
    <w:rsid w:val="00A04058"/>
    <w:rsid w:val="00A10D66"/>
    <w:rsid w:val="00A176A2"/>
    <w:rsid w:val="00A23E43"/>
    <w:rsid w:val="00A46DE0"/>
    <w:rsid w:val="00A51F91"/>
    <w:rsid w:val="00A547E8"/>
    <w:rsid w:val="00A62CE1"/>
    <w:rsid w:val="00A67D29"/>
    <w:rsid w:val="00A72FBA"/>
    <w:rsid w:val="00A75E40"/>
    <w:rsid w:val="00A77D1D"/>
    <w:rsid w:val="00A857C0"/>
    <w:rsid w:val="00A93858"/>
    <w:rsid w:val="00AA559A"/>
    <w:rsid w:val="00AA68ED"/>
    <w:rsid w:val="00AB0D2A"/>
    <w:rsid w:val="00AB2AF1"/>
    <w:rsid w:val="00AD306C"/>
    <w:rsid w:val="00AE44F8"/>
    <w:rsid w:val="00B05BB3"/>
    <w:rsid w:val="00B160F1"/>
    <w:rsid w:val="00B17E71"/>
    <w:rsid w:val="00B17FDE"/>
    <w:rsid w:val="00B22311"/>
    <w:rsid w:val="00B312E2"/>
    <w:rsid w:val="00B32DDB"/>
    <w:rsid w:val="00B63A11"/>
    <w:rsid w:val="00B6608F"/>
    <w:rsid w:val="00B670BC"/>
    <w:rsid w:val="00B76487"/>
    <w:rsid w:val="00B76D1E"/>
    <w:rsid w:val="00B77636"/>
    <w:rsid w:val="00B95940"/>
    <w:rsid w:val="00BA5EFB"/>
    <w:rsid w:val="00BC1FBE"/>
    <w:rsid w:val="00BC6A1B"/>
    <w:rsid w:val="00BD0772"/>
    <w:rsid w:val="00BD366B"/>
    <w:rsid w:val="00BD6D50"/>
    <w:rsid w:val="00BE2D3E"/>
    <w:rsid w:val="00BE717C"/>
    <w:rsid w:val="00BF1578"/>
    <w:rsid w:val="00C01C59"/>
    <w:rsid w:val="00C10B48"/>
    <w:rsid w:val="00C21F94"/>
    <w:rsid w:val="00C24E44"/>
    <w:rsid w:val="00C26890"/>
    <w:rsid w:val="00C27913"/>
    <w:rsid w:val="00C34F3B"/>
    <w:rsid w:val="00C36A6F"/>
    <w:rsid w:val="00C406E0"/>
    <w:rsid w:val="00C54E7E"/>
    <w:rsid w:val="00C559B6"/>
    <w:rsid w:val="00C70F30"/>
    <w:rsid w:val="00C738B9"/>
    <w:rsid w:val="00C77C83"/>
    <w:rsid w:val="00C82E89"/>
    <w:rsid w:val="00C90938"/>
    <w:rsid w:val="00C90CF4"/>
    <w:rsid w:val="00C93389"/>
    <w:rsid w:val="00C9342C"/>
    <w:rsid w:val="00CC535E"/>
    <w:rsid w:val="00CF03AF"/>
    <w:rsid w:val="00CF283B"/>
    <w:rsid w:val="00CF51EC"/>
    <w:rsid w:val="00CF5ECD"/>
    <w:rsid w:val="00D040DD"/>
    <w:rsid w:val="00D33643"/>
    <w:rsid w:val="00D42F97"/>
    <w:rsid w:val="00D4484B"/>
    <w:rsid w:val="00D6376B"/>
    <w:rsid w:val="00D7325B"/>
    <w:rsid w:val="00D9071D"/>
    <w:rsid w:val="00DA5A0C"/>
    <w:rsid w:val="00DB202D"/>
    <w:rsid w:val="00DB2C2F"/>
    <w:rsid w:val="00DB71F1"/>
    <w:rsid w:val="00DC3001"/>
    <w:rsid w:val="00DC4DFC"/>
    <w:rsid w:val="00DC5B3B"/>
    <w:rsid w:val="00DC7BB3"/>
    <w:rsid w:val="00DF2602"/>
    <w:rsid w:val="00E01C0E"/>
    <w:rsid w:val="00E04694"/>
    <w:rsid w:val="00E136D7"/>
    <w:rsid w:val="00E179FA"/>
    <w:rsid w:val="00E263F8"/>
    <w:rsid w:val="00E430CE"/>
    <w:rsid w:val="00E6750D"/>
    <w:rsid w:val="00E677E5"/>
    <w:rsid w:val="00E703B1"/>
    <w:rsid w:val="00E71A58"/>
    <w:rsid w:val="00E90EC1"/>
    <w:rsid w:val="00EA0C68"/>
    <w:rsid w:val="00EA52F0"/>
    <w:rsid w:val="00EB42F1"/>
    <w:rsid w:val="00EB5461"/>
    <w:rsid w:val="00EC7441"/>
    <w:rsid w:val="00EE1D6B"/>
    <w:rsid w:val="00EE3E78"/>
    <w:rsid w:val="00EF1F5A"/>
    <w:rsid w:val="00EF5E71"/>
    <w:rsid w:val="00EF7EFB"/>
    <w:rsid w:val="00F04811"/>
    <w:rsid w:val="00F0488C"/>
    <w:rsid w:val="00F15BEF"/>
    <w:rsid w:val="00F24FAA"/>
    <w:rsid w:val="00F305CA"/>
    <w:rsid w:val="00F3364D"/>
    <w:rsid w:val="00F37DB6"/>
    <w:rsid w:val="00F435D3"/>
    <w:rsid w:val="00F47010"/>
    <w:rsid w:val="00F50328"/>
    <w:rsid w:val="00F63DDE"/>
    <w:rsid w:val="00F63FB7"/>
    <w:rsid w:val="00F73A0C"/>
    <w:rsid w:val="00F80FCE"/>
    <w:rsid w:val="00F9741B"/>
    <w:rsid w:val="00F97BE6"/>
    <w:rsid w:val="00FB38EC"/>
    <w:rsid w:val="00FC0E5F"/>
    <w:rsid w:val="00FC56DE"/>
    <w:rsid w:val="00FD26C0"/>
    <w:rsid w:val="00FE2F78"/>
    <w:rsid w:val="00FE6745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3C047D98"/>
  <w15:docId w15:val="{11AE1AB7-6BC3-4BC6-AF38-F02FBE85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0845"/>
    <w:pPr>
      <w:spacing w:line="288" w:lineRule="auto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77636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B77636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B77636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B77636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DC4DF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C4DFC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C4DF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A77D1D"/>
    <w:pPr>
      <w:spacing w:line="288" w:lineRule="auto"/>
      <w:contextualSpacing/>
      <w:outlineLvl w:val="0"/>
    </w:pPr>
    <w:rPr>
      <w:rFonts w:ascii="Arial" w:eastAsia="MS Gothic" w:hAnsi="Arial"/>
      <w:b/>
      <w:caps/>
      <w:sz w:val="56"/>
      <w:szCs w:val="52"/>
    </w:rPr>
  </w:style>
  <w:style w:type="character" w:customStyle="1" w:styleId="NzevChar">
    <w:name w:val="Název Char"/>
    <w:link w:val="Nzev"/>
    <w:uiPriority w:val="10"/>
    <w:rsid w:val="00A77D1D"/>
    <w:rPr>
      <w:rFonts w:ascii="Arial" w:eastAsia="MS Gothic" w:hAnsi="Arial"/>
      <w:b/>
      <w:caps/>
      <w:sz w:val="56"/>
      <w:szCs w:val="52"/>
      <w:lang w:bidi="ar-SA"/>
    </w:rPr>
  </w:style>
  <w:style w:type="paragraph" w:styleId="Podnadpis">
    <w:name w:val="Subtitle"/>
    <w:next w:val="Normln"/>
    <w:link w:val="PodnadpisChar"/>
    <w:uiPriority w:val="11"/>
    <w:qFormat/>
    <w:rsid w:val="00A77D1D"/>
    <w:pPr>
      <w:numPr>
        <w:ilvl w:val="1"/>
      </w:numPr>
      <w:spacing w:line="288" w:lineRule="auto"/>
    </w:pPr>
    <w:rPr>
      <w:rFonts w:ascii="Arial" w:eastAsia="MS Gothic" w:hAnsi="Arial"/>
      <w:b/>
      <w:iCs/>
      <w:sz w:val="28"/>
      <w:szCs w:val="24"/>
    </w:rPr>
  </w:style>
  <w:style w:type="character" w:customStyle="1" w:styleId="PodnadpisChar">
    <w:name w:val="Podnadpis Char"/>
    <w:link w:val="Podnadpis"/>
    <w:uiPriority w:val="11"/>
    <w:rsid w:val="00A77D1D"/>
    <w:rPr>
      <w:rFonts w:ascii="Arial" w:eastAsia="MS Gothic" w:hAnsi="Arial"/>
      <w:b/>
      <w:iCs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77636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B77636"/>
    <w:rPr>
      <w:rFonts w:ascii="Arial" w:eastAsia="MS Gothic" w:hAnsi="Arial"/>
      <w:b/>
      <w:bCs/>
      <w:sz w:val="28"/>
      <w:szCs w:val="26"/>
      <w:lang w:bidi="ar-SA"/>
    </w:rPr>
  </w:style>
  <w:style w:type="character" w:customStyle="1" w:styleId="Nadpis3Char">
    <w:name w:val="Nadpis 3 Char"/>
    <w:link w:val="Nadpis3"/>
    <w:uiPriority w:val="9"/>
    <w:rsid w:val="00B77636"/>
    <w:rPr>
      <w:rFonts w:ascii="Arial" w:eastAsia="MS Gothic" w:hAnsi="Arial"/>
      <w:b/>
      <w:bCs/>
      <w:sz w:val="24"/>
      <w:szCs w:val="24"/>
      <w:lang w:bidi="ar-SA"/>
    </w:rPr>
  </w:style>
  <w:style w:type="character" w:customStyle="1" w:styleId="Nadpis4Char">
    <w:name w:val="Nadpis 4 Char"/>
    <w:link w:val="Nadpis4"/>
    <w:uiPriority w:val="9"/>
    <w:rsid w:val="00B77636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77636"/>
    <w:pPr>
      <w:ind w:left="1134"/>
    </w:pPr>
    <w:rPr>
      <w:rFonts w:ascii="Arial" w:hAnsi="Arial" w:cs="Arial"/>
      <w:color w:val="auto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1039FD"/>
    <w:pPr>
      <w:shd w:val="clear" w:color="auto" w:fill="CFD1D2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1039FD"/>
    <w:pPr>
      <w:spacing w:after="80"/>
    </w:pPr>
    <w:rPr>
      <w:rFonts w:ascii="Arial" w:eastAsia="Times New Roman" w:hAnsi="Arial"/>
      <w:b/>
      <w:caps/>
      <w:color w:val="747678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1039FD"/>
    <w:rPr>
      <w:rFonts w:ascii="Arial" w:hAnsi="Arial"/>
      <w:color w:val="000000"/>
      <w:sz w:val="24"/>
      <w:szCs w:val="24"/>
      <w:shd w:val="clear" w:color="auto" w:fill="CFD1D2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1039FD"/>
    <w:rPr>
      <w:rFonts w:ascii="Arial" w:eastAsia="Times New Roman" w:hAnsi="Arial"/>
      <w:b/>
      <w:caps/>
      <w:color w:val="747678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Obsah">
    <w:name w:val="Obsah"/>
    <w:next w:val="Normln"/>
    <w:link w:val="ObsahChar"/>
    <w:qFormat/>
    <w:rsid w:val="00D7325B"/>
    <w:pPr>
      <w:spacing w:after="200"/>
    </w:pPr>
    <w:rPr>
      <w:rFonts w:ascii="Arial" w:eastAsia="MS Gothic" w:hAnsi="Arial"/>
      <w:b/>
      <w:bCs/>
      <w:sz w:val="32"/>
      <w:szCs w:val="28"/>
    </w:rPr>
  </w:style>
  <w:style w:type="character" w:customStyle="1" w:styleId="Nadpis5Char">
    <w:name w:val="Nadpis 5 Char"/>
    <w:link w:val="Nadpis5"/>
    <w:uiPriority w:val="9"/>
    <w:semiHidden/>
    <w:rsid w:val="00DC4D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bsahChar">
    <w:name w:val="Obsah Char"/>
    <w:link w:val="Obsah"/>
    <w:rsid w:val="00D7325B"/>
    <w:rPr>
      <w:rFonts w:ascii="Arial" w:eastAsia="MS Gothic" w:hAnsi="Arial"/>
      <w:b/>
      <w:bCs/>
      <w:sz w:val="32"/>
      <w:szCs w:val="28"/>
      <w:lang w:bidi="ar-SA"/>
    </w:rPr>
  </w:style>
  <w:style w:type="character" w:customStyle="1" w:styleId="Nadpis8Char">
    <w:name w:val="Nadpis 8 Char"/>
    <w:link w:val="Nadpis8"/>
    <w:uiPriority w:val="9"/>
    <w:semiHidden/>
    <w:rsid w:val="00DC4DF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DC4DFC"/>
    <w:rPr>
      <w:rFonts w:ascii="Cambria" w:eastAsia="Times New Roman" w:hAnsi="Cambria" w:cs="Times New Roman"/>
      <w:sz w:val="22"/>
      <w:szCs w:val="22"/>
    </w:rPr>
  </w:style>
  <w:style w:type="character" w:styleId="Zdraznn">
    <w:name w:val="Emphasis"/>
    <w:qFormat/>
    <w:rsid w:val="00DC4DFC"/>
    <w:rPr>
      <w:i/>
      <w:iCs/>
    </w:rPr>
  </w:style>
  <w:style w:type="paragraph" w:styleId="Zkladntext2">
    <w:name w:val="Body Text 2"/>
    <w:basedOn w:val="Normln"/>
    <w:link w:val="Zkladntext2Char"/>
    <w:semiHidden/>
    <w:rsid w:val="00DC4DFC"/>
    <w:pPr>
      <w:spacing w:line="240" w:lineRule="auto"/>
      <w:jc w:val="both"/>
    </w:pPr>
    <w:rPr>
      <w:szCs w:val="22"/>
    </w:rPr>
  </w:style>
  <w:style w:type="character" w:customStyle="1" w:styleId="Zkladntext2Char">
    <w:name w:val="Základní text 2 Char"/>
    <w:link w:val="Zkladntext2"/>
    <w:semiHidden/>
    <w:rsid w:val="00DC4DFC"/>
    <w:rPr>
      <w:rFonts w:ascii="Arial" w:eastAsia="Times New Roman" w:hAnsi="Arial"/>
      <w:szCs w:val="2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C4DF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C4DFC"/>
    <w:rPr>
      <w:rFonts w:ascii="Arial" w:eastAsia="Times New Roman" w:hAnsi="Arial"/>
      <w:szCs w:val="24"/>
    </w:rPr>
  </w:style>
  <w:style w:type="character" w:styleId="Sledovanodkaz">
    <w:name w:val="FollowedHyperlink"/>
    <w:uiPriority w:val="99"/>
    <w:semiHidden/>
    <w:unhideWhenUsed/>
    <w:rsid w:val="008E3DBF"/>
    <w:rPr>
      <w:color w:val="800080"/>
      <w:u w:val="single"/>
    </w:rPr>
  </w:style>
  <w:style w:type="paragraph" w:customStyle="1" w:styleId="Style0">
    <w:name w:val="Style0"/>
    <w:rsid w:val="0047653E"/>
    <w:rPr>
      <w:rFonts w:ascii="MS Sans Serif" w:eastAsia="Times New Roman" w:hAnsi="MS Sans Serif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so.cz/csu/czso/izc_c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zso.cz/csu/redakce.nsf/i/izc_c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ACK~1\AppData\Local\Temp\publikace%20cb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97E35-9DAB-4C34-80B8-EE80F5F3A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CZ.dot</Template>
  <TotalTime>0</TotalTime>
  <Pages>2</Pages>
  <Words>840</Words>
  <Characters>4958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Lapáčková</dc:creator>
  <cp:lastModifiedBy>lapackova4645</cp:lastModifiedBy>
  <cp:revision>2</cp:revision>
  <cp:lastPrinted>2018-06-19T12:45:00Z</cp:lastPrinted>
  <dcterms:created xsi:type="dcterms:W3CDTF">2018-08-17T11:04:00Z</dcterms:created>
  <dcterms:modified xsi:type="dcterms:W3CDTF">2018-08-17T11:04:00Z</dcterms:modified>
</cp:coreProperties>
</file>