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3A6" w14:textId="77777777" w:rsidR="00ED69B0" w:rsidRPr="007C17F9" w:rsidRDefault="00ED69B0" w:rsidP="00ED69B0">
      <w:pPr>
        <w:pStyle w:val="Nadpis1"/>
        <w:spacing w:after="240"/>
        <w:contextualSpacing w:val="0"/>
        <w:rPr>
          <w:b w:val="0"/>
          <w:color w:val="auto"/>
        </w:rPr>
      </w:pPr>
      <w:r w:rsidRPr="007C17F9">
        <w:rPr>
          <w:color w:val="auto"/>
        </w:rPr>
        <w:t>Methodological notes</w:t>
      </w:r>
    </w:p>
    <w:p w14:paraId="1981F8A7"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Outputs of the annual sample survey on poultry are included in the publication; since the reference year 2010, this survey replaces former quarterly conducted survey. After this periodicity change, and with an agreement with the Ministry of Agriculture of the Czech Republic, a methodological change was introduced: for purposes of this survey, hens are newly defined as laying hens of Gallus gallus species that have reached laying maturity and are kept for the production of eggs not intended for hatching.</w:t>
      </w:r>
    </w:p>
    <w:p w14:paraId="2A2CE42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 xml:space="preserve">List of respondents was generated from updated Farm Register. Grossing-up process and data publication were carried out up to the level of structural data in Agrocensus 2000, i.e. estimates for units below thresholds (i.e. “hobby activities”) are not included. </w:t>
      </w:r>
    </w:p>
    <w:p w14:paraId="17388814"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Survey on poultry is carried out in a form of a sample survey using grossing-up. The sample is stratified according to grossing-up group of the reporting unit, number of livestock kept, productive sub-sector and region, where is the reporting unit farming or placed. Percentage of units selected for the survey is based on the number of livestock kept. Legal as well as natural person units are included in the sample.</w:t>
      </w:r>
    </w:p>
    <w:p w14:paraId="6EC922AE"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Background data for the sample survey comes from book-keeping and stock records of the reporting units. Data on poultry hatching is taken from an authorised administrative institution (Mezinárodní testování drůbeže, s. p.; International Poultry Testing, state enterprise).</w:t>
      </w:r>
    </w:p>
    <w:p w14:paraId="35446EFD"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Sales of poultry for slaughter covers sales to marketing and processing organisations, direct sales to final consumers (incl. consumption and processing in the unit) and direct export.</w:t>
      </w:r>
    </w:p>
    <w:p w14:paraId="1D62AA77"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Sales of eggs (for human consumption) are not surveyed since the reference year 2010 in order to decrease the respondents’ administrative burden. On the basis of time series analysis conducted by the Czech Statistical Office and the Ministry of Agriculture, it is possible to estimate its value as 95 % of the egg laying for consumption.</w:t>
      </w:r>
    </w:p>
    <w:p w14:paraId="1A9CDC11" w14:textId="6D3266CD" w:rsidR="00ED69B0" w:rsidRPr="007C17F9" w:rsidRDefault="009723C5" w:rsidP="009723C5">
      <w:pPr>
        <w:rPr>
          <w:rFonts w:eastAsia="Calibri" w:cs="Arial"/>
          <w:szCs w:val="20"/>
          <w:lang w:val="en-GB" w:eastAsia="en-US"/>
        </w:rPr>
      </w:pPr>
      <w:r w:rsidRPr="007C17F9">
        <w:rPr>
          <w:rFonts w:eastAsia="Calibri" w:cs="Arial"/>
          <w:szCs w:val="20"/>
          <w:lang w:val="en-GB" w:eastAsia="en-US"/>
        </w:rPr>
        <w:t>Survey results are published as national totals and broken down by region (NUTS 3).</w:t>
      </w:r>
    </w:p>
    <w:p w14:paraId="7E10E1A6" w14:textId="77777777" w:rsidR="009723C5" w:rsidRPr="007C17F9" w:rsidRDefault="009723C5" w:rsidP="009723C5">
      <w:pPr>
        <w:rPr>
          <w:rFonts w:eastAsia="Calibri" w:cs="Arial"/>
          <w:szCs w:val="20"/>
          <w:lang w:val="en-GB" w:eastAsia="en-US"/>
        </w:rPr>
      </w:pPr>
    </w:p>
    <w:p w14:paraId="42FEAEBA" w14:textId="4CC8D1BD" w:rsidR="009723C5" w:rsidRPr="007C17F9" w:rsidRDefault="009723C5" w:rsidP="009723C5">
      <w:pPr>
        <w:rPr>
          <w:rFonts w:cs="Arial"/>
        </w:rPr>
      </w:pPr>
      <w:r w:rsidRPr="007C17F9">
        <w:rPr>
          <w:rFonts w:eastAsia="MS Gothic"/>
          <w:b/>
          <w:bCs/>
          <w:sz w:val="28"/>
          <w:szCs w:val="26"/>
        </w:rPr>
        <w:t>Symbols used in the tables</w:t>
      </w:r>
    </w:p>
    <w:p w14:paraId="50008D1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no cases registered</w:t>
      </w:r>
    </w:p>
    <w:p w14:paraId="40309FB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data unavailable or unreliable</w:t>
      </w:r>
    </w:p>
    <w:p w14:paraId="246B0CF7"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x</w:t>
      </w:r>
      <w:r w:rsidRPr="007C17F9">
        <w:rPr>
          <w:rFonts w:eastAsia="Calibri" w:cs="Arial"/>
          <w:szCs w:val="20"/>
          <w:lang w:val="en-GB" w:eastAsia="en-US"/>
        </w:rPr>
        <w:tab/>
        <w:t>not applicable</w:t>
      </w:r>
    </w:p>
    <w:p w14:paraId="39DD1408"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0</w:t>
      </w:r>
      <w:r w:rsidRPr="007C17F9">
        <w:rPr>
          <w:rFonts w:eastAsia="Calibri" w:cs="Arial"/>
          <w:szCs w:val="20"/>
          <w:lang w:val="en-GB" w:eastAsia="en-US"/>
        </w:rPr>
        <w:tab/>
        <w:t>less than half the final digit shown and greater than real zero</w:t>
      </w:r>
    </w:p>
    <w:p w14:paraId="71564880"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i. d.</w:t>
      </w:r>
      <w:r w:rsidRPr="007C17F9">
        <w:rPr>
          <w:rFonts w:eastAsia="Calibri" w:cs="Arial"/>
          <w:szCs w:val="20"/>
          <w:lang w:val="en-GB" w:eastAsia="en-US"/>
        </w:rPr>
        <w:tab/>
        <w:t>individual data</w:t>
      </w:r>
    </w:p>
    <w:p w14:paraId="0EB33EC3" w14:textId="77777777" w:rsidR="00ED69B0" w:rsidRPr="007C17F9" w:rsidRDefault="00ED69B0" w:rsidP="00ED69B0"/>
    <w:p w14:paraId="220E5896" w14:textId="77777777" w:rsidR="006B4B37" w:rsidRPr="007C17F9" w:rsidRDefault="006B4B37" w:rsidP="004C0A82">
      <w:pPr>
        <w:pStyle w:val="Zkladntextodsazen"/>
        <w:spacing w:before="0" w:after="240" w:line="288" w:lineRule="auto"/>
        <w:ind w:firstLine="0"/>
      </w:pPr>
    </w:p>
    <w:sectPr w:rsidR="006B4B37" w:rsidRPr="007C17F9"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2606" w14:textId="77777777" w:rsidR="00990C77" w:rsidRDefault="00990C77" w:rsidP="00E71A58">
      <w:r>
        <w:separator/>
      </w:r>
    </w:p>
  </w:endnote>
  <w:endnote w:type="continuationSeparator" w:id="0">
    <w:p w14:paraId="52D0CC67" w14:textId="77777777" w:rsidR="00990C77" w:rsidRDefault="00990C7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D806"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D826AC">
      <w:rPr>
        <w:szCs w:val="16"/>
      </w:rPr>
      <w:t>2</w:t>
    </w:r>
    <w:r w:rsidR="005647BF" w:rsidRPr="00932443">
      <w:rPr>
        <w:szCs w:val="16"/>
      </w:rPr>
      <w:fldChar w:fldCharType="end"/>
    </w:r>
    <w:r w:rsidR="005647BF" w:rsidRPr="00932443">
      <w:rPr>
        <w:szCs w:val="16"/>
      </w:rPr>
      <w:tab/>
    </w:r>
    <w:r w:rsidR="00D826AC">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B5C" w14:textId="77777777"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826A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D826AC">
      <w:rPr>
        <w:rStyle w:val="ZpatChar"/>
        <w:szCs w:val="16"/>
      </w:rPr>
      <w:t>3</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19B1" w14:textId="77777777" w:rsidR="00990C77" w:rsidRDefault="00990C77" w:rsidP="00E71A58">
      <w:r>
        <w:separator/>
      </w:r>
    </w:p>
  </w:footnote>
  <w:footnote w:type="continuationSeparator" w:id="0">
    <w:p w14:paraId="4EC41C8A" w14:textId="77777777" w:rsidR="00990C77" w:rsidRDefault="00990C77"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C16" w14:textId="414FD76F" w:rsidR="00515C74" w:rsidRPr="006B4B37" w:rsidRDefault="007F0A02" w:rsidP="006B4B37">
    <w:pPr>
      <w:pStyle w:val="Zhlav"/>
    </w:pPr>
    <w:r w:rsidRPr="001261C2">
      <w:t>CHOV PRASAT – DRUHÁ POLOVINA 202</w:t>
    </w:r>
    <w:r>
      <w:t xml:space="preserve">5 </w:t>
    </w:r>
    <w:r w:rsidRPr="001261C2">
      <w:rPr>
        <w:i/>
        <w:iCs/>
      </w:rPr>
      <w:t>/ PIG PRODUCTION – SECOND PART OF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A88B" w14:textId="77777777" w:rsidR="009723C5" w:rsidRPr="00F9393D" w:rsidRDefault="009723C5" w:rsidP="009723C5">
    <w:pPr>
      <w:pStyle w:val="Zhlav"/>
    </w:pPr>
    <w:r w:rsidRPr="00CF5EE1">
      <w:t>CHOV DRŮBEŽE -</w:t>
    </w:r>
    <w:r>
      <w:t xml:space="preserve"> </w:t>
    </w:r>
    <w:r w:rsidRPr="001261C2">
      <w:t>202</w:t>
    </w:r>
    <w:r>
      <w:t xml:space="preserve">5 </w:t>
    </w:r>
    <w:r w:rsidRPr="001261C2">
      <w:rPr>
        <w:i/>
        <w:iCs/>
      </w:rPr>
      <w:t xml:space="preserve">/ </w:t>
    </w:r>
    <w:r w:rsidRPr="00CF5EE1">
      <w:rPr>
        <w:i/>
        <w:iCs/>
      </w:rPr>
      <w:t>POULTRY PRODUCTION</w:t>
    </w:r>
    <w:r>
      <w:rPr>
        <w:i/>
        <w:iCs/>
      </w:rPr>
      <w:t xml:space="preserve"> </w:t>
    </w:r>
    <w:r w:rsidRPr="001261C2">
      <w:rPr>
        <w:i/>
        <w:iCs/>
      </w:rPr>
      <w:t>– 2025</w:t>
    </w:r>
  </w:p>
  <w:p w14:paraId="196E6A32" w14:textId="020C296B" w:rsidR="00B5752E" w:rsidRPr="009723C5" w:rsidRDefault="00B5752E" w:rsidP="009723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5586E"/>
    <w:multiLevelType w:val="hybridMultilevel"/>
    <w:tmpl w:val="D7CA144E"/>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36734">
    <w:abstractNumId w:val="14"/>
  </w:num>
  <w:num w:numId="2" w16cid:durableId="785467133">
    <w:abstractNumId w:val="8"/>
  </w:num>
  <w:num w:numId="3" w16cid:durableId="1528057077">
    <w:abstractNumId w:val="3"/>
  </w:num>
  <w:num w:numId="4" w16cid:durableId="840048213">
    <w:abstractNumId w:val="2"/>
  </w:num>
  <w:num w:numId="5" w16cid:durableId="94788241">
    <w:abstractNumId w:val="1"/>
  </w:num>
  <w:num w:numId="6" w16cid:durableId="1772970937">
    <w:abstractNumId w:val="0"/>
  </w:num>
  <w:num w:numId="7" w16cid:durableId="384109187">
    <w:abstractNumId w:val="9"/>
  </w:num>
  <w:num w:numId="8" w16cid:durableId="2097634368">
    <w:abstractNumId w:val="7"/>
  </w:num>
  <w:num w:numId="9" w16cid:durableId="270818772">
    <w:abstractNumId w:val="6"/>
  </w:num>
  <w:num w:numId="10" w16cid:durableId="469633632">
    <w:abstractNumId w:val="5"/>
  </w:num>
  <w:num w:numId="11" w16cid:durableId="457066353">
    <w:abstractNumId w:val="4"/>
  </w:num>
  <w:num w:numId="12" w16cid:durableId="1374573512">
    <w:abstractNumId w:val="11"/>
  </w:num>
  <w:num w:numId="13" w16cid:durableId="1971863670">
    <w:abstractNumId w:val="15"/>
  </w:num>
  <w:num w:numId="14" w16cid:durableId="1926111094">
    <w:abstractNumId w:val="10"/>
  </w:num>
  <w:num w:numId="15" w16cid:durableId="139731121">
    <w:abstractNumId w:val="12"/>
  </w:num>
  <w:num w:numId="16" w16cid:durableId="56249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6946"/>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63EBC"/>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4905"/>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0A82"/>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C17F9"/>
    <w:rsid w:val="007D1A71"/>
    <w:rsid w:val="007D40DF"/>
    <w:rsid w:val="007E7E61"/>
    <w:rsid w:val="007F0845"/>
    <w:rsid w:val="007F0A02"/>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C397F"/>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23C5"/>
    <w:rsid w:val="00973A2C"/>
    <w:rsid w:val="00974923"/>
    <w:rsid w:val="00980D3D"/>
    <w:rsid w:val="00987A30"/>
    <w:rsid w:val="00990C77"/>
    <w:rsid w:val="00992CF3"/>
    <w:rsid w:val="00993BB8"/>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AD"/>
    <w:rsid w:val="00A53FC7"/>
    <w:rsid w:val="00A62CE1"/>
    <w:rsid w:val="00A6741E"/>
    <w:rsid w:val="00A75E40"/>
    <w:rsid w:val="00A77D1D"/>
    <w:rsid w:val="00A857C0"/>
    <w:rsid w:val="00A96789"/>
    <w:rsid w:val="00AA2996"/>
    <w:rsid w:val="00AA52BF"/>
    <w:rsid w:val="00AA559A"/>
    <w:rsid w:val="00AB2AF1"/>
    <w:rsid w:val="00AD306C"/>
    <w:rsid w:val="00AE09B3"/>
    <w:rsid w:val="00AE1A83"/>
    <w:rsid w:val="00AF46DC"/>
    <w:rsid w:val="00B00913"/>
    <w:rsid w:val="00B01593"/>
    <w:rsid w:val="00B10A4D"/>
    <w:rsid w:val="00B119F7"/>
    <w:rsid w:val="00B17E71"/>
    <w:rsid w:val="00B17FDE"/>
    <w:rsid w:val="00B2379C"/>
    <w:rsid w:val="00B2687D"/>
    <w:rsid w:val="00B32DDB"/>
    <w:rsid w:val="00B34528"/>
    <w:rsid w:val="00B35250"/>
    <w:rsid w:val="00B3611A"/>
    <w:rsid w:val="00B402FC"/>
    <w:rsid w:val="00B40F34"/>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826AC"/>
    <w:rsid w:val="00DA7C0C"/>
    <w:rsid w:val="00DB2EC8"/>
    <w:rsid w:val="00DB55DD"/>
    <w:rsid w:val="00DC5B3B"/>
    <w:rsid w:val="00DD129F"/>
    <w:rsid w:val="00DF42FF"/>
    <w:rsid w:val="00E01C0E"/>
    <w:rsid w:val="00E03F9A"/>
    <w:rsid w:val="00E04694"/>
    <w:rsid w:val="00E12B1E"/>
    <w:rsid w:val="00E17262"/>
    <w:rsid w:val="00E253A2"/>
    <w:rsid w:val="00E3026B"/>
    <w:rsid w:val="00E3309D"/>
    <w:rsid w:val="00E50156"/>
    <w:rsid w:val="00E53470"/>
    <w:rsid w:val="00E539F6"/>
    <w:rsid w:val="00E6519D"/>
    <w:rsid w:val="00E67696"/>
    <w:rsid w:val="00E71A58"/>
    <w:rsid w:val="00E72A7A"/>
    <w:rsid w:val="00E75C94"/>
    <w:rsid w:val="00E93820"/>
    <w:rsid w:val="00E94CA1"/>
    <w:rsid w:val="00EA0C68"/>
    <w:rsid w:val="00EA32BC"/>
    <w:rsid w:val="00EB3701"/>
    <w:rsid w:val="00EB4511"/>
    <w:rsid w:val="00EC03D7"/>
    <w:rsid w:val="00ED62C6"/>
    <w:rsid w:val="00ED64C1"/>
    <w:rsid w:val="00ED69B0"/>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7FA9D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qFormat/>
    <w:rsid w:val="004C0A82"/>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4C0A82"/>
    <w:rPr>
      <w:sz w:val="22"/>
      <w:szCs w:val="22"/>
    </w:rPr>
  </w:style>
  <w:style w:type="character" w:customStyle="1" w:styleId="tlid-translation">
    <w:name w:val="tlid-translation"/>
    <w:rsid w:val="00ED69B0"/>
  </w:style>
  <w:style w:type="paragraph" w:styleId="Normlnweb">
    <w:name w:val="Normal (Web)"/>
    <w:basedOn w:val="Normln"/>
    <w:semiHidden/>
    <w:rsid w:val="00ED69B0"/>
    <w:pPr>
      <w:spacing w:before="100" w:beforeAutospacing="1" w:after="100" w:afterAutospacing="1" w:line="240" w:lineRule="auto"/>
    </w:pPr>
    <w:rPr>
      <w:rFonts w:ascii="Arial Unicode MS" w:eastAsia="Arial Unicode MS" w:hAnsi="Arial Unicode MS" w:cs="Arial Unicode MS"/>
      <w:color w:val="0078B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C11E18D8-9B47-466B-8DC2-29648F9CDF17}">
  <ds:schemaRefs>
    <ds:schemaRef ds:uri="http://schemas.openxmlformats.org/officeDocument/2006/bibliography"/>
  </ds:schemaRefs>
</ds:datastoreItem>
</file>

<file path=customXml/itemProps3.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330</Words>
  <Characters>1951</Characters>
  <Application>Microsoft Office Word</Application>
  <DocSecurity>0</DocSecurity>
  <Lines>16</Lines>
  <Paragraphs>4</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2277</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16</cp:revision>
  <cp:lastPrinted>2014-07-17T14:07:00Z</cp:lastPrinted>
  <dcterms:created xsi:type="dcterms:W3CDTF">2024-09-19T07:54:00Z</dcterms:created>
  <dcterms:modified xsi:type="dcterms:W3CDTF">2026-02-06T14:18:00Z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