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4F" w:rsidRPr="007D0E6B" w:rsidRDefault="00144715" w:rsidP="0097104F">
      <w:pPr>
        <w:pStyle w:val="Nadpis1"/>
      </w:pPr>
      <w:r w:rsidRPr="00144715">
        <w:t>MEZIROČNÍ RŮST SPOT</w:t>
      </w:r>
      <w:r>
        <w:t xml:space="preserve">ŘEBITELSKÝCH CEN </w:t>
      </w:r>
      <w:r w:rsidR="00252480">
        <w:t>SE NEZMĚNIL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252480">
        <w:t>srpen</w:t>
      </w:r>
      <w:r w:rsidR="00F7312B">
        <w:t> 2017</w:t>
      </w:r>
    </w:p>
    <w:p w:rsidR="00F7312B" w:rsidRPr="00F7312B" w:rsidRDefault="00B06F83" w:rsidP="00F7312B">
      <w:pPr>
        <w:pStyle w:val="Perex"/>
        <w:spacing w:before="120" w:line="288" w:lineRule="auto"/>
        <w:rPr>
          <w:szCs w:val="20"/>
        </w:rPr>
      </w:pPr>
      <w:r w:rsidRPr="00B06F83">
        <w:t>Spotřebitelské ceny klesly v srpnu proti červenci o 0,1 %. Tento vývoj ovlivnilo zejména snížení cen v oddíle potraviny a nealkoholické nápoje a dále v oddíle ostatní zboží a služby a v oddíle odívání a obuv. Meziročně vzrostly spotřebitelské ceny v srpnu stejně jako v červenci o 2,5 %.</w:t>
      </w:r>
      <w:r w:rsidR="00F7312B" w:rsidRPr="00F7312B">
        <w:rPr>
          <w:szCs w:val="20"/>
        </w:rPr>
        <w:t xml:space="preserve"> </w:t>
      </w:r>
    </w:p>
    <w:p w:rsidR="00B06F83" w:rsidRPr="00B06F83" w:rsidRDefault="00B06F83" w:rsidP="00B06F83">
      <w:pPr>
        <w:tabs>
          <w:tab w:val="left" w:pos="4900"/>
        </w:tabs>
        <w:jc w:val="both"/>
        <w:rPr>
          <w:rFonts w:cs="Arial"/>
          <w:iCs/>
          <w:szCs w:val="20"/>
          <w:lang w:eastAsia="en-US"/>
        </w:rPr>
      </w:pPr>
      <w:r w:rsidRPr="00B06F83">
        <w:rPr>
          <w:rFonts w:cs="Arial"/>
          <w:b/>
          <w:iCs/>
          <w:szCs w:val="20"/>
          <w:lang w:eastAsia="en-US"/>
        </w:rPr>
        <w:t>Meziměsíční</w:t>
      </w:r>
      <w:r w:rsidRPr="00B06F83">
        <w:rPr>
          <w:rFonts w:cs="Arial"/>
          <w:iCs/>
          <w:szCs w:val="20"/>
          <w:lang w:eastAsia="en-US"/>
        </w:rPr>
        <w:t xml:space="preserve"> pokles spotřebitelských cen v oddíle potraviny a nealkoholické nápoje byl způsoben zejména nižšími cenami zeleniny o 11,4 %, z toho ceny plodové zeleniny klesly o 21,2 % a ceny brambor o 18,5 %. Ceny ovoce klesly o 3,5 %. V oddíle ostatní zboží a služby byly nižší především ceny zboží a služeb pro osobní péči o 0,8 %. Na snižování cenové hladiny působil též pokles cen v oddíle odívání a obuv, kde ceny oděvů klesly o 0,6 % a obuvi o 1,4 %.</w:t>
      </w:r>
    </w:p>
    <w:p w:rsidR="00B06F83" w:rsidRPr="00B06F83" w:rsidRDefault="00B06F83" w:rsidP="00B06F83">
      <w:pPr>
        <w:tabs>
          <w:tab w:val="left" w:pos="4900"/>
        </w:tabs>
        <w:jc w:val="both"/>
        <w:rPr>
          <w:iCs/>
          <w:szCs w:val="20"/>
          <w:lang w:eastAsia="en-US"/>
        </w:rPr>
      </w:pPr>
      <w:r w:rsidRPr="00B06F83">
        <w:rPr>
          <w:rFonts w:cs="Arial"/>
          <w:iCs/>
          <w:szCs w:val="20"/>
          <w:lang w:eastAsia="en-US"/>
        </w:rPr>
        <w:t xml:space="preserve">Na zvyšování cenové hladiny působil zejména růst cen v oddíle rekreace a kultura vlivem zvýšení cen dovolených s komplexními službami o 1,4 %. </w:t>
      </w:r>
      <w:r w:rsidRPr="00B06F83">
        <w:rPr>
          <w:iCs/>
          <w:szCs w:val="20"/>
          <w:lang w:eastAsia="en-US"/>
        </w:rPr>
        <w:t>Z potravin byly vyšší především ceny uzenářského zboží o 1,7 %, drůbežího masa o 2,2 % a čerstvého másla o 4,0 %.</w:t>
      </w:r>
    </w:p>
    <w:p w:rsidR="00B06F83" w:rsidRPr="00B06F83" w:rsidRDefault="00B06F83" w:rsidP="00B06F83">
      <w:pPr>
        <w:jc w:val="both"/>
        <w:rPr>
          <w:rFonts w:eastAsia="Calibri" w:cs="Arial"/>
          <w:szCs w:val="20"/>
          <w:lang w:eastAsia="en-US"/>
        </w:rPr>
      </w:pPr>
      <w:r w:rsidRPr="00B06F83">
        <w:rPr>
          <w:rFonts w:eastAsia="Calibri" w:cs="Arial"/>
          <w:szCs w:val="20"/>
          <w:lang w:eastAsia="en-US"/>
        </w:rPr>
        <w:t>Ceny zboží úhrnem klesly o 0,4 % a ceny služeb o 0,3 % vzrostly.</w:t>
      </w:r>
    </w:p>
    <w:p w:rsidR="00B06F83" w:rsidRPr="00B06F83" w:rsidRDefault="00B06F83" w:rsidP="00B06F83">
      <w:pPr>
        <w:tabs>
          <w:tab w:val="left" w:pos="4900"/>
        </w:tabs>
        <w:jc w:val="both"/>
        <w:rPr>
          <w:rFonts w:cs="Arial"/>
          <w:iCs/>
          <w:szCs w:val="20"/>
          <w:lang w:eastAsia="en-US"/>
        </w:rPr>
      </w:pPr>
      <w:r w:rsidRPr="00B06F83">
        <w:rPr>
          <w:rFonts w:cs="Arial"/>
          <w:b/>
          <w:iCs/>
          <w:szCs w:val="20"/>
          <w:lang w:eastAsia="en-US"/>
        </w:rPr>
        <w:t>Meziročně</w:t>
      </w:r>
      <w:r w:rsidRPr="00B06F83">
        <w:rPr>
          <w:rFonts w:cs="Arial"/>
          <w:iCs/>
          <w:szCs w:val="20"/>
          <w:lang w:eastAsia="en-US"/>
        </w:rPr>
        <w:t xml:space="preserve"> vzrostly spotřebitelské ceny v srpnu stejně jako v červenci o 2,5 %. V oddíle doprava přešly ceny pohonných hmot z červencového poklesu o 0,1 % v růst o 2,1 % v srpnu. V oddíle pošty a telekomunikace došlo k prohloubení cenového poklesu. Ceny </w:t>
      </w:r>
      <w:r w:rsidRPr="00B06F83">
        <w:rPr>
          <w:rFonts w:eastAsia="Calibri"/>
          <w:szCs w:val="22"/>
          <w:lang w:eastAsia="en-US"/>
        </w:rPr>
        <w:t>mobilních telefonů byly nižší o 15,0 % (v červenci o 14,6 %) a ceny telefonických a telefaxových služeb o 1,0 % (v červenci o 0,8 %).</w:t>
      </w:r>
    </w:p>
    <w:p w:rsidR="00B06F83" w:rsidRPr="00B06F83" w:rsidRDefault="00B06F83" w:rsidP="00B06F83">
      <w:pPr>
        <w:jc w:val="both"/>
        <w:rPr>
          <w:rFonts w:eastAsia="Calibri"/>
          <w:szCs w:val="22"/>
          <w:lang w:eastAsia="en-US"/>
        </w:rPr>
      </w:pPr>
      <w:r w:rsidRPr="00B06F83">
        <w:rPr>
          <w:rFonts w:eastAsia="Calibri"/>
          <w:szCs w:val="22"/>
          <w:lang w:eastAsia="en-US"/>
        </w:rPr>
        <w:t>Na meziroční zvyšování cenové hladiny měly v srpnu i nadále největší vliv ceny v</w:t>
      </w:r>
      <w:r w:rsidRPr="00B06F83">
        <w:rPr>
          <w:rFonts w:eastAsia="Calibri"/>
          <w:i/>
          <w:szCs w:val="22"/>
          <w:lang w:eastAsia="en-US"/>
        </w:rPr>
        <w:t> </w:t>
      </w:r>
      <w:r w:rsidRPr="00B06F83">
        <w:rPr>
          <w:rFonts w:eastAsia="Calibri"/>
          <w:szCs w:val="22"/>
          <w:lang w:eastAsia="en-US"/>
        </w:rPr>
        <w:t>oddíle</w:t>
      </w:r>
      <w:r w:rsidRPr="00B06F83">
        <w:rPr>
          <w:rFonts w:eastAsia="Calibri"/>
          <w:i/>
          <w:szCs w:val="22"/>
          <w:lang w:eastAsia="en-US"/>
        </w:rPr>
        <w:t xml:space="preserve"> </w:t>
      </w:r>
      <w:r w:rsidRPr="00B06F83">
        <w:rPr>
          <w:rFonts w:eastAsia="Calibri"/>
          <w:szCs w:val="22"/>
          <w:lang w:eastAsia="en-US"/>
        </w:rPr>
        <w:t>potraviny a nealkoholické nápoje. Ceny masa vzrostly o 5,8 %, vajec o 33,9 %, mléka o 14,6 %, sýrů o 14,6 % a čerstvého másla o 45,5 %. Další v pořadí vlivu byly ceny v oddíle bydlení, kde se zvýšily ceny čistého nájemného o 2,5 %, vodného o 1,2 %, stočného o 0,4 %, elektřiny o 0,3 %. Vliv na zvýšení cenové hladiny měly též ceny v oddíle stravování a ubytování, kde byly vyšší ceny stravovacích služeb o 6,7 % a ceny ubytovacích služeb o 2,1 %. Růst cen pokračoval také v oddíle doprava (o 2,7 %).</w:t>
      </w:r>
    </w:p>
    <w:p w:rsidR="00B06F83" w:rsidRPr="00B06F83" w:rsidRDefault="00B06F83" w:rsidP="00B06F83">
      <w:pPr>
        <w:tabs>
          <w:tab w:val="left" w:pos="4900"/>
        </w:tabs>
        <w:jc w:val="both"/>
        <w:rPr>
          <w:rFonts w:eastAsia="Calibri"/>
          <w:szCs w:val="22"/>
          <w:lang w:eastAsia="en-US"/>
        </w:rPr>
      </w:pPr>
      <w:r w:rsidRPr="00B06F83">
        <w:rPr>
          <w:rFonts w:eastAsia="Calibri"/>
          <w:szCs w:val="22"/>
          <w:lang w:eastAsia="en-US"/>
        </w:rPr>
        <w:t>Na meziroční snižování cenové hladiny působily nižší ceny v oddíle bytové vybavení a zařízení domácnosti (o 0,6 %). Pokles cen pokračoval v oddíle pošty a telekomunikace (o 1,4 %). V oddíle bydlení byly nižší ceny tepla a teplé vody o 2,3 % a ceny zemního plynu o 0,8 %.</w:t>
      </w:r>
    </w:p>
    <w:p w:rsidR="00B06F83" w:rsidRPr="00B06F83" w:rsidRDefault="00B06F83" w:rsidP="00B06F83">
      <w:pPr>
        <w:tabs>
          <w:tab w:val="left" w:pos="4900"/>
        </w:tabs>
        <w:jc w:val="both"/>
        <w:rPr>
          <w:rFonts w:cs="Arial"/>
          <w:iCs/>
          <w:szCs w:val="20"/>
          <w:lang w:eastAsia="en-US"/>
        </w:rPr>
      </w:pPr>
      <w:r w:rsidRPr="00B06F83">
        <w:rPr>
          <w:rFonts w:cs="Arial"/>
          <w:iCs/>
          <w:szCs w:val="20"/>
          <w:lang w:eastAsia="en-US"/>
        </w:rPr>
        <w:t>Ceny zboží úhrnem vzrostly o 2,1 % a ceny služeb o 3,2 %. Úhrnný index spotřebitelských cen bez započtení imputovaného nájemného byl meziročně 102,3 %.</w:t>
      </w:r>
    </w:p>
    <w:p w:rsidR="00B06F83" w:rsidRPr="00B06F83" w:rsidRDefault="00B06F83" w:rsidP="00B06F83">
      <w:pPr>
        <w:tabs>
          <w:tab w:val="left" w:pos="4900"/>
        </w:tabs>
        <w:jc w:val="both"/>
        <w:rPr>
          <w:rFonts w:cs="Arial"/>
          <w:iCs/>
          <w:szCs w:val="20"/>
          <w:lang w:eastAsia="en-US"/>
        </w:rPr>
      </w:pPr>
      <w:r w:rsidRPr="00B06F83">
        <w:rPr>
          <w:rFonts w:cs="Arial"/>
          <w:iCs/>
          <w:szCs w:val="20"/>
          <w:lang w:eastAsia="en-US"/>
        </w:rPr>
        <w:t>Míra inflace vyjádřená přírůstkem průměrného indexu spotřebitelských cen za posledních 12 měsíců proti průměru předchozích 12 měsíců byla v srpnu 2,0 %.</w:t>
      </w:r>
    </w:p>
    <w:p w:rsidR="0097104F" w:rsidRDefault="00B06F83" w:rsidP="00B06F83">
      <w:pPr>
        <w:jc w:val="both"/>
        <w:rPr>
          <w:rFonts w:eastAsia="Calibri" w:cs="Arial"/>
          <w:szCs w:val="20"/>
          <w:lang w:eastAsia="en-US"/>
        </w:rPr>
      </w:pPr>
      <w:r w:rsidRPr="00B06F83">
        <w:rPr>
          <w:rFonts w:eastAsia="Calibri" w:cs="Arial"/>
          <w:b/>
          <w:szCs w:val="20"/>
          <w:lang w:eastAsia="en-US"/>
        </w:rPr>
        <w:t>Meziroční</w:t>
      </w:r>
      <w:r w:rsidRPr="00B06F83">
        <w:rPr>
          <w:rFonts w:eastAsia="Calibri" w:cs="Arial"/>
          <w:szCs w:val="20"/>
          <w:lang w:eastAsia="en-US"/>
        </w:rPr>
        <w:t xml:space="preserve"> změna průměrného </w:t>
      </w:r>
      <w:r w:rsidRPr="00B06F83">
        <w:rPr>
          <w:rFonts w:eastAsia="Calibri" w:cs="Arial"/>
          <w:b/>
          <w:bCs/>
          <w:szCs w:val="20"/>
          <w:lang w:eastAsia="en-US"/>
        </w:rPr>
        <w:t>harmonizovaného indexu spotřebitelských cen</w:t>
      </w:r>
      <w:r w:rsidRPr="00B06F83">
        <w:rPr>
          <w:rFonts w:eastAsia="Calibri" w:cs="Arial"/>
          <w:szCs w:val="20"/>
          <w:lang w:eastAsia="en-US"/>
        </w:rPr>
        <w:t xml:space="preserve"> (HICP)</w:t>
      </w:r>
      <w:r w:rsidRPr="00B06F83">
        <w:rPr>
          <w:rFonts w:eastAsia="Calibri" w:cs="Arial"/>
          <w:vertAlign w:val="superscript"/>
          <w:lang w:eastAsia="en-US"/>
        </w:rPr>
        <w:footnoteReference w:id="1"/>
      </w:r>
      <w:r w:rsidRPr="00B06F83">
        <w:rPr>
          <w:rFonts w:eastAsia="Calibri" w:cs="Arial"/>
          <w:szCs w:val="20"/>
          <w:vertAlign w:val="superscript"/>
          <w:lang w:eastAsia="en-US"/>
        </w:rPr>
        <w:t>)</w:t>
      </w:r>
      <w:r w:rsidRPr="00B06F83">
        <w:rPr>
          <w:rFonts w:eastAsia="Calibri" w:cs="Arial"/>
          <w:szCs w:val="20"/>
          <w:lang w:eastAsia="en-US"/>
        </w:rPr>
        <w:t xml:space="preserve"> </w:t>
      </w:r>
      <w:r w:rsidRPr="00B06F83">
        <w:rPr>
          <w:rFonts w:eastAsia="Calibri" w:cs="Arial"/>
          <w:b/>
          <w:bCs/>
          <w:szCs w:val="20"/>
          <w:lang w:eastAsia="en-US"/>
        </w:rPr>
        <w:t>28 členských zemí EU</w:t>
      </w:r>
      <w:r w:rsidRPr="00B06F83">
        <w:rPr>
          <w:rFonts w:eastAsia="Calibri" w:cs="Arial"/>
          <w:szCs w:val="20"/>
          <w:lang w:eastAsia="en-US"/>
        </w:rPr>
        <w:t xml:space="preserve"> byla podle předběžných údajů </w:t>
      </w:r>
      <w:proofErr w:type="spellStart"/>
      <w:r w:rsidRPr="00B06F83">
        <w:rPr>
          <w:rFonts w:eastAsia="Calibri" w:cs="Arial"/>
          <w:szCs w:val="20"/>
          <w:lang w:eastAsia="en-US"/>
        </w:rPr>
        <w:t>Eurostatu</w:t>
      </w:r>
      <w:proofErr w:type="spellEnd"/>
      <w:r w:rsidRPr="00B06F83">
        <w:rPr>
          <w:rFonts w:eastAsia="Calibri" w:cs="Arial"/>
          <w:szCs w:val="20"/>
          <w:lang w:eastAsia="en-US"/>
        </w:rPr>
        <w:t xml:space="preserve"> </w:t>
      </w:r>
      <w:r w:rsidRPr="00B06F83">
        <w:rPr>
          <w:rFonts w:eastAsia="Calibri" w:cs="Arial"/>
          <w:b/>
          <w:szCs w:val="20"/>
          <w:lang w:eastAsia="en-US"/>
        </w:rPr>
        <w:t xml:space="preserve">v červenci </w:t>
      </w:r>
      <w:r w:rsidRPr="00B06F83">
        <w:rPr>
          <w:rFonts w:eastAsia="Calibri" w:cs="Arial"/>
          <w:szCs w:val="20"/>
          <w:lang w:eastAsia="en-US"/>
        </w:rPr>
        <w:t>stejně jako v červnu</w:t>
      </w:r>
      <w:r w:rsidRPr="00B06F83">
        <w:rPr>
          <w:rFonts w:eastAsia="Calibri" w:cs="Arial"/>
          <w:b/>
          <w:szCs w:val="20"/>
          <w:lang w:eastAsia="en-US"/>
        </w:rPr>
        <w:t xml:space="preserve"> </w:t>
      </w:r>
      <w:r w:rsidRPr="00B06F83">
        <w:rPr>
          <w:rFonts w:eastAsia="Calibri" w:cs="Arial"/>
          <w:szCs w:val="20"/>
          <w:lang w:eastAsia="en-US"/>
        </w:rPr>
        <w:t>1,5</w:t>
      </w:r>
      <w:r w:rsidRPr="00B06F83">
        <w:rPr>
          <w:rFonts w:eastAsia="Calibri" w:cs="Arial"/>
          <w:b/>
          <w:szCs w:val="20"/>
          <w:lang w:eastAsia="en-US"/>
        </w:rPr>
        <w:t> </w:t>
      </w:r>
      <w:r w:rsidRPr="00B06F83">
        <w:rPr>
          <w:rFonts w:eastAsia="Calibri" w:cs="Arial"/>
          <w:szCs w:val="20"/>
          <w:lang w:eastAsia="en-US"/>
        </w:rPr>
        <w:t>%</w:t>
      </w:r>
      <w:r w:rsidRPr="00B06F83">
        <w:rPr>
          <w:rFonts w:eastAsia="Calibri" w:cs="Arial"/>
          <w:bCs/>
          <w:szCs w:val="22"/>
          <w:lang w:eastAsia="en-US"/>
        </w:rPr>
        <w:t>. Nejvíce ceny vzrostly v Litvě (o 4,1 %) a v Estonsku (o 3,9 %). Naopak v Irsku a na Kypru došlo v červenci k meziročnímu poklesu cen o 0,2 %, resp. o 0,1 %. Na Slovensku cenový růst v červenci zrychlil na </w:t>
      </w:r>
      <w:proofErr w:type="gramStart"/>
      <w:r w:rsidRPr="00B06F83">
        <w:rPr>
          <w:rFonts w:eastAsia="Calibri" w:cs="Arial"/>
          <w:bCs/>
          <w:szCs w:val="22"/>
          <w:lang w:eastAsia="en-US"/>
        </w:rPr>
        <w:t>1,5 % z 1,0</w:t>
      </w:r>
      <w:proofErr w:type="gramEnd"/>
      <w:r w:rsidRPr="00B06F83">
        <w:rPr>
          <w:rFonts w:eastAsia="Calibri" w:cs="Arial"/>
          <w:bCs/>
          <w:szCs w:val="22"/>
          <w:lang w:eastAsia="en-US"/>
        </w:rPr>
        <w:t> % v červnu. V Německu</w:t>
      </w:r>
      <w:r w:rsidRPr="00B06F83">
        <w:rPr>
          <w:rFonts w:eastAsia="Calibri" w:cs="Arial"/>
          <w:szCs w:val="20"/>
          <w:lang w:eastAsia="en-US"/>
        </w:rPr>
        <w:t xml:space="preserve"> byly ceny v červnu i v červenci vyšší o 1,5 %. Podle předběžných výpočtů klesl </w:t>
      </w:r>
      <w:r w:rsidRPr="00B06F83">
        <w:rPr>
          <w:rFonts w:eastAsia="Calibri" w:cs="Arial"/>
          <w:b/>
          <w:szCs w:val="20"/>
          <w:lang w:eastAsia="en-US"/>
        </w:rPr>
        <w:t xml:space="preserve">v srpnu </w:t>
      </w:r>
      <w:r w:rsidRPr="00B06F83">
        <w:rPr>
          <w:rFonts w:eastAsia="Calibri" w:cs="Arial"/>
          <w:szCs w:val="20"/>
          <w:lang w:eastAsia="en-US"/>
        </w:rPr>
        <w:t>HICP v ČR</w:t>
      </w:r>
      <w:r w:rsidRPr="00B06F83">
        <w:rPr>
          <w:rFonts w:eastAsia="Calibri" w:cs="Arial"/>
          <w:b/>
          <w:szCs w:val="20"/>
          <w:lang w:eastAsia="en-US"/>
        </w:rPr>
        <w:t xml:space="preserve"> meziměsíčně </w:t>
      </w:r>
      <w:r w:rsidRPr="00B06F83">
        <w:rPr>
          <w:rFonts w:eastAsia="Calibri" w:cs="Arial"/>
          <w:szCs w:val="20"/>
          <w:lang w:eastAsia="en-US"/>
        </w:rPr>
        <w:t>o 0,2 % a </w:t>
      </w:r>
      <w:r w:rsidRPr="00B06F83">
        <w:rPr>
          <w:rFonts w:eastAsia="Calibri" w:cs="Arial"/>
          <w:b/>
          <w:szCs w:val="20"/>
          <w:lang w:eastAsia="en-US"/>
        </w:rPr>
        <w:t>meziroční růst</w:t>
      </w:r>
      <w:r w:rsidRPr="00B06F83">
        <w:rPr>
          <w:rFonts w:eastAsia="Calibri" w:cs="Arial"/>
          <w:szCs w:val="20"/>
          <w:lang w:eastAsia="en-US"/>
        </w:rPr>
        <w:t xml:space="preserve"> zůstal stejný jako v červenci, tj. 2,4 %. Bleskový odhad meziroční změny HICP pro</w:t>
      </w:r>
      <w:r w:rsidRPr="00B06F83">
        <w:rPr>
          <w:rFonts w:eastAsia="Calibri" w:cs="Arial"/>
          <w:b/>
          <w:bCs/>
          <w:szCs w:val="20"/>
          <w:lang w:eastAsia="en-US"/>
        </w:rPr>
        <w:t xml:space="preserve"> eurozónu </w:t>
      </w:r>
      <w:r w:rsidRPr="00B06F83">
        <w:rPr>
          <w:rFonts w:eastAsia="Calibri" w:cs="Arial"/>
          <w:b/>
          <w:szCs w:val="20"/>
          <w:lang w:eastAsia="en-US"/>
        </w:rPr>
        <w:t>za</w:t>
      </w:r>
      <w:r w:rsidRPr="00B06F83">
        <w:rPr>
          <w:rFonts w:eastAsia="Calibri" w:cs="Arial"/>
          <w:b/>
          <w:bCs/>
          <w:szCs w:val="20"/>
          <w:lang w:eastAsia="en-US"/>
        </w:rPr>
        <w:t> srpen 2017</w:t>
      </w:r>
      <w:r w:rsidRPr="00B06F83">
        <w:rPr>
          <w:rFonts w:eastAsia="Calibri" w:cs="Arial"/>
          <w:szCs w:val="20"/>
          <w:lang w:eastAsia="en-US"/>
        </w:rPr>
        <w:t xml:space="preserve"> je 1,5 %, jak uvedl </w:t>
      </w:r>
      <w:proofErr w:type="spellStart"/>
      <w:r w:rsidRPr="00B06F83">
        <w:rPr>
          <w:rFonts w:eastAsia="Calibri" w:cs="Arial"/>
          <w:szCs w:val="20"/>
          <w:lang w:eastAsia="en-US"/>
        </w:rPr>
        <w:t>Eurostat</w:t>
      </w:r>
      <w:proofErr w:type="spellEnd"/>
      <w:r w:rsidRPr="00B06F83">
        <w:rPr>
          <w:rFonts w:eastAsia="Calibri" w:cs="Arial"/>
          <w:szCs w:val="20"/>
          <w:lang w:eastAsia="en-US"/>
        </w:rPr>
        <w:t xml:space="preserve">. (Více informací na internetových stránkách </w:t>
      </w:r>
      <w:proofErr w:type="spellStart"/>
      <w:r w:rsidRPr="00B06F83">
        <w:rPr>
          <w:rFonts w:eastAsia="Calibri" w:cs="Arial"/>
          <w:szCs w:val="20"/>
          <w:lang w:eastAsia="en-US"/>
        </w:rPr>
        <w:t>Eurostatu</w:t>
      </w:r>
      <w:proofErr w:type="spellEnd"/>
      <w:r w:rsidRPr="00B06F83">
        <w:rPr>
          <w:rFonts w:eastAsia="Calibri" w:cs="Arial"/>
          <w:szCs w:val="20"/>
          <w:lang w:eastAsia="en-US"/>
        </w:rPr>
        <w:t xml:space="preserve">: </w:t>
      </w:r>
      <w:hyperlink r:id="rId9" w:history="1">
        <w:r w:rsidRPr="00B06F83">
          <w:rPr>
            <w:rFonts w:eastAsia="Calibri"/>
            <w:color w:val="0000FF"/>
            <w:u w:val="single"/>
            <w:lang w:eastAsia="en-US"/>
          </w:rPr>
          <w:t>HICP</w:t>
        </w:r>
      </w:hyperlink>
      <w:r w:rsidRPr="00B06F83">
        <w:rPr>
          <w:rFonts w:eastAsia="Calibri"/>
          <w:szCs w:val="22"/>
          <w:lang w:eastAsia="en-US"/>
        </w:rPr>
        <w:t>.</w:t>
      </w:r>
      <w:r w:rsidRPr="00B06F83">
        <w:rPr>
          <w:rFonts w:eastAsia="Calibri" w:cs="Arial"/>
          <w:szCs w:val="20"/>
          <w:lang w:eastAsia="en-US"/>
        </w:rPr>
        <w:t>)</w:t>
      </w:r>
    </w:p>
    <w:p w:rsidR="00F36C9A" w:rsidRPr="00F36C9A" w:rsidRDefault="00F36C9A" w:rsidP="00F36C9A">
      <w:pPr>
        <w:jc w:val="both"/>
        <w:rPr>
          <w:rFonts w:cs="Arial"/>
          <w:szCs w:val="20"/>
        </w:rPr>
      </w:pPr>
      <w:r w:rsidRPr="00F36C9A">
        <w:rPr>
          <w:rFonts w:cs="Arial"/>
          <w:szCs w:val="20"/>
        </w:rPr>
        <w:lastRenderedPageBreak/>
        <w:t xml:space="preserve">Celková úroveň spotřebitelských cen </w:t>
      </w:r>
      <w:r w:rsidRPr="00F36C9A">
        <w:rPr>
          <w:rFonts w:cs="Arial"/>
          <w:b/>
          <w:bCs/>
          <w:szCs w:val="20"/>
        </w:rPr>
        <w:t>domácností důchodců</w:t>
      </w:r>
      <w:r w:rsidRPr="00F36C9A">
        <w:rPr>
          <w:rFonts w:cs="Arial"/>
          <w:szCs w:val="20"/>
        </w:rPr>
        <w:t xml:space="preserve"> v srpnu ve srovnání s předcházejícím měsícem klesla o 0,3 %. V oddíle potraviny a nealkoholické nápoje se snížily ceny o 0,9 %. Vliv na pokles cen v tomto oddíle měly zejména ceny zeleniny. V oddíle odívání a obuv se snížil index spotřebitelských cen o 0,8 %. Nižší byly zejména ceny obuvi. V oddíle bytové vybavení, zařízení domácností, opravy se snížily ceny o 0,4 %. Bylo to způsobeno zejména cenami nástrojů a nářad</w:t>
      </w:r>
      <w:r>
        <w:rPr>
          <w:rFonts w:cs="Arial"/>
          <w:szCs w:val="20"/>
        </w:rPr>
        <w:t>í dlouhodobé spotřeby pro dům a </w:t>
      </w:r>
      <w:r w:rsidRPr="00F36C9A">
        <w:rPr>
          <w:rFonts w:cs="Arial"/>
          <w:szCs w:val="20"/>
        </w:rPr>
        <w:t>zahradu. Na druhé straně se projevilo zvýšení cen v oddíle zdraví o 0,4 %. Vzrostly zejména ceny léků předepsaných lékařem. V oddíle rekreace a kultura bylo zaznamenáno zvýšení cen o 0,3 %. Důvodem byl hlavně růst cen dovolených s komplexními službami.</w:t>
      </w:r>
    </w:p>
    <w:p w:rsidR="00F36C9A" w:rsidRPr="00F7312B" w:rsidRDefault="00F36C9A" w:rsidP="00F36C9A">
      <w:pPr>
        <w:jc w:val="both"/>
        <w:rPr>
          <w:rFonts w:cs="Arial"/>
          <w:szCs w:val="20"/>
        </w:rPr>
      </w:pPr>
      <w:r w:rsidRPr="00F36C9A">
        <w:rPr>
          <w:rFonts w:cs="Arial"/>
          <w:b/>
          <w:bCs/>
          <w:szCs w:val="20"/>
        </w:rPr>
        <w:t>V hlavním městě Praze</w:t>
      </w:r>
      <w:r w:rsidRPr="00F36C9A">
        <w:rPr>
          <w:rFonts w:cs="Arial"/>
          <w:szCs w:val="20"/>
        </w:rPr>
        <w:t xml:space="preserve"> úhrnný index spotřebitelských cen (životních nákladů) ve srovnání s </w:t>
      </w:r>
      <w:r w:rsidR="00681B75">
        <w:rPr>
          <w:rFonts w:cs="Arial"/>
          <w:szCs w:val="20"/>
        </w:rPr>
        <w:t xml:space="preserve">minulým měsícem klesl o </w:t>
      </w:r>
      <w:proofErr w:type="gramStart"/>
      <w:r w:rsidR="00681B75">
        <w:rPr>
          <w:rFonts w:cs="Arial"/>
          <w:szCs w:val="20"/>
        </w:rPr>
        <w:t>0,2 % (–</w:t>
      </w:r>
      <w:r w:rsidRPr="00F36C9A">
        <w:rPr>
          <w:rFonts w:cs="Arial"/>
          <w:szCs w:val="20"/>
        </w:rPr>
        <w:t>0,1</w:t>
      </w:r>
      <w:proofErr w:type="gramEnd"/>
      <w:r w:rsidRPr="00F36C9A">
        <w:rPr>
          <w:rFonts w:cs="Arial"/>
          <w:szCs w:val="20"/>
        </w:rPr>
        <w:t xml:space="preserve"> % v celé ČR). V oddíle odívání a obuv se snížil</w:t>
      </w:r>
      <w:r>
        <w:rPr>
          <w:rFonts w:cs="Arial"/>
          <w:szCs w:val="20"/>
        </w:rPr>
        <w:t xml:space="preserve"> index spotřebitelských cen o </w:t>
      </w:r>
      <w:proofErr w:type="gramStart"/>
      <w:r w:rsidRPr="00F36C9A">
        <w:rPr>
          <w:rFonts w:cs="Arial"/>
          <w:szCs w:val="20"/>
        </w:rPr>
        <w:t>2,4</w:t>
      </w:r>
      <w:r>
        <w:rPr>
          <w:rFonts w:cs="Arial"/>
          <w:szCs w:val="20"/>
        </w:rPr>
        <w:t> </w:t>
      </w:r>
      <w:r w:rsidR="00681B75">
        <w:rPr>
          <w:rFonts w:cs="Arial"/>
          <w:szCs w:val="20"/>
        </w:rPr>
        <w:t>% (–</w:t>
      </w:r>
      <w:r w:rsidRPr="00F36C9A">
        <w:rPr>
          <w:rFonts w:cs="Arial"/>
          <w:szCs w:val="20"/>
        </w:rPr>
        <w:t>0,9</w:t>
      </w:r>
      <w:proofErr w:type="gramEnd"/>
      <w:r w:rsidRPr="00F36C9A">
        <w:rPr>
          <w:rFonts w:cs="Arial"/>
          <w:szCs w:val="20"/>
        </w:rPr>
        <w:t xml:space="preserve"> % v ČR). Klesly ceny obuvi a oděvů. V Praze se snížila hladina spotřebitelských cen v oddíle potraviny a</w:t>
      </w:r>
      <w:r w:rsidR="00681B75">
        <w:rPr>
          <w:rFonts w:cs="Arial"/>
          <w:szCs w:val="20"/>
        </w:rPr>
        <w:t xml:space="preserve"> nealkoholické nápoje o </w:t>
      </w:r>
      <w:proofErr w:type="gramStart"/>
      <w:r w:rsidR="00681B75">
        <w:rPr>
          <w:rFonts w:cs="Arial"/>
          <w:szCs w:val="20"/>
        </w:rPr>
        <w:t>1,1 % (–</w:t>
      </w:r>
      <w:r w:rsidRPr="00F36C9A">
        <w:rPr>
          <w:rFonts w:cs="Arial"/>
          <w:szCs w:val="20"/>
        </w:rPr>
        <w:t>0,8</w:t>
      </w:r>
      <w:proofErr w:type="gramEnd"/>
      <w:r w:rsidRPr="00F36C9A">
        <w:rPr>
          <w:rFonts w:cs="Arial"/>
          <w:szCs w:val="20"/>
        </w:rPr>
        <w:t xml:space="preserve"> % v ČR). V tomto oddíle se snížily zejména ceny zeleniny. Na druhé straně byl zaznamenán růst indexu spotřebitelských cen v oddíle bytové vybavení, zaříze</w:t>
      </w:r>
      <w:r w:rsidR="00681B75">
        <w:rPr>
          <w:rFonts w:cs="Arial"/>
          <w:szCs w:val="20"/>
        </w:rPr>
        <w:t>ní domácnosti, opravy o </w:t>
      </w:r>
      <w:proofErr w:type="gramStart"/>
      <w:r w:rsidR="00681B75">
        <w:rPr>
          <w:rFonts w:cs="Arial"/>
          <w:szCs w:val="20"/>
        </w:rPr>
        <w:t>0,6 % (–</w:t>
      </w:r>
      <w:bookmarkStart w:id="0" w:name="_GoBack"/>
      <w:bookmarkEnd w:id="0"/>
      <w:r w:rsidRPr="00F36C9A">
        <w:rPr>
          <w:rFonts w:cs="Arial"/>
          <w:szCs w:val="20"/>
        </w:rPr>
        <w:t>0,3</w:t>
      </w:r>
      <w:proofErr w:type="gramEnd"/>
      <w:r w:rsidRPr="00F36C9A">
        <w:rPr>
          <w:rFonts w:cs="Arial"/>
          <w:szCs w:val="20"/>
        </w:rPr>
        <w:t xml:space="preserve"> % v ČR). Byly zjištěny zejména vyšší ceny nábytku. V oddíle </w:t>
      </w:r>
      <w:r>
        <w:rPr>
          <w:rFonts w:cs="Arial"/>
          <w:szCs w:val="20"/>
        </w:rPr>
        <w:t>rekreace a </w:t>
      </w:r>
      <w:r w:rsidRPr="00F36C9A">
        <w:rPr>
          <w:rFonts w:cs="Arial"/>
          <w:szCs w:val="20"/>
        </w:rPr>
        <w:t>kultura vzrostly spotřebitelské ceny o 0,5 % (0,3 % v ČR). Růst byl ovlivněn zejména cenami dovolených s komplexními službami.</w:t>
      </w:r>
    </w:p>
    <w:sectPr w:rsidR="00F36C9A" w:rsidRPr="00F7312B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9A6" w:rsidRDefault="007B59A6" w:rsidP="00E71A58">
      <w:r>
        <w:separator/>
      </w:r>
    </w:p>
  </w:endnote>
  <w:endnote w:type="continuationSeparator" w:id="0">
    <w:p w:rsidR="007B59A6" w:rsidRDefault="007B59A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AA765E">
      <w:rPr>
        <w:szCs w:val="16"/>
      </w:rPr>
      <w:tab/>
      <w:t>srpen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AA765E">
      <w:rPr>
        <w:rStyle w:val="ZpatChar"/>
        <w:i/>
        <w:szCs w:val="16"/>
      </w:rPr>
      <w:t>August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9A6" w:rsidRDefault="007B59A6" w:rsidP="00E71A58">
      <w:r>
        <w:separator/>
      </w:r>
    </w:p>
  </w:footnote>
  <w:footnote w:type="continuationSeparator" w:id="0">
    <w:p w:rsidR="007B59A6" w:rsidRDefault="007B59A6" w:rsidP="00E71A58">
      <w:r>
        <w:continuationSeparator/>
      </w:r>
    </w:p>
  </w:footnote>
  <w:footnote w:id="1">
    <w:p w:rsidR="00B06F83" w:rsidRDefault="00B06F83" w:rsidP="00B06F83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41CEC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44715"/>
    <w:rsid w:val="00157546"/>
    <w:rsid w:val="0016256B"/>
    <w:rsid w:val="00163793"/>
    <w:rsid w:val="001637B7"/>
    <w:rsid w:val="001706D6"/>
    <w:rsid w:val="001714F2"/>
    <w:rsid w:val="001778BB"/>
    <w:rsid w:val="001849F2"/>
    <w:rsid w:val="00184B08"/>
    <w:rsid w:val="00185010"/>
    <w:rsid w:val="0019038F"/>
    <w:rsid w:val="001A552F"/>
    <w:rsid w:val="001B0D9B"/>
    <w:rsid w:val="001B2B92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2480"/>
    <w:rsid w:val="00253C0F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2E63C9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66ECE"/>
    <w:rsid w:val="00474BB3"/>
    <w:rsid w:val="00476240"/>
    <w:rsid w:val="00476439"/>
    <w:rsid w:val="0047735C"/>
    <w:rsid w:val="004776BC"/>
    <w:rsid w:val="0048139F"/>
    <w:rsid w:val="00481E40"/>
    <w:rsid w:val="004847E4"/>
    <w:rsid w:val="00484ECE"/>
    <w:rsid w:val="004915CB"/>
    <w:rsid w:val="004A1103"/>
    <w:rsid w:val="004A1719"/>
    <w:rsid w:val="004A3212"/>
    <w:rsid w:val="004A413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B75"/>
    <w:rsid w:val="00681DCE"/>
    <w:rsid w:val="0068260E"/>
    <w:rsid w:val="00687FD6"/>
    <w:rsid w:val="0069322B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1D2E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59A6"/>
    <w:rsid w:val="007B6689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2EC2"/>
    <w:rsid w:val="00875A32"/>
    <w:rsid w:val="00876086"/>
    <w:rsid w:val="0088448E"/>
    <w:rsid w:val="00884704"/>
    <w:rsid w:val="008873D4"/>
    <w:rsid w:val="0089223D"/>
    <w:rsid w:val="00893E85"/>
    <w:rsid w:val="00894031"/>
    <w:rsid w:val="008B3591"/>
    <w:rsid w:val="008B7C02"/>
    <w:rsid w:val="008B7D2B"/>
    <w:rsid w:val="008C0049"/>
    <w:rsid w:val="008C0E88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1F5F"/>
    <w:rsid w:val="00956240"/>
    <w:rsid w:val="00965CD5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94D1E"/>
    <w:rsid w:val="00AA2996"/>
    <w:rsid w:val="00AA52BF"/>
    <w:rsid w:val="00AA559A"/>
    <w:rsid w:val="00AA765E"/>
    <w:rsid w:val="00AB2AF1"/>
    <w:rsid w:val="00AD306C"/>
    <w:rsid w:val="00AE09B3"/>
    <w:rsid w:val="00AE1A83"/>
    <w:rsid w:val="00B00913"/>
    <w:rsid w:val="00B01593"/>
    <w:rsid w:val="00B06F8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47A70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1D5E"/>
    <w:rsid w:val="00B92D1D"/>
    <w:rsid w:val="00B938C5"/>
    <w:rsid w:val="00B95940"/>
    <w:rsid w:val="00BB46F3"/>
    <w:rsid w:val="00BB4CB1"/>
    <w:rsid w:val="00BB4F98"/>
    <w:rsid w:val="00BC33D1"/>
    <w:rsid w:val="00BC7154"/>
    <w:rsid w:val="00BD366B"/>
    <w:rsid w:val="00BD6D5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973"/>
    <w:rsid w:val="00D50F46"/>
    <w:rsid w:val="00D559EE"/>
    <w:rsid w:val="00D66223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3AB5"/>
    <w:rsid w:val="00E93820"/>
    <w:rsid w:val="00E96E34"/>
    <w:rsid w:val="00EA0C68"/>
    <w:rsid w:val="00EB68E4"/>
    <w:rsid w:val="00EC03D7"/>
    <w:rsid w:val="00EC115B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5AAA"/>
    <w:rsid w:val="00F15BEF"/>
    <w:rsid w:val="00F1639F"/>
    <w:rsid w:val="00F24407"/>
    <w:rsid w:val="00F24FAA"/>
    <w:rsid w:val="00F32BBB"/>
    <w:rsid w:val="00F3364D"/>
    <w:rsid w:val="00F36C9A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C0E5F"/>
    <w:rsid w:val="00FC1A95"/>
    <w:rsid w:val="00FC56DE"/>
    <w:rsid w:val="00FC684B"/>
    <w:rsid w:val="00FD33AA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5E44-955B-4645-B5D9-433B3CD7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</Template>
  <TotalTime>37</TotalTime>
  <Pages>2</Pages>
  <Words>730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Jeanny</cp:lastModifiedBy>
  <cp:revision>28</cp:revision>
  <cp:lastPrinted>2017-01-18T13:33:00Z</cp:lastPrinted>
  <dcterms:created xsi:type="dcterms:W3CDTF">2017-02-09T16:27:00Z</dcterms:created>
  <dcterms:modified xsi:type="dcterms:W3CDTF">2017-09-22T07:07:00Z</dcterms:modified>
</cp:coreProperties>
</file>