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F4" w:rsidRPr="00535F40" w:rsidRDefault="0067576A">
      <w:pPr>
        <w:pStyle w:val="Zkladntext3"/>
        <w:rPr>
          <w:b/>
          <w:bCs/>
          <w:iCs w:val="0"/>
        </w:rPr>
      </w:pPr>
      <w:r w:rsidRPr="00535F40">
        <w:rPr>
          <w:b/>
          <w:bCs/>
          <w:iCs w:val="0"/>
        </w:rPr>
        <w:t>8. SCIENCE, RESEARCH</w:t>
      </w:r>
      <w:r w:rsidR="00A76D2D">
        <w:rPr>
          <w:b/>
          <w:bCs/>
          <w:iCs w:val="0"/>
        </w:rPr>
        <w:t>,</w:t>
      </w:r>
      <w:r w:rsidRPr="00535F40">
        <w:rPr>
          <w:b/>
          <w:bCs/>
          <w:iCs w:val="0"/>
        </w:rPr>
        <w:t xml:space="preserve"> </w:t>
      </w:r>
      <w:r w:rsidR="00275FF4" w:rsidRPr="00535F40">
        <w:rPr>
          <w:b/>
          <w:bCs/>
          <w:iCs w:val="0"/>
        </w:rPr>
        <w:t xml:space="preserve">AND </w:t>
      </w:r>
      <w:r w:rsidRPr="00535F40">
        <w:rPr>
          <w:b/>
          <w:bCs/>
          <w:iCs w:val="0"/>
        </w:rPr>
        <w:t>INNOVATION</w:t>
      </w:r>
    </w:p>
    <w:p w:rsidR="00275FF4" w:rsidRPr="00535F40" w:rsidRDefault="00275FF4">
      <w:pPr>
        <w:pStyle w:val="Zkladntext3"/>
        <w:rPr>
          <w:i w:val="0"/>
          <w:iCs w:val="0"/>
        </w:rPr>
      </w:pPr>
    </w:p>
    <w:p w:rsidR="00275FF4" w:rsidRPr="00535F40" w:rsidRDefault="00275FF4">
      <w:pPr>
        <w:pStyle w:val="Zkladntext3"/>
        <w:rPr>
          <w:b/>
          <w:bCs/>
        </w:rPr>
      </w:pPr>
      <w:r w:rsidRPr="00535F40">
        <w:rPr>
          <w:b/>
          <w:bCs/>
        </w:rPr>
        <w:t>Notes on Tables 8</w:t>
      </w:r>
      <w:r w:rsidR="001F21B1" w:rsidRPr="00535F40">
        <w:rPr>
          <w:b/>
          <w:bCs/>
        </w:rPr>
        <w:t>-</w:t>
      </w:r>
      <w:r w:rsidRPr="00535F40">
        <w:rPr>
          <w:b/>
          <w:bCs/>
        </w:rPr>
        <w:t xml:space="preserve">1 to </w:t>
      </w:r>
      <w:r w:rsidR="004C071D" w:rsidRPr="00535F40">
        <w:rPr>
          <w:b/>
          <w:bCs/>
        </w:rPr>
        <w:t>8</w:t>
      </w:r>
      <w:r w:rsidR="001F21B1" w:rsidRPr="00535F40">
        <w:rPr>
          <w:b/>
          <w:bCs/>
        </w:rPr>
        <w:t>-</w:t>
      </w:r>
      <w:r w:rsidR="00092202">
        <w:rPr>
          <w:b/>
          <w:bCs/>
        </w:rPr>
        <w:t>4 and 8-6</w:t>
      </w:r>
    </w:p>
    <w:p w:rsidR="00275FF4" w:rsidRPr="00535F40" w:rsidRDefault="00275FF4">
      <w:pPr>
        <w:pStyle w:val="Zkladntext3"/>
        <w:rPr>
          <w:i w:val="0"/>
          <w:iCs w:val="0"/>
          <w:u w:val="single"/>
        </w:rPr>
      </w:pPr>
    </w:p>
    <w:p w:rsidR="00275FF4" w:rsidRPr="00535F40" w:rsidRDefault="00275FF4">
      <w:pPr>
        <w:pStyle w:val="Zkladntextodsazen3"/>
        <w:tabs>
          <w:tab w:val="clear" w:pos="1"/>
          <w:tab w:val="clear" w:pos="709"/>
          <w:tab w:val="left" w:pos="0"/>
          <w:tab w:val="left" w:pos="720"/>
        </w:tabs>
        <w:ind w:left="0" w:firstLine="11"/>
        <w:rPr>
          <w:i/>
          <w:iCs/>
          <w:szCs w:val="20"/>
          <w:lang w:val="en-GB"/>
        </w:rPr>
      </w:pPr>
      <w:r w:rsidRPr="00535F40">
        <w:rPr>
          <w:i/>
          <w:iCs/>
          <w:szCs w:val="20"/>
          <w:lang w:val="en-GB"/>
        </w:rPr>
        <w:t xml:space="preserve">Data on the number of </w:t>
      </w:r>
      <w:r w:rsidR="00037885">
        <w:rPr>
          <w:i/>
          <w:iCs/>
          <w:szCs w:val="20"/>
          <w:lang w:val="en-GB"/>
        </w:rPr>
        <w:t xml:space="preserve">workers in </w:t>
      </w:r>
      <w:r w:rsidR="003D2E8E" w:rsidRPr="00535F40">
        <w:rPr>
          <w:i/>
          <w:iCs/>
          <w:szCs w:val="20"/>
          <w:lang w:val="en-GB"/>
        </w:rPr>
        <w:t xml:space="preserve">research and development </w:t>
      </w:r>
      <w:r w:rsidR="00657773">
        <w:rPr>
          <w:i/>
          <w:iCs/>
          <w:szCs w:val="20"/>
          <w:lang w:val="en-GB"/>
        </w:rPr>
        <w:t xml:space="preserve">(R&amp;D) were obtained from results of </w:t>
      </w:r>
      <w:r w:rsidR="00037885">
        <w:rPr>
          <w:i/>
          <w:iCs/>
          <w:szCs w:val="20"/>
          <w:lang w:val="en-GB"/>
        </w:rPr>
        <w:t xml:space="preserve">a </w:t>
      </w:r>
      <w:r w:rsidR="00657773">
        <w:rPr>
          <w:i/>
          <w:iCs/>
          <w:szCs w:val="20"/>
          <w:lang w:val="en-GB"/>
        </w:rPr>
        <w:t xml:space="preserve">regular annual statistical survey on research and development covering all economic entities, which carry out R&amp;D activities </w:t>
      </w:r>
      <w:r w:rsidR="00037885">
        <w:rPr>
          <w:i/>
          <w:iCs/>
          <w:szCs w:val="20"/>
          <w:lang w:val="en-GB"/>
        </w:rPr>
        <w:t>(</w:t>
      </w:r>
      <w:r w:rsidR="00657773">
        <w:rPr>
          <w:i/>
          <w:iCs/>
          <w:szCs w:val="20"/>
          <w:lang w:val="en-GB"/>
        </w:rPr>
        <w:t>systematic and creative work executed in order to acquire new knowledge or to apply it</w:t>
      </w:r>
      <w:r w:rsidR="00037885">
        <w:rPr>
          <w:i/>
          <w:iCs/>
          <w:szCs w:val="20"/>
          <w:lang w:val="en-GB"/>
        </w:rPr>
        <w:t>)</w:t>
      </w:r>
      <w:r w:rsidR="00657773">
        <w:rPr>
          <w:i/>
          <w:iCs/>
          <w:szCs w:val="20"/>
          <w:lang w:val="en-GB"/>
        </w:rPr>
        <w:t xml:space="preserve"> as their principal or secondary activities irrespective of the number of their employees. </w:t>
      </w:r>
    </w:p>
    <w:p w:rsidR="00275FF4" w:rsidRPr="00535F40" w:rsidRDefault="00275FF4">
      <w:pPr>
        <w:jc w:val="both"/>
        <w:rPr>
          <w:rFonts w:ascii="Arial" w:hAnsi="Arial" w:cs="Arial"/>
          <w:b/>
          <w:bCs/>
          <w:i/>
          <w:iCs/>
          <w:sz w:val="20"/>
          <w:szCs w:val="20"/>
          <w:lang w:val="en-GB"/>
        </w:rPr>
      </w:pPr>
    </w:p>
    <w:p w:rsidR="0034797D" w:rsidRDefault="00657773">
      <w:pPr>
        <w:numPr>
          <w:ilvl w:val="0"/>
          <w:numId w:val="1"/>
        </w:numPr>
        <w:tabs>
          <w:tab w:val="clear" w:pos="567"/>
          <w:tab w:val="num" w:pos="426"/>
        </w:tabs>
        <w:spacing w:after="120"/>
        <w:ind w:left="426" w:hanging="426"/>
        <w:jc w:val="both"/>
        <w:rPr>
          <w:rFonts w:ascii="Arial" w:hAnsi="Arial" w:cs="Arial"/>
          <w:i/>
          <w:iCs/>
          <w:sz w:val="20"/>
          <w:szCs w:val="20"/>
          <w:lang w:val="en-GB"/>
        </w:rPr>
      </w:pPr>
      <w:r>
        <w:rPr>
          <w:rFonts w:ascii="Arial" w:hAnsi="Arial" w:cs="Arial"/>
          <w:bCs/>
          <w:i/>
          <w:iCs/>
          <w:sz w:val="20"/>
          <w:szCs w:val="20"/>
          <w:lang w:val="en-GB"/>
        </w:rPr>
        <w:t>The</w:t>
      </w:r>
      <w:r w:rsidR="00567AF7" w:rsidRPr="00567AF7">
        <w:rPr>
          <w:rFonts w:ascii="Arial" w:hAnsi="Arial" w:cs="Arial"/>
          <w:bCs/>
          <w:i/>
          <w:iCs/>
          <w:sz w:val="20"/>
          <w:szCs w:val="20"/>
          <w:lang w:val="en-GB"/>
        </w:rPr>
        <w:t xml:space="preserve"> </w:t>
      </w:r>
      <w:r>
        <w:rPr>
          <w:rFonts w:ascii="Arial" w:hAnsi="Arial" w:cs="Arial"/>
          <w:b/>
          <w:bCs/>
          <w:i/>
          <w:iCs/>
          <w:sz w:val="20"/>
          <w:szCs w:val="20"/>
          <w:lang w:val="en-GB"/>
        </w:rPr>
        <w:t xml:space="preserve">registered number of </w:t>
      </w:r>
      <w:r w:rsidR="00D21C53">
        <w:rPr>
          <w:rFonts w:ascii="Arial" w:hAnsi="Arial" w:cs="Arial"/>
          <w:b/>
          <w:bCs/>
          <w:i/>
          <w:iCs/>
          <w:sz w:val="20"/>
          <w:szCs w:val="20"/>
          <w:lang w:val="en-GB"/>
        </w:rPr>
        <w:t xml:space="preserve">workers </w:t>
      </w:r>
      <w:r>
        <w:rPr>
          <w:rFonts w:ascii="Arial" w:hAnsi="Arial" w:cs="Arial"/>
          <w:b/>
          <w:bCs/>
          <w:i/>
          <w:iCs/>
          <w:sz w:val="20"/>
          <w:szCs w:val="20"/>
          <w:lang w:val="en-GB"/>
        </w:rPr>
        <w:t>as at 31 December (headcount)</w:t>
      </w:r>
      <w:r w:rsidR="00567AF7" w:rsidRPr="00567AF7">
        <w:rPr>
          <w:rFonts w:ascii="Arial" w:hAnsi="Arial" w:cs="Arial"/>
          <w:bCs/>
          <w:i/>
          <w:iCs/>
          <w:sz w:val="20"/>
          <w:szCs w:val="20"/>
          <w:lang w:val="en-GB"/>
        </w:rPr>
        <w:t xml:space="preserve"> </w:t>
      </w:r>
      <w:r>
        <w:rPr>
          <w:rFonts w:ascii="Arial" w:hAnsi="Arial" w:cs="Arial"/>
          <w:i/>
          <w:iCs/>
          <w:sz w:val="20"/>
          <w:szCs w:val="20"/>
          <w:lang w:val="en-GB"/>
        </w:rPr>
        <w:t xml:space="preserve">refers to the number of persons, fully or partially active in research and development activities, employed under a contract of employment by the end of the year in the entities monitored. First of all, in the higher education sector and partly also in the general government one, there are large numbers of persons working in R&amp;D, particularly researchers, who are employed, often part time, in more than one entity. Therefore, this indicator does not reflect the actual number of persons employed in R&amp;D in the Czech Republic and the given number of R&amp;D </w:t>
      </w:r>
      <w:r w:rsidR="00D21C53">
        <w:rPr>
          <w:rFonts w:ascii="Arial" w:hAnsi="Arial" w:cs="Arial"/>
          <w:i/>
          <w:iCs/>
          <w:sz w:val="20"/>
          <w:szCs w:val="20"/>
          <w:lang w:val="en-GB"/>
        </w:rPr>
        <w:t xml:space="preserve">workers </w:t>
      </w:r>
      <w:r>
        <w:rPr>
          <w:rFonts w:ascii="Arial" w:hAnsi="Arial" w:cs="Arial"/>
          <w:i/>
          <w:iCs/>
          <w:sz w:val="20"/>
          <w:szCs w:val="20"/>
          <w:lang w:val="en-GB"/>
        </w:rPr>
        <w:t>is</w:t>
      </w:r>
      <w:r w:rsidR="00AC57FC">
        <w:rPr>
          <w:rFonts w:ascii="Arial" w:hAnsi="Arial" w:cs="Arial"/>
          <w:i/>
          <w:iCs/>
          <w:sz w:val="20"/>
          <w:szCs w:val="20"/>
          <w:lang w:val="en-GB"/>
        </w:rPr>
        <w:t xml:space="preserve"> thus</w:t>
      </w:r>
      <w:r>
        <w:rPr>
          <w:rFonts w:ascii="Arial" w:hAnsi="Arial" w:cs="Arial"/>
          <w:i/>
          <w:iCs/>
          <w:sz w:val="20"/>
          <w:szCs w:val="20"/>
          <w:lang w:val="en-GB"/>
        </w:rPr>
        <w:t xml:space="preserve"> overvalued. </w:t>
      </w:r>
    </w:p>
    <w:p w:rsidR="0034797D" w:rsidRDefault="00567AF7">
      <w:pPr>
        <w:numPr>
          <w:ilvl w:val="0"/>
          <w:numId w:val="1"/>
        </w:numPr>
        <w:tabs>
          <w:tab w:val="clear" w:pos="567"/>
          <w:tab w:val="num" w:pos="426"/>
        </w:tabs>
        <w:spacing w:after="120"/>
        <w:ind w:left="426" w:hanging="426"/>
        <w:jc w:val="both"/>
        <w:rPr>
          <w:b/>
          <w:bCs/>
          <w:i/>
          <w:iCs/>
          <w:lang w:val="en-GB"/>
        </w:rPr>
      </w:pPr>
      <w:r w:rsidRPr="00567AF7">
        <w:rPr>
          <w:rFonts w:ascii="Arial" w:hAnsi="Arial" w:cs="Arial"/>
          <w:b/>
          <w:bCs/>
          <w:i/>
          <w:iCs/>
          <w:sz w:val="20"/>
          <w:szCs w:val="20"/>
          <w:lang w:val="en-GB"/>
        </w:rPr>
        <w:t>Research</w:t>
      </w:r>
      <w:r w:rsidR="007B6484">
        <w:rPr>
          <w:rFonts w:ascii="Arial" w:hAnsi="Arial" w:cs="Arial"/>
          <w:b/>
          <w:bCs/>
          <w:i/>
          <w:iCs/>
          <w:sz w:val="20"/>
          <w:szCs w:val="20"/>
          <w:lang w:val="en-GB"/>
        </w:rPr>
        <w:t>ers</w:t>
      </w:r>
      <w:r w:rsidRPr="00567AF7">
        <w:rPr>
          <w:rFonts w:ascii="Arial" w:hAnsi="Arial" w:cs="Arial"/>
          <w:i/>
          <w:iCs/>
          <w:sz w:val="20"/>
          <w:szCs w:val="20"/>
          <w:lang w:val="en-GB"/>
        </w:rPr>
        <w:t xml:space="preserve"> are engaged in or manage projects that encompass a concept or creation of new knowledge, products, processes, methods, and systems. They are mostly science and professional intellectual workers and managers of research and development bodies and institutions. </w:t>
      </w:r>
    </w:p>
    <w:p w:rsidR="0034797D" w:rsidRDefault="00567AF7">
      <w:pPr>
        <w:numPr>
          <w:ilvl w:val="0"/>
          <w:numId w:val="1"/>
        </w:numPr>
        <w:tabs>
          <w:tab w:val="clear" w:pos="567"/>
          <w:tab w:val="num" w:pos="426"/>
        </w:tabs>
        <w:spacing w:after="120"/>
        <w:ind w:left="426" w:hanging="426"/>
        <w:jc w:val="both"/>
        <w:rPr>
          <w:bCs/>
          <w:i/>
          <w:iCs/>
          <w:lang w:val="en-GB"/>
        </w:rPr>
      </w:pPr>
      <w:r w:rsidRPr="001B5D77">
        <w:rPr>
          <w:rFonts w:ascii="Arial" w:hAnsi="Arial" w:cs="Arial"/>
          <w:bCs/>
          <w:i/>
          <w:iCs/>
          <w:sz w:val="20"/>
          <w:szCs w:val="20"/>
          <w:lang w:val="en-GB"/>
        </w:rPr>
        <w:t xml:space="preserve">Technicians and </w:t>
      </w:r>
      <w:r w:rsidR="005C3BE7" w:rsidRPr="001B5D77">
        <w:rPr>
          <w:rFonts w:ascii="Arial" w:hAnsi="Arial" w:cs="Arial"/>
          <w:bCs/>
          <w:i/>
          <w:iCs/>
          <w:sz w:val="20"/>
          <w:szCs w:val="20"/>
          <w:lang w:val="en-GB"/>
        </w:rPr>
        <w:t xml:space="preserve">equivalent staff (technicians and </w:t>
      </w:r>
      <w:r w:rsidR="00C20511" w:rsidRPr="001B5D77">
        <w:rPr>
          <w:rFonts w:ascii="Arial" w:hAnsi="Arial" w:cs="Arial"/>
          <w:bCs/>
          <w:i/>
          <w:iCs/>
          <w:sz w:val="20"/>
          <w:szCs w:val="20"/>
          <w:lang w:val="en-GB"/>
        </w:rPr>
        <w:t>associate professionals</w:t>
      </w:r>
      <w:r w:rsidR="005C3BE7" w:rsidRPr="005C3BE7">
        <w:rPr>
          <w:rFonts w:ascii="Arial" w:hAnsi="Arial" w:cs="Arial"/>
          <w:bCs/>
          <w:i/>
          <w:iCs/>
          <w:sz w:val="20"/>
          <w:szCs w:val="20"/>
          <w:lang w:val="en-GB"/>
        </w:rPr>
        <w:t>;</w:t>
      </w:r>
      <w:r w:rsidR="00660E32">
        <w:rPr>
          <w:rFonts w:ascii="Arial" w:hAnsi="Arial" w:cs="Arial"/>
          <w:bCs/>
          <w:i/>
          <w:iCs/>
          <w:sz w:val="20"/>
          <w:szCs w:val="20"/>
          <w:lang w:val="en-GB"/>
        </w:rPr>
        <w:t xml:space="preserve"> </w:t>
      </w:r>
      <w:r w:rsidRPr="006A7AD1">
        <w:rPr>
          <w:rFonts w:ascii="Arial" w:hAnsi="Arial" w:cs="Arial"/>
          <w:bCs/>
          <w:i/>
          <w:iCs/>
          <w:sz w:val="20"/>
          <w:szCs w:val="20"/>
          <w:lang w:val="en-GB"/>
        </w:rPr>
        <w:t xml:space="preserve">hereinafter only as </w:t>
      </w:r>
      <w:r w:rsidRPr="001B5D77">
        <w:rPr>
          <w:rFonts w:ascii="Arial" w:hAnsi="Arial" w:cs="Arial"/>
          <w:b/>
          <w:bCs/>
          <w:i/>
          <w:iCs/>
          <w:sz w:val="20"/>
          <w:szCs w:val="20"/>
          <w:lang w:val="en-GB"/>
        </w:rPr>
        <w:t>technicians</w:t>
      </w:r>
      <w:r w:rsidR="00C20511" w:rsidRPr="006A7AD1">
        <w:rPr>
          <w:rFonts w:ascii="Arial" w:hAnsi="Arial" w:cs="Arial"/>
          <w:bCs/>
          <w:i/>
          <w:iCs/>
          <w:sz w:val="20"/>
          <w:szCs w:val="20"/>
          <w:lang w:val="en-GB"/>
        </w:rPr>
        <w:t>)</w:t>
      </w:r>
      <w:r w:rsidRPr="006A7AD1">
        <w:rPr>
          <w:rFonts w:ascii="Arial" w:hAnsi="Arial" w:cs="Arial"/>
          <w:bCs/>
          <w:i/>
          <w:iCs/>
          <w:sz w:val="20"/>
          <w:szCs w:val="20"/>
          <w:lang w:val="en-GB"/>
        </w:rPr>
        <w:t xml:space="preserve"> carry out scientific and technical tasks within R&amp;D activities, apply</w:t>
      </w:r>
      <w:r w:rsidRPr="00567AF7">
        <w:rPr>
          <w:rFonts w:ascii="Arial" w:hAnsi="Arial" w:cs="Arial"/>
          <w:bCs/>
          <w:i/>
          <w:iCs/>
          <w:sz w:val="20"/>
          <w:szCs w:val="20"/>
          <w:lang w:val="en-GB"/>
        </w:rPr>
        <w:t xml:space="preserve"> concepts and operating methods, usually under the supervision of researchers.</w:t>
      </w:r>
    </w:p>
    <w:p w:rsidR="0034797D" w:rsidRDefault="00567AF7">
      <w:pPr>
        <w:numPr>
          <w:ilvl w:val="0"/>
          <w:numId w:val="1"/>
        </w:numPr>
        <w:tabs>
          <w:tab w:val="clear" w:pos="567"/>
          <w:tab w:val="num" w:pos="426"/>
        </w:tabs>
        <w:spacing w:after="120"/>
        <w:ind w:left="426" w:hanging="426"/>
        <w:jc w:val="both"/>
        <w:rPr>
          <w:bCs/>
          <w:i/>
          <w:iCs/>
          <w:lang w:val="en-GB"/>
        </w:rPr>
      </w:pPr>
      <w:r w:rsidRPr="00567AF7">
        <w:rPr>
          <w:rFonts w:ascii="Arial" w:hAnsi="Arial" w:cs="Arial"/>
          <w:b/>
          <w:bCs/>
          <w:i/>
          <w:iCs/>
          <w:sz w:val="20"/>
          <w:szCs w:val="20"/>
          <w:lang w:val="en-GB"/>
        </w:rPr>
        <w:t xml:space="preserve">Other </w:t>
      </w:r>
      <w:r w:rsidR="00C20511">
        <w:rPr>
          <w:rFonts w:ascii="Arial" w:hAnsi="Arial" w:cs="Arial"/>
          <w:b/>
          <w:bCs/>
          <w:i/>
          <w:iCs/>
          <w:sz w:val="20"/>
          <w:szCs w:val="20"/>
          <w:lang w:val="en-GB"/>
        </w:rPr>
        <w:t>supporting staff</w:t>
      </w:r>
      <w:r w:rsidRPr="00567AF7">
        <w:rPr>
          <w:rFonts w:ascii="Arial" w:hAnsi="Arial" w:cs="Arial"/>
          <w:bCs/>
          <w:i/>
          <w:iCs/>
          <w:sz w:val="20"/>
          <w:szCs w:val="20"/>
          <w:lang w:val="en-GB"/>
        </w:rPr>
        <w:t xml:space="preserve"> contribute to or are assigned to research and development activities </w:t>
      </w:r>
      <w:r w:rsidR="008009D1">
        <w:rPr>
          <w:rFonts w:ascii="Arial" w:hAnsi="Arial" w:cs="Arial"/>
          <w:bCs/>
          <w:i/>
          <w:iCs/>
          <w:sz w:val="20"/>
          <w:szCs w:val="20"/>
          <w:lang w:val="en-GB"/>
        </w:rPr>
        <w:t>(</w:t>
      </w:r>
      <w:r w:rsidRPr="00567AF7">
        <w:rPr>
          <w:rFonts w:ascii="Arial" w:hAnsi="Arial" w:cs="Arial"/>
          <w:bCs/>
          <w:i/>
          <w:iCs/>
          <w:sz w:val="20"/>
          <w:szCs w:val="20"/>
          <w:lang w:val="en-GB"/>
        </w:rPr>
        <w:t>e.g. craftsmen, secretaries, and clerks</w:t>
      </w:r>
      <w:r w:rsidR="008009D1">
        <w:rPr>
          <w:rFonts w:ascii="Arial" w:hAnsi="Arial" w:cs="Arial"/>
          <w:bCs/>
          <w:i/>
          <w:iCs/>
          <w:sz w:val="20"/>
          <w:szCs w:val="20"/>
          <w:lang w:val="en-GB"/>
        </w:rPr>
        <w:t>)</w:t>
      </w:r>
      <w:r w:rsidRPr="00567AF7">
        <w:rPr>
          <w:rFonts w:ascii="Arial" w:hAnsi="Arial" w:cs="Arial"/>
          <w:bCs/>
          <w:i/>
          <w:iCs/>
          <w:sz w:val="20"/>
          <w:szCs w:val="20"/>
          <w:lang w:val="en-GB"/>
        </w:rPr>
        <w:t xml:space="preserve">. This group also encompasses managers and administrative support workers whose activities provide direct services to R&amp;D. </w:t>
      </w:r>
    </w:p>
    <w:p w:rsidR="0034797D" w:rsidRDefault="00567AF7">
      <w:pPr>
        <w:numPr>
          <w:ilvl w:val="0"/>
          <w:numId w:val="1"/>
        </w:numPr>
        <w:tabs>
          <w:tab w:val="clear" w:pos="567"/>
          <w:tab w:val="num" w:pos="426"/>
        </w:tabs>
        <w:spacing w:after="120"/>
        <w:ind w:left="426" w:hanging="426"/>
        <w:jc w:val="both"/>
        <w:rPr>
          <w:rFonts w:ascii="Arial" w:hAnsi="Arial" w:cs="Arial"/>
          <w:bCs/>
          <w:i/>
          <w:iCs/>
          <w:sz w:val="20"/>
          <w:szCs w:val="20"/>
          <w:lang w:val="en-GB"/>
        </w:rPr>
      </w:pPr>
      <w:r w:rsidRPr="00567AF7">
        <w:rPr>
          <w:rFonts w:ascii="Arial" w:hAnsi="Arial" w:cs="Arial"/>
          <w:bCs/>
          <w:i/>
          <w:iCs/>
          <w:sz w:val="20"/>
          <w:szCs w:val="20"/>
          <w:lang w:val="en-GB"/>
        </w:rPr>
        <w:t xml:space="preserve">The </w:t>
      </w:r>
      <w:r w:rsidR="00657773">
        <w:rPr>
          <w:rFonts w:ascii="Arial" w:hAnsi="Arial" w:cs="Arial"/>
          <w:b/>
          <w:bCs/>
          <w:i/>
          <w:iCs/>
          <w:sz w:val="20"/>
          <w:szCs w:val="20"/>
          <w:lang w:val="en-GB"/>
        </w:rPr>
        <w:t>business enterprise sector</w:t>
      </w:r>
      <w:r w:rsidRPr="00567AF7">
        <w:rPr>
          <w:rFonts w:ascii="Arial" w:hAnsi="Arial" w:cs="Arial"/>
          <w:bCs/>
          <w:i/>
          <w:iCs/>
          <w:sz w:val="20"/>
          <w:szCs w:val="20"/>
          <w:lang w:val="en-GB"/>
        </w:rPr>
        <w:t xml:space="preserve"> </w:t>
      </w:r>
      <w:r w:rsidR="00657773">
        <w:rPr>
          <w:rFonts w:ascii="Arial" w:hAnsi="Arial" w:cs="Arial"/>
          <w:bCs/>
          <w:i/>
          <w:iCs/>
          <w:sz w:val="20"/>
          <w:szCs w:val="20"/>
          <w:lang w:val="en-GB"/>
        </w:rPr>
        <w:t>includes all companies, organizations, and institutions, principal activity of which is market production of goods or services for sale to the general public at an economically significant price.</w:t>
      </w:r>
      <w:r w:rsidRPr="00567AF7">
        <w:rPr>
          <w:rFonts w:ascii="Arial" w:hAnsi="Arial" w:cs="Arial"/>
          <w:bCs/>
          <w:i/>
          <w:iCs/>
          <w:sz w:val="20"/>
          <w:szCs w:val="20"/>
          <w:lang w:val="en-GB"/>
        </w:rPr>
        <w:t xml:space="preserve"> </w:t>
      </w:r>
    </w:p>
    <w:p w:rsidR="0034797D" w:rsidRPr="001B5D77" w:rsidRDefault="00FD1381">
      <w:pPr>
        <w:numPr>
          <w:ilvl w:val="0"/>
          <w:numId w:val="1"/>
        </w:numPr>
        <w:tabs>
          <w:tab w:val="clear" w:pos="567"/>
          <w:tab w:val="num" w:pos="426"/>
        </w:tabs>
        <w:spacing w:after="120"/>
        <w:ind w:left="426" w:hanging="426"/>
        <w:jc w:val="both"/>
        <w:rPr>
          <w:rFonts w:ascii="Arial" w:hAnsi="Arial" w:cs="Arial"/>
          <w:bCs/>
          <w:i/>
          <w:iCs/>
          <w:sz w:val="20"/>
          <w:szCs w:val="20"/>
        </w:rPr>
      </w:pPr>
      <w:r w:rsidRPr="001B5D77">
        <w:rPr>
          <w:rFonts w:ascii="Arial" w:hAnsi="Arial" w:cs="Arial"/>
          <w:i/>
          <w:iCs/>
          <w:sz w:val="20"/>
          <w:szCs w:val="20"/>
          <w:lang w:val="en-GB"/>
        </w:rPr>
        <w:t>The</w:t>
      </w:r>
      <w:r w:rsidRPr="001B5D77">
        <w:rPr>
          <w:rFonts w:ascii="Arial" w:hAnsi="Arial" w:cs="Arial"/>
          <w:b/>
          <w:i/>
          <w:iCs/>
          <w:sz w:val="20"/>
          <w:szCs w:val="20"/>
          <w:lang w:val="en-GB"/>
        </w:rPr>
        <w:t xml:space="preserve"> government sector</w:t>
      </w:r>
      <w:r w:rsidRPr="001B5D77">
        <w:rPr>
          <w:rFonts w:ascii="Arial" w:hAnsi="Arial" w:cs="Arial"/>
          <w:i/>
          <w:iCs/>
          <w:sz w:val="20"/>
          <w:szCs w:val="20"/>
          <w:lang w:val="en-GB"/>
        </w:rPr>
        <w:t xml:space="preserve"> (S.13: General government) comprises bodies of central and local government, except for publicly managed higher education institutions (CZ-NACE 85.4). This sector includes in the Czech Republic especially</w:t>
      </w:r>
      <w:r w:rsidR="00882774">
        <w:rPr>
          <w:rFonts w:ascii="Arial" w:hAnsi="Arial" w:cs="Arial"/>
          <w:i/>
          <w:iCs/>
          <w:sz w:val="20"/>
          <w:szCs w:val="20"/>
          <w:lang w:val="en-GB"/>
        </w:rPr>
        <w:t xml:space="preserve"> individual</w:t>
      </w:r>
      <w:r w:rsidR="00644965">
        <w:rPr>
          <w:rFonts w:ascii="Arial" w:hAnsi="Arial" w:cs="Arial"/>
          <w:i/>
          <w:iCs/>
          <w:sz w:val="20"/>
          <w:szCs w:val="20"/>
          <w:lang w:val="en-GB"/>
        </w:rPr>
        <w:t xml:space="preserve"> </w:t>
      </w:r>
      <w:r w:rsidR="00644965" w:rsidRPr="001B5D77">
        <w:rPr>
          <w:rFonts w:ascii="Arial" w:hAnsi="Arial" w:cs="Arial"/>
          <w:b/>
          <w:i/>
          <w:iCs/>
          <w:sz w:val="20"/>
          <w:szCs w:val="20"/>
          <w:lang w:val="en-GB"/>
        </w:rPr>
        <w:t>research</w:t>
      </w:r>
      <w:r w:rsidRPr="001B5D77">
        <w:rPr>
          <w:rFonts w:ascii="Arial" w:hAnsi="Arial" w:cs="Arial"/>
          <w:i/>
          <w:iCs/>
          <w:sz w:val="20"/>
          <w:szCs w:val="20"/>
          <w:lang w:val="en-GB"/>
        </w:rPr>
        <w:t xml:space="preserve"> </w:t>
      </w:r>
      <w:r w:rsidRPr="001B5D77">
        <w:rPr>
          <w:rFonts w:ascii="Arial" w:hAnsi="Arial" w:cs="Arial"/>
          <w:b/>
          <w:i/>
          <w:iCs/>
          <w:sz w:val="20"/>
          <w:szCs w:val="20"/>
          <w:lang w:val="en-GB"/>
        </w:rPr>
        <w:t>workplaces of the Czech Academy of Sciences</w:t>
      </w:r>
      <w:r w:rsidRPr="001B5D77">
        <w:rPr>
          <w:rFonts w:ascii="Arial" w:hAnsi="Arial" w:cs="Arial"/>
          <w:i/>
          <w:iCs/>
          <w:sz w:val="20"/>
          <w:szCs w:val="20"/>
          <w:lang w:val="en-GB"/>
        </w:rPr>
        <w:t xml:space="preserve"> and other</w:t>
      </w:r>
      <w:r w:rsidR="00AE06C7">
        <w:rPr>
          <w:rFonts w:ascii="Arial" w:hAnsi="Arial" w:cs="Arial"/>
          <w:i/>
          <w:iCs/>
          <w:sz w:val="20"/>
          <w:szCs w:val="20"/>
          <w:lang w:val="en-GB"/>
        </w:rPr>
        <w:t xml:space="preserve"> public research </w:t>
      </w:r>
      <w:r w:rsidR="00AE06C7" w:rsidRPr="00AE06C7">
        <w:rPr>
          <w:rFonts w:ascii="Arial" w:hAnsi="Arial" w:cs="Arial"/>
          <w:i/>
          <w:iCs/>
          <w:sz w:val="20"/>
          <w:szCs w:val="20"/>
          <w:lang w:val="en-GB"/>
        </w:rPr>
        <w:t>institutions,</w:t>
      </w:r>
      <w:r w:rsidRPr="001B5D77">
        <w:rPr>
          <w:rFonts w:ascii="Arial" w:hAnsi="Arial" w:cs="Arial"/>
          <w:i/>
          <w:iCs/>
          <w:sz w:val="20"/>
          <w:szCs w:val="20"/>
          <w:lang w:val="en-GB"/>
        </w:rPr>
        <w:t xml:space="preserve"> places of research under the competence of ministries</w:t>
      </w:r>
      <w:r w:rsidR="00E2631C" w:rsidRPr="001B5D77">
        <w:rPr>
          <w:rFonts w:ascii="Arial" w:hAnsi="Arial" w:cs="Arial"/>
          <w:i/>
          <w:iCs/>
          <w:sz w:val="20"/>
          <w:szCs w:val="20"/>
          <w:lang w:val="en-GB"/>
        </w:rPr>
        <w:t xml:space="preserve">, which perform R&amp;D as their </w:t>
      </w:r>
      <w:r w:rsidR="00A13614">
        <w:rPr>
          <w:rFonts w:ascii="Arial" w:hAnsi="Arial" w:cs="Arial"/>
          <w:i/>
          <w:iCs/>
          <w:sz w:val="20"/>
          <w:szCs w:val="20"/>
          <w:lang w:val="en-GB"/>
        </w:rPr>
        <w:t>principal</w:t>
      </w:r>
      <w:r w:rsidR="00E2631C" w:rsidRPr="001B5D77">
        <w:rPr>
          <w:rFonts w:ascii="Arial" w:hAnsi="Arial" w:cs="Arial"/>
          <w:i/>
          <w:iCs/>
          <w:sz w:val="20"/>
          <w:szCs w:val="20"/>
          <w:lang w:val="en-GB"/>
        </w:rPr>
        <w:t xml:space="preserve"> activity</w:t>
      </w:r>
      <w:r w:rsidRPr="001B5D77">
        <w:rPr>
          <w:rFonts w:ascii="Arial" w:hAnsi="Arial" w:cs="Arial"/>
          <w:i/>
          <w:iCs/>
          <w:sz w:val="20"/>
          <w:szCs w:val="20"/>
          <w:lang w:val="en-GB"/>
        </w:rPr>
        <w:t xml:space="preserve">. </w:t>
      </w:r>
      <w:r w:rsidR="007F090A">
        <w:rPr>
          <w:rFonts w:ascii="Arial" w:hAnsi="Arial" w:cs="Arial"/>
          <w:i/>
          <w:iCs/>
          <w:sz w:val="20"/>
          <w:szCs w:val="20"/>
          <w:lang w:val="en-GB"/>
        </w:rPr>
        <w:t>O</w:t>
      </w:r>
      <w:r w:rsidRPr="001B5D77">
        <w:rPr>
          <w:rFonts w:ascii="Arial" w:hAnsi="Arial" w:cs="Arial"/>
          <w:i/>
          <w:iCs/>
          <w:sz w:val="20"/>
          <w:szCs w:val="20"/>
          <w:lang w:val="en-GB"/>
        </w:rPr>
        <w:t>ther</w:t>
      </w:r>
      <w:r w:rsidR="00DF4FFC">
        <w:rPr>
          <w:rFonts w:ascii="Arial" w:hAnsi="Arial" w:cs="Arial"/>
          <w:i/>
          <w:iCs/>
          <w:sz w:val="20"/>
          <w:szCs w:val="20"/>
          <w:lang w:val="en-GB"/>
        </w:rPr>
        <w:t xml:space="preserve"> types of</w:t>
      </w:r>
      <w:r w:rsidRPr="001B5D77">
        <w:rPr>
          <w:rFonts w:ascii="Arial" w:hAnsi="Arial" w:cs="Arial"/>
          <w:i/>
          <w:iCs/>
          <w:sz w:val="20"/>
          <w:szCs w:val="20"/>
          <w:lang w:val="en-GB"/>
        </w:rPr>
        <w:t xml:space="preserve"> </w:t>
      </w:r>
      <w:r w:rsidR="00DF4FFC" w:rsidRPr="008025FD">
        <w:rPr>
          <w:rFonts w:ascii="Arial" w:hAnsi="Arial" w:cs="Arial"/>
          <w:i/>
          <w:iCs/>
          <w:sz w:val="20"/>
          <w:szCs w:val="20"/>
          <w:lang w:val="en-GB"/>
        </w:rPr>
        <w:t>R&amp;D</w:t>
      </w:r>
      <w:r w:rsidR="00DF4FFC">
        <w:rPr>
          <w:rFonts w:ascii="Arial" w:hAnsi="Arial" w:cs="Arial"/>
          <w:i/>
          <w:iCs/>
          <w:sz w:val="20"/>
          <w:szCs w:val="20"/>
          <w:lang w:val="en-GB"/>
        </w:rPr>
        <w:t xml:space="preserve"> workplaces</w:t>
      </w:r>
      <w:r w:rsidRPr="001B5D77">
        <w:rPr>
          <w:rFonts w:ascii="Arial" w:hAnsi="Arial" w:cs="Arial"/>
          <w:i/>
          <w:iCs/>
          <w:sz w:val="20"/>
          <w:szCs w:val="20"/>
          <w:lang w:val="en-GB"/>
        </w:rPr>
        <w:t xml:space="preserve"> </w:t>
      </w:r>
      <w:r w:rsidR="007F090A">
        <w:rPr>
          <w:rFonts w:ascii="Arial" w:hAnsi="Arial" w:cs="Arial"/>
          <w:i/>
          <w:iCs/>
          <w:sz w:val="20"/>
          <w:szCs w:val="20"/>
          <w:lang w:val="en-GB"/>
        </w:rPr>
        <w:t>in</w:t>
      </w:r>
      <w:r w:rsidRPr="001B5D77">
        <w:rPr>
          <w:rFonts w:ascii="Arial" w:hAnsi="Arial" w:cs="Arial"/>
          <w:i/>
          <w:iCs/>
          <w:sz w:val="20"/>
          <w:szCs w:val="20"/>
          <w:lang w:val="en-GB"/>
        </w:rPr>
        <w:t xml:space="preserve"> the government sector perfor</w:t>
      </w:r>
      <w:r w:rsidR="007F090A">
        <w:rPr>
          <w:rFonts w:ascii="Arial" w:hAnsi="Arial" w:cs="Arial"/>
          <w:i/>
          <w:iCs/>
          <w:sz w:val="20"/>
          <w:szCs w:val="20"/>
          <w:lang w:val="en-GB"/>
        </w:rPr>
        <w:t>ming</w:t>
      </w:r>
      <w:r w:rsidRPr="001B5D77">
        <w:rPr>
          <w:rFonts w:ascii="Arial" w:hAnsi="Arial" w:cs="Arial"/>
          <w:i/>
          <w:iCs/>
          <w:sz w:val="20"/>
          <w:szCs w:val="20"/>
          <w:lang w:val="en-GB"/>
        </w:rPr>
        <w:t xml:space="preserve"> R&amp;D</w:t>
      </w:r>
      <w:r w:rsidR="00607C3E" w:rsidRPr="001B5D77">
        <w:rPr>
          <w:rFonts w:ascii="Arial" w:hAnsi="Arial" w:cs="Arial"/>
          <w:i/>
          <w:iCs/>
          <w:sz w:val="20"/>
          <w:szCs w:val="20"/>
          <w:lang w:val="en-GB"/>
        </w:rPr>
        <w:t xml:space="preserve"> most frequently</w:t>
      </w:r>
      <w:r w:rsidRPr="001B5D77">
        <w:rPr>
          <w:rFonts w:ascii="Arial" w:hAnsi="Arial" w:cs="Arial"/>
          <w:i/>
          <w:iCs/>
          <w:sz w:val="20"/>
          <w:szCs w:val="20"/>
          <w:lang w:val="en-GB"/>
        </w:rPr>
        <w:t xml:space="preserve"> as their secondary activity are </w:t>
      </w:r>
      <w:r w:rsidRPr="001B5D77">
        <w:rPr>
          <w:rFonts w:ascii="Arial" w:hAnsi="Arial" w:cs="Arial"/>
          <w:b/>
          <w:i/>
          <w:iCs/>
          <w:sz w:val="20"/>
          <w:szCs w:val="20"/>
          <w:lang w:val="en-GB"/>
        </w:rPr>
        <w:t>cultural establishments</w:t>
      </w:r>
      <w:r w:rsidRPr="001B5D77">
        <w:rPr>
          <w:rFonts w:ascii="Arial" w:hAnsi="Arial" w:cs="Arial"/>
          <w:i/>
          <w:iCs/>
          <w:sz w:val="20"/>
          <w:szCs w:val="20"/>
          <w:lang w:val="en-GB"/>
        </w:rPr>
        <w:t xml:space="preserve"> (e.g. public libraries, archives, museums), </w:t>
      </w:r>
      <w:r w:rsidRPr="001B5D77">
        <w:rPr>
          <w:rFonts w:ascii="Arial" w:hAnsi="Arial" w:cs="Arial"/>
          <w:b/>
          <w:i/>
          <w:iCs/>
          <w:sz w:val="20"/>
          <w:szCs w:val="20"/>
          <w:lang w:val="en-GB"/>
        </w:rPr>
        <w:t>public health establishments</w:t>
      </w:r>
      <w:r w:rsidRPr="001B5D77">
        <w:rPr>
          <w:rFonts w:ascii="Arial" w:hAnsi="Arial" w:cs="Arial"/>
          <w:i/>
          <w:iCs/>
          <w:sz w:val="20"/>
          <w:szCs w:val="20"/>
          <w:lang w:val="en-GB"/>
        </w:rPr>
        <w:t xml:space="preserve"> (except for teaching hospitals) with prevailing income coming from health insurance and </w:t>
      </w:r>
      <w:r w:rsidRPr="001B5D77">
        <w:rPr>
          <w:rFonts w:ascii="Arial" w:hAnsi="Arial" w:cs="Arial"/>
          <w:b/>
          <w:i/>
          <w:iCs/>
          <w:sz w:val="20"/>
          <w:szCs w:val="20"/>
          <w:lang w:val="en-GB"/>
        </w:rPr>
        <w:t>other workplaces</w:t>
      </w:r>
      <w:r w:rsidRPr="001B5D77">
        <w:rPr>
          <w:rFonts w:ascii="Arial" w:hAnsi="Arial" w:cs="Arial"/>
          <w:i/>
          <w:iCs/>
          <w:sz w:val="20"/>
          <w:szCs w:val="20"/>
          <w:lang w:val="en-GB"/>
        </w:rPr>
        <w:t>.</w:t>
      </w:r>
      <w:r w:rsidR="00657773" w:rsidRPr="001B5D77">
        <w:rPr>
          <w:rFonts w:ascii="Arial" w:hAnsi="Arial" w:cs="Arial"/>
          <w:bCs/>
          <w:i/>
          <w:iCs/>
          <w:sz w:val="20"/>
          <w:szCs w:val="20"/>
        </w:rPr>
        <w:t>.</w:t>
      </w:r>
      <w:r w:rsidR="00F63795" w:rsidRPr="001B5D77">
        <w:rPr>
          <w:rFonts w:ascii="Arial" w:hAnsi="Arial" w:cs="Arial"/>
          <w:b/>
          <w:i/>
          <w:iCs/>
          <w:sz w:val="20"/>
          <w:szCs w:val="20"/>
        </w:rPr>
        <w:t xml:space="preserve"> </w:t>
      </w:r>
    </w:p>
    <w:p w:rsidR="0034797D" w:rsidRPr="001B5D77" w:rsidRDefault="00FD1381" w:rsidP="00FD1381">
      <w:pPr>
        <w:numPr>
          <w:ilvl w:val="0"/>
          <w:numId w:val="1"/>
        </w:numPr>
        <w:tabs>
          <w:tab w:val="clear" w:pos="567"/>
          <w:tab w:val="num" w:pos="426"/>
        </w:tabs>
        <w:spacing w:after="120"/>
        <w:ind w:left="426" w:hanging="426"/>
        <w:jc w:val="both"/>
        <w:rPr>
          <w:rFonts w:ascii="Arial" w:hAnsi="Arial" w:cs="Arial"/>
          <w:bCs/>
          <w:i/>
          <w:iCs/>
          <w:sz w:val="20"/>
          <w:szCs w:val="20"/>
        </w:rPr>
      </w:pPr>
      <w:r w:rsidRPr="001B5D77">
        <w:rPr>
          <w:rFonts w:ascii="Arial" w:hAnsi="Arial" w:cs="Arial"/>
          <w:i/>
          <w:iCs/>
          <w:sz w:val="20"/>
          <w:szCs w:val="20"/>
          <w:lang w:val="en-GB"/>
        </w:rPr>
        <w:t xml:space="preserve">The </w:t>
      </w:r>
      <w:r>
        <w:rPr>
          <w:rFonts w:ascii="Arial" w:hAnsi="Arial" w:cs="Arial"/>
          <w:b/>
          <w:i/>
          <w:iCs/>
          <w:sz w:val="20"/>
          <w:szCs w:val="20"/>
          <w:lang w:val="en-GB"/>
        </w:rPr>
        <w:t>h</w:t>
      </w:r>
      <w:r w:rsidR="00F63795" w:rsidRPr="001B5D77">
        <w:rPr>
          <w:rFonts w:ascii="Arial" w:hAnsi="Arial" w:cs="Arial"/>
          <w:b/>
          <w:i/>
          <w:iCs/>
          <w:sz w:val="20"/>
          <w:szCs w:val="20"/>
          <w:lang w:val="en-GB"/>
        </w:rPr>
        <w:t>igher education sector</w:t>
      </w:r>
      <w:r w:rsidR="00F63795" w:rsidRPr="001B5D77">
        <w:rPr>
          <w:rFonts w:ascii="Arial" w:hAnsi="Arial" w:cs="Arial"/>
          <w:i/>
          <w:iCs/>
          <w:sz w:val="20"/>
          <w:szCs w:val="20"/>
          <w:lang w:val="en-GB"/>
        </w:rPr>
        <w:t xml:space="preserve"> comprises all public and private universities and all research institutes, experimental facilities</w:t>
      </w:r>
      <w:r w:rsidR="007F090A">
        <w:rPr>
          <w:rFonts w:ascii="Arial" w:hAnsi="Arial" w:cs="Arial"/>
          <w:i/>
          <w:iCs/>
          <w:sz w:val="20"/>
          <w:szCs w:val="20"/>
          <w:lang w:val="en-GB"/>
        </w:rPr>
        <w:t>,</w:t>
      </w:r>
      <w:r w:rsidR="00F63795" w:rsidRPr="001B5D77">
        <w:rPr>
          <w:rFonts w:ascii="Arial" w:hAnsi="Arial" w:cs="Arial"/>
          <w:i/>
          <w:iCs/>
          <w:sz w:val="20"/>
          <w:szCs w:val="20"/>
          <w:lang w:val="en-GB"/>
        </w:rPr>
        <w:t xml:space="preserve"> and clinics work</w:t>
      </w:r>
      <w:r w:rsidR="007F090A">
        <w:rPr>
          <w:rFonts w:ascii="Arial" w:hAnsi="Arial" w:cs="Arial"/>
          <w:i/>
          <w:iCs/>
          <w:sz w:val="20"/>
          <w:szCs w:val="20"/>
          <w:lang w:val="en-GB"/>
        </w:rPr>
        <w:t>ing under direct</w:t>
      </w:r>
      <w:r w:rsidR="00F63795" w:rsidRPr="001B5D77">
        <w:rPr>
          <w:rFonts w:ascii="Arial" w:hAnsi="Arial" w:cs="Arial"/>
          <w:i/>
          <w:iCs/>
          <w:sz w:val="20"/>
          <w:szCs w:val="20"/>
          <w:lang w:val="en-GB"/>
        </w:rPr>
        <w:t xml:space="preserve"> control</w:t>
      </w:r>
      <w:r w:rsidR="007F090A">
        <w:rPr>
          <w:rFonts w:ascii="Arial" w:hAnsi="Arial" w:cs="Arial"/>
          <w:i/>
          <w:iCs/>
          <w:sz w:val="20"/>
          <w:szCs w:val="20"/>
          <w:lang w:val="en-GB"/>
        </w:rPr>
        <w:t xml:space="preserve"> of</w:t>
      </w:r>
      <w:r w:rsidR="00F63795" w:rsidRPr="001B5D77">
        <w:rPr>
          <w:rFonts w:ascii="Arial" w:hAnsi="Arial" w:cs="Arial"/>
          <w:i/>
          <w:iCs/>
          <w:sz w:val="20"/>
          <w:szCs w:val="20"/>
          <w:lang w:val="en-GB"/>
        </w:rPr>
        <w:t xml:space="preserve"> or managed by universities. </w:t>
      </w:r>
      <w:r w:rsidR="00F63795" w:rsidRPr="001B5D77">
        <w:rPr>
          <w:rFonts w:ascii="Arial" w:hAnsi="Arial" w:cs="Arial"/>
          <w:i/>
          <w:sz w:val="20"/>
          <w:szCs w:val="20"/>
          <w:lang w:val="en"/>
        </w:rPr>
        <w:t xml:space="preserve">R&amp;D workplaces in the higher education sector in the Czech Republic comprise mainly </w:t>
      </w:r>
      <w:r w:rsidR="00F63795" w:rsidRPr="001B5D77">
        <w:rPr>
          <w:rFonts w:ascii="Arial" w:hAnsi="Arial" w:cs="Arial"/>
          <w:b/>
          <w:i/>
          <w:sz w:val="20"/>
          <w:szCs w:val="20"/>
          <w:lang w:val="en"/>
        </w:rPr>
        <w:t>individual faculties of 28 public and state universities</w:t>
      </w:r>
      <w:r w:rsidR="00F63795" w:rsidRPr="001B5D77">
        <w:rPr>
          <w:rFonts w:ascii="Arial" w:hAnsi="Arial" w:cs="Arial"/>
          <w:i/>
          <w:sz w:val="20"/>
          <w:szCs w:val="20"/>
          <w:lang w:val="en"/>
        </w:rPr>
        <w:t xml:space="preserve"> and, since 2005, in accordance with the OECD methodology, also </w:t>
      </w:r>
      <w:r w:rsidR="00F63795" w:rsidRPr="001B5D77">
        <w:rPr>
          <w:rFonts w:ascii="Arial" w:hAnsi="Arial" w:cs="Arial"/>
          <w:b/>
          <w:i/>
          <w:sz w:val="20"/>
          <w:szCs w:val="20"/>
          <w:lang w:val="en"/>
        </w:rPr>
        <w:t>1</w:t>
      </w:r>
      <w:r w:rsidR="00007819">
        <w:rPr>
          <w:rFonts w:ascii="Arial" w:hAnsi="Arial" w:cs="Arial"/>
          <w:b/>
          <w:i/>
          <w:sz w:val="20"/>
          <w:szCs w:val="20"/>
          <w:lang w:val="en"/>
        </w:rPr>
        <w:t>2</w:t>
      </w:r>
      <w:r w:rsidR="00F63795" w:rsidRPr="001B5D77">
        <w:rPr>
          <w:rFonts w:ascii="Arial" w:hAnsi="Arial" w:cs="Arial"/>
          <w:b/>
          <w:i/>
          <w:sz w:val="20"/>
          <w:szCs w:val="20"/>
          <w:lang w:val="en"/>
        </w:rPr>
        <w:t xml:space="preserve"> teaching hospitals</w:t>
      </w:r>
      <w:r w:rsidR="00F63795" w:rsidRPr="001B5D77">
        <w:rPr>
          <w:rFonts w:ascii="Arial" w:hAnsi="Arial" w:cs="Arial"/>
          <w:i/>
          <w:sz w:val="20"/>
          <w:szCs w:val="20"/>
          <w:lang w:val="en"/>
        </w:rPr>
        <w:t>.</w:t>
      </w:r>
      <w:r w:rsidR="00657773" w:rsidRPr="001B5D77">
        <w:rPr>
          <w:rFonts w:ascii="Arial" w:hAnsi="Arial" w:cs="Arial"/>
          <w:bCs/>
          <w:i/>
          <w:iCs/>
          <w:sz w:val="20"/>
          <w:szCs w:val="20"/>
        </w:rPr>
        <w:t xml:space="preserve"> </w:t>
      </w:r>
    </w:p>
    <w:p w:rsidR="00275FF4" w:rsidRPr="001B5D77" w:rsidRDefault="00275FF4" w:rsidP="001B5D77">
      <w:pPr>
        <w:pStyle w:val="Zkladntextodsazen2"/>
        <w:ind w:firstLine="0"/>
        <w:jc w:val="left"/>
        <w:rPr>
          <w:i/>
          <w:iCs/>
        </w:rPr>
      </w:pPr>
    </w:p>
    <w:p w:rsidR="00F622D0" w:rsidRPr="00535F40" w:rsidRDefault="00657773" w:rsidP="009A2005">
      <w:pPr>
        <w:pStyle w:val="Zkladntextodsazen2"/>
        <w:ind w:firstLine="0"/>
        <w:rPr>
          <w:i/>
          <w:iCs/>
          <w:lang w:val="en-GB"/>
        </w:rPr>
      </w:pPr>
      <w:r>
        <w:rPr>
          <w:i/>
          <w:iCs/>
          <w:lang w:val="en-GB"/>
        </w:rPr>
        <w:t>Detailed</w:t>
      </w:r>
      <w:r w:rsidR="00D410DC">
        <w:rPr>
          <w:i/>
          <w:iCs/>
          <w:lang w:val="en-GB"/>
        </w:rPr>
        <w:t xml:space="preserve"> data and</w:t>
      </w:r>
      <w:r>
        <w:rPr>
          <w:i/>
          <w:iCs/>
          <w:lang w:val="en-GB"/>
        </w:rPr>
        <w:t xml:space="preserve"> methodological information can be found </w:t>
      </w:r>
      <w:r w:rsidR="00D410DC">
        <w:rPr>
          <w:i/>
          <w:iCs/>
          <w:lang w:val="en-GB"/>
        </w:rPr>
        <w:t>at</w:t>
      </w:r>
      <w:r>
        <w:rPr>
          <w:i/>
          <w:iCs/>
          <w:lang w:val="en-GB"/>
        </w:rPr>
        <w:t xml:space="preserve">: </w:t>
      </w:r>
    </w:p>
    <w:p w:rsidR="00275FF4" w:rsidRPr="00535F40" w:rsidRDefault="00D410DC" w:rsidP="009A2005">
      <w:pPr>
        <w:pStyle w:val="Zkladntextodsazen2"/>
        <w:ind w:firstLine="0"/>
        <w:rPr>
          <w:i/>
          <w:lang w:val="en-GB"/>
        </w:rPr>
      </w:pPr>
      <w:r w:rsidRPr="00E17FFB">
        <w:rPr>
          <w:rStyle w:val="Hypertextovodkaz"/>
          <w:sz w:val="19"/>
          <w:szCs w:val="19"/>
        </w:rPr>
        <w:t>https://www.czso.cz/csu/czso/statistika_vyzkumu_a_vyvoje</w:t>
      </w:r>
      <w:r w:rsidR="00567AF7" w:rsidRPr="00567AF7">
        <w:rPr>
          <w:i/>
          <w:lang w:val="en-GB"/>
        </w:rPr>
        <w:t xml:space="preserve"> (Czech only)</w:t>
      </w:r>
    </w:p>
    <w:p w:rsidR="00CE3484" w:rsidRPr="00535F40" w:rsidRDefault="00CE3484" w:rsidP="009A2005">
      <w:pPr>
        <w:pStyle w:val="Zkladntextodsazen2"/>
        <w:ind w:firstLine="0"/>
        <w:rPr>
          <w:b/>
          <w:bCs/>
          <w:lang w:val="en-GB"/>
        </w:rPr>
      </w:pPr>
    </w:p>
    <w:p w:rsidR="00275FF4" w:rsidRDefault="00567AF7">
      <w:pPr>
        <w:jc w:val="both"/>
        <w:rPr>
          <w:rFonts w:ascii="Arial" w:hAnsi="Arial" w:cs="Arial"/>
          <w:b/>
          <w:bCs/>
          <w:i/>
          <w:sz w:val="20"/>
          <w:szCs w:val="20"/>
          <w:lang w:val="en-GB"/>
        </w:rPr>
      </w:pPr>
      <w:r w:rsidRPr="002D20C5">
        <w:rPr>
          <w:rFonts w:ascii="Arial" w:hAnsi="Arial" w:cs="Arial"/>
          <w:b/>
          <w:bCs/>
          <w:i/>
          <w:sz w:val="20"/>
          <w:szCs w:val="20"/>
          <w:lang w:val="en-GB"/>
        </w:rPr>
        <w:t xml:space="preserve">Notes on Table </w:t>
      </w:r>
      <w:r w:rsidR="002D20C5" w:rsidRPr="002D20C5">
        <w:rPr>
          <w:rFonts w:ascii="Arial" w:hAnsi="Arial" w:cs="Arial"/>
          <w:b/>
          <w:bCs/>
          <w:i/>
          <w:sz w:val="20"/>
          <w:szCs w:val="20"/>
          <w:lang w:val="en-GB"/>
        </w:rPr>
        <w:t>8-</w:t>
      </w:r>
      <w:r w:rsidR="00521062">
        <w:rPr>
          <w:rFonts w:ascii="Arial" w:hAnsi="Arial" w:cs="Arial"/>
          <w:b/>
          <w:bCs/>
          <w:i/>
          <w:sz w:val="20"/>
          <w:szCs w:val="20"/>
          <w:lang w:val="en-GB"/>
        </w:rPr>
        <w:t>5</w:t>
      </w:r>
    </w:p>
    <w:p w:rsidR="00687A1D" w:rsidRPr="00535F40" w:rsidRDefault="00687A1D">
      <w:pPr>
        <w:jc w:val="both"/>
        <w:rPr>
          <w:rFonts w:ascii="Arial" w:hAnsi="Arial" w:cs="Arial"/>
          <w:b/>
          <w:bCs/>
          <w:i/>
          <w:iCs/>
          <w:sz w:val="20"/>
          <w:szCs w:val="20"/>
          <w:lang w:val="en-GB"/>
        </w:rPr>
      </w:pPr>
    </w:p>
    <w:p w:rsidR="00275FF4" w:rsidRPr="001B5D77" w:rsidRDefault="00AF7421">
      <w:pPr>
        <w:pStyle w:val="Zkladntextodsazen2"/>
        <w:ind w:firstLine="0"/>
        <w:rPr>
          <w:i/>
          <w:iCs/>
        </w:rPr>
      </w:pPr>
      <w:r w:rsidRPr="00771F6C">
        <w:rPr>
          <w:b/>
          <w:i/>
          <w:lang w:val="en-GB"/>
        </w:rPr>
        <w:t>Patent statistics</w:t>
      </w:r>
      <w:r w:rsidRPr="00771F6C">
        <w:rPr>
          <w:i/>
          <w:lang w:val="en-GB"/>
        </w:rPr>
        <w:t xml:space="preserve"> brings information about results and successfulness of research, deve</w:t>
      </w:r>
      <w:r w:rsidR="004D06FA">
        <w:rPr>
          <w:i/>
          <w:lang w:val="en-GB"/>
        </w:rPr>
        <w:t>lopment, and innovation activities</w:t>
      </w:r>
      <w:r w:rsidRPr="00771F6C">
        <w:rPr>
          <w:i/>
          <w:lang w:val="en-GB"/>
        </w:rPr>
        <w:t xml:space="preserve"> in selected areas of technology. Data in </w:t>
      </w:r>
      <w:r>
        <w:rPr>
          <w:i/>
          <w:lang w:val="en-GB"/>
        </w:rPr>
        <w:t>the</w:t>
      </w:r>
      <w:r w:rsidRPr="00771F6C">
        <w:rPr>
          <w:i/>
          <w:lang w:val="en-GB"/>
        </w:rPr>
        <w:t xml:space="preserve"> </w:t>
      </w:r>
      <w:r>
        <w:rPr>
          <w:i/>
          <w:lang w:val="en-GB"/>
        </w:rPr>
        <w:t>C</w:t>
      </w:r>
      <w:r w:rsidRPr="00771F6C">
        <w:rPr>
          <w:i/>
          <w:lang w:val="en-GB"/>
        </w:rPr>
        <w:t xml:space="preserve">hapter were processed by the CZSO </w:t>
      </w:r>
      <w:r w:rsidRPr="00512A9C">
        <w:rPr>
          <w:i/>
          <w:lang w:val="en-GB"/>
        </w:rPr>
        <w:t>based on data sources of the </w:t>
      </w:r>
      <w:r w:rsidR="00512A9C" w:rsidRPr="001B5D77">
        <w:rPr>
          <w:i/>
          <w:iCs/>
          <w:lang w:val="en-GB"/>
        </w:rPr>
        <w:t>Industrial Property Office of the Czech Republic</w:t>
      </w:r>
      <w:r w:rsidR="003F581A" w:rsidRPr="00512A9C">
        <w:rPr>
          <w:i/>
          <w:lang w:val="en-GB"/>
        </w:rPr>
        <w:t xml:space="preserve"> (</w:t>
      </w:r>
      <w:r w:rsidRPr="00512A9C">
        <w:rPr>
          <w:i/>
          <w:lang w:val="en-GB"/>
        </w:rPr>
        <w:t>IPO CR</w:t>
      </w:r>
      <w:r w:rsidR="003F581A" w:rsidRPr="00512A9C">
        <w:rPr>
          <w:i/>
          <w:lang w:val="en-GB"/>
        </w:rPr>
        <w:t>),</w:t>
      </w:r>
      <w:r w:rsidR="003F581A" w:rsidRPr="008F6189">
        <w:rPr>
          <w:i/>
          <w:lang w:val="en-GB"/>
        </w:rPr>
        <w:t xml:space="preserve"> which </w:t>
      </w:r>
      <w:r w:rsidR="008F6189">
        <w:rPr>
          <w:i/>
          <w:lang w:val="en-GB"/>
        </w:rPr>
        <w:t>ensures p</w:t>
      </w:r>
      <w:r w:rsidR="008F6189" w:rsidRPr="00771F6C">
        <w:rPr>
          <w:i/>
          <w:lang w:val="en-GB"/>
        </w:rPr>
        <w:t xml:space="preserve">atent protection </w:t>
      </w:r>
      <w:r w:rsidR="008F6189">
        <w:rPr>
          <w:i/>
          <w:lang w:val="en-GB"/>
        </w:rPr>
        <w:t>for</w:t>
      </w:r>
      <w:r w:rsidR="008F6189" w:rsidRPr="00771F6C">
        <w:rPr>
          <w:i/>
          <w:lang w:val="en-GB"/>
        </w:rPr>
        <w:t xml:space="preserve"> the territory of the Czech Republic</w:t>
      </w:r>
      <w:r w:rsidR="008F6189">
        <w:rPr>
          <w:i/>
          <w:lang w:val="en-GB"/>
        </w:rPr>
        <w:t xml:space="preserve">. </w:t>
      </w:r>
      <w:r w:rsidR="00E4189E" w:rsidRPr="001B5D77">
        <w:rPr>
          <w:i/>
          <w:lang w:val="en-GB"/>
        </w:rPr>
        <w:t xml:space="preserve">Patents are granted for inventions, which are novelties, they are a result of activity of inventors, and are industrially applicable. </w:t>
      </w:r>
      <w:r w:rsidR="008D54CC">
        <w:rPr>
          <w:i/>
          <w:lang w:val="en-GB"/>
        </w:rPr>
        <w:t xml:space="preserve">The table contains only </w:t>
      </w:r>
      <w:r w:rsidR="008D54CC" w:rsidRPr="00001D13">
        <w:rPr>
          <w:i/>
          <w:lang w:val="en-GB"/>
        </w:rPr>
        <w:t xml:space="preserve">data about patent activity of </w:t>
      </w:r>
      <w:r w:rsidR="008D54CC" w:rsidRPr="0001199B">
        <w:rPr>
          <w:i/>
          <w:lang w:val="en-GB"/>
        </w:rPr>
        <w:t xml:space="preserve">entities </w:t>
      </w:r>
      <w:r w:rsidR="00904EED">
        <w:rPr>
          <w:i/>
          <w:lang w:val="en-GB"/>
        </w:rPr>
        <w:t>operating</w:t>
      </w:r>
      <w:r w:rsidR="00D0484A" w:rsidRPr="0001199B">
        <w:rPr>
          <w:i/>
          <w:lang w:val="en-GB"/>
        </w:rPr>
        <w:t xml:space="preserve"> on the territory of the</w:t>
      </w:r>
      <w:r w:rsidR="00D0484A">
        <w:rPr>
          <w:i/>
          <w:lang w:val="en-GB"/>
        </w:rPr>
        <w:t xml:space="preserve"> Czech Republic</w:t>
      </w:r>
      <w:r w:rsidR="00303B25">
        <w:rPr>
          <w:i/>
          <w:lang w:val="en-GB"/>
        </w:rPr>
        <w:t xml:space="preserve">. Since the reference year 1995, the CZSO </w:t>
      </w:r>
      <w:r w:rsidR="00321120">
        <w:rPr>
          <w:i/>
          <w:lang w:val="en-GB"/>
        </w:rPr>
        <w:t>has been processing and publishing</w:t>
      </w:r>
      <w:r w:rsidR="00303B25">
        <w:rPr>
          <w:i/>
          <w:lang w:val="en-GB"/>
        </w:rPr>
        <w:t xml:space="preserve"> detailed statistical data on patent </w:t>
      </w:r>
      <w:r w:rsidR="00303B25" w:rsidRPr="005F125F">
        <w:rPr>
          <w:i/>
          <w:lang w:val="en-GB"/>
        </w:rPr>
        <w:t xml:space="preserve">activity of </w:t>
      </w:r>
      <w:r w:rsidR="005F125F" w:rsidRPr="001B5D77">
        <w:rPr>
          <w:i/>
          <w:iCs/>
          <w:lang w:val="en-GB"/>
        </w:rPr>
        <w:t>domestic entities</w:t>
      </w:r>
      <w:r w:rsidR="00303B25" w:rsidRPr="001B5D77">
        <w:rPr>
          <w:i/>
          <w:iCs/>
          <w:lang w:val="en-GB"/>
        </w:rPr>
        <w:t xml:space="preserve"> by means of data on applications for patents submitted</w:t>
      </w:r>
      <w:r w:rsidR="00BE6BCC" w:rsidRPr="001B5D77">
        <w:rPr>
          <w:i/>
          <w:iCs/>
        </w:rPr>
        <w:t xml:space="preserve"> </w:t>
      </w:r>
      <w:r w:rsidR="00303B25" w:rsidRPr="001B5D77">
        <w:rPr>
          <w:i/>
          <w:iCs/>
          <w:lang w:val="en-GB"/>
        </w:rPr>
        <w:t>to the IPO CR, patents granted in the given year, and on valid patents for the territory of the Czech Republic</w:t>
      </w:r>
      <w:r w:rsidR="004A444E" w:rsidRPr="004A444E">
        <w:rPr>
          <w:i/>
          <w:iCs/>
          <w:lang w:val="en-GB"/>
        </w:rPr>
        <w:t xml:space="preserve"> </w:t>
      </w:r>
      <w:r w:rsidR="004A444E" w:rsidRPr="008025FD">
        <w:rPr>
          <w:i/>
          <w:iCs/>
          <w:lang w:val="en-GB"/>
        </w:rPr>
        <w:t>as at 31 December</w:t>
      </w:r>
      <w:r w:rsidR="00303B25" w:rsidRPr="001B5D77">
        <w:rPr>
          <w:i/>
          <w:iCs/>
          <w:lang w:val="en-GB"/>
        </w:rPr>
        <w:t xml:space="preserve">. </w:t>
      </w:r>
      <w:r w:rsidR="001B2910" w:rsidRPr="001B2910">
        <w:rPr>
          <w:i/>
          <w:iCs/>
          <w:lang w:val="en-GB"/>
        </w:rPr>
        <w:t>D</w:t>
      </w:r>
      <w:r w:rsidR="00581673" w:rsidRPr="001B5D77">
        <w:rPr>
          <w:i/>
          <w:iCs/>
          <w:lang w:val="en-GB"/>
        </w:rPr>
        <w:t>ata o</w:t>
      </w:r>
      <w:r w:rsidR="001B2910" w:rsidRPr="001B5D77">
        <w:rPr>
          <w:i/>
          <w:iCs/>
          <w:lang w:val="en-GB"/>
        </w:rPr>
        <w:t>n patents are</w:t>
      </w:r>
      <w:r w:rsidR="006E5255" w:rsidRPr="001B5D77">
        <w:rPr>
          <w:i/>
          <w:iCs/>
          <w:lang w:val="en-GB"/>
        </w:rPr>
        <w:t xml:space="preserve"> classified</w:t>
      </w:r>
      <w:r w:rsidR="00D44182">
        <w:rPr>
          <w:i/>
          <w:iCs/>
          <w:lang w:val="en-GB"/>
        </w:rPr>
        <w:t xml:space="preserve"> (broken down)</w:t>
      </w:r>
      <w:r w:rsidR="006E5255" w:rsidRPr="001B5D77">
        <w:rPr>
          <w:i/>
          <w:iCs/>
          <w:lang w:val="en-GB"/>
        </w:rPr>
        <w:t xml:space="preserve"> using the so-called fractional method.</w:t>
      </w:r>
    </w:p>
    <w:p w:rsidR="00567AF7" w:rsidRDefault="00567AF7" w:rsidP="00567AF7">
      <w:pPr>
        <w:pStyle w:val="Zkladntext"/>
        <w:numPr>
          <w:ilvl w:val="0"/>
          <w:numId w:val="2"/>
        </w:numPr>
        <w:tabs>
          <w:tab w:val="clear" w:pos="567"/>
          <w:tab w:val="num" w:pos="0"/>
        </w:tabs>
        <w:spacing w:before="120"/>
        <w:ind w:left="426" w:hanging="426"/>
        <w:jc w:val="both"/>
        <w:rPr>
          <w:szCs w:val="20"/>
        </w:rPr>
      </w:pPr>
      <w:r w:rsidRPr="00567AF7">
        <w:rPr>
          <w:bCs/>
          <w:szCs w:val="20"/>
        </w:rPr>
        <w:lastRenderedPageBreak/>
        <w:t xml:space="preserve">The </w:t>
      </w:r>
      <w:r w:rsidRPr="00567AF7">
        <w:rPr>
          <w:b/>
          <w:bCs/>
          <w:szCs w:val="20"/>
        </w:rPr>
        <w:t>inventor</w:t>
      </w:r>
      <w:r w:rsidRPr="00567AF7">
        <w:rPr>
          <w:bCs/>
          <w:szCs w:val="20"/>
        </w:rPr>
        <w:t xml:space="preserve"> of an invention </w:t>
      </w:r>
      <w:r w:rsidRPr="00567AF7">
        <w:rPr>
          <w:szCs w:val="20"/>
        </w:rPr>
        <w:t>is a person, who created the invention by his or her own creative work. An inventor or co-inventor can only be a natural person. This person has the right to inventorship, which is a personal right non-transferable to a third person. The inventor, as a person, is given in the patent pending and patent documents and information on the inventor is recorded in a patent register.</w:t>
      </w:r>
    </w:p>
    <w:p w:rsidR="00567AF7" w:rsidRDefault="00567AF7" w:rsidP="00567AF7">
      <w:pPr>
        <w:pStyle w:val="Zkladntext"/>
        <w:numPr>
          <w:ilvl w:val="0"/>
          <w:numId w:val="2"/>
        </w:numPr>
        <w:tabs>
          <w:tab w:val="clear" w:pos="567"/>
          <w:tab w:val="num" w:pos="0"/>
        </w:tabs>
        <w:spacing w:before="120"/>
        <w:ind w:left="426" w:hanging="426"/>
        <w:jc w:val="both"/>
        <w:rPr>
          <w:szCs w:val="20"/>
        </w:rPr>
      </w:pPr>
      <w:r w:rsidRPr="00567AF7">
        <w:rPr>
          <w:bCs/>
          <w:szCs w:val="20"/>
        </w:rPr>
        <w:t>A</w:t>
      </w:r>
      <w:r w:rsidRPr="00567AF7">
        <w:rPr>
          <w:b/>
          <w:bCs/>
          <w:szCs w:val="20"/>
        </w:rPr>
        <w:t xml:space="preserve"> patent</w:t>
      </w:r>
      <w:r w:rsidRPr="00567AF7">
        <w:rPr>
          <w:szCs w:val="20"/>
        </w:rPr>
        <w:t xml:space="preserve"> is a public deed issued by the competent patent office, which provides legal protection of the invention for the period of up to 20 years, on condition that maintenance fees are paid, on the territory, for which it has been issued by the competent office, e.g. the IPO grants so-called national way patents effective on the territory of the Czech Republic. A patent is applied for by filling </w:t>
      </w:r>
      <w:r w:rsidRPr="00567AF7">
        <w:rPr>
          <w:bCs/>
          <w:szCs w:val="20"/>
        </w:rPr>
        <w:t>a</w:t>
      </w:r>
      <w:r w:rsidRPr="00567AF7">
        <w:rPr>
          <w:b/>
          <w:bCs/>
          <w:szCs w:val="20"/>
        </w:rPr>
        <w:t xml:space="preserve"> patent application</w:t>
      </w:r>
      <w:r w:rsidRPr="00567AF7">
        <w:rPr>
          <w:szCs w:val="20"/>
        </w:rPr>
        <w:t xml:space="preserve"> at the competent patent office. Patents are granted for inventions, which are new, are results of inventive activities, and can be utilised in industry. </w:t>
      </w:r>
    </w:p>
    <w:p w:rsidR="00567AF7" w:rsidRDefault="00567AF7" w:rsidP="00567AF7">
      <w:pPr>
        <w:pStyle w:val="Zkladntext"/>
        <w:numPr>
          <w:ilvl w:val="0"/>
          <w:numId w:val="2"/>
        </w:numPr>
        <w:tabs>
          <w:tab w:val="clear" w:pos="567"/>
          <w:tab w:val="num" w:pos="0"/>
        </w:tabs>
        <w:spacing w:before="120"/>
        <w:ind w:left="426" w:hanging="426"/>
        <w:jc w:val="both"/>
        <w:rPr>
          <w:szCs w:val="20"/>
        </w:rPr>
      </w:pPr>
      <w:r w:rsidRPr="00567AF7">
        <w:rPr>
          <w:bCs/>
          <w:szCs w:val="20"/>
        </w:rPr>
        <w:t>The</w:t>
      </w:r>
      <w:r w:rsidRPr="00567AF7">
        <w:rPr>
          <w:b/>
          <w:bCs/>
          <w:szCs w:val="20"/>
        </w:rPr>
        <w:t xml:space="preserve"> technical solution of a utility model</w:t>
      </w:r>
      <w:r w:rsidRPr="00567AF7">
        <w:rPr>
          <w:szCs w:val="20"/>
        </w:rPr>
        <w:t xml:space="preserve">, which is its essence and is protected by the utility model after the certificate of the utility model registration has been issued, yet may not reach the level of an invention. It is, however, required this solution goes beyond the framework of mere professional skills, is not just a modification of the product resemblance, and has to be applicable on industrial scale. Manufacturing and production processes cannot be protected by the utility model. </w:t>
      </w:r>
    </w:p>
    <w:p w:rsidR="00275FF4" w:rsidRPr="00535F40" w:rsidRDefault="00275FF4">
      <w:pPr>
        <w:pStyle w:val="Zkladntext"/>
        <w:spacing w:before="120"/>
        <w:jc w:val="both"/>
        <w:rPr>
          <w:szCs w:val="20"/>
        </w:rPr>
      </w:pPr>
    </w:p>
    <w:p w:rsidR="00275FF4" w:rsidRPr="00535F40" w:rsidRDefault="00567AF7">
      <w:pPr>
        <w:pStyle w:val="Zkladntext"/>
        <w:spacing w:before="120"/>
        <w:jc w:val="both"/>
        <w:rPr>
          <w:szCs w:val="20"/>
        </w:rPr>
      </w:pPr>
      <w:r w:rsidRPr="00567AF7">
        <w:rPr>
          <w:szCs w:val="20"/>
        </w:rPr>
        <w:t xml:space="preserve">Detailed information can be found at: </w:t>
      </w:r>
      <w:hyperlink r:id="rId7" w:history="1">
        <w:r w:rsidR="00657773">
          <w:rPr>
            <w:rStyle w:val="Hypertextovodkaz"/>
            <w:szCs w:val="20"/>
          </w:rPr>
          <w:t>https://www.czso.cz/csu/czso/patentova_statistika</w:t>
        </w:r>
      </w:hyperlink>
      <w:r w:rsidRPr="00567AF7">
        <w:rPr>
          <w:szCs w:val="20"/>
        </w:rPr>
        <w:t xml:space="preserve"> (Czech only)</w:t>
      </w:r>
    </w:p>
    <w:p w:rsidR="00275FF4" w:rsidRPr="00535F40" w:rsidRDefault="00275FF4">
      <w:pPr>
        <w:pStyle w:val="Zkladntextodsazen2"/>
        <w:ind w:firstLine="0"/>
        <w:rPr>
          <w:i/>
          <w:iCs/>
          <w:lang w:val="en-GB"/>
        </w:rPr>
      </w:pPr>
    </w:p>
    <w:p w:rsidR="00275FF4" w:rsidRPr="00535F40" w:rsidRDefault="00567AF7">
      <w:pPr>
        <w:pStyle w:val="Zkladntext3"/>
        <w:rPr>
          <w:u w:val="single"/>
        </w:rPr>
      </w:pPr>
      <w:r w:rsidRPr="00567AF7">
        <w:rPr>
          <w:b/>
          <w:bCs/>
        </w:rPr>
        <w:t>Notes on Tables 8-</w:t>
      </w:r>
      <w:r w:rsidR="00521062">
        <w:rPr>
          <w:b/>
          <w:bCs/>
          <w:iCs w:val="0"/>
        </w:rPr>
        <w:t>7</w:t>
      </w:r>
      <w:r w:rsidRPr="00567AF7">
        <w:rPr>
          <w:b/>
          <w:bCs/>
        </w:rPr>
        <w:t xml:space="preserve"> to 8-</w:t>
      </w:r>
      <w:r w:rsidR="00687A1D">
        <w:rPr>
          <w:b/>
          <w:bCs/>
        </w:rPr>
        <w:t>10</w:t>
      </w:r>
    </w:p>
    <w:p w:rsidR="00275FF4" w:rsidRPr="00535F40" w:rsidRDefault="00275FF4">
      <w:pPr>
        <w:jc w:val="both"/>
        <w:rPr>
          <w:rFonts w:ascii="Arial" w:hAnsi="Arial" w:cs="Arial"/>
          <w:i/>
          <w:iCs/>
          <w:sz w:val="20"/>
          <w:szCs w:val="20"/>
          <w:lang w:val="en-GB"/>
        </w:rPr>
      </w:pPr>
    </w:p>
    <w:p w:rsidR="00875E2D" w:rsidRPr="001B5D77" w:rsidRDefault="00875E2D" w:rsidP="0067562D">
      <w:pPr>
        <w:tabs>
          <w:tab w:val="left" w:pos="709"/>
        </w:tabs>
        <w:spacing w:before="120" w:line="288" w:lineRule="auto"/>
        <w:jc w:val="both"/>
        <w:rPr>
          <w:rFonts w:ascii="Arial" w:hAnsi="Arial" w:cs="Arial"/>
          <w:i/>
          <w:sz w:val="20"/>
          <w:szCs w:val="20"/>
          <w:lang w:val="en-GB"/>
        </w:rPr>
      </w:pPr>
      <w:r w:rsidRPr="001B5D77">
        <w:rPr>
          <w:rFonts w:ascii="Arial" w:hAnsi="Arial" w:cs="Arial"/>
          <w:i/>
          <w:sz w:val="20"/>
          <w:szCs w:val="20"/>
          <w:lang w:val="en-GB"/>
        </w:rPr>
        <w:t xml:space="preserve">Data on </w:t>
      </w:r>
      <w:r w:rsidRPr="001B5D77">
        <w:rPr>
          <w:rFonts w:ascii="Arial" w:hAnsi="Arial" w:cs="Arial"/>
          <w:b/>
          <w:i/>
          <w:sz w:val="20"/>
          <w:szCs w:val="20"/>
          <w:lang w:val="en-GB"/>
        </w:rPr>
        <w:t xml:space="preserve">students of and graduates from science and engineering fields of education </w:t>
      </w:r>
      <w:r w:rsidRPr="001B5D77">
        <w:rPr>
          <w:rFonts w:ascii="Arial" w:hAnsi="Arial" w:cs="Arial"/>
          <w:i/>
          <w:sz w:val="20"/>
          <w:szCs w:val="20"/>
          <w:lang w:val="en-GB"/>
        </w:rPr>
        <w:t>were obtained from data sources of the Ministry of Education, Youth, and Sports, namely from the Union Information from Students’ Registers (the “</w:t>
      </w:r>
      <w:r w:rsidRPr="001B5D77">
        <w:rPr>
          <w:rFonts w:ascii="Arial" w:hAnsi="Arial" w:cs="Arial"/>
          <w:sz w:val="20"/>
          <w:szCs w:val="20"/>
          <w:lang w:val="en-GB"/>
        </w:rPr>
        <w:t>SIMS</w:t>
      </w:r>
      <w:r w:rsidRPr="001B5D77">
        <w:rPr>
          <w:rFonts w:ascii="Arial" w:hAnsi="Arial" w:cs="Arial"/>
          <w:i/>
          <w:sz w:val="20"/>
          <w:szCs w:val="20"/>
          <w:lang w:val="en-GB"/>
        </w:rPr>
        <w:t>” database). Data are continually added to the source SIMS database and the database is continually updated, including retrospective corrections. Data published in this Yearbook correspond to the state of processing as at 20 January 202</w:t>
      </w:r>
      <w:r w:rsidR="00007819">
        <w:rPr>
          <w:rFonts w:ascii="Arial" w:hAnsi="Arial" w:cs="Arial"/>
          <w:i/>
          <w:sz w:val="20"/>
          <w:szCs w:val="20"/>
          <w:lang w:val="en-GB"/>
        </w:rPr>
        <w:t>1</w:t>
      </w:r>
      <w:r w:rsidRPr="001B5D77">
        <w:rPr>
          <w:rFonts w:ascii="Arial" w:hAnsi="Arial" w:cs="Arial"/>
          <w:i/>
          <w:sz w:val="20"/>
          <w:szCs w:val="20"/>
          <w:lang w:val="en-GB"/>
        </w:rPr>
        <w:t>. Data on university students are always as at 31</w:t>
      </w:r>
      <w:r w:rsidR="00FB1715">
        <w:rPr>
          <w:rFonts w:ascii="Arial" w:hAnsi="Arial" w:cs="Arial"/>
          <w:i/>
          <w:sz w:val="20"/>
          <w:szCs w:val="20"/>
          <w:lang w:val="en-GB"/>
        </w:rPr>
        <w:t> </w:t>
      </w:r>
      <w:r w:rsidRPr="001B5D77">
        <w:rPr>
          <w:rFonts w:ascii="Arial" w:hAnsi="Arial" w:cs="Arial"/>
          <w:i/>
          <w:sz w:val="20"/>
          <w:szCs w:val="20"/>
          <w:lang w:val="en-GB"/>
        </w:rPr>
        <w:t xml:space="preserve">December of the </w:t>
      </w:r>
      <w:r w:rsidR="007F760F" w:rsidRPr="001B5D77">
        <w:rPr>
          <w:rFonts w:ascii="Arial" w:hAnsi="Arial" w:cs="Arial"/>
          <w:i/>
          <w:sz w:val="20"/>
          <w:szCs w:val="20"/>
          <w:lang w:val="en-GB"/>
        </w:rPr>
        <w:t>relevant</w:t>
      </w:r>
      <w:r w:rsidRPr="001B5D77">
        <w:rPr>
          <w:rFonts w:ascii="Arial" w:hAnsi="Arial" w:cs="Arial"/>
          <w:i/>
          <w:sz w:val="20"/>
          <w:szCs w:val="20"/>
          <w:lang w:val="en-GB"/>
        </w:rPr>
        <w:t xml:space="preserve"> year; data on graduates are for the </w:t>
      </w:r>
      <w:r w:rsidR="007F760F" w:rsidRPr="001B5D77">
        <w:rPr>
          <w:rFonts w:ascii="Arial" w:hAnsi="Arial" w:cs="Arial"/>
          <w:i/>
          <w:sz w:val="20"/>
          <w:szCs w:val="20"/>
          <w:lang w:val="en-GB"/>
        </w:rPr>
        <w:t xml:space="preserve">whole </w:t>
      </w:r>
      <w:r w:rsidRPr="001B5D77">
        <w:rPr>
          <w:rFonts w:ascii="Arial" w:hAnsi="Arial" w:cs="Arial"/>
          <w:i/>
          <w:sz w:val="20"/>
          <w:szCs w:val="20"/>
          <w:lang w:val="en-GB"/>
        </w:rPr>
        <w:t xml:space="preserve">school year. </w:t>
      </w:r>
    </w:p>
    <w:p w:rsidR="00DC7018" w:rsidRPr="00771F6C" w:rsidRDefault="00DC7018" w:rsidP="001B5D77">
      <w:pPr>
        <w:pStyle w:val="Zkladntext"/>
        <w:spacing w:before="120"/>
        <w:jc w:val="both"/>
        <w:rPr>
          <w:i w:val="0"/>
          <w:iCs w:val="0"/>
        </w:rPr>
      </w:pPr>
      <w:r>
        <w:t xml:space="preserve">Studies of </w:t>
      </w:r>
      <w:r w:rsidRPr="001B5D77">
        <w:rPr>
          <w:iCs w:val="0"/>
          <w:szCs w:val="20"/>
        </w:rPr>
        <w:t>science and engineering fields of education</w:t>
      </w:r>
      <w:r>
        <w:t xml:space="preserve"> </w:t>
      </w:r>
      <w:r w:rsidRPr="00771F6C">
        <w:t xml:space="preserve">are defined based on </w:t>
      </w:r>
      <w:r w:rsidRPr="000F3C60">
        <w:t xml:space="preserve">the </w:t>
      </w:r>
      <w:r w:rsidRPr="00EA4FF1">
        <w:t>International Standard Classification of Education: Fields of Education and Training 2013 (ISCED-F 2013)</w:t>
      </w:r>
      <w:r>
        <w:t xml:space="preserve">, </w:t>
      </w:r>
      <w:r w:rsidRPr="00E639D0">
        <w:t>broad fields 05 an</w:t>
      </w:r>
      <w:r>
        <w:t>d 07, which comprise fields of education defined in detail as follows:</w:t>
      </w:r>
    </w:p>
    <w:p w:rsidR="00DC7018" w:rsidRPr="00771F6C" w:rsidRDefault="00DC7018" w:rsidP="001B5D77">
      <w:pPr>
        <w:pStyle w:val="Zkladntext"/>
        <w:spacing w:before="120"/>
        <w:jc w:val="both"/>
        <w:rPr>
          <w:i w:val="0"/>
          <w:iCs w:val="0"/>
        </w:rPr>
      </w:pPr>
      <w:r w:rsidRPr="00771F6C">
        <w:rPr>
          <w:b/>
        </w:rPr>
        <w:t>Science fields of education</w:t>
      </w:r>
      <w:r w:rsidRPr="00771F6C">
        <w:t xml:space="preserve"> correspond to the broad field of Natural sciences, mathematics and statistics (code 05) and include:</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xml:space="preserve">– Biological and related sciences (code 051); </w:t>
      </w:r>
    </w:p>
    <w:p w:rsidR="00DC7018" w:rsidRPr="00EC3116" w:rsidRDefault="00DC7018" w:rsidP="001B5D77">
      <w:pPr>
        <w:spacing w:before="120"/>
        <w:jc w:val="both"/>
        <w:rPr>
          <w:rFonts w:ascii="Arial" w:hAnsi="Arial" w:cs="Arial"/>
          <w:i/>
          <w:iCs/>
          <w:sz w:val="20"/>
          <w:lang w:val="fr-FR"/>
        </w:rPr>
      </w:pPr>
      <w:r w:rsidRPr="00EC3116">
        <w:rPr>
          <w:rFonts w:ascii="Arial" w:hAnsi="Arial" w:cs="Arial"/>
          <w:i/>
          <w:iCs/>
          <w:sz w:val="20"/>
          <w:lang w:val="fr-FR"/>
        </w:rPr>
        <w:t>– Environment (code 052);</w:t>
      </w:r>
    </w:p>
    <w:p w:rsidR="00DC7018" w:rsidRPr="00EC3116" w:rsidRDefault="00DC7018" w:rsidP="001B5D77">
      <w:pPr>
        <w:spacing w:before="120"/>
        <w:jc w:val="both"/>
        <w:rPr>
          <w:rFonts w:ascii="Arial" w:hAnsi="Arial" w:cs="Arial"/>
          <w:i/>
          <w:iCs/>
          <w:sz w:val="20"/>
          <w:lang w:val="fr-FR"/>
        </w:rPr>
      </w:pPr>
      <w:r w:rsidRPr="00EC3116">
        <w:rPr>
          <w:rFonts w:ascii="Arial" w:hAnsi="Arial" w:cs="Arial"/>
          <w:i/>
          <w:iCs/>
          <w:sz w:val="20"/>
          <w:lang w:val="fr-FR"/>
        </w:rPr>
        <w:t>– Physical sciences (code 053);</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Mathematics and statistics (code 054);</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Natural sciences, mathematics and statistics not further defined (code 050);</w:t>
      </w:r>
    </w:p>
    <w:p w:rsidR="00DC7018" w:rsidRPr="00155B59" w:rsidRDefault="00DC7018" w:rsidP="001B5D77">
      <w:pPr>
        <w:spacing w:before="120"/>
        <w:jc w:val="both"/>
        <w:rPr>
          <w:rFonts w:ascii="Arial" w:hAnsi="Arial" w:cs="Arial"/>
          <w:i/>
          <w:iCs/>
          <w:sz w:val="20"/>
          <w:lang w:val="en-GB"/>
        </w:rPr>
      </w:pPr>
      <w:r w:rsidRPr="00771F6C">
        <w:rPr>
          <w:rFonts w:ascii="Arial" w:hAnsi="Arial" w:cs="Arial"/>
          <w:i/>
          <w:iCs/>
          <w:sz w:val="20"/>
          <w:lang w:val="en-GB"/>
        </w:rPr>
        <w:t>– Inter-disciplinary programmes and qualifications involving natural sciences, mathematics and statistics</w:t>
      </w:r>
      <w:r>
        <w:rPr>
          <w:rFonts w:ascii="Arial" w:hAnsi="Arial" w:cs="Arial"/>
          <w:i/>
          <w:iCs/>
          <w:sz w:val="20"/>
          <w:lang w:val="en-GB"/>
        </w:rPr>
        <w:t xml:space="preserve"> (code 058).</w:t>
      </w:r>
    </w:p>
    <w:p w:rsidR="00DC7018" w:rsidRPr="00771F6C" w:rsidRDefault="00DC7018" w:rsidP="001B5D77">
      <w:pPr>
        <w:pStyle w:val="Zkladntext"/>
        <w:spacing w:before="120"/>
        <w:jc w:val="both"/>
        <w:rPr>
          <w:i w:val="0"/>
          <w:iCs w:val="0"/>
        </w:rPr>
      </w:pPr>
      <w:r w:rsidRPr="00771F6C">
        <w:rPr>
          <w:b/>
        </w:rPr>
        <w:t xml:space="preserve">Engineering fields of education </w:t>
      </w:r>
      <w:r w:rsidRPr="00771F6C">
        <w:t xml:space="preserve">correspond to </w:t>
      </w:r>
      <w:r w:rsidRPr="00E639D0">
        <w:t xml:space="preserve">the broad </w:t>
      </w:r>
      <w:r w:rsidRPr="00EB0BC7">
        <w:t xml:space="preserve">field </w:t>
      </w:r>
      <w:r w:rsidR="00EB0BC7">
        <w:t>of</w:t>
      </w:r>
      <w:r w:rsidR="003B68CB" w:rsidRPr="00EB0BC7">
        <w:t xml:space="preserve"> Engineering, manufacturing and construction</w:t>
      </w:r>
      <w:r w:rsidRPr="00EB0BC7">
        <w:t xml:space="preserve"> </w:t>
      </w:r>
      <w:r w:rsidR="00EB0BC7">
        <w:t>(</w:t>
      </w:r>
      <w:r w:rsidR="00EB0BC7" w:rsidRPr="00EB0BC7">
        <w:t>code 07</w:t>
      </w:r>
      <w:r w:rsidR="00EB0BC7">
        <w:t xml:space="preserve">) </w:t>
      </w:r>
      <w:r w:rsidRPr="00EB0BC7">
        <w:t>and include:</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Engineering and engineering trades (code 071);</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Manufacturing and processing (code 072);</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Architecture and construction (code 073);</w:t>
      </w:r>
    </w:p>
    <w:p w:rsidR="00DC7018" w:rsidRPr="00771F6C" w:rsidRDefault="00DC7018" w:rsidP="001B5D77">
      <w:pPr>
        <w:spacing w:before="120"/>
        <w:jc w:val="both"/>
        <w:rPr>
          <w:rFonts w:ascii="Arial" w:hAnsi="Arial" w:cs="Arial"/>
          <w:i/>
          <w:iCs/>
          <w:sz w:val="20"/>
          <w:lang w:val="en-GB"/>
        </w:rPr>
      </w:pPr>
      <w:r w:rsidRPr="00771F6C">
        <w:rPr>
          <w:rFonts w:ascii="Arial" w:hAnsi="Arial" w:cs="Arial"/>
          <w:i/>
          <w:iCs/>
          <w:sz w:val="20"/>
          <w:lang w:val="en-GB"/>
        </w:rPr>
        <w:t>– Engineering, manufacturing and construction not further defined (code 070);</w:t>
      </w:r>
    </w:p>
    <w:p w:rsidR="00DC7018" w:rsidRDefault="00DC7018" w:rsidP="005C3BE7">
      <w:pPr>
        <w:tabs>
          <w:tab w:val="left" w:pos="709"/>
        </w:tabs>
        <w:spacing w:before="80" w:line="288" w:lineRule="auto"/>
        <w:jc w:val="both"/>
        <w:rPr>
          <w:rFonts w:ascii="Arial" w:hAnsi="Arial" w:cs="Arial"/>
          <w:i/>
          <w:sz w:val="20"/>
          <w:szCs w:val="20"/>
          <w:highlight w:val="yellow"/>
        </w:rPr>
      </w:pPr>
      <w:r w:rsidRPr="00771F6C">
        <w:rPr>
          <w:rFonts w:ascii="Arial" w:hAnsi="Arial" w:cs="Arial"/>
          <w:i/>
          <w:iCs/>
          <w:sz w:val="20"/>
          <w:lang w:val="en-GB"/>
        </w:rPr>
        <w:t xml:space="preserve">– Inter-disciplinary programmes and qualifications involving engineering, manufacturing and construction </w:t>
      </w:r>
      <w:r>
        <w:rPr>
          <w:rFonts w:ascii="Arial" w:hAnsi="Arial" w:cs="Arial"/>
          <w:i/>
          <w:iCs/>
          <w:sz w:val="20"/>
          <w:lang w:val="en-GB"/>
        </w:rPr>
        <w:t>(code 078).</w:t>
      </w:r>
    </w:p>
    <w:p w:rsidR="007D7981" w:rsidRPr="001B5D77" w:rsidRDefault="00BC2585" w:rsidP="0067562D">
      <w:pPr>
        <w:tabs>
          <w:tab w:val="left" w:pos="709"/>
        </w:tabs>
        <w:spacing w:before="120" w:line="288" w:lineRule="auto"/>
        <w:jc w:val="both"/>
        <w:rPr>
          <w:rFonts w:ascii="Arial" w:hAnsi="Arial" w:cs="Arial"/>
          <w:i/>
          <w:sz w:val="20"/>
          <w:szCs w:val="20"/>
          <w:lang w:val="en-GB"/>
        </w:rPr>
      </w:pPr>
      <w:r w:rsidRPr="005170BF">
        <w:rPr>
          <w:rFonts w:ascii="Arial" w:hAnsi="Arial" w:cs="Arial"/>
          <w:i/>
          <w:iCs/>
          <w:sz w:val="20"/>
          <w:szCs w:val="20"/>
          <w:lang w:val="en-GB"/>
        </w:rPr>
        <w:t>Numbers of students and graduates are given as headcount, i.e. each student is included in a particular piece of data only once, including students who study in more study programmes</w:t>
      </w:r>
      <w:r>
        <w:rPr>
          <w:rFonts w:ascii="Arial" w:hAnsi="Arial" w:cs="Arial"/>
          <w:i/>
          <w:iCs/>
          <w:sz w:val="20"/>
          <w:szCs w:val="20"/>
          <w:lang w:val="en-GB"/>
        </w:rPr>
        <w:t xml:space="preserve"> concurrently</w:t>
      </w:r>
      <w:r w:rsidRPr="005170BF">
        <w:rPr>
          <w:rFonts w:ascii="Arial" w:hAnsi="Arial" w:cs="Arial"/>
          <w:i/>
          <w:iCs/>
          <w:sz w:val="20"/>
          <w:szCs w:val="20"/>
          <w:lang w:val="en-GB"/>
        </w:rPr>
        <w:t xml:space="preserve">. The total numbers </w:t>
      </w:r>
      <w:r w:rsidRPr="005170BF">
        <w:rPr>
          <w:rFonts w:ascii="Arial" w:hAnsi="Arial" w:cs="Arial"/>
          <w:i/>
          <w:iCs/>
          <w:sz w:val="20"/>
          <w:szCs w:val="20"/>
          <w:lang w:val="en-GB"/>
        </w:rPr>
        <w:lastRenderedPageBreak/>
        <w:t>of students and graduates thus do not have to be equal to the sums of students and graduates of respective types of study programmes.</w:t>
      </w:r>
    </w:p>
    <w:p w:rsidR="0067562D" w:rsidRPr="001B5D77" w:rsidRDefault="0067562D" w:rsidP="0067562D">
      <w:pPr>
        <w:pStyle w:val="Zkladntext3"/>
        <w:rPr>
          <w:b/>
          <w:bCs/>
          <w:iCs w:val="0"/>
          <w:highlight w:val="yellow"/>
          <w:lang w:val="cs-CZ"/>
        </w:rPr>
      </w:pPr>
    </w:p>
    <w:p w:rsidR="0067562D" w:rsidRPr="001B5D77" w:rsidRDefault="00814AEC" w:rsidP="0067562D">
      <w:pPr>
        <w:pStyle w:val="Zkladntext3"/>
        <w:rPr>
          <w:b/>
          <w:bCs/>
          <w:iCs w:val="0"/>
        </w:rPr>
      </w:pPr>
      <w:r w:rsidRPr="001B5D77">
        <w:rPr>
          <w:b/>
          <w:bCs/>
          <w:iCs w:val="0"/>
        </w:rPr>
        <w:t>Notes on Tables</w:t>
      </w:r>
      <w:r w:rsidR="0067562D" w:rsidRPr="001B5D77">
        <w:rPr>
          <w:b/>
          <w:bCs/>
          <w:iCs w:val="0"/>
        </w:rPr>
        <w:t xml:space="preserve"> 8</w:t>
      </w:r>
      <w:r w:rsidRPr="001B5D77">
        <w:rPr>
          <w:b/>
          <w:bCs/>
          <w:iCs w:val="0"/>
        </w:rPr>
        <w:t>-</w:t>
      </w:r>
      <w:r w:rsidR="0067562D" w:rsidRPr="001B5D77">
        <w:rPr>
          <w:b/>
          <w:bCs/>
          <w:iCs w:val="0"/>
        </w:rPr>
        <w:t xml:space="preserve">11 </w:t>
      </w:r>
      <w:r w:rsidRPr="001B5D77">
        <w:rPr>
          <w:b/>
          <w:bCs/>
          <w:iCs w:val="0"/>
        </w:rPr>
        <w:t>to</w:t>
      </w:r>
      <w:r w:rsidR="0067562D" w:rsidRPr="001B5D77">
        <w:rPr>
          <w:b/>
          <w:bCs/>
          <w:iCs w:val="0"/>
        </w:rPr>
        <w:t xml:space="preserve"> 8</w:t>
      </w:r>
      <w:r w:rsidRPr="001B5D77">
        <w:rPr>
          <w:b/>
          <w:bCs/>
          <w:iCs w:val="0"/>
        </w:rPr>
        <w:t>-</w:t>
      </w:r>
      <w:r w:rsidR="0067562D" w:rsidRPr="001B5D77">
        <w:rPr>
          <w:b/>
          <w:bCs/>
          <w:iCs w:val="0"/>
        </w:rPr>
        <w:t>13</w:t>
      </w:r>
    </w:p>
    <w:p w:rsidR="004206BA" w:rsidRPr="001B5D77" w:rsidRDefault="00DA7BED" w:rsidP="00DA7BED">
      <w:pPr>
        <w:autoSpaceDE w:val="0"/>
        <w:autoSpaceDN w:val="0"/>
        <w:adjustRightInd w:val="0"/>
        <w:spacing w:before="80"/>
        <w:jc w:val="both"/>
        <w:rPr>
          <w:rFonts w:ascii="Arial" w:hAnsi="Arial" w:cs="Arial"/>
          <w:i/>
          <w:iCs/>
          <w:sz w:val="20"/>
          <w:szCs w:val="20"/>
          <w:lang w:val="en-GB"/>
        </w:rPr>
      </w:pPr>
      <w:r w:rsidRPr="001B5D77">
        <w:rPr>
          <w:rFonts w:ascii="Arial" w:hAnsi="Arial" w:cs="Arial"/>
          <w:b/>
          <w:bCs/>
          <w:i/>
          <w:iCs/>
          <w:sz w:val="20"/>
          <w:szCs w:val="20"/>
          <w:lang w:val="en-GB"/>
        </w:rPr>
        <w:t xml:space="preserve">Science and engineering professionals </w:t>
      </w:r>
      <w:r w:rsidRPr="001B5D77">
        <w:rPr>
          <w:rFonts w:ascii="Arial" w:hAnsi="Arial" w:cs="Arial"/>
          <w:i/>
          <w:iCs/>
          <w:sz w:val="20"/>
          <w:szCs w:val="20"/>
          <w:lang w:val="en-GB"/>
        </w:rPr>
        <w:t>are a narrow group of experts</w:t>
      </w:r>
      <w:r w:rsidR="0069298D">
        <w:rPr>
          <w:rFonts w:ascii="Arial" w:hAnsi="Arial" w:cs="Arial"/>
          <w:i/>
          <w:iCs/>
          <w:sz w:val="20"/>
          <w:szCs w:val="20"/>
          <w:lang w:val="en-GB"/>
        </w:rPr>
        <w:t xml:space="preserve"> who w</w:t>
      </w:r>
      <w:r w:rsidRPr="001B5D77">
        <w:rPr>
          <w:rFonts w:ascii="Arial" w:hAnsi="Arial" w:cs="Arial"/>
          <w:i/>
          <w:iCs/>
          <w:sz w:val="20"/>
          <w:szCs w:val="20"/>
          <w:lang w:val="en-GB"/>
        </w:rPr>
        <w:t xml:space="preserve">ithin their work activities conduct research, improve or develop concepts, theories and operational methods, </w:t>
      </w:r>
      <w:r w:rsidR="0069298D">
        <w:rPr>
          <w:rFonts w:ascii="Arial" w:hAnsi="Arial" w:cs="Arial"/>
          <w:i/>
          <w:iCs/>
          <w:sz w:val="20"/>
          <w:szCs w:val="20"/>
          <w:lang w:val="en-GB"/>
        </w:rPr>
        <w:t>and</w:t>
      </w:r>
      <w:r w:rsidRPr="001B5D77">
        <w:rPr>
          <w:rFonts w:ascii="Arial" w:hAnsi="Arial" w:cs="Arial"/>
          <w:i/>
          <w:iCs/>
          <w:sz w:val="20"/>
          <w:szCs w:val="20"/>
          <w:lang w:val="en-GB"/>
        </w:rPr>
        <w:t xml:space="preserve"> apply scientific knowledge relating to fields such as physics, astronomy, meteorology, chemistry, geophysics, geology, biology, ecology, pharmacology, medicine, mathematics, statistics, architecture, engineering, design, and technology. Science and engineering professionals are defined since 2011 based on the Classification of Occupations (CZ-ISCO) containing </w:t>
      </w:r>
      <w:r w:rsidR="00187CA0">
        <w:rPr>
          <w:rFonts w:ascii="Arial" w:hAnsi="Arial" w:cs="Arial"/>
          <w:i/>
          <w:iCs/>
          <w:sz w:val="20"/>
          <w:szCs w:val="20"/>
          <w:lang w:val="en-GB"/>
        </w:rPr>
        <w:t>all</w:t>
      </w:r>
      <w:r w:rsidRPr="001B5D77">
        <w:rPr>
          <w:rFonts w:ascii="Arial" w:hAnsi="Arial" w:cs="Arial"/>
          <w:i/>
          <w:iCs/>
          <w:sz w:val="20"/>
          <w:szCs w:val="20"/>
          <w:lang w:val="en-GB"/>
        </w:rPr>
        <w:t xml:space="preserve"> groups of occupations of the CZ-ISCO sub-major group 21, which are sources of their main income.</w:t>
      </w:r>
    </w:p>
    <w:p w:rsidR="00296BE1" w:rsidRPr="001B5D77" w:rsidRDefault="00DA7BED" w:rsidP="00DA7BED">
      <w:pPr>
        <w:autoSpaceDE w:val="0"/>
        <w:autoSpaceDN w:val="0"/>
        <w:adjustRightInd w:val="0"/>
        <w:spacing w:before="80"/>
        <w:jc w:val="both"/>
        <w:rPr>
          <w:rFonts w:ascii="Arial" w:hAnsi="Arial" w:cs="Arial"/>
          <w:i/>
          <w:iCs/>
          <w:sz w:val="20"/>
          <w:szCs w:val="20"/>
          <w:lang w:val="en-GB"/>
        </w:rPr>
      </w:pPr>
      <w:r w:rsidRPr="001B5D77">
        <w:rPr>
          <w:rFonts w:ascii="Arial" w:hAnsi="Arial" w:cs="Arial"/>
          <w:b/>
          <w:i/>
          <w:iCs/>
          <w:sz w:val="20"/>
          <w:szCs w:val="20"/>
          <w:lang w:val="en-GB"/>
        </w:rPr>
        <w:t>Data on the</w:t>
      </w:r>
      <w:r w:rsidRPr="001B5D77">
        <w:rPr>
          <w:rFonts w:ascii="Arial" w:hAnsi="Arial" w:cs="Arial"/>
          <w:i/>
          <w:iCs/>
          <w:sz w:val="20"/>
          <w:szCs w:val="20"/>
          <w:lang w:val="en-GB"/>
        </w:rPr>
        <w:t xml:space="preserve"> </w:t>
      </w:r>
      <w:r w:rsidRPr="001B5D77">
        <w:rPr>
          <w:rFonts w:ascii="Arial" w:hAnsi="Arial" w:cs="Arial"/>
          <w:b/>
          <w:bCs/>
          <w:i/>
          <w:iCs/>
          <w:sz w:val="20"/>
          <w:szCs w:val="20"/>
          <w:lang w:val="en-GB"/>
        </w:rPr>
        <w:t xml:space="preserve">numbers </w:t>
      </w:r>
      <w:r w:rsidRPr="001B5D77">
        <w:rPr>
          <w:rFonts w:ascii="Arial" w:hAnsi="Arial" w:cs="Arial"/>
          <w:b/>
          <w:i/>
          <w:iCs/>
          <w:sz w:val="20"/>
          <w:szCs w:val="20"/>
          <w:lang w:val="en-GB"/>
        </w:rPr>
        <w:t>of science and engineering professionals</w:t>
      </w:r>
      <w:r w:rsidRPr="001B5D77">
        <w:rPr>
          <w:rFonts w:ascii="Arial" w:hAnsi="Arial" w:cs="Arial"/>
          <w:i/>
          <w:iCs/>
          <w:sz w:val="20"/>
          <w:szCs w:val="20"/>
          <w:lang w:val="en-GB"/>
        </w:rPr>
        <w:t xml:space="preserve"> come from the Labour Force Sample Survey (LFSS). In order to ensure higher reliability and to eliminate considerable year-on-year fluctuations of values for this group of employees, data in the table are provided as three-year moving averages (i.e., for example, the value for 2018 is calculated as an average </w:t>
      </w:r>
      <w:r w:rsidR="008F4F32">
        <w:rPr>
          <w:rFonts w:ascii="Arial" w:hAnsi="Arial" w:cs="Arial"/>
          <w:i/>
          <w:iCs/>
          <w:sz w:val="20"/>
          <w:szCs w:val="20"/>
          <w:lang w:val="en-GB"/>
        </w:rPr>
        <w:t>of</w:t>
      </w:r>
      <w:r w:rsidR="000067B9">
        <w:rPr>
          <w:rFonts w:ascii="Arial" w:hAnsi="Arial" w:cs="Arial"/>
          <w:i/>
          <w:iCs/>
          <w:sz w:val="20"/>
          <w:szCs w:val="20"/>
          <w:lang w:val="en-GB"/>
        </w:rPr>
        <w:t xml:space="preserve"> </w:t>
      </w:r>
      <w:r w:rsidRPr="001B5D77">
        <w:rPr>
          <w:rFonts w:ascii="Arial" w:hAnsi="Arial" w:cs="Arial"/>
          <w:i/>
          <w:iCs/>
          <w:sz w:val="20"/>
          <w:szCs w:val="20"/>
          <w:lang w:val="en-GB"/>
        </w:rPr>
        <w:t>values for</w:t>
      </w:r>
      <w:r w:rsidR="000067B9">
        <w:rPr>
          <w:rFonts w:ascii="Arial" w:hAnsi="Arial" w:cs="Arial"/>
          <w:i/>
          <w:iCs/>
          <w:sz w:val="20"/>
          <w:szCs w:val="20"/>
          <w:lang w:val="en-GB"/>
        </w:rPr>
        <w:t xml:space="preserve"> the years</w:t>
      </w:r>
      <w:r w:rsidRPr="001B5D77">
        <w:rPr>
          <w:rFonts w:ascii="Arial" w:hAnsi="Arial" w:cs="Arial"/>
          <w:i/>
          <w:iCs/>
          <w:sz w:val="20"/>
          <w:szCs w:val="20"/>
          <w:lang w:val="en-GB"/>
        </w:rPr>
        <w:t xml:space="preserve"> 201</w:t>
      </w:r>
      <w:r w:rsidR="00007819">
        <w:rPr>
          <w:rFonts w:ascii="Arial" w:hAnsi="Arial" w:cs="Arial"/>
          <w:i/>
          <w:iCs/>
          <w:sz w:val="20"/>
          <w:szCs w:val="20"/>
          <w:lang w:val="en-GB"/>
        </w:rPr>
        <w:t>8</w:t>
      </w:r>
      <w:r w:rsidRPr="001B5D77">
        <w:rPr>
          <w:rFonts w:ascii="Arial" w:hAnsi="Arial" w:cs="Arial"/>
          <w:i/>
          <w:iCs/>
          <w:sz w:val="20"/>
          <w:szCs w:val="20"/>
          <w:lang w:val="en-GB"/>
        </w:rPr>
        <w:t>, 201</w:t>
      </w:r>
      <w:r w:rsidR="00007819">
        <w:rPr>
          <w:rFonts w:ascii="Arial" w:hAnsi="Arial" w:cs="Arial"/>
          <w:i/>
          <w:iCs/>
          <w:sz w:val="20"/>
          <w:szCs w:val="20"/>
          <w:lang w:val="en-GB"/>
        </w:rPr>
        <w:t>9</w:t>
      </w:r>
      <w:r w:rsidRPr="001B5D77">
        <w:rPr>
          <w:rFonts w:ascii="Arial" w:hAnsi="Arial" w:cs="Arial"/>
          <w:i/>
          <w:iCs/>
          <w:sz w:val="20"/>
          <w:szCs w:val="20"/>
          <w:lang w:val="en-GB"/>
        </w:rPr>
        <w:t>, and 20</w:t>
      </w:r>
      <w:r w:rsidR="00007819">
        <w:rPr>
          <w:rFonts w:ascii="Arial" w:hAnsi="Arial" w:cs="Arial"/>
          <w:i/>
          <w:iCs/>
          <w:sz w:val="20"/>
          <w:szCs w:val="20"/>
          <w:lang w:val="en-GB"/>
        </w:rPr>
        <w:t>20</w:t>
      </w:r>
      <w:r w:rsidR="00EF0176">
        <w:rPr>
          <w:rFonts w:ascii="Arial" w:hAnsi="Arial" w:cs="Arial"/>
          <w:i/>
          <w:iCs/>
          <w:sz w:val="20"/>
          <w:szCs w:val="20"/>
          <w:lang w:val="en-GB"/>
        </w:rPr>
        <w:t>)</w:t>
      </w:r>
      <w:r w:rsidRPr="001B5D77">
        <w:rPr>
          <w:rFonts w:ascii="Arial" w:hAnsi="Arial" w:cs="Arial"/>
          <w:i/>
          <w:iCs/>
          <w:sz w:val="20"/>
          <w:szCs w:val="20"/>
          <w:lang w:val="en-GB"/>
        </w:rPr>
        <w:t>.</w:t>
      </w:r>
      <w:bookmarkStart w:id="0" w:name="_GoBack"/>
      <w:bookmarkEnd w:id="0"/>
    </w:p>
    <w:p w:rsidR="00970E96" w:rsidRPr="001B5D77" w:rsidRDefault="00DA7BED" w:rsidP="001B5D77">
      <w:pPr>
        <w:tabs>
          <w:tab w:val="left" w:pos="709"/>
        </w:tabs>
        <w:spacing w:before="120" w:line="288" w:lineRule="auto"/>
        <w:jc w:val="both"/>
      </w:pPr>
      <w:r w:rsidRPr="001B5D77">
        <w:rPr>
          <w:rFonts w:ascii="Arial" w:hAnsi="Arial" w:cs="Arial"/>
          <w:i/>
          <w:iCs/>
          <w:sz w:val="20"/>
          <w:szCs w:val="20"/>
          <w:lang w:val="en-GB"/>
        </w:rPr>
        <w:t xml:space="preserve">Data on </w:t>
      </w:r>
      <w:r w:rsidRPr="001B5D77">
        <w:rPr>
          <w:rFonts w:ascii="Arial" w:hAnsi="Arial" w:cs="Arial"/>
          <w:b/>
          <w:bCs/>
          <w:i/>
          <w:iCs/>
          <w:sz w:val="20"/>
          <w:szCs w:val="20"/>
          <w:lang w:val="en-GB"/>
        </w:rPr>
        <w:t xml:space="preserve">wages </w:t>
      </w:r>
      <w:r w:rsidRPr="001B5D77">
        <w:rPr>
          <w:rFonts w:ascii="Arial" w:hAnsi="Arial" w:cs="Arial"/>
          <w:b/>
          <w:i/>
          <w:iCs/>
          <w:sz w:val="20"/>
          <w:szCs w:val="20"/>
          <w:lang w:val="en-GB"/>
        </w:rPr>
        <w:t>of science and engineering professionals</w:t>
      </w:r>
      <w:r w:rsidRPr="001B5D77">
        <w:rPr>
          <w:rFonts w:ascii="Arial" w:hAnsi="Arial" w:cs="Arial"/>
          <w:i/>
          <w:iCs/>
          <w:sz w:val="20"/>
          <w:szCs w:val="20"/>
          <w:lang w:val="en-GB"/>
        </w:rPr>
        <w:t xml:space="preserve"> come from the structural employee wage statistics, which is generated by merging of databases of the sample survey of the </w:t>
      </w:r>
      <w:r w:rsidRPr="001B5D77">
        <w:rPr>
          <w:rFonts w:ascii="Arial" w:hAnsi="Arial" w:cs="Arial"/>
          <w:bCs/>
          <w:i/>
          <w:iCs/>
          <w:sz w:val="20"/>
          <w:szCs w:val="20"/>
          <w:lang w:val="en-GB"/>
        </w:rPr>
        <w:t xml:space="preserve">Information System on Average Earnings </w:t>
      </w:r>
      <w:r w:rsidRPr="001B5D77">
        <w:rPr>
          <w:rFonts w:ascii="Arial" w:hAnsi="Arial" w:cs="Arial"/>
          <w:i/>
          <w:iCs/>
          <w:sz w:val="20"/>
          <w:szCs w:val="20"/>
          <w:lang w:val="en-GB"/>
        </w:rPr>
        <w:t xml:space="preserve">of the Ministry of Labour and Social Affairs, which covers the </w:t>
      </w:r>
      <w:r w:rsidRPr="001B5D77">
        <w:rPr>
          <w:rFonts w:ascii="Arial" w:hAnsi="Arial" w:cs="Arial"/>
          <w:bCs/>
          <w:i/>
          <w:iCs/>
          <w:sz w:val="20"/>
          <w:szCs w:val="20"/>
          <w:lang w:val="en-GB"/>
        </w:rPr>
        <w:t>wage sphere</w:t>
      </w:r>
      <w:r w:rsidRPr="001B5D77">
        <w:rPr>
          <w:rFonts w:ascii="Arial" w:hAnsi="Arial" w:cs="Arial"/>
          <w:i/>
          <w:iCs/>
          <w:sz w:val="20"/>
          <w:szCs w:val="20"/>
          <w:lang w:val="en-GB"/>
        </w:rPr>
        <w:t xml:space="preserve">, and from the administrative data source of the </w:t>
      </w:r>
      <w:r w:rsidRPr="001B5D77">
        <w:rPr>
          <w:rFonts w:ascii="Arial" w:hAnsi="Arial" w:cs="Arial"/>
          <w:bCs/>
          <w:i/>
          <w:iCs/>
          <w:sz w:val="20"/>
          <w:szCs w:val="20"/>
          <w:lang w:val="en-GB"/>
        </w:rPr>
        <w:t xml:space="preserve">Salary Information System </w:t>
      </w:r>
      <w:r w:rsidRPr="001B5D77">
        <w:rPr>
          <w:rFonts w:ascii="Arial" w:hAnsi="Arial" w:cs="Arial"/>
          <w:i/>
          <w:iCs/>
          <w:sz w:val="20"/>
          <w:szCs w:val="20"/>
          <w:lang w:val="en-GB"/>
        </w:rPr>
        <w:t xml:space="preserve">of the Ministry of Finance, which exhaustively covers the </w:t>
      </w:r>
      <w:r w:rsidRPr="001B5D77">
        <w:rPr>
          <w:rFonts w:ascii="Arial" w:hAnsi="Arial" w:cs="Arial"/>
          <w:bCs/>
          <w:i/>
          <w:iCs/>
          <w:sz w:val="20"/>
          <w:szCs w:val="20"/>
          <w:lang w:val="en-GB"/>
        </w:rPr>
        <w:t>salary sphere</w:t>
      </w:r>
      <w:r w:rsidRPr="001B5D77">
        <w:rPr>
          <w:rFonts w:ascii="Arial" w:hAnsi="Arial" w:cs="Arial"/>
          <w:i/>
          <w:iCs/>
          <w:sz w:val="20"/>
          <w:szCs w:val="20"/>
          <w:lang w:val="en-GB"/>
        </w:rPr>
        <w:t>.</w:t>
      </w:r>
      <w:r w:rsidR="00567AF7" w:rsidRPr="001B5D77">
        <w:rPr>
          <w:rFonts w:ascii="Arial" w:hAnsi="Arial" w:cs="Arial"/>
          <w:i/>
          <w:sz w:val="20"/>
          <w:szCs w:val="20"/>
        </w:rPr>
        <w:t xml:space="preserve"> </w:t>
      </w:r>
    </w:p>
    <w:p w:rsidR="00970E96" w:rsidRPr="001B5D77" w:rsidRDefault="00970E96" w:rsidP="00970E96">
      <w:pPr>
        <w:pStyle w:val="Zkladntext3"/>
        <w:tabs>
          <w:tab w:val="clear" w:pos="720"/>
        </w:tabs>
        <w:ind w:left="720"/>
        <w:rPr>
          <w:i w:val="0"/>
          <w:iCs w:val="0"/>
          <w:lang w:val="cs-CZ"/>
        </w:rPr>
      </w:pPr>
    </w:p>
    <w:p w:rsidR="00970E96" w:rsidRPr="00535F40" w:rsidRDefault="00567AF7" w:rsidP="00970E96">
      <w:pPr>
        <w:pStyle w:val="Zkladntextodsazen"/>
        <w:ind w:firstLine="0"/>
        <w:rPr>
          <w:i/>
          <w:iCs/>
          <w:color w:val="auto"/>
          <w:lang w:val="en-GB"/>
        </w:rPr>
      </w:pPr>
      <w:r w:rsidRPr="00567AF7">
        <w:rPr>
          <w:i/>
          <w:iCs/>
          <w:color w:val="auto"/>
          <w:lang w:val="en-GB"/>
        </w:rPr>
        <w:t>More statistical data and methodological information on human resources in the field</w:t>
      </w:r>
      <w:r w:rsidR="00266B10">
        <w:rPr>
          <w:i/>
          <w:iCs/>
          <w:color w:val="auto"/>
          <w:lang w:val="en-GB"/>
        </w:rPr>
        <w:t>s</w:t>
      </w:r>
      <w:r w:rsidRPr="00567AF7">
        <w:rPr>
          <w:i/>
          <w:iCs/>
          <w:color w:val="auto"/>
          <w:lang w:val="en-GB"/>
        </w:rPr>
        <w:t xml:space="preserve"> of science and </w:t>
      </w:r>
      <w:r w:rsidR="00266B10">
        <w:rPr>
          <w:i/>
          <w:iCs/>
          <w:color w:val="auto"/>
          <w:lang w:val="en-GB"/>
        </w:rPr>
        <w:t>technology</w:t>
      </w:r>
      <w:r w:rsidRPr="00567AF7">
        <w:rPr>
          <w:i/>
          <w:iCs/>
          <w:color w:val="auto"/>
          <w:lang w:val="en-GB"/>
        </w:rPr>
        <w:t xml:space="preserve"> </w:t>
      </w:r>
      <w:r w:rsidR="00266B10">
        <w:rPr>
          <w:i/>
          <w:iCs/>
          <w:color w:val="auto"/>
          <w:lang w:val="en-GB"/>
        </w:rPr>
        <w:t>are</w:t>
      </w:r>
      <w:r w:rsidRPr="00567AF7">
        <w:rPr>
          <w:i/>
          <w:iCs/>
          <w:color w:val="auto"/>
          <w:lang w:val="en-GB"/>
        </w:rPr>
        <w:t xml:space="preserve"> available </w:t>
      </w:r>
      <w:r w:rsidR="00266B10">
        <w:rPr>
          <w:i/>
          <w:iCs/>
          <w:color w:val="auto"/>
          <w:lang w:val="en-GB"/>
        </w:rPr>
        <w:t>at</w:t>
      </w:r>
      <w:r w:rsidRPr="00567AF7">
        <w:rPr>
          <w:i/>
          <w:iCs/>
          <w:color w:val="auto"/>
          <w:lang w:val="en-GB"/>
        </w:rPr>
        <w:t>:</w:t>
      </w:r>
    </w:p>
    <w:p w:rsidR="00970E96" w:rsidRPr="00535F40" w:rsidRDefault="00970E96" w:rsidP="00970E96">
      <w:pPr>
        <w:pStyle w:val="Zkladntextodsazen"/>
        <w:ind w:firstLine="0"/>
        <w:rPr>
          <w:i/>
          <w:iCs/>
          <w:color w:val="auto"/>
          <w:lang w:val="en-GB"/>
        </w:rPr>
      </w:pPr>
    </w:p>
    <w:p w:rsidR="00970E96" w:rsidRPr="00535F40" w:rsidRDefault="00A95203" w:rsidP="00970E96">
      <w:pPr>
        <w:pStyle w:val="Zkladntext3"/>
        <w:spacing w:before="60"/>
        <w:rPr>
          <w:i w:val="0"/>
          <w:iCs w:val="0"/>
          <w:sz w:val="19"/>
          <w:szCs w:val="19"/>
        </w:rPr>
      </w:pPr>
      <w:hyperlink r:id="rId8" w:history="1">
        <w:r w:rsidR="00567AF7" w:rsidRPr="00567AF7">
          <w:rPr>
            <w:rStyle w:val="Hypertextovodkaz"/>
            <w:i w:val="0"/>
            <w:iCs w:val="0"/>
            <w:sz w:val="19"/>
            <w:szCs w:val="19"/>
          </w:rPr>
          <w:t>https://www.czso.cz/csu/czso/lidske-zdroje-ve-vede-a-technologiich</w:t>
        </w:r>
      </w:hyperlink>
      <w:r w:rsidR="00567AF7" w:rsidRPr="00567AF7">
        <w:t xml:space="preserve"> (Czech only)</w:t>
      </w:r>
    </w:p>
    <w:p w:rsidR="00275FF4" w:rsidRPr="00535F40" w:rsidRDefault="00275FF4">
      <w:pPr>
        <w:pStyle w:val="Zkladntext"/>
        <w:spacing w:before="120"/>
        <w:rPr>
          <w:szCs w:val="20"/>
        </w:rPr>
      </w:pPr>
    </w:p>
    <w:sectPr w:rsidR="00275FF4" w:rsidRPr="00535F40" w:rsidSect="00C7087D">
      <w:footerReference w:type="even" r:id="rId9"/>
      <w:pgSz w:w="11906" w:h="16838"/>
      <w:pgMar w:top="1134" w:right="1134" w:bottom="1418"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03" w:rsidRDefault="00A95203">
      <w:r>
        <w:separator/>
      </w:r>
    </w:p>
  </w:endnote>
  <w:endnote w:type="continuationSeparator" w:id="0">
    <w:p w:rsidR="00A95203" w:rsidRDefault="00A9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F4" w:rsidRDefault="00AC5EB5">
    <w:pPr>
      <w:pStyle w:val="Zpat"/>
      <w:framePr w:wrap="around" w:vAnchor="text" w:hAnchor="margin" w:xAlign="center" w:y="1"/>
      <w:rPr>
        <w:rStyle w:val="slostrnky"/>
      </w:rPr>
    </w:pPr>
    <w:r>
      <w:rPr>
        <w:rStyle w:val="slostrnky"/>
      </w:rPr>
      <w:fldChar w:fldCharType="begin"/>
    </w:r>
    <w:r w:rsidR="00275FF4">
      <w:rPr>
        <w:rStyle w:val="slostrnky"/>
      </w:rPr>
      <w:instrText xml:space="preserve">PAGE  </w:instrText>
    </w:r>
    <w:r>
      <w:rPr>
        <w:rStyle w:val="slostrnky"/>
      </w:rPr>
      <w:fldChar w:fldCharType="end"/>
    </w:r>
  </w:p>
  <w:p w:rsidR="00275FF4" w:rsidRDefault="00275F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03" w:rsidRDefault="00A95203">
      <w:r>
        <w:separator/>
      </w:r>
    </w:p>
  </w:footnote>
  <w:footnote w:type="continuationSeparator" w:id="0">
    <w:p w:rsidR="00A95203" w:rsidRDefault="00A9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A9D"/>
    <w:multiLevelType w:val="hybridMultilevel"/>
    <w:tmpl w:val="E6F853C4"/>
    <w:lvl w:ilvl="0" w:tplc="EC4CC688">
      <w:start w:val="1"/>
      <w:numFmt w:val="bullet"/>
      <w:lvlText w:val=""/>
      <w:lvlJc w:val="left"/>
      <w:pPr>
        <w:tabs>
          <w:tab w:val="num" w:pos="567"/>
        </w:tabs>
        <w:ind w:left="567"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D16BD"/>
    <w:multiLevelType w:val="hybridMultilevel"/>
    <w:tmpl w:val="0C1AC04A"/>
    <w:lvl w:ilvl="0" w:tplc="232CAE7A">
      <w:start w:val="1"/>
      <w:numFmt w:val="bullet"/>
      <w:lvlText w:val=""/>
      <w:lvlJc w:val="left"/>
      <w:pPr>
        <w:tabs>
          <w:tab w:val="num" w:pos="567"/>
        </w:tabs>
        <w:ind w:left="567"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24523"/>
    <w:multiLevelType w:val="hybridMultilevel"/>
    <w:tmpl w:val="469055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0D347F"/>
    <w:multiLevelType w:val="hybridMultilevel"/>
    <w:tmpl w:val="33CC8964"/>
    <w:lvl w:ilvl="0" w:tplc="1A3486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C36ADD"/>
    <w:multiLevelType w:val="hybridMultilevel"/>
    <w:tmpl w:val="CFA47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C016B"/>
    <w:multiLevelType w:val="hybridMultilevel"/>
    <w:tmpl w:val="196EE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0E"/>
    <w:rsid w:val="00000173"/>
    <w:rsid w:val="00001D13"/>
    <w:rsid w:val="00002F1A"/>
    <w:rsid w:val="000067B9"/>
    <w:rsid w:val="00007819"/>
    <w:rsid w:val="00010098"/>
    <w:rsid w:val="0001199B"/>
    <w:rsid w:val="00023845"/>
    <w:rsid w:val="00037885"/>
    <w:rsid w:val="000429A1"/>
    <w:rsid w:val="00046B82"/>
    <w:rsid w:val="00050FF3"/>
    <w:rsid w:val="00092202"/>
    <w:rsid w:val="000A1A37"/>
    <w:rsid w:val="000A6C2A"/>
    <w:rsid w:val="000D0744"/>
    <w:rsid w:val="000D57E4"/>
    <w:rsid w:val="000D595F"/>
    <w:rsid w:val="001103B3"/>
    <w:rsid w:val="001123B3"/>
    <w:rsid w:val="001146DB"/>
    <w:rsid w:val="0014253D"/>
    <w:rsid w:val="0016499F"/>
    <w:rsid w:val="001800C3"/>
    <w:rsid w:val="00187CA0"/>
    <w:rsid w:val="001A069A"/>
    <w:rsid w:val="001A4C18"/>
    <w:rsid w:val="001B2910"/>
    <w:rsid w:val="001B5D77"/>
    <w:rsid w:val="001B68AB"/>
    <w:rsid w:val="001B751C"/>
    <w:rsid w:val="001D37B4"/>
    <w:rsid w:val="001E2CFC"/>
    <w:rsid w:val="001F21B1"/>
    <w:rsid w:val="002008FB"/>
    <w:rsid w:val="00212AFB"/>
    <w:rsid w:val="0022481A"/>
    <w:rsid w:val="00224CF0"/>
    <w:rsid w:val="00264ABE"/>
    <w:rsid w:val="00266B10"/>
    <w:rsid w:val="00271BB8"/>
    <w:rsid w:val="002755FC"/>
    <w:rsid w:val="00275FF4"/>
    <w:rsid w:val="00296BE1"/>
    <w:rsid w:val="002A117C"/>
    <w:rsid w:val="002A3A4B"/>
    <w:rsid w:val="002B03B4"/>
    <w:rsid w:val="002D20C5"/>
    <w:rsid w:val="00301906"/>
    <w:rsid w:val="00303B25"/>
    <w:rsid w:val="00321120"/>
    <w:rsid w:val="00331C5D"/>
    <w:rsid w:val="0034797D"/>
    <w:rsid w:val="00350BCD"/>
    <w:rsid w:val="00364BC5"/>
    <w:rsid w:val="00376ADA"/>
    <w:rsid w:val="0038401C"/>
    <w:rsid w:val="003911B3"/>
    <w:rsid w:val="003A5FFD"/>
    <w:rsid w:val="003B68CB"/>
    <w:rsid w:val="003B6CC1"/>
    <w:rsid w:val="003C6076"/>
    <w:rsid w:val="003D0742"/>
    <w:rsid w:val="003D2E8E"/>
    <w:rsid w:val="003F30AD"/>
    <w:rsid w:val="003F46BA"/>
    <w:rsid w:val="003F581A"/>
    <w:rsid w:val="004206BA"/>
    <w:rsid w:val="004353AB"/>
    <w:rsid w:val="004420FF"/>
    <w:rsid w:val="00451685"/>
    <w:rsid w:val="0047006D"/>
    <w:rsid w:val="00486B37"/>
    <w:rsid w:val="00491137"/>
    <w:rsid w:val="004A444E"/>
    <w:rsid w:val="004C071D"/>
    <w:rsid w:val="004C1764"/>
    <w:rsid w:val="004D06FA"/>
    <w:rsid w:val="004D64D1"/>
    <w:rsid w:val="00505E62"/>
    <w:rsid w:val="00512A9C"/>
    <w:rsid w:val="005205D5"/>
    <w:rsid w:val="00521062"/>
    <w:rsid w:val="00532A5C"/>
    <w:rsid w:val="00535F40"/>
    <w:rsid w:val="00567AF7"/>
    <w:rsid w:val="00581673"/>
    <w:rsid w:val="0058658C"/>
    <w:rsid w:val="005877D3"/>
    <w:rsid w:val="005B62B4"/>
    <w:rsid w:val="005C3BE7"/>
    <w:rsid w:val="005F125F"/>
    <w:rsid w:val="0060278F"/>
    <w:rsid w:val="00607C3E"/>
    <w:rsid w:val="0061002E"/>
    <w:rsid w:val="00613DC8"/>
    <w:rsid w:val="006263FA"/>
    <w:rsid w:val="00644965"/>
    <w:rsid w:val="00657773"/>
    <w:rsid w:val="00660E32"/>
    <w:rsid w:val="006640F9"/>
    <w:rsid w:val="006703FF"/>
    <w:rsid w:val="00674459"/>
    <w:rsid w:val="0067562D"/>
    <w:rsid w:val="0067576A"/>
    <w:rsid w:val="00687A1D"/>
    <w:rsid w:val="0069298D"/>
    <w:rsid w:val="006A7AD1"/>
    <w:rsid w:val="006C1E45"/>
    <w:rsid w:val="006D7090"/>
    <w:rsid w:val="006E3861"/>
    <w:rsid w:val="006E5255"/>
    <w:rsid w:val="006F6933"/>
    <w:rsid w:val="0070084F"/>
    <w:rsid w:val="007132F0"/>
    <w:rsid w:val="00713577"/>
    <w:rsid w:val="007172B3"/>
    <w:rsid w:val="00722950"/>
    <w:rsid w:val="00751211"/>
    <w:rsid w:val="00775EB9"/>
    <w:rsid w:val="007A2BCA"/>
    <w:rsid w:val="007B0F6A"/>
    <w:rsid w:val="007B6484"/>
    <w:rsid w:val="007D0E34"/>
    <w:rsid w:val="007D7981"/>
    <w:rsid w:val="007E11D6"/>
    <w:rsid w:val="007E7B96"/>
    <w:rsid w:val="007F090A"/>
    <w:rsid w:val="007F760F"/>
    <w:rsid w:val="008009D1"/>
    <w:rsid w:val="00814AEC"/>
    <w:rsid w:val="00875E2D"/>
    <w:rsid w:val="00882774"/>
    <w:rsid w:val="00892EDF"/>
    <w:rsid w:val="008D1C39"/>
    <w:rsid w:val="008D54CC"/>
    <w:rsid w:val="008D6FB2"/>
    <w:rsid w:val="008F4F32"/>
    <w:rsid w:val="008F6189"/>
    <w:rsid w:val="00904EED"/>
    <w:rsid w:val="00911FB9"/>
    <w:rsid w:val="00960D64"/>
    <w:rsid w:val="00970E96"/>
    <w:rsid w:val="0098728D"/>
    <w:rsid w:val="009879C5"/>
    <w:rsid w:val="00991A51"/>
    <w:rsid w:val="00993005"/>
    <w:rsid w:val="00995BB4"/>
    <w:rsid w:val="009A2005"/>
    <w:rsid w:val="009B33FB"/>
    <w:rsid w:val="009C14AB"/>
    <w:rsid w:val="009C4896"/>
    <w:rsid w:val="009C6F57"/>
    <w:rsid w:val="009E21BA"/>
    <w:rsid w:val="009F5B98"/>
    <w:rsid w:val="009F7668"/>
    <w:rsid w:val="00A04DAD"/>
    <w:rsid w:val="00A111F5"/>
    <w:rsid w:val="00A13614"/>
    <w:rsid w:val="00A15818"/>
    <w:rsid w:val="00A26CCD"/>
    <w:rsid w:val="00A40BF1"/>
    <w:rsid w:val="00A42088"/>
    <w:rsid w:val="00A762FE"/>
    <w:rsid w:val="00A76D2D"/>
    <w:rsid w:val="00A87CB8"/>
    <w:rsid w:val="00A95203"/>
    <w:rsid w:val="00A9564E"/>
    <w:rsid w:val="00AA41F7"/>
    <w:rsid w:val="00AC57FC"/>
    <w:rsid w:val="00AC5EB5"/>
    <w:rsid w:val="00AD615B"/>
    <w:rsid w:val="00AE06C7"/>
    <w:rsid w:val="00AE18CF"/>
    <w:rsid w:val="00AF27B6"/>
    <w:rsid w:val="00AF7421"/>
    <w:rsid w:val="00B22312"/>
    <w:rsid w:val="00B27574"/>
    <w:rsid w:val="00B27EDE"/>
    <w:rsid w:val="00B36ABE"/>
    <w:rsid w:val="00B4095A"/>
    <w:rsid w:val="00B600C8"/>
    <w:rsid w:val="00B82D70"/>
    <w:rsid w:val="00B8420E"/>
    <w:rsid w:val="00B843AF"/>
    <w:rsid w:val="00B84714"/>
    <w:rsid w:val="00BC2585"/>
    <w:rsid w:val="00BC6184"/>
    <w:rsid w:val="00BD2B1D"/>
    <w:rsid w:val="00BE6AFE"/>
    <w:rsid w:val="00BE6BCC"/>
    <w:rsid w:val="00C07D81"/>
    <w:rsid w:val="00C20511"/>
    <w:rsid w:val="00C220C5"/>
    <w:rsid w:val="00C26046"/>
    <w:rsid w:val="00C504F4"/>
    <w:rsid w:val="00C64C84"/>
    <w:rsid w:val="00C7087D"/>
    <w:rsid w:val="00C82371"/>
    <w:rsid w:val="00C8387F"/>
    <w:rsid w:val="00C93D35"/>
    <w:rsid w:val="00CA4355"/>
    <w:rsid w:val="00CC6CB0"/>
    <w:rsid w:val="00CD28DC"/>
    <w:rsid w:val="00CE24A8"/>
    <w:rsid w:val="00CE3484"/>
    <w:rsid w:val="00D00B62"/>
    <w:rsid w:val="00D0484A"/>
    <w:rsid w:val="00D10C20"/>
    <w:rsid w:val="00D21C53"/>
    <w:rsid w:val="00D26FB5"/>
    <w:rsid w:val="00D32453"/>
    <w:rsid w:val="00D410DC"/>
    <w:rsid w:val="00D44182"/>
    <w:rsid w:val="00D4597D"/>
    <w:rsid w:val="00D470BF"/>
    <w:rsid w:val="00D56DAF"/>
    <w:rsid w:val="00D572F3"/>
    <w:rsid w:val="00D94576"/>
    <w:rsid w:val="00DA7BED"/>
    <w:rsid w:val="00DB0000"/>
    <w:rsid w:val="00DC7018"/>
    <w:rsid w:val="00DE0D45"/>
    <w:rsid w:val="00DF4FFC"/>
    <w:rsid w:val="00E160DA"/>
    <w:rsid w:val="00E223FB"/>
    <w:rsid w:val="00E2271B"/>
    <w:rsid w:val="00E2631C"/>
    <w:rsid w:val="00E3002D"/>
    <w:rsid w:val="00E4189E"/>
    <w:rsid w:val="00E639D0"/>
    <w:rsid w:val="00E808E8"/>
    <w:rsid w:val="00E87E5D"/>
    <w:rsid w:val="00E952EA"/>
    <w:rsid w:val="00E962B7"/>
    <w:rsid w:val="00EA671F"/>
    <w:rsid w:val="00EB0BC7"/>
    <w:rsid w:val="00EC4D34"/>
    <w:rsid w:val="00EF0176"/>
    <w:rsid w:val="00EF51C7"/>
    <w:rsid w:val="00F26E69"/>
    <w:rsid w:val="00F622D0"/>
    <w:rsid w:val="00F63795"/>
    <w:rsid w:val="00F7316C"/>
    <w:rsid w:val="00FB1715"/>
    <w:rsid w:val="00FC0C66"/>
    <w:rsid w:val="00FD1381"/>
    <w:rsid w:val="00FE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691F4"/>
  <w15:docId w15:val="{80FB520A-B74B-4782-9A48-62FCE9F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02D"/>
    <w:rPr>
      <w:sz w:val="24"/>
      <w:szCs w:val="24"/>
    </w:rPr>
  </w:style>
  <w:style w:type="paragraph" w:styleId="Nadpis1">
    <w:name w:val="heading 1"/>
    <w:basedOn w:val="Normln"/>
    <w:next w:val="Normln"/>
    <w:qFormat/>
    <w:rsid w:val="00E3002D"/>
    <w:pPr>
      <w:keepNext/>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E3002D"/>
    <w:pPr>
      <w:tabs>
        <w:tab w:val="left" w:pos="720"/>
      </w:tabs>
      <w:jc w:val="both"/>
    </w:pPr>
    <w:rPr>
      <w:rFonts w:ascii="Arial" w:hAnsi="Arial" w:cs="Arial"/>
      <w:i/>
      <w:iCs/>
      <w:sz w:val="20"/>
      <w:szCs w:val="20"/>
      <w:lang w:val="en-GB"/>
    </w:rPr>
  </w:style>
  <w:style w:type="paragraph" w:styleId="Zkladntextodsazen3">
    <w:name w:val="Body Text Indent 3"/>
    <w:basedOn w:val="Normln"/>
    <w:semiHidden/>
    <w:rsid w:val="00E3002D"/>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ind w:left="709" w:hanging="396"/>
      <w:jc w:val="both"/>
      <w:textAlignment w:val="baseline"/>
    </w:pPr>
    <w:rPr>
      <w:rFonts w:ascii="Arial" w:hAnsi="Arial" w:cs="Arial"/>
      <w:sz w:val="20"/>
      <w:szCs w:val="17"/>
    </w:rPr>
  </w:style>
  <w:style w:type="paragraph" w:styleId="Textpoznpodarou">
    <w:name w:val="footnote text"/>
    <w:basedOn w:val="Normln"/>
    <w:semiHidden/>
    <w:rsid w:val="00E3002D"/>
    <w:rPr>
      <w:sz w:val="20"/>
    </w:rPr>
  </w:style>
  <w:style w:type="paragraph" w:styleId="Zkladntextodsazen">
    <w:name w:val="Body Text Indent"/>
    <w:basedOn w:val="Normln"/>
    <w:semiHidden/>
    <w:rsid w:val="00E3002D"/>
    <w:pPr>
      <w:ind w:firstLine="567"/>
      <w:jc w:val="both"/>
    </w:pPr>
    <w:rPr>
      <w:rFonts w:ascii="Arial" w:hAnsi="Arial" w:cs="Arial"/>
      <w:color w:val="FF0000"/>
      <w:sz w:val="20"/>
      <w:szCs w:val="20"/>
    </w:rPr>
  </w:style>
  <w:style w:type="paragraph" w:styleId="Zkladntextodsazen2">
    <w:name w:val="Body Text Indent 2"/>
    <w:basedOn w:val="Normln"/>
    <w:semiHidden/>
    <w:rsid w:val="00E3002D"/>
    <w:pPr>
      <w:ind w:firstLine="720"/>
      <w:jc w:val="both"/>
    </w:pPr>
    <w:rPr>
      <w:rFonts w:ascii="Arial" w:hAnsi="Arial" w:cs="Arial"/>
      <w:sz w:val="20"/>
      <w:szCs w:val="20"/>
    </w:rPr>
  </w:style>
  <w:style w:type="paragraph" w:styleId="Zkladntext">
    <w:name w:val="Body Text"/>
    <w:basedOn w:val="Normln"/>
    <w:semiHidden/>
    <w:rsid w:val="00E3002D"/>
    <w:rPr>
      <w:rFonts w:ascii="Arial" w:hAnsi="Arial" w:cs="Arial"/>
      <w:i/>
      <w:iCs/>
      <w:sz w:val="20"/>
      <w:lang w:val="en-GB"/>
    </w:rPr>
  </w:style>
  <w:style w:type="paragraph" w:styleId="Textmakra">
    <w:name w:val="macro"/>
    <w:semiHidden/>
    <w:rsid w:val="00E300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lnweb">
    <w:name w:val="Normal (Web)"/>
    <w:basedOn w:val="Normln"/>
    <w:semiHidden/>
    <w:rsid w:val="00E3002D"/>
    <w:pPr>
      <w:overflowPunct w:val="0"/>
      <w:autoSpaceDE w:val="0"/>
      <w:autoSpaceDN w:val="0"/>
      <w:adjustRightInd w:val="0"/>
      <w:spacing w:before="100" w:after="100"/>
      <w:textAlignment w:val="baseline"/>
    </w:pPr>
    <w:rPr>
      <w:rFonts w:ascii="Arial Unicode MS" w:eastAsia="Arial Unicode MS"/>
    </w:rPr>
  </w:style>
  <w:style w:type="character" w:styleId="slostrnky">
    <w:name w:val="page number"/>
    <w:basedOn w:val="Standardnpsmoodstavce"/>
    <w:semiHidden/>
    <w:rsid w:val="00E3002D"/>
  </w:style>
  <w:style w:type="paragraph" w:styleId="Zpat">
    <w:name w:val="footer"/>
    <w:basedOn w:val="Normln"/>
    <w:semiHidden/>
    <w:rsid w:val="00E3002D"/>
    <w:pPr>
      <w:tabs>
        <w:tab w:val="center" w:pos="4536"/>
        <w:tab w:val="right" w:pos="9072"/>
      </w:tabs>
      <w:overflowPunct w:val="0"/>
      <w:autoSpaceDE w:val="0"/>
      <w:autoSpaceDN w:val="0"/>
      <w:adjustRightInd w:val="0"/>
      <w:textAlignment w:val="baseline"/>
    </w:pPr>
    <w:rPr>
      <w:sz w:val="20"/>
      <w:szCs w:val="20"/>
      <w:lang w:val="en-US"/>
    </w:rPr>
  </w:style>
  <w:style w:type="paragraph" w:styleId="Zhlav">
    <w:name w:val="header"/>
    <w:basedOn w:val="Normln"/>
    <w:semiHidden/>
    <w:rsid w:val="00E3002D"/>
    <w:pPr>
      <w:tabs>
        <w:tab w:val="center" w:pos="4536"/>
        <w:tab w:val="right" w:pos="9072"/>
      </w:tabs>
    </w:pPr>
  </w:style>
  <w:style w:type="character" w:styleId="Hypertextovodkaz">
    <w:name w:val="Hyperlink"/>
    <w:semiHidden/>
    <w:rsid w:val="00E3002D"/>
    <w:rPr>
      <w:color w:val="0000FF"/>
      <w:u w:val="single"/>
    </w:rPr>
  </w:style>
  <w:style w:type="character" w:styleId="Sledovanodkaz">
    <w:name w:val="FollowedHyperlink"/>
    <w:semiHidden/>
    <w:rsid w:val="00E3002D"/>
    <w:rPr>
      <w:color w:val="800080"/>
      <w:u w:val="single"/>
    </w:rPr>
  </w:style>
  <w:style w:type="paragraph" w:styleId="Textbubliny">
    <w:name w:val="Balloon Text"/>
    <w:basedOn w:val="Normln"/>
    <w:semiHidden/>
    <w:rsid w:val="00E3002D"/>
    <w:rPr>
      <w:rFonts w:ascii="Tahoma" w:hAnsi="Tahoma" w:cs="Tahoma"/>
      <w:sz w:val="16"/>
      <w:szCs w:val="16"/>
    </w:rPr>
  </w:style>
  <w:style w:type="paragraph" w:styleId="Odstavecseseznamem">
    <w:name w:val="List Paragraph"/>
    <w:basedOn w:val="Normln"/>
    <w:uiPriority w:val="34"/>
    <w:qFormat/>
    <w:rsid w:val="00970E96"/>
    <w:pPr>
      <w:ind w:left="708"/>
    </w:pPr>
  </w:style>
  <w:style w:type="character" w:styleId="Odkaznakoment">
    <w:name w:val="annotation reference"/>
    <w:uiPriority w:val="99"/>
    <w:semiHidden/>
    <w:unhideWhenUsed/>
    <w:rsid w:val="003D2E8E"/>
    <w:rPr>
      <w:sz w:val="16"/>
      <w:szCs w:val="16"/>
    </w:rPr>
  </w:style>
  <w:style w:type="paragraph" w:styleId="Textkomente">
    <w:name w:val="annotation text"/>
    <w:basedOn w:val="Normln"/>
    <w:link w:val="TextkomenteChar"/>
    <w:uiPriority w:val="99"/>
    <w:semiHidden/>
    <w:unhideWhenUsed/>
    <w:rsid w:val="003D2E8E"/>
    <w:rPr>
      <w:sz w:val="20"/>
      <w:szCs w:val="20"/>
    </w:rPr>
  </w:style>
  <w:style w:type="character" w:customStyle="1" w:styleId="TextkomenteChar">
    <w:name w:val="Text komentáře Char"/>
    <w:basedOn w:val="Standardnpsmoodstavce"/>
    <w:link w:val="Textkomente"/>
    <w:uiPriority w:val="99"/>
    <w:semiHidden/>
    <w:rsid w:val="003D2E8E"/>
  </w:style>
  <w:style w:type="paragraph" w:styleId="Pedmtkomente">
    <w:name w:val="annotation subject"/>
    <w:basedOn w:val="Textkomente"/>
    <w:next w:val="Textkomente"/>
    <w:link w:val="PedmtkomenteChar"/>
    <w:uiPriority w:val="99"/>
    <w:semiHidden/>
    <w:unhideWhenUsed/>
    <w:rsid w:val="003D2E8E"/>
    <w:rPr>
      <w:b/>
      <w:bCs/>
    </w:rPr>
  </w:style>
  <w:style w:type="character" w:customStyle="1" w:styleId="PedmtkomenteChar">
    <w:name w:val="Předmět komentáře Char"/>
    <w:link w:val="Pedmtkomente"/>
    <w:uiPriority w:val="99"/>
    <w:semiHidden/>
    <w:rsid w:val="003D2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lidske-zdroje-ve-vede-a-technologiich" TargetMode="External"/><Relationship Id="rId3" Type="http://schemas.openxmlformats.org/officeDocument/2006/relationships/settings" Target="settings.xml"/><Relationship Id="rId7" Type="http://schemas.openxmlformats.org/officeDocument/2006/relationships/hyperlink" Target="https://www.czso.cz/csu/czso/patentova_statis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8695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8</vt:lpstr>
    </vt:vector>
  </TitlesOfParts>
  <Company>CSU</Company>
  <LinksUpToDate>false</LinksUpToDate>
  <CharactersWithSpaces>10148</CharactersWithSpaces>
  <SharedDoc>false</SharedDoc>
  <HLinks>
    <vt:vector size="24" baseType="variant">
      <vt:variant>
        <vt:i4>3866627</vt:i4>
      </vt:variant>
      <vt:variant>
        <vt:i4>9</vt:i4>
      </vt:variant>
      <vt:variant>
        <vt:i4>0</vt:i4>
      </vt:variant>
      <vt:variant>
        <vt:i4>5</vt:i4>
      </vt:variant>
      <vt:variant>
        <vt:lpwstr>http://www.czso.cz/csu/redakce.nsf/i/lidske_zdroje_pro_vedu_a_technologie</vt:lpwstr>
      </vt:variant>
      <vt:variant>
        <vt:lpwstr/>
      </vt:variant>
      <vt:variant>
        <vt:i4>44</vt:i4>
      </vt:variant>
      <vt:variant>
        <vt:i4>6</vt:i4>
      </vt:variant>
      <vt:variant>
        <vt:i4>0</vt:i4>
      </vt:variant>
      <vt:variant>
        <vt:i4>5</vt:i4>
      </vt:variant>
      <vt:variant>
        <vt:lpwstr>http://www.czso.cz/csu/redakce.nsf/i/patentova_statistika</vt:lpwstr>
      </vt:variant>
      <vt:variant>
        <vt:lpwstr/>
      </vt:variant>
      <vt:variant>
        <vt:i4>7471145</vt:i4>
      </vt:variant>
      <vt:variant>
        <vt:i4>3</vt:i4>
      </vt:variant>
      <vt:variant>
        <vt:i4>0</vt:i4>
      </vt:variant>
      <vt:variant>
        <vt:i4>5</vt:i4>
      </vt:variant>
      <vt:variant>
        <vt:lpwstr>http://www.czso.cz/csu/2013edicniplan.nsf/engp/9601-13</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jileckova</dc:creator>
  <cp:lastModifiedBy>rezanka7131</cp:lastModifiedBy>
  <cp:revision>2</cp:revision>
  <cp:lastPrinted>2019-11-27T12:27:00Z</cp:lastPrinted>
  <dcterms:created xsi:type="dcterms:W3CDTF">2021-11-24T08:58:00Z</dcterms:created>
  <dcterms:modified xsi:type="dcterms:W3CDTF">2021-11-24T08:58:00Z</dcterms:modified>
</cp:coreProperties>
</file>